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62026_041004.xml.htm"/>
      <w:bookmarkStart w:id="1" w:name="ksform410062026_0410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Perry Jennifer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BICYCLE THERAPEUTICS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BLOCKS A &amp; B, PORTWAY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CB21 6GS</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BICYCLE THERAPEUTICS PLC</w:t>
              </w:r>
            </w:hyperlink>
            <w:r>
              <w:rPr/>
              <w:t xml:space="preserve"> [ </w:t>
            </w:r>
            <w:r>
              <w:rPr>
                <w:rFonts w:ascii="Times;serif" w:hAnsi="Times;serif"/>
                <w:color w:val="0000FF"/>
                <w:sz w:val="24"/>
                <w:shd w:fill="FFFFFF" w:val="clear"/>
              </w:rPr>
              <w:t>BCYC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1"/>
        <w:gridCol w:w="904"/>
        <w:gridCol w:w="773"/>
        <w:gridCol w:w="600"/>
        <w:gridCol w:w="351"/>
        <w:gridCol w:w="855"/>
        <w:gridCol w:w="462"/>
        <w:gridCol w:w="717"/>
        <w:gridCol w:w="1176"/>
        <w:gridCol w:w="1007"/>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1,094</w:t>
            </w:r>
          </w:p>
        </w:tc>
        <w:tc>
          <w:tcPr>
            <w:tcW w:w="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3.47</w:t>
            </w:r>
            <w:r>
              <w:rPr>
                <w:rFonts w:ascii="Times;serif" w:hAnsi="Times;serif"/>
                <w:color w:val="008000"/>
                <w:position w:val="7"/>
                <w:sz w:val="16"/>
                <w:sz w:val="20"/>
                <w:shd w:fill="FFFFFF" w:val="clear"/>
              </w:rPr>
              <w:t>(2)</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89,958</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w:t>
            </w:r>
          </w:p>
        </w:tc>
        <w:tc>
          <w:tcPr>
            <w:tcW w:w="4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3.56</w:t>
            </w:r>
            <w:r>
              <w:rPr>
                <w:rFonts w:ascii="Times;serif" w:hAnsi="Times;serif"/>
                <w:color w:val="008000"/>
                <w:position w:val="7"/>
                <w:sz w:val="16"/>
                <w:sz w:val="20"/>
                <w:shd w:fill="FFFFFF" w:val="clear"/>
              </w:rPr>
              <w:t>(3)</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89,878</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3.78</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89,552</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to cover the statutory tax withholding obligations in connection with the vesting and settlement of the RSUs. This sale is mandated by the Reporting Person's award agreement that requires the satisfaction of minimum statutory tax withholding obligations to be funded by a "sell to 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$3.41 to $3.525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$3.56 to $3.57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made pursuant to a Rule 10b5-1 trading plan adopted on March 27,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Thompson,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19908" TargetMode="External"/><Relationship Id="rId5" Type="http://schemas.openxmlformats.org/officeDocument/2006/relationships/hyperlink" Target="http://www.sec.gov/cgi-bin/browse-edgar?action=getcompany&amp;CIK=00017616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820</Words>
  <Characters>4411</Characters>
  <CharactersWithSpaces>5144</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