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7" w:lineRule="exact"/>
        <w:rPr>
          <w:sz w:val="24"/>
          <w:szCs w:val="24"/>
          <w:color w:val="auto"/>
        </w:rPr>
      </w:pPr>
    </w:p>
    <w:p>
      <w:pPr>
        <w:ind w:left="3920" w:right="3440" w:hanging="3606"/>
        <w:spacing w:after="0" w:line="360" w:lineRule="auto"/>
        <w:tabs>
          <w:tab w:leader="none" w:pos="603" w:val="left"/>
        </w:tabs>
        <w:numPr>
          <w:ilvl w:val="0"/>
          <w:numId w:val="1"/>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2025</w:t>
      </w:r>
    </w:p>
    <w:p>
      <w:pPr>
        <w:ind w:left="5000"/>
        <w:spacing w:after="0"/>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OR</w:t>
      </w:r>
    </w:p>
    <w:p>
      <w:pPr>
        <w:spacing w:after="0" w:line="99" w:lineRule="exact"/>
        <w:rPr>
          <w:sz w:val="24"/>
          <w:szCs w:val="24"/>
          <w:color w:val="auto"/>
        </w:rPr>
      </w:pPr>
    </w:p>
    <w:p>
      <w:pPr>
        <w:ind w:left="600" w:hanging="286"/>
        <w:spacing w:after="0"/>
        <w:tabs>
          <w:tab w:leader="none" w:pos="60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77" w:lineRule="exact"/>
        <w:rPr>
          <w:sz w:val="24"/>
          <w:szCs w:val="24"/>
          <w:color w:val="auto"/>
        </w:rPr>
      </w:pPr>
    </w:p>
    <w:p>
      <w:pPr>
        <w:ind w:left="3620"/>
        <w:spacing w:after="0"/>
        <w:tabs>
          <w:tab w:leader="none" w:pos="586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9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Commission file number 001-38916</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BICYCLE THERAPEUTICS PLC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0200"/>
          </w:cols>
          <w:pgMar w:left="840" w:top="661" w:right="859" w:bottom="1440" w:gutter="0" w:footer="0" w:header="0"/>
        </w:sectPr>
      </w:pPr>
    </w:p>
    <w:p>
      <w:pPr>
        <w:spacing w:after="0" w:line="91" w:lineRule="exact"/>
        <w:rPr>
          <w:sz w:val="24"/>
          <w:szCs w:val="24"/>
          <w:color w:val="auto"/>
        </w:rPr>
      </w:pPr>
    </w:p>
    <w:p>
      <w:pPr>
        <w:jc w:val="center"/>
        <w:ind w:left="1500"/>
        <w:spacing w:after="0"/>
        <w:rPr>
          <w:sz w:val="20"/>
          <w:szCs w:val="20"/>
          <w:color w:val="auto"/>
        </w:rPr>
      </w:pPr>
      <w:r>
        <w:rPr>
          <w:rFonts w:ascii="Times New Roman" w:cs="Times New Roman" w:eastAsia="Times New Roman" w:hAnsi="Times New Roman"/>
          <w:sz w:val="13"/>
          <w:szCs w:val="13"/>
          <w:b w:val="1"/>
          <w:bCs w:val="1"/>
          <w:color w:val="auto"/>
        </w:rPr>
        <w:t>England and Wales</w:t>
      </w:r>
    </w:p>
    <w:p>
      <w:pPr>
        <w:spacing w:after="0" w:line="2" w:lineRule="exact"/>
        <w:rPr>
          <w:sz w:val="24"/>
          <w:szCs w:val="24"/>
          <w:color w:val="auto"/>
        </w:rPr>
      </w:pPr>
    </w:p>
    <w:p>
      <w:pPr>
        <w:jc w:val="center"/>
        <w:ind w:left="150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16" w:lineRule="exact"/>
        <w:rPr>
          <w:sz w:val="24"/>
          <w:szCs w:val="24"/>
          <w:color w:val="auto"/>
        </w:rPr>
      </w:pPr>
    </w:p>
    <w:p>
      <w:pPr>
        <w:sectPr>
          <w:pgSz w:w="11900" w:h="16838" w:orient="portrait"/>
          <w:cols w:equalWidth="0" w:num="3">
            <w:col w:w="4520" w:space="560"/>
            <w:col w:w="460" w:space="720"/>
            <w:col w:w="3940"/>
          </w:cols>
          <w:pgMar w:left="840" w:top="661" w:right="85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Blocks A &amp; B, Portway Building, Granta Park</w:t>
      </w:r>
    </w:p>
    <w:p>
      <w:pPr>
        <w:spacing w:after="0" w:line="1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Great Abington, Cambridge, United Kingdom</w:t>
      </w:r>
    </w:p>
    <w:p>
      <w:pPr>
        <w:jc w:val="center"/>
        <w:ind w:right="1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CB21 6GS</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97" w:lineRule="exact"/>
        <w:rPr>
          <w:sz w:val="24"/>
          <w:szCs w:val="24"/>
          <w:color w:val="auto"/>
        </w:rPr>
      </w:pPr>
    </w:p>
    <w:p>
      <w:pPr>
        <w:sectPr>
          <w:pgSz w:w="11900" w:h="16838" w:orient="portrait"/>
          <w:cols w:equalWidth="0" w:num="2">
            <w:col w:w="6180" w:space="720"/>
            <w:col w:w="3300"/>
          </w:cols>
          <w:pgMar w:left="840" w:top="661" w:right="8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+44 1223 261503</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155"/>
        </w:trPr>
        <w:tc>
          <w:tcPr>
            <w:tcW w:w="330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45"/>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Ordinary shares, nominal value £0.01 per share*</w:t>
            </w:r>
          </w:p>
        </w:tc>
        <w:tc>
          <w:tcPr>
            <w:tcW w:w="160" w:type="dxa"/>
            <w:vAlign w:val="bottom"/>
          </w:tcPr>
          <w:p>
            <w:pPr>
              <w:spacing w:after="0"/>
              <w:rPr>
                <w:sz w:val="21"/>
                <w:szCs w:val="21"/>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American Depositary Shares, each representing one ordinary</w:t>
            </w:r>
          </w:p>
        </w:tc>
        <w:tc>
          <w:tcPr>
            <w:tcW w:w="16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BCYC</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64"/>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share, nominal value £0.01 per share</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r>
    </w:tbl>
    <w:p>
      <w:pPr>
        <w:spacing w:after="0" w:line="160" w:lineRule="exact"/>
        <w:rPr>
          <w:sz w:val="24"/>
          <w:szCs w:val="24"/>
          <w:color w:val="auto"/>
        </w:rPr>
      </w:pPr>
    </w:p>
    <w:p>
      <w:pPr>
        <w:jc w:val="both"/>
        <w:ind w:left="420" w:right="3100" w:firstLine="2"/>
        <w:spacing w:after="0" w:line="221" w:lineRule="exact"/>
        <w:tabs>
          <w:tab w:leader="none" w:pos="51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 for trading, but only in connection with the listing of the American Depositary Shares on the NASDAQ Global Select Market. 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44" w:lineRule="exact"/>
        <w:rPr>
          <w:sz w:val="24"/>
          <w:szCs w:val="24"/>
          <w:color w:val="auto"/>
        </w:rPr>
      </w:pPr>
    </w:p>
    <w:p>
      <w:pPr>
        <w:ind w:left="42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97" w:lineRule="exact"/>
        <w:rPr>
          <w:sz w:val="24"/>
          <w:szCs w:val="24"/>
          <w:color w:val="auto"/>
        </w:rPr>
      </w:pPr>
    </w:p>
    <w:p>
      <w:pPr>
        <w:ind w:right="140" w:firstLine="432"/>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0" w:lineRule="exact"/>
        <w:rPr>
          <w:sz w:val="24"/>
          <w:szCs w:val="24"/>
          <w:color w:val="auto"/>
        </w:rPr>
      </w:pPr>
    </w:p>
    <w:p>
      <w:pPr>
        <w:ind w:right="300" w:firstLine="432"/>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0" w:lineRule="exact"/>
        <w:rPr>
          <w:sz w:val="24"/>
          <w:szCs w:val="24"/>
          <w:color w:val="auto"/>
        </w:rPr>
      </w:pPr>
    </w:p>
    <w:p>
      <w:pPr>
        <w:ind w:right="320" w:firstLine="432"/>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spacing w:after="0" w:line="175"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p>
        </w:tc>
        <w:tc>
          <w:tcPr>
            <w:tcW w:w="1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48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27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tc>
      </w:tr>
      <w:tr>
        <w:trPr>
          <w:trHeight w:val="213"/>
        </w:trPr>
        <w:tc>
          <w:tcPr>
            <w:tcW w:w="1520" w:type="dxa"/>
            <w:vAlign w:val="bottom"/>
          </w:tcPr>
          <w:p>
            <w:pPr>
              <w:spacing w:after="0" w:line="175"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p>
        </w:tc>
        <w:tc>
          <w:tcPr>
            <w:tcW w:w="10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7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p>
        </w:tc>
      </w:tr>
      <w:tr>
        <w:trPr>
          <w:trHeight w:val="277"/>
        </w:trPr>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8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Arial Unicode MS" w:cs="Arial Unicode MS" w:eastAsia="Arial Unicode MS" w:hAnsi="Arial Unicode MS"/>
                <w:sz w:val="13"/>
                <w:szCs w:val="13"/>
                <w:color w:val="auto"/>
              </w:rPr>
              <w:t>☐</w:t>
            </w:r>
          </w:p>
        </w:tc>
      </w:tr>
    </w:tbl>
    <w:p>
      <w:pPr>
        <w:spacing w:after="0" w:line="86" w:lineRule="exact"/>
        <w:rPr>
          <w:sz w:val="24"/>
          <w:szCs w:val="24"/>
          <w:color w:val="auto"/>
        </w:rPr>
      </w:pPr>
    </w:p>
    <w:p>
      <w:pPr>
        <w:ind w:right="440" w:firstLine="427"/>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60" w:lineRule="exact"/>
        <w:rPr>
          <w:sz w:val="24"/>
          <w:szCs w:val="24"/>
          <w:color w:val="auto"/>
        </w:rPr>
      </w:pPr>
    </w:p>
    <w:p>
      <w:pPr>
        <w:ind w:firstLine="427"/>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60" w:lineRule="exact"/>
        <w:rPr>
          <w:sz w:val="24"/>
          <w:szCs w:val="24"/>
          <w:color w:val="auto"/>
        </w:rPr>
      </w:pPr>
    </w:p>
    <w:p>
      <w:pPr>
        <w:ind w:right="60" w:firstLine="427"/>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60" w:lineRule="exact"/>
        <w:rPr>
          <w:sz w:val="24"/>
          <w:szCs w:val="24"/>
          <w:color w:val="auto"/>
        </w:rPr>
      </w:pPr>
    </w:p>
    <w:p>
      <w:pPr>
        <w:ind w:right="200" w:firstLine="427"/>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3"/>
          <w:szCs w:val="13"/>
          <w:color w:val="auto"/>
        </w:rPr>
        <w:t>☐</w:t>
      </w:r>
    </w:p>
    <w:p>
      <w:pPr>
        <w:spacing w:after="0" w:line="45" w:lineRule="exact"/>
        <w:rPr>
          <w:sz w:val="24"/>
          <w:szCs w:val="24"/>
          <w:color w:val="auto"/>
        </w:rPr>
      </w:pPr>
    </w:p>
    <w:p>
      <w:pPr>
        <w:ind w:left="42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97" w:lineRule="exact"/>
        <w:rPr>
          <w:sz w:val="24"/>
          <w:szCs w:val="24"/>
          <w:color w:val="auto"/>
        </w:rPr>
      </w:pPr>
    </w:p>
    <w:p>
      <w:pPr>
        <w:ind w:right="60" w:firstLine="427"/>
        <w:spacing w:after="0"/>
        <w:rPr>
          <w:sz w:val="20"/>
          <w:szCs w:val="20"/>
          <w:color w:val="auto"/>
        </w:rPr>
      </w:pPr>
      <w:r>
        <w:rPr>
          <w:rFonts w:ascii="Times New Roman" w:cs="Times New Roman" w:eastAsia="Times New Roman" w:hAnsi="Times New Roman"/>
          <w:sz w:val="13"/>
          <w:szCs w:val="13"/>
          <w:color w:val="auto"/>
        </w:rPr>
        <w:t>The aggregate market value (approximate) of the registrant’s voting and non-voting common equity held by non-affiliates based on the closing price per American Depositary Share, or ADS, of the registrant’s ADSs on The Nasdaq Global Select Market on June 30, 2025 (the last business day of the registrant’s most recently completed second fiscal quarter) was $266,666,552.</w:t>
      </w:r>
    </w:p>
    <w:p>
      <w:pPr>
        <w:spacing w:after="0" w:line="79" w:lineRule="exact"/>
        <w:rPr>
          <w:sz w:val="24"/>
          <w:szCs w:val="24"/>
          <w:color w:val="auto"/>
        </w:rPr>
      </w:pPr>
    </w:p>
    <w:p>
      <w:pPr>
        <w:jc w:val="center"/>
        <w:ind w:left="1020" w:right="240"/>
        <w:spacing w:after="0" w:line="390" w:lineRule="auto"/>
        <w:rPr>
          <w:sz w:val="20"/>
          <w:szCs w:val="20"/>
          <w:color w:val="auto"/>
        </w:rPr>
      </w:pPr>
      <w:r>
        <w:rPr>
          <w:rFonts w:ascii="Times New Roman" w:cs="Times New Roman" w:eastAsia="Times New Roman" w:hAnsi="Times New Roman"/>
          <w:sz w:val="13"/>
          <w:szCs w:val="13"/>
          <w:color w:val="auto"/>
        </w:rPr>
        <w:t xml:space="preserve">As of March 12, 2026, the registrant had 50,269,082 ordinary shares, nominal value £0.01 per share, and 19,437,944 non-voting ordinary shares, nominal value £0.01 per share, outstanding. </w:t>
      </w:r>
      <w:r>
        <w:rPr>
          <w:rFonts w:ascii="Times New Roman" w:cs="Times New Roman" w:eastAsia="Times New Roman" w:hAnsi="Times New Roman"/>
          <w:sz w:val="13"/>
          <w:szCs w:val="13"/>
          <w:b w:val="1"/>
          <w:bCs w:val="1"/>
          <w:color w:val="auto"/>
        </w:rPr>
        <w:t>Documents Incorporated by Reference:</w:t>
      </w:r>
    </w:p>
    <w:p>
      <w:pPr>
        <w:ind w:left="1200" w:right="240" w:hanging="538"/>
        <w:spacing w:after="0" w:line="227" w:lineRule="auto"/>
        <w:rPr>
          <w:sz w:val="20"/>
          <w:szCs w:val="20"/>
          <w:color w:val="auto"/>
        </w:rPr>
      </w:pPr>
      <w:r>
        <w:rPr>
          <w:rFonts w:ascii="Times New Roman" w:cs="Times New Roman" w:eastAsia="Times New Roman" w:hAnsi="Times New Roman"/>
          <w:sz w:val="13"/>
          <w:szCs w:val="13"/>
          <w:color w:val="auto"/>
        </w:rPr>
        <w:t>Portions of the registrant’s definitive proxy statement, or Proxy Statement, for its 2026 Annual General Meeting, which the registrant intends to file pursuant to Regulation 14A with the Securities and Exchange Commission not later than 120 days after the registrant’s fiscal year ended December 31, 2025, are incorporated by reference into</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color w:val="auto"/>
        </w:rPr>
        <w:t>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490855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62230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104775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this Annual Report,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“will,” “may,” “should,” “expects,” “intends,” “plans,” “anticipates,” “believes,” “estimates,” “predicts,” “potential,” “continue” or variations of these words or similar expressions that are intended to identify forward-looking statements, although not all forward-looking statements contain these words.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Forward-looking statements include statements, other than statements of historical fact, about, among other things:</w:t>
      </w:r>
    </w:p>
    <w:p>
      <w:pPr>
        <w:spacing w:after="0" w:line="194" w:lineRule="exact"/>
        <w:rPr>
          <w:sz w:val="20"/>
          <w:szCs w:val="20"/>
          <w:color w:val="auto"/>
        </w:rPr>
      </w:pPr>
    </w:p>
    <w:p>
      <w:pPr>
        <w:ind w:left="1040" w:right="2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and our research and development programs;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into, and successfully complete, clinical trials;</w:t>
      </w:r>
    </w:p>
    <w:p>
      <w:pPr>
        <w:spacing w:after="0" w:line="176" w:lineRule="exact"/>
        <w:rPr>
          <w:rFonts w:ascii="Times New Roman" w:cs="Times New Roman" w:eastAsia="Times New Roman" w:hAnsi="Times New Roman"/>
          <w:sz w:val="18"/>
          <w:szCs w:val="18"/>
          <w:color w:val="auto"/>
        </w:rPr>
      </w:pPr>
    </w:p>
    <w:p>
      <w:pPr>
        <w:ind w:left="1040" w:right="519" w:hanging="315"/>
        <w:spacing w:after="0" w:line="20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product candidates in our pipeline programs for our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Drug Conjugate, or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and Bicycle Radioconjugates,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as well as our other pipeline programs;</w:t>
      </w:r>
    </w:p>
    <w:p>
      <w:pPr>
        <w:spacing w:after="0" w:line="157"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screening platform to identify and advance additional product candidates into clinical development;</w:t>
      </w:r>
    </w:p>
    <w:p>
      <w:pPr>
        <w:spacing w:after="0" w:line="134"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communications with and feedback from the FDA and other regulatory agencies;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184" w:lineRule="exact"/>
        <w:rPr>
          <w:rFonts w:ascii="Times New Roman" w:cs="Times New Roman" w:eastAsia="Times New Roman" w:hAnsi="Times New Roman"/>
          <w:sz w:val="18"/>
          <w:szCs w:val="18"/>
          <w:color w:val="auto"/>
        </w:rPr>
      </w:pPr>
    </w:p>
    <w:p>
      <w:pPr>
        <w:ind w:left="1040" w:right="8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12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34"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product liability and other claims;</w:t>
      </w:r>
    </w:p>
    <w:p>
      <w:pPr>
        <w:spacing w:after="0" w:line="184"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and other jurisdictions and changes to the laws and regulations of England and Wales, and other jurisdictions;</w:t>
      </w:r>
    </w:p>
    <w:p>
      <w:pPr>
        <w:spacing w:after="0" w:line="13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share performance and our needs for additional financing;</w:t>
      </w:r>
    </w:p>
    <w:p>
      <w:pPr>
        <w:spacing w:after="0" w:line="12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and our ability to enter into additional strategic arrangements or partnership;</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grant funding;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therapies;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potential growth;</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hiring plans and our ability to attract and retain qualified employees and key personnel;</w:t>
      </w:r>
    </w:p>
    <w:p>
      <w:pPr>
        <w:spacing w:after="0" w:line="198"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expected future cost savings and charges associated with our strategic reprioritization and workforce reduction announced in March 2026;</w:t>
      </w:r>
    </w:p>
    <w:p>
      <w:pPr>
        <w:spacing w:after="0" w:line="121" w:lineRule="exact"/>
        <w:rPr>
          <w:rFonts w:ascii="Times New Roman" w:cs="Times New Roman" w:eastAsia="Times New Roman" w:hAnsi="Times New Roman"/>
          <w:sz w:val="18"/>
          <w:szCs w:val="18"/>
          <w:color w:val="auto"/>
        </w:rPr>
      </w:pPr>
    </w:p>
    <w:p>
      <w:pPr>
        <w:ind w:left="1040" w:right="45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global economic conditions, including those arising from changes in global trade policies, on our operations and the potential disruption in the operations and business of third-party manufacturers, contract research organizations, or CROs, other service providers, and collaborators with whom we conduct business;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developments affecting the financial services industry;</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interruptions resulting from geo-political actions, such as war and terrorism, or the perception that such hostilities may be imminent;</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perceived failure to comply with existing or future laws, regulations, contracts, self-regulatory schemes, standards, and other obligations related to data privacy and security (including our ability to identify and respond to potential future security incidents);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85"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Although we believe that we have a reasonable basis for each forward-looking statement contained in this Annual Report, these statements are based on our estimates or projections of the future that are subject to known and unknown risks and uncertainties and other important factors that may cause our actual results, level of activity, performance, experience or achievements to differ materially from those expressed or implied by any forward-looking statement. These risks, uncertainties and other factors are described in greater detail under the caption “Risk Factors” in Part I, Item 1A and elsewhere in this Annual Report. As a result of the risks and uncertainties, the results or events indicated by the forward-looking statements may not occur. Undue reliance should not be placed on any forward-looking statement.</w:t>
      </w:r>
    </w:p>
    <w:p>
      <w:pPr>
        <w:spacing w:after="0" w:line="17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any forward-looking statement in this Annual Report represents our views only as of the date of this Annual Report and should not be relied upon as representing our views as of any subsequent date. We anticipate that subsequent events and developments may cause our views to change. Although we may elect to update these forward-looking statements publicly at some point in the future, we specifically disclaim any obligation to do so, except as required by applicable law. Our forward-looking statements do not reflect the potential impact of any future acquisitions, mergers, dispositions, joint ventures or investments we may make.</w:t>
      </w:r>
    </w:p>
    <w:p>
      <w:pPr>
        <w:spacing w:after="0" w:line="187" w:lineRule="exact"/>
        <w:rPr>
          <w:sz w:val="20"/>
          <w:szCs w:val="20"/>
          <w:color w:val="auto"/>
        </w:rPr>
      </w:pPr>
    </w:p>
    <w:p>
      <w:pPr>
        <w:ind w:left="60" w:right="819"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“Bicycle,” “the Company,” “we,” “our,” “us” or similar references in this Annual Report refer to Bicycle Therapeutics plc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3860" w:type="dxa"/>
            <w:vAlign w:val="bottom"/>
            <w:tcBorders>
              <w:bottom w:val="single" w:sz="8" w:color="0000EE"/>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EE"/>
                <w:w w:val="99"/>
              </w:rPr>
              <w:t>Special Note Regarding Forward Looking Statements</w:t>
            </w:r>
          </w:p>
        </w:tc>
        <w:tc>
          <w:tcPr>
            <w:tcW w:w="4500" w:type="dxa"/>
            <w:vAlign w:val="bottom"/>
            <w:gridSpan w:val="14"/>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7"/>
          </w:tcPr>
          <w:p>
            <w:pPr>
              <w:jc w:val="center"/>
              <w:ind w:right="39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3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580" w:type="dxa"/>
            <w:vAlign w:val="bottom"/>
            <w:tcBorders>
              <w:top w:val="single" w:sz="8" w:color="0000EE"/>
            </w:tcBorders>
            <w:gridSpan w:val="3"/>
          </w:tcPr>
          <w:p>
            <w:pPr>
              <w:spacing w:after="0"/>
              <w:rPr>
                <w:sz w:val="22"/>
                <w:szCs w:val="22"/>
                <w:color w:val="auto"/>
              </w:rPr>
            </w:pPr>
          </w:p>
        </w:tc>
        <w:tc>
          <w:tcPr>
            <w:tcW w:w="4020" w:type="dxa"/>
            <w:vAlign w:val="bottom"/>
            <w:gridSpan w:val="13"/>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63"/>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6840" w:type="dxa"/>
            <w:vAlign w:val="bottom"/>
            <w:gridSpan w:val="30"/>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2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700" w:type="dxa"/>
            <w:vAlign w:val="bottom"/>
            <w:gridSpan w:val="22"/>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63"/>
        </w:trPr>
        <w:tc>
          <w:tcPr>
            <w:tcW w:w="1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740" w:type="dxa"/>
            <w:vAlign w:val="bottom"/>
            <w:gridSpan w:val="29"/>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7140" w:type="dxa"/>
            <w:vAlign w:val="bottom"/>
            <w:gridSpan w:val="32"/>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63"/>
        </w:trPr>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3. Legal Proceedings</w:t>
            </w:r>
          </w:p>
        </w:tc>
        <w:tc>
          <w:tcPr>
            <w:tcW w:w="6540" w:type="dxa"/>
            <w:vAlign w:val="bottom"/>
            <w:gridSpan w:val="28"/>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64"/>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63"/>
        </w:trPr>
        <w:tc>
          <w:tcPr>
            <w:tcW w:w="7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980" w:type="dxa"/>
            <w:vAlign w:val="bottom"/>
            <w:gridSpan w:val="12"/>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Securities</w:t>
            </w:r>
          </w:p>
        </w:tc>
        <w:tc>
          <w:tcPr>
            <w:tcW w:w="7160" w:type="dxa"/>
            <w:vAlign w:val="bottom"/>
            <w:tcBorders>
              <w:top w:val="single" w:sz="8" w:color="0000EE"/>
            </w:tcBorders>
            <w:gridSpan w:val="32"/>
          </w:tcPr>
          <w:p>
            <w:pPr>
              <w:spacing w:after="0"/>
              <w:rPr>
                <w:sz w:val="17"/>
                <w:szCs w:val="17"/>
                <w:color w:val="auto"/>
              </w:rPr>
            </w:pPr>
          </w:p>
        </w:tc>
        <w:tc>
          <w:tcPr>
            <w:tcW w:w="560" w:type="dxa"/>
            <w:vAlign w:val="bottom"/>
            <w:gridSpan w:val="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63"/>
        </w:trPr>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Item 6. [Reserved]</w:t>
            </w:r>
          </w:p>
        </w:tc>
        <w:tc>
          <w:tcPr>
            <w:tcW w:w="7080" w:type="dxa"/>
            <w:vAlign w:val="bottom"/>
            <w:gridSpan w:val="31"/>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63"/>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64"/>
        </w:trPr>
        <w:tc>
          <w:tcPr>
            <w:tcW w:w="5040" w:type="dxa"/>
            <w:vAlign w:val="bottom"/>
            <w:tcBorders>
              <w:top w:val="single" w:sz="8" w:color="0000EE"/>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22"/>
                <w:szCs w:val="22"/>
                <w:color w:val="auto"/>
              </w:rPr>
            </w:pPr>
          </w:p>
        </w:tc>
        <w:tc>
          <w:tcPr>
            <w:tcW w:w="1420" w:type="dxa"/>
            <w:vAlign w:val="bottom"/>
            <w:gridSpan w:val="5"/>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63"/>
        </w:trPr>
        <w:tc>
          <w:tcPr>
            <w:tcW w:w="38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540" w:type="dxa"/>
            <w:vAlign w:val="bottom"/>
            <w:gridSpan w:val="14"/>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63"/>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63"/>
        </w:trPr>
        <w:tc>
          <w:tcPr>
            <w:tcW w:w="24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9"/>
          </w:tcPr>
          <w:p>
            <w:pPr>
              <w:spacing w:after="0"/>
              <w:rPr>
                <w:sz w:val="22"/>
                <w:szCs w:val="22"/>
                <w:color w:val="auto"/>
              </w:rPr>
            </w:pPr>
          </w:p>
        </w:tc>
        <w:tc>
          <w:tcPr>
            <w:tcW w:w="1400" w:type="dxa"/>
            <w:vAlign w:val="bottom"/>
            <w:gridSpan w:val="4"/>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64"/>
        </w:trPr>
        <w:tc>
          <w:tcPr>
            <w:tcW w:w="1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9B. Other Information</w:t>
            </w:r>
          </w:p>
        </w:tc>
        <w:tc>
          <w:tcPr>
            <w:tcW w:w="6440" w:type="dxa"/>
            <w:vAlign w:val="bottom"/>
            <w:gridSpan w:val="27"/>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63"/>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63"/>
        </w:trPr>
        <w:tc>
          <w:tcPr>
            <w:tcW w:w="7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7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740" w:type="dxa"/>
            <w:vAlign w:val="bottom"/>
            <w:tcBorders>
              <w:top w:val="single" w:sz="8" w:color="0000EE"/>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1080" w:type="dxa"/>
            <w:vAlign w:val="bottom"/>
            <w:tcBorders>
              <w:top w:val="single" w:sz="8" w:color="0000EE"/>
            </w:tcBorders>
            <w:gridSpan w:val="3"/>
          </w:tcPr>
          <w:p>
            <w:pPr>
              <w:spacing w:after="0"/>
              <w:rPr>
                <w:sz w:val="22"/>
                <w:szCs w:val="22"/>
                <w:color w:val="auto"/>
              </w:rPr>
            </w:pPr>
          </w:p>
        </w:tc>
        <w:tc>
          <w:tcPr>
            <w:tcW w:w="2860" w:type="dxa"/>
            <w:vAlign w:val="bottom"/>
            <w:gridSpan w:val="7"/>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63"/>
        </w:trPr>
        <w:tc>
          <w:tcPr>
            <w:tcW w:w="24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11. Executive Compensation</w:t>
            </w:r>
          </w:p>
        </w:tc>
        <w:tc>
          <w:tcPr>
            <w:tcW w:w="2280" w:type="dxa"/>
            <w:vAlign w:val="bottom"/>
            <w:tcBorders>
              <w:top w:val="single" w:sz="8" w:color="0000EE"/>
            </w:tcBorders>
            <w:gridSpan w:val="15"/>
          </w:tcPr>
          <w:p>
            <w:pPr>
              <w:spacing w:after="0"/>
              <w:rPr>
                <w:sz w:val="22"/>
                <w:szCs w:val="22"/>
                <w:color w:val="auto"/>
              </w:rPr>
            </w:pPr>
          </w:p>
        </w:tc>
        <w:tc>
          <w:tcPr>
            <w:tcW w:w="3700" w:type="dxa"/>
            <w:vAlign w:val="bottom"/>
            <w:gridSpan w:val="9"/>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64"/>
        </w:trPr>
        <w:tc>
          <w:tcPr>
            <w:tcW w:w="792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500" w:type="dxa"/>
            <w:vAlign w:val="bottom"/>
            <w:gridSpan w:val="2"/>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608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2340" w:type="dxa"/>
            <w:vAlign w:val="bottom"/>
            <w:gridSpan w:val="6"/>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7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78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gridSpan w:val="19"/>
          </w:tcPr>
          <w:p>
            <w:pPr>
              <w:jc w:val="center"/>
              <w:ind w:right="394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37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15. Exhibit and Financial Statement Schedules</w:t>
            </w:r>
          </w:p>
        </w:tc>
        <w:tc>
          <w:tcPr>
            <w:tcW w:w="700" w:type="dxa"/>
            <w:vAlign w:val="bottom"/>
            <w:tcBorders>
              <w:top w:val="single" w:sz="8" w:color="0000EE"/>
            </w:tcBorders>
            <w:gridSpan w:val="7"/>
          </w:tcPr>
          <w:p>
            <w:pPr>
              <w:spacing w:after="0"/>
              <w:rPr>
                <w:sz w:val="22"/>
                <w:szCs w:val="22"/>
                <w:color w:val="auto"/>
              </w:rPr>
            </w:pPr>
          </w:p>
        </w:tc>
        <w:tc>
          <w:tcPr>
            <w:tcW w:w="3960" w:type="dxa"/>
            <w:vAlign w:val="bottom"/>
            <w:gridSpan w:val="11"/>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63"/>
        </w:trPr>
        <w:tc>
          <w:tcPr>
            <w:tcW w:w="37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Item 16. Form 10-K Summary</w:t>
            </w:r>
          </w:p>
        </w:tc>
        <w:tc>
          <w:tcPr>
            <w:tcW w:w="4700" w:type="dxa"/>
            <w:vAlign w:val="bottom"/>
            <w:gridSpan w:val="20"/>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63"/>
        </w:trPr>
        <w:tc>
          <w:tcPr>
            <w:tcW w:w="7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1420" w:type="dxa"/>
            <w:vAlign w:val="bottom"/>
            <w:tcBorders>
              <w:top w:val="single" w:sz="8" w:color="0000EE"/>
            </w:tcBorders>
            <w:gridSpan w:val="8"/>
          </w:tcPr>
          <w:p>
            <w:pPr>
              <w:spacing w:after="0"/>
              <w:rPr>
                <w:sz w:val="22"/>
                <w:szCs w:val="22"/>
                <w:color w:val="auto"/>
              </w:rPr>
            </w:pPr>
          </w:p>
        </w:tc>
        <w:tc>
          <w:tcPr>
            <w:tcW w:w="6240" w:type="dxa"/>
            <w:vAlign w:val="bottom"/>
            <w:gridSpan w:val="26"/>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We are a clinical-stage pharmaceutical company developing a novel class of medicines, which we refer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The relatively large surface area presented by Bicycle molecules allows targets to be drugged that have historically been intractable to non-biological approaches. Bicycle molecules are excreted by the kidney rather than the liver and have shown no significant signs of immunogenicity to date, qualities which we believe explain the molecules’ favorable toxicological profile.</w:t>
      </w:r>
    </w:p>
    <w:p>
      <w:pPr>
        <w:spacing w:after="0" w:line="19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novel and proprietary phage display screening platform which we use to identify Bicycle molecules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quintillions of potential Bicycle molecules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89" w:lineRule="exact"/>
        <w:rPr>
          <w:sz w:val="20"/>
          <w:szCs w:val="20"/>
          <w:color w:val="auto"/>
        </w:rPr>
      </w:pPr>
    </w:p>
    <w:p>
      <w:pPr>
        <w:jc w:val="both"/>
        <w:ind w:left="60" w:right="119" w:firstLine="648"/>
        <w:spacing w:after="0" w:line="235" w:lineRule="auto"/>
        <w:rPr>
          <w:sz w:val="20"/>
          <w:szCs w:val="20"/>
          <w:color w:val="auto"/>
        </w:rPr>
      </w:pPr>
      <w:r>
        <w:rPr>
          <w:rFonts w:ascii="Times New Roman" w:cs="Times New Roman" w:eastAsia="Times New Roman" w:hAnsi="Times New Roman"/>
          <w:sz w:val="17"/>
          <w:szCs w:val="17"/>
          <w:color w:val="auto"/>
        </w:rPr>
        <w:t>Our internal programs are focused on oncology indications with high unmet medical need. Our product candidate, nuzefatide pevedotin, formerly BT5528, is a Bicycle Drug Conjugate, or a BDC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molecule, whereby the Bicycle molecule is chemically attached to a toxin that, when administered, is cleaved from the Bicycle molecule and kills the tumor cells.</w:t>
      </w:r>
    </w:p>
    <w:p>
      <w:pPr>
        <w:spacing w:after="0" w:line="2"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18"/>
          <w:szCs w:val="18"/>
          <w:color w:val="auto"/>
        </w:rPr>
        <w:t>We are evaluating nuzefatide pevedotin, a BDC molecule targeting Ephrin type A receptor 2, or EphA2, in both an ongoing company-sponsored Phase I/II clinical trial to assess safety, pharmacokinetics and clinical activity in patients with advanced solid tumors and an ongoing company-sponsored Phase II clinical trial to evaluate the efficacy, safety and pharmacokinetics of nuzefatide pevedotin in adult patients with recurrent metastatic pancreatic ductal adenocarcinoma after progression on a first-line therapy, which commenced recruiting patients in the first quarter of 2026. We are also developing BT1702, a Bicycle Radioconjugate,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targeting Membrane Type 1 matrix metalloproteinase, or MT1-MMP, and carrying a lead-212, or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for theranostic use. We are currently conducting Investigational New Drug application, or IND, -enabling activities for BT1702. We are also developing Bicycle Imaging Agents, or BIA molecules. In a BIA molecule, a Bicycle molecule is linked to a chelated radiopharmaceutical imaging agent. We are using BIA molecules to potentially derisk novel targets prior to further clinical development and to efficiently triage cancer indications for subsequent treatment with both BRC and BDC molecules. Our discovery pipeline in oncology includes next-generation BDC molecules, BRC molecules and BIA molecules.</w:t>
      </w:r>
    </w:p>
    <w:p>
      <w:pPr>
        <w:spacing w:after="0" w:line="200" w:lineRule="exact"/>
        <w:rPr>
          <w:sz w:val="20"/>
          <w:szCs w:val="20"/>
          <w:color w:val="auto"/>
        </w:rPr>
      </w:pPr>
    </w:p>
    <w:p>
      <w:pPr>
        <w:ind w:left="60" w:right="119" w:firstLine="693"/>
        <w:spacing w:after="0" w:line="252" w:lineRule="auto"/>
        <w:rPr>
          <w:sz w:val="20"/>
          <w:szCs w:val="20"/>
          <w:color w:val="auto"/>
        </w:rPr>
      </w:pPr>
      <w:r>
        <w:rPr>
          <w:rFonts w:ascii="Times New Roman" w:cs="Times New Roman" w:eastAsia="Times New Roman" w:hAnsi="Times New Roman"/>
          <w:sz w:val="18"/>
          <w:szCs w:val="18"/>
          <w:color w:val="auto"/>
        </w:rPr>
        <w:t>Zelenectide pevedotin, a BDC molecule targeting Nectin-4, is being evaluated in an ongoing company-sponsored Phase I/II clinical trial to assess the safety, pharmacokinetics and clinical activity in patients with Nectin-4 expressing advanced malignancies, an ongoing Phase II/III registrational trial called Duravelo-2 evaluating zelenectide pevedotin in patients with untreated and previously treated metastatic urothelial cancer and in ongoing company-sponsored Phase I/II clinical trials to assess the efficacy and safety of zelenectide pevedotin in patients with NECTIN4 amplified advanced breast cancer and NECTIN4 amplified advanced or metastatic non-small cell lung cancer, which commenced recruiting patients in the first and third quarters of 2025, respectively. 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clinical trial for zelenectide pevedotin are promising, demonstrating response rates comparable to published rates for existing standards of care and a differentiated safety profile, we plan to convert the Phase II/III Duravelo-2 registrational trial to a randomized Phase II clinical trial and deprioritize the program for internal development while we evaluate next steps for zelenectide pevedotin following preliminary feedback from regulatory agencies. In addition, as part of the strategic reprioritization, we plan to discontinue the Phase I/II clinical trials evaluating zelenectide pevedotin in patients with NECTIN4 amplified advanced breast cancer and NECTIN4 amplified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advanced or metastatic non-small cell lung cancer. Further enrollment in these trials will be closed and patients already enrolled will complete their course of treatment. In conjunction with our strategic reprioritization, we are implementing a proposed workforce reduction of approximately 30% of our workforce. Together, the workforce reduction and strategic reprioritization are expected to reduce our annual operating expenses by approximately 50% based on our current plans.</w:t>
      </w:r>
    </w:p>
    <w:p>
      <w:pPr>
        <w:spacing w:after="0" w:line="157" w:lineRule="exact"/>
        <w:rPr>
          <w:sz w:val="20"/>
          <w:szCs w:val="20"/>
          <w:color w:val="auto"/>
        </w:rPr>
      </w:pPr>
    </w:p>
    <w:p>
      <w:pPr>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Our other product candidate, BT7480, is a Bicycle Tumor-Targeted Immune Cell Agonist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Bicycle TICA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A Bicycle TICA molecule links immune cell receptor binding Bicycle molecules to tumor antigen binding Bicycle molecules. BT7480, a Bicycle TICA molecule targeting Nectin-4 and agonizing CD137, is being evaluated in a company-sponsored Phase I/II clinical trial. After reporting certain data from the clinical trial in the first half of 2026, we will no longer develop BT7480 internally and intend to explore partnership opportunities for future development.</w:t>
      </w:r>
    </w:p>
    <w:p>
      <w:pPr>
        <w:spacing w:after="0" w:line="201"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Beyond our wholly owned oncology portfolio, we are collaborating with biopharmaceutical companies and organizations in additional therapeutic areas in which we believe our proprietary Bicycle screening platform can identify therapies to treat diseases with significant unmet medical need.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Bicycle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154305</wp:posOffset>
            </wp:positionV>
            <wp:extent cx="5623560" cy="2048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356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were founded in 2009 based on innovative science conducted by Sir Greg Winter and Professor Christian Heinis. Sir Greg Winter is a pioneer in monoclonal antibodies and, in 2018, was awarded a Nobel Prize in chemistry for the invention of the technology underpinning our proprietary phage display screening platform that we use to identify Bicycle molecules. From our founding through December 31, 2025, we have generated substantial intellectual property, including eight patent families directed to novel scaffolds, linkers and payloads, eight patent families directed to our platform technology, 42 patent families directed to bicyclic peptides and related conjugates, and 16 patent families directed to later inventions relating to such bicyclic peptides and related conjugates, such as methods of making or using certain bicyclic peptide conjugates for treating various indications. As of December 31, 2025, our trademark portfolio consisted of 138 trademark registrations across 10 territories (United Kingdom, European Union, United States, Japan, Hong Kong, Australia, China, Israel, Switzerland and Norway) as well as a number of pending applications for new trademarks. The work we have conducted in developing Bicycle molecules and our proprietary screening platform have created substantial know-how that we believe provides us with a competitive advantage.</w:t>
      </w:r>
    </w:p>
    <w:p>
      <w:pPr>
        <w:spacing w:after="0" w:line="19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management team includes veteran executives in drug development from leading pharmaceutical companies including AstraZeneca, GlaxoSmithKline and Pfizer. Our board of directors, clinical advisory board and research and innovation advisory board include industry experts with extensive experience in drug development.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mission is to become a leading pharmaceutical company by pioneering Bicycle molecules as a novel therapeutic modality to treat diseases that are inadequately addressed with existing treatment modalities. Specifically, we seek to execute on the following strategy to maximize the value of our novel technology and pipeline:</w:t>
      </w:r>
    </w:p>
    <w:p>
      <w:pPr>
        <w:spacing w:after="0" w:line="172" w:lineRule="exact"/>
        <w:rPr>
          <w:sz w:val="20"/>
          <w:szCs w:val="20"/>
          <w:color w:val="auto"/>
        </w:rPr>
      </w:pPr>
    </w:p>
    <w:p>
      <w:pPr>
        <w:ind w:left="1040" w:right="79" w:hanging="315"/>
        <w:spacing w:after="0" w:line="257"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Progress our most advanced internal candidate, nuzefatide pevedotin. </w:t>
      </w:r>
      <w:r>
        <w:rPr>
          <w:rFonts w:ascii="Times New Roman" w:cs="Times New Roman" w:eastAsia="Times New Roman" w:hAnsi="Times New Roman"/>
          <w:sz w:val="18"/>
          <w:szCs w:val="18"/>
          <w:color w:val="auto"/>
        </w:rPr>
        <w:t>We are evaluating nuzefatide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pevedotin, a BDC molecule targeting EphA2, in both an ongoing company-sponsored Phase I/II clinical trial to assess safety, pharmacokinetics and clinical activity in patients with advanced solid tumors and an ongoing company-sponsored Phase II clinical trial to evaluate the efficacy, safety and pharmacokinetics of nuzefatide pevedotin in adult patients with recurrent metastatic pancreatic ductal adenocarcinoma, which commenced recruiting patients in the first quarter of 2026.</w:t>
      </w:r>
    </w:p>
    <w:p>
      <w:pPr>
        <w:spacing w:after="0" w:line="182" w:lineRule="exact"/>
        <w:rPr>
          <w:rFonts w:ascii="Times New Roman" w:cs="Times New Roman" w:eastAsia="Times New Roman" w:hAnsi="Times New Roman"/>
          <w:sz w:val="18"/>
          <w:szCs w:val="18"/>
          <w:color w:val="auto"/>
        </w:rPr>
      </w:pPr>
    </w:p>
    <w:p>
      <w:pPr>
        <w:ind w:left="1040" w:right="199" w:hanging="315"/>
        <w:spacing w:after="0" w:line="23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Progress IND-enabling activities for our BRC molecule candidate, BT1702. </w:t>
      </w:r>
      <w:r>
        <w:rPr>
          <w:rFonts w:ascii="Times New Roman" w:cs="Times New Roman" w:eastAsia="Times New Roman" w:hAnsi="Times New Roman"/>
          <w:sz w:val="18"/>
          <w:szCs w:val="18"/>
          <w:color w:val="auto"/>
        </w:rPr>
        <w:t>BT1702 is a theranostic BRC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molecule targeting MT1-MMP and carries a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In preclinical models, BT1702 showed a favorable biodistribution profile and was effective at reducing tumor burden in a range of model systems. IND-enabling activities are ongoing.</w:t>
      </w:r>
    </w:p>
    <w:p>
      <w:pPr>
        <w:spacing w:after="0" w:line="194" w:lineRule="exact"/>
        <w:rPr>
          <w:rFonts w:ascii="Times New Roman" w:cs="Times New Roman" w:eastAsia="Times New Roman" w:hAnsi="Times New Roman"/>
          <w:sz w:val="18"/>
          <w:szCs w:val="18"/>
          <w:color w:val="auto"/>
        </w:rPr>
      </w:pPr>
    </w:p>
    <w:p>
      <w:pPr>
        <w:ind w:left="1040" w:right="119" w:hanging="315"/>
        <w:spacing w:after="0" w:line="275"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our discovery programs into clinical development. </w:t>
      </w:r>
      <w:r>
        <w:rPr>
          <w:rFonts w:ascii="Times New Roman" w:cs="Times New Roman" w:eastAsia="Times New Roman" w:hAnsi="Times New Roman"/>
          <w:sz w:val="17"/>
          <w:szCs w:val="17"/>
          <w:color w:val="auto"/>
        </w:rPr>
        <w:t>We intend to continue our ongoing discovery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to screen and select candidates for oncology indications. For example, we are developing BRC molecules targeting novel targets, including EphA2. We have also provided our BIA molecules to German Cancer Research Center, or DKFZ, and Universitätsmedizin Essen for human imaging, which may inform future development. We intend to advance our Bicycle radioligands pipeline and progress our strategy for leadership in next-generation radiopharmaceuticals. We are also developing next generation BDC molecules.</w:t>
      </w:r>
    </w:p>
    <w:p>
      <w:pPr>
        <w:spacing w:after="0" w:line="168" w:lineRule="exact"/>
        <w:rPr>
          <w:rFonts w:ascii="Times New Roman" w:cs="Times New Roman" w:eastAsia="Times New Roman" w:hAnsi="Times New Roman"/>
          <w:sz w:val="17"/>
          <w:szCs w:val="17"/>
          <w:color w:val="auto"/>
        </w:rPr>
      </w:pPr>
    </w:p>
    <w:p>
      <w:pPr>
        <w:ind w:left="1040" w:right="239" w:hanging="315"/>
        <w:spacing w:after="0" w:line="257"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powerful proprietary screening platform and novel Bicycle modality to grow our pipeline. </w:t>
      </w:r>
      <w:r>
        <w:rPr>
          <w:rFonts w:ascii="Times New Roman" w:cs="Times New Roman" w:eastAsia="Times New Roman" w:hAnsi="Times New Roman"/>
          <w:sz w:val="18"/>
          <w:szCs w:val="18"/>
          <w:color w:val="auto"/>
        </w:rPr>
        <w:t>Our novel and proprietary phage display screening platform allows us to rapidly and efficiently identify potential candidates for development. We can incorporate a wide range of small molecule scaffolds into Bicycle molecules to increase diversity and confer differentiated physicochemical and structural properties. We have used our powerful Bicycle screening platform to identify BDC, BRC, BIA and Bicycle TICA molecules, and we intend to use it to develop a broader pipeline of diverse product candidates.</w:t>
      </w:r>
    </w:p>
    <w:p>
      <w:pPr>
        <w:spacing w:after="0" w:line="182" w:lineRule="exact"/>
        <w:rPr>
          <w:rFonts w:ascii="Times New Roman" w:cs="Times New Roman" w:eastAsia="Times New Roman" w:hAnsi="Times New Roman"/>
          <w:sz w:val="18"/>
          <w:szCs w:val="18"/>
          <w:color w:val="auto"/>
        </w:rPr>
      </w:pPr>
    </w:p>
    <w:p>
      <w:pPr>
        <w:ind w:left="1040" w:right="219" w:hanging="315"/>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Collaborate strategically with leading organizations to access enabling technology and expertise in order to expand the application of our novel Bicycle modality to indications beyond oncology.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collaborating with leading biopharmaceutical companies and organizations to apply our novel Bicycle modality to other disease areas. For example, in December 2025, ION826 (AZD4063), an investigational medicine incorporating a TfR1 Bicycle molecule under our collaboration agreement with Ionis, entered Phase I development. ION826 is an investigational siRNA medicine in development for a serious form of myocardial disease called PLN-R14del dilated cardiomyopathy. We may opportunistically enter into additional collaborations in the future to apply our technology to areas of unmet medical need.</w:t>
      </w:r>
    </w:p>
    <w:p>
      <w:pPr>
        <w:spacing w:after="0" w:line="184"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Maximize the commercial potential of our product candidates, if approved, by either establishing our own sales and marketing infrastructure or doing so through collaborations with others. </w:t>
      </w:r>
      <w:r>
        <w:rPr>
          <w:rFonts w:ascii="Times New Roman" w:cs="Times New Roman" w:eastAsia="Times New Roman" w:hAnsi="Times New Roman"/>
          <w:sz w:val="17"/>
          <w:szCs w:val="17"/>
          <w:color w:val="auto"/>
        </w:rPr>
        <w:t>Subject to receiving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marketing approval, we intend to pursue the commercialization of our product candidates either by building internal sales and marketing capabilities or doing so through opportunistic collaborations with others.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Advantage</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 to Bicycle molecules</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Bicycle molecules are fully synthetic, short peptides consisting of nine to 20 amino acids constrained to form two loops which stabilize the structural geometry of the peptide and facilitate target binding with high affinity and selectivity. Bicycle molecules represent a unique therapeutic class, combining the pharmacological properties normally associated with a biologic with the manufacturing and PK advantages of a small molecule, with no significant signs of immunogenicity observed to date.</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Drugs must bind to target proteins with high affinity and selectivity to achieve a therapeutic effect, while minimizing undesired effects on other proteins and physiological functions. Peptides exist in a number of folded states, only a few of which are able to bind to target proteins, and a key challenge for peptide therapeutics is designing structures that achieve these goals. We have designed our molecules to be highly constrained by linking a chemical connector compound, also known as a scaffold, to particular amino acids in the peptide chain. The resulting cyclized molecule, which we refer to as a Bicycle molecule, is locked in the preferred state to bind to the target proteins.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Schematic of the Creation of a Cyclized Molecule Resulting in a Bicycle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156845</wp:posOffset>
            </wp:positionV>
            <wp:extent cx="4200525" cy="1834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052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right="139" w:firstLine="648"/>
        <w:spacing w:after="0" w:line="211" w:lineRule="auto"/>
        <w:rPr>
          <w:sz w:val="20"/>
          <w:szCs w:val="20"/>
          <w:color w:val="auto"/>
        </w:rPr>
      </w:pPr>
      <w:r>
        <w:rPr>
          <w:rFonts w:ascii="Times New Roman" w:cs="Times New Roman" w:eastAsia="Times New Roman" w:hAnsi="Times New Roman"/>
          <w:sz w:val="18"/>
          <w:szCs w:val="18"/>
          <w:color w:val="auto"/>
        </w:rPr>
        <w:t>We have expanded the diversity of the chemical space we can cover from approximately 10</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potential molecules in 2009 to in excess of 10</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potential molecules today. We have applied our novel Bicycle modality to a growing range of targets, from a single target in 2009 to more than 150 today. We can create a wide range of Bicycle molecules by varying four parameters:</w:t>
      </w:r>
    </w:p>
    <w:p>
      <w:pPr>
        <w:spacing w:after="0" w:line="198"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amino acids in the two loops;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amino acid composition at each position;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symmetry of the two loops;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small molecule scaffold used to cyclize the Bicycle molecule.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Properties of Bicycle Molecules as Therapeutic Agents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Bicycle molecules have a large surface area available for target binding, which is designed to allow for high affinity and selectivity to the designated target. As short sequences of amino acids, or peptides, they have a low molecular weight, typically ranging from 1.5 kDa to 2.0 kDa. Bicycle molecules have a readily adjustable PK profile with good plasma stability and rapid distribution from the vasculature into the extracellular space. This PK profile enables rapid tissue penetration and a renal route of elimination that minimizes liver exposure. Toxicity issues 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observed with small molecules that are metabolized and eliminated by the liver. Bicycle molecules, by contrast, are not subject to metabolism or elimination by the liver but are metabolized in the peripheral circulation or kidney with subsequent rapid excretion in the urine. Consequently, by increasing excretion in urine, the liver exposure is minimized and the risk of liver toxicity is reduced. The modular nature of Bicycle molecules allows us to optimize therapeutic molecules for specific targets.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Compared to biologics, Bicycle molecules have a lower cost of production and a simpler manufacturing process and are recognized by regulatory authorities as small molecule new chemical entities. We can readily identify Bicycle molecules that may drug a wide spectrum of targets and target classes, including many that have so far been undruggable with small molecules, such as protein-protein interactions. Our novel and proprietary screening platform allows us to screen Bicycle molecules against molecular targets rapidly and efficiently, affording potentially reduced timelines and costs compared to other high-throughput screening approaches. Leveraging our platform, we can rapidly and efficiently identify a compound for development with the historical average time being 12 months after a target has been selected.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Properties of Bicycle Molecules May Translate into Potential Therapeutic and Other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156845</wp:posOffset>
            </wp:positionV>
            <wp:extent cx="5854700" cy="256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470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Comparison of Bicycle Molecules to Other Common Classes of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156845</wp:posOffset>
            </wp:positionV>
            <wp:extent cx="5854700" cy="1808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470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Proprietary Bicycle Screening Platform</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utilize our novel and proprietary phage display screening platform to identify Bicycle molecules that are potentially useful in medicine. We have used this technology to identify our current pipeline and intend to leverage it to develop a broader portfolio of product candidates to address unmet medical needs across a wide range of diseases.</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Phage are bacteria-infecting viruses consisting of genetic material wrapped in a protein coat. Phages can be harnessed to identify Bicycle molecules by splicing DNA into the genome of a phage so that the linear peptides that encode Bicycle molecules are presented on the surface of the phage. One of our founders, Sir Greg Winter, a pioneer in phage display, applied this technology and added a cyclization step that forms Bicycle molecules from these linear peptides. This technology underpins our novel and proprietary screening platform.</w:t>
      </w:r>
    </w:p>
    <w:p>
      <w:pPr>
        <w:spacing w:after="0" w:line="18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screening process self-selects for Bicycle molecules that are amenable to attachment, commonly referred to as conjugation, to other molecular payloads such as cytotoxins, chelated radiopharmaceutical agents, innate immune agonists or other Bicycle molecules. Bicycle molecules can be linked together with synthetic ease to create complex molecules with combinatorial pharmacology. Alternatively, Bicycle molecules in the form of multimers can also be used as standalone therapeutics, such as those in our systemic and tumor-targeted immune cell agonist programs. We believe that the flexibility of our Bicycle molecules and our powerful screening platform allow new therapeutics to be rapidly conceived and reduced to practice to potentially serve diverse therapeutic applications across a wide range of indications. We can readily identify Bicycle molecules that may drug a wide spectrum of targets and target classes, including many that have so far been undruggable with small molecules, such as protein-protein interactions.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Schematic of our Proprietary Bicycle Screening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2743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optimized our proprietary Bicycle screening platform, enabling the technique to be applied to a diverse range of over 150 challenging targets to date, successfully identifying Bicycle molecules for over 85% of these targets since our initial public offering, or IPO, some of which are intractable to small molecules. During these screens, Bicycle molecules with diverse pharmacologies were identified, including enzyme inhibitors, receptor antagonists, agonists (partial, full and supra) and neutral site binders. Neutral site binders often bind to entirely novel sites on target proteins, previously undescribed in the scientific literature. These binders can be useful when conjugated with therapeutic payloads since they allow antigen-targeted payload delivery without impacting target function.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ind w:left="60" w:right="80" w:firstLine="648"/>
        <w:spacing w:after="0" w:line="261" w:lineRule="auto"/>
        <w:rPr>
          <w:sz w:val="20"/>
          <w:szCs w:val="20"/>
          <w:color w:val="auto"/>
        </w:rPr>
      </w:pPr>
      <w:r>
        <w:rPr>
          <w:rFonts w:ascii="Times New Roman" w:cs="Times New Roman" w:eastAsia="Times New Roman" w:hAnsi="Times New Roman"/>
          <w:sz w:val="18"/>
          <w:szCs w:val="18"/>
          <w:color w:val="auto"/>
        </w:rPr>
        <w:t>Our portfolio of internal product candidates is directed to oncology applications where we believe they have the potential to treat a broad spectrum of cancers. We are collaborating with biopharmaceutical companies and organizations in additional therapeutic areas where we believe our proprietary Bicycle screening platform can identify therapies to treat diseases with significant unmet medical need.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Programs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programs.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80" w:type="dxa"/>
            <w:vAlign w:val="bottom"/>
            <w:shd w:val="clear" w:color="auto" w:fill="D1CFCF"/>
          </w:tcPr>
          <w:p>
            <w:pPr>
              <w:ind w:left="80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240" w:type="dxa"/>
            <w:vAlign w:val="bottom"/>
            <w:shd w:val="clear" w:color="auto" w:fill="D1CFC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D1CFC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340" w:type="dxa"/>
            <w:vAlign w:val="bottom"/>
            <w:shd w:val="clear" w:color="auto" w:fill="D1CFC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D1CFCF"/>
          </w:tcPr>
          <w:p>
            <w:pPr>
              <w:ind w:left="220"/>
              <w:spacing w:after="0"/>
              <w:rPr>
                <w:sz w:val="20"/>
                <w:szCs w:val="20"/>
                <w:color w:val="auto"/>
              </w:rPr>
            </w:pPr>
            <w:r>
              <w:rPr>
                <w:rFonts w:ascii="Times New Roman" w:cs="Times New Roman" w:eastAsia="Times New Roman" w:hAnsi="Times New Roman"/>
                <w:sz w:val="18"/>
                <w:szCs w:val="18"/>
                <w:b w:val="1"/>
                <w:bCs w:val="1"/>
                <w:color w:val="auto"/>
              </w:rPr>
              <w:t>Stage</w:t>
            </w:r>
          </w:p>
        </w:tc>
        <w:tc>
          <w:tcPr>
            <w:tcW w:w="260" w:type="dxa"/>
            <w:vAlign w:val="bottom"/>
            <w:shd w:val="clear" w:color="auto" w:fill="D1CFC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D1CFCF"/>
          </w:tcPr>
          <w:p>
            <w:pPr>
              <w:ind w:left="94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03"/>
        </w:trPr>
        <w:tc>
          <w:tcPr>
            <w:tcW w:w="2180" w:type="dxa"/>
            <w:vAlign w:val="bottom"/>
            <w:shd w:val="clear" w:color="auto" w:fill="0041C1"/>
          </w:tcPr>
          <w:p>
            <w:pPr>
              <w:ind w:left="20"/>
              <w:spacing w:after="0"/>
              <w:rPr>
                <w:sz w:val="20"/>
                <w:szCs w:val="20"/>
                <w:color w:val="auto"/>
              </w:rPr>
            </w:pPr>
            <w:r>
              <w:rPr>
                <w:rFonts w:ascii="Times New Roman" w:cs="Times New Roman" w:eastAsia="Times New Roman" w:hAnsi="Times New Roman"/>
                <w:sz w:val="16"/>
                <w:szCs w:val="16"/>
                <w:b w:val="1"/>
                <w:bCs w:val="1"/>
                <w:color w:val="FFFFFF"/>
              </w:rPr>
              <w:t>Internal programs</w:t>
            </w:r>
          </w:p>
        </w:tc>
        <w:tc>
          <w:tcPr>
            <w:tcW w:w="1240" w:type="dxa"/>
            <w:vAlign w:val="bottom"/>
            <w:shd w:val="clear" w:color="auto" w:fill="0041C1"/>
          </w:tcPr>
          <w:p>
            <w:pPr>
              <w:spacing w:after="0"/>
              <w:rPr>
                <w:sz w:val="17"/>
                <w:szCs w:val="17"/>
                <w:color w:val="auto"/>
              </w:rPr>
            </w:pPr>
          </w:p>
        </w:tc>
        <w:tc>
          <w:tcPr>
            <w:tcW w:w="1600" w:type="dxa"/>
            <w:vAlign w:val="bottom"/>
            <w:shd w:val="clear" w:color="auto" w:fill="0041C1"/>
          </w:tcPr>
          <w:p>
            <w:pPr>
              <w:spacing w:after="0"/>
              <w:rPr>
                <w:sz w:val="17"/>
                <w:szCs w:val="17"/>
                <w:color w:val="auto"/>
              </w:rPr>
            </w:pPr>
          </w:p>
        </w:tc>
        <w:tc>
          <w:tcPr>
            <w:tcW w:w="340" w:type="dxa"/>
            <w:vAlign w:val="bottom"/>
            <w:shd w:val="clear" w:color="auto" w:fill="0041C1"/>
          </w:tcPr>
          <w:p>
            <w:pPr>
              <w:spacing w:after="0"/>
              <w:rPr>
                <w:sz w:val="17"/>
                <w:szCs w:val="17"/>
                <w:color w:val="auto"/>
              </w:rPr>
            </w:pPr>
          </w:p>
        </w:tc>
        <w:tc>
          <w:tcPr>
            <w:tcW w:w="960" w:type="dxa"/>
            <w:vAlign w:val="bottom"/>
            <w:shd w:val="clear" w:color="auto" w:fill="0041C1"/>
          </w:tcPr>
          <w:p>
            <w:pPr>
              <w:spacing w:after="0"/>
              <w:rPr>
                <w:sz w:val="17"/>
                <w:szCs w:val="17"/>
                <w:color w:val="auto"/>
              </w:rPr>
            </w:pPr>
          </w:p>
        </w:tc>
        <w:tc>
          <w:tcPr>
            <w:tcW w:w="260" w:type="dxa"/>
            <w:vAlign w:val="bottom"/>
            <w:shd w:val="clear" w:color="auto" w:fill="0041C1"/>
          </w:tcPr>
          <w:p>
            <w:pPr>
              <w:spacing w:after="0"/>
              <w:rPr>
                <w:sz w:val="17"/>
                <w:szCs w:val="17"/>
                <w:color w:val="auto"/>
              </w:rPr>
            </w:pPr>
          </w:p>
        </w:tc>
        <w:tc>
          <w:tcPr>
            <w:tcW w:w="2400" w:type="dxa"/>
            <w:vAlign w:val="bottom"/>
            <w:shd w:val="clear" w:color="auto" w:fill="0041C1"/>
          </w:tcPr>
          <w:p>
            <w:pPr>
              <w:spacing w:after="0"/>
              <w:rPr>
                <w:sz w:val="17"/>
                <w:szCs w:val="17"/>
                <w:color w:val="auto"/>
              </w:rPr>
            </w:pPr>
          </w:p>
        </w:tc>
      </w:tr>
      <w:tr>
        <w:trPr>
          <w:trHeight w:val="122"/>
        </w:trPr>
        <w:tc>
          <w:tcPr>
            <w:tcW w:w="21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Nuzefatide pevedotin (EphA2)</w:t>
            </w:r>
          </w:p>
        </w:tc>
        <w:tc>
          <w:tcPr>
            <w:tcW w:w="284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3"/>
                <w:szCs w:val="13"/>
                <w:color w:val="auto"/>
              </w:rPr>
              <w:t>● High EphA2 expressing tumors (oncology)</w:t>
            </w:r>
          </w:p>
        </w:tc>
        <w:tc>
          <w:tcPr>
            <w:tcW w:w="130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3"/>
                <w:szCs w:val="13"/>
                <w:color w:val="auto"/>
              </w:rPr>
              <w:t>● Phase I/II</w:t>
            </w:r>
          </w:p>
        </w:tc>
        <w:tc>
          <w:tcPr>
            <w:tcW w:w="266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color w:val="auto"/>
              </w:rPr>
              <w:t>● Ongoing company-sponsored Phase I/II</w:t>
            </w:r>
          </w:p>
        </w:tc>
      </w:tr>
      <w:tr>
        <w:trPr>
          <w:trHeight w:val="148"/>
        </w:trPr>
        <w:tc>
          <w:tcPr>
            <w:tcW w:w="2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clinical trials</w:t>
            </w:r>
          </w:p>
        </w:tc>
      </w:tr>
      <w:tr>
        <w:trPr>
          <w:trHeight w:val="196"/>
        </w:trPr>
        <w:tc>
          <w:tcPr>
            <w:tcW w:w="21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BT1702 (MT1-MMP BRC)</w:t>
            </w:r>
          </w:p>
        </w:tc>
        <w:tc>
          <w:tcPr>
            <w:tcW w:w="2840" w:type="dxa"/>
            <w:vAlign w:val="bottom"/>
            <w:tcBorders>
              <w:bottom w:val="single" w:sz="8" w:color="D9D9D9"/>
            </w:tcBorders>
            <w:gridSpan w:val="2"/>
            <w:shd w:val="clear" w:color="auto" w:fill="D9D9D9"/>
          </w:tcPr>
          <w:p>
            <w:pPr>
              <w:ind w:left="300"/>
              <w:spacing w:after="0"/>
              <w:rPr>
                <w:sz w:val="20"/>
                <w:szCs w:val="20"/>
                <w:color w:val="auto"/>
              </w:rPr>
            </w:pPr>
            <w:r>
              <w:rPr>
                <w:rFonts w:ascii="Times New Roman" w:cs="Times New Roman" w:eastAsia="Times New Roman" w:hAnsi="Times New Roman"/>
                <w:sz w:val="13"/>
                <w:szCs w:val="13"/>
                <w:color w:val="auto"/>
              </w:rPr>
              <w:t>● Radiopharmaceutical</w:t>
            </w:r>
          </w:p>
        </w:tc>
        <w:tc>
          <w:tcPr>
            <w:tcW w:w="1300" w:type="dxa"/>
            <w:vAlign w:val="bottom"/>
            <w:tcBorders>
              <w:bottom w:val="single" w:sz="8" w:color="D9D9D9"/>
            </w:tcBorders>
            <w:gridSpan w:val="2"/>
            <w:shd w:val="clear" w:color="auto" w:fill="D9D9D9"/>
          </w:tcPr>
          <w:p>
            <w:pPr>
              <w:ind w:left="260"/>
              <w:spacing w:after="0"/>
              <w:rPr>
                <w:sz w:val="20"/>
                <w:szCs w:val="20"/>
                <w:color w:val="auto"/>
              </w:rPr>
            </w:pPr>
            <w:r>
              <w:rPr>
                <w:rFonts w:ascii="Times New Roman" w:cs="Times New Roman" w:eastAsia="Times New Roman" w:hAnsi="Times New Roman"/>
                <w:sz w:val="13"/>
                <w:szCs w:val="13"/>
                <w:color w:val="auto"/>
              </w:rPr>
              <w:t>● IND enabling</w:t>
            </w:r>
          </w:p>
        </w:tc>
        <w:tc>
          <w:tcPr>
            <w:tcW w:w="2660" w:type="dxa"/>
            <w:vAlign w:val="bottom"/>
            <w:tcBorders>
              <w:bottom w:val="single" w:sz="8" w:color="D9D9D9"/>
            </w:tcBorders>
            <w:gridSpan w:val="2"/>
            <w:shd w:val="clear" w:color="auto" w:fill="D9D9D9"/>
          </w:tcPr>
          <w:p>
            <w:pPr>
              <w:ind w:left="200"/>
              <w:spacing w:after="0"/>
              <w:rPr>
                <w:sz w:val="20"/>
                <w:szCs w:val="20"/>
                <w:color w:val="auto"/>
              </w:rPr>
            </w:pPr>
            <w:r>
              <w:rPr>
                <w:rFonts w:ascii="Times New Roman" w:cs="Times New Roman" w:eastAsia="Times New Roman" w:hAnsi="Times New Roman"/>
                <w:sz w:val="13"/>
                <w:szCs w:val="13"/>
                <w:color w:val="auto"/>
              </w:rPr>
              <w:t>● IND-enabling activities ongoing</w:t>
            </w: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MT1-MMP (BIA)</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Radiopharmaceutical</w:t>
            </w:r>
          </w:p>
        </w:tc>
        <w:tc>
          <w:tcPr>
            <w:tcW w:w="3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Human imaging</w:t>
            </w:r>
          </w:p>
        </w:tc>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Human imaging ongoing</w:t>
            </w:r>
          </w:p>
        </w:tc>
      </w:tr>
      <w:tr>
        <w:trPr>
          <w:trHeight w:val="26"/>
        </w:trPr>
        <w:tc>
          <w:tcPr>
            <w:tcW w:w="21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2660" w:type="dxa"/>
            <w:vAlign w:val="bottom"/>
            <w:gridSpan w:val="2"/>
          </w:tcPr>
          <w:p>
            <w:pPr>
              <w:spacing w:after="0"/>
              <w:rPr>
                <w:sz w:val="2"/>
                <w:szCs w:val="2"/>
                <w:color w:val="auto"/>
              </w:rPr>
            </w:pPr>
          </w:p>
        </w:tc>
      </w:tr>
      <w:tr>
        <w:trPr>
          <w:trHeight w:val="196"/>
        </w:trPr>
        <w:tc>
          <w:tcPr>
            <w:tcW w:w="21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EphA2 (BRC)</w:t>
            </w:r>
          </w:p>
        </w:tc>
        <w:tc>
          <w:tcPr>
            <w:tcW w:w="2840" w:type="dxa"/>
            <w:vAlign w:val="bottom"/>
            <w:tcBorders>
              <w:bottom w:val="single" w:sz="8" w:color="D9D9D9"/>
            </w:tcBorders>
            <w:gridSpan w:val="2"/>
            <w:shd w:val="clear" w:color="auto" w:fill="D9D9D9"/>
          </w:tcPr>
          <w:p>
            <w:pPr>
              <w:ind w:left="300"/>
              <w:spacing w:after="0"/>
              <w:rPr>
                <w:sz w:val="20"/>
                <w:szCs w:val="20"/>
                <w:color w:val="auto"/>
              </w:rPr>
            </w:pPr>
            <w:r>
              <w:rPr>
                <w:rFonts w:ascii="Times New Roman" w:cs="Times New Roman" w:eastAsia="Times New Roman" w:hAnsi="Times New Roman"/>
                <w:sz w:val="13"/>
                <w:szCs w:val="13"/>
                <w:color w:val="auto"/>
              </w:rPr>
              <w:t>● Radiopharmaceutical</w:t>
            </w:r>
          </w:p>
        </w:tc>
        <w:tc>
          <w:tcPr>
            <w:tcW w:w="1300" w:type="dxa"/>
            <w:vAlign w:val="bottom"/>
            <w:tcBorders>
              <w:bottom w:val="single" w:sz="8" w:color="D9D9D9"/>
            </w:tcBorders>
            <w:gridSpan w:val="2"/>
            <w:shd w:val="clear" w:color="auto" w:fill="D9D9D9"/>
          </w:tcPr>
          <w:p>
            <w:pPr>
              <w:ind w:left="260"/>
              <w:spacing w:after="0"/>
              <w:rPr>
                <w:sz w:val="20"/>
                <w:szCs w:val="20"/>
                <w:color w:val="auto"/>
              </w:rPr>
            </w:pPr>
            <w:r>
              <w:rPr>
                <w:rFonts w:ascii="Times New Roman" w:cs="Times New Roman" w:eastAsia="Times New Roman" w:hAnsi="Times New Roman"/>
                <w:sz w:val="13"/>
                <w:szCs w:val="13"/>
                <w:color w:val="auto"/>
              </w:rPr>
              <w:t>● Preclinical</w:t>
            </w:r>
          </w:p>
        </w:tc>
        <w:tc>
          <w:tcPr>
            <w:tcW w:w="2660" w:type="dxa"/>
            <w:vAlign w:val="bottom"/>
            <w:tcBorders>
              <w:bottom w:val="single" w:sz="8" w:color="D9D9D9"/>
            </w:tcBorders>
            <w:gridSpan w:val="2"/>
            <w:shd w:val="clear" w:color="auto" w:fill="D9D9D9"/>
          </w:tcPr>
          <w:p>
            <w:pPr>
              <w:ind w:left="200"/>
              <w:spacing w:after="0"/>
              <w:rPr>
                <w:sz w:val="20"/>
                <w:szCs w:val="20"/>
                <w:color w:val="auto"/>
              </w:rPr>
            </w:pPr>
            <w:r>
              <w:rPr>
                <w:rFonts w:ascii="Times New Roman" w:cs="Times New Roman" w:eastAsia="Times New Roman" w:hAnsi="Times New Roman"/>
                <w:sz w:val="13"/>
                <w:szCs w:val="13"/>
                <w:color w:val="auto"/>
              </w:rPr>
              <w:t>● Lead optimization activities ongoing</w:t>
            </w: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EphA2 (BIA)</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Radiopharmaceutical</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Human imaging</w:t>
            </w:r>
          </w:p>
        </w:tc>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Human imaging ongoing</w:t>
            </w:r>
          </w:p>
        </w:tc>
      </w:tr>
      <w:tr>
        <w:trPr>
          <w:trHeight w:val="26"/>
        </w:trPr>
        <w:tc>
          <w:tcPr>
            <w:tcW w:w="218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2660" w:type="dxa"/>
            <w:vAlign w:val="bottom"/>
            <w:gridSpan w:val="2"/>
          </w:tcPr>
          <w:p>
            <w:pPr>
              <w:spacing w:after="0"/>
              <w:rPr>
                <w:sz w:val="2"/>
                <w:szCs w:val="2"/>
                <w:color w:val="auto"/>
              </w:rPr>
            </w:pPr>
          </w:p>
        </w:tc>
      </w:tr>
      <w:tr>
        <w:trPr>
          <w:trHeight w:val="196"/>
        </w:trPr>
        <w:tc>
          <w:tcPr>
            <w:tcW w:w="21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Zelenectide pevedotin (Nectin-4)</w:t>
            </w:r>
          </w:p>
        </w:tc>
        <w:tc>
          <w:tcPr>
            <w:tcW w:w="2840" w:type="dxa"/>
            <w:vAlign w:val="bottom"/>
            <w:tcBorders>
              <w:bottom w:val="single" w:sz="8" w:color="D9D9D9"/>
            </w:tcBorders>
            <w:gridSpan w:val="2"/>
            <w:shd w:val="clear" w:color="auto" w:fill="D9D9D9"/>
          </w:tcPr>
          <w:p>
            <w:pPr>
              <w:ind w:left="300"/>
              <w:spacing w:after="0"/>
              <w:rPr>
                <w:sz w:val="20"/>
                <w:szCs w:val="20"/>
                <w:color w:val="auto"/>
              </w:rPr>
            </w:pPr>
            <w:r>
              <w:rPr>
                <w:rFonts w:ascii="Times New Roman" w:cs="Times New Roman" w:eastAsia="Times New Roman" w:hAnsi="Times New Roman"/>
                <w:sz w:val="13"/>
                <w:szCs w:val="13"/>
                <w:color w:val="auto"/>
              </w:rPr>
              <w:t>● High Nectin-4 expressing tumors (oncology)</w:t>
            </w:r>
          </w:p>
        </w:tc>
        <w:tc>
          <w:tcPr>
            <w:tcW w:w="1300" w:type="dxa"/>
            <w:vAlign w:val="bottom"/>
            <w:tcBorders>
              <w:bottom w:val="single" w:sz="8" w:color="D9D9D9"/>
            </w:tcBorders>
            <w:gridSpan w:val="2"/>
            <w:shd w:val="clear" w:color="auto" w:fill="D9D9D9"/>
          </w:tcPr>
          <w:p>
            <w:pPr>
              <w:ind w:left="260"/>
              <w:spacing w:after="0"/>
              <w:rPr>
                <w:sz w:val="20"/>
                <w:szCs w:val="20"/>
                <w:color w:val="auto"/>
              </w:rPr>
            </w:pPr>
            <w:r>
              <w:rPr>
                <w:rFonts w:ascii="Times New Roman" w:cs="Times New Roman" w:eastAsia="Times New Roman" w:hAnsi="Times New Roman"/>
                <w:sz w:val="13"/>
                <w:szCs w:val="13"/>
                <w:color w:val="auto"/>
              </w:rPr>
              <w:t>● Phase II</w:t>
            </w:r>
          </w:p>
        </w:tc>
        <w:tc>
          <w:tcPr>
            <w:tcW w:w="2660" w:type="dxa"/>
            <w:vAlign w:val="bottom"/>
            <w:tcBorders>
              <w:bottom w:val="single" w:sz="8" w:color="D9D9D9"/>
            </w:tcBorders>
            <w:gridSpan w:val="2"/>
            <w:shd w:val="clear" w:color="auto" w:fill="D9D9D9"/>
          </w:tcPr>
          <w:p>
            <w:pPr>
              <w:ind w:left="200"/>
              <w:spacing w:after="0"/>
              <w:rPr>
                <w:sz w:val="20"/>
                <w:szCs w:val="20"/>
                <w:color w:val="auto"/>
              </w:rPr>
            </w:pPr>
            <w:r>
              <w:rPr>
                <w:rFonts w:ascii="Times New Roman" w:cs="Times New Roman" w:eastAsia="Times New Roman" w:hAnsi="Times New Roman"/>
                <w:sz w:val="13"/>
                <w:szCs w:val="13"/>
                <w:color w:val="auto"/>
              </w:rPr>
              <w:t>● Evaluating next steps</w:t>
            </w: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BT7480 (Nectin-4/CD137)</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Immuno-oncology</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Phase I/II</w:t>
            </w:r>
          </w:p>
        </w:tc>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Exploring partnership opportunities</w:t>
            </w:r>
          </w:p>
        </w:tc>
      </w:tr>
      <w:tr>
        <w:trPr>
          <w:trHeight w:val="107"/>
        </w:trPr>
        <w:tc>
          <w:tcPr>
            <w:tcW w:w="2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r>
      <w:tr>
        <w:trPr>
          <w:trHeight w:val="216"/>
        </w:trPr>
        <w:tc>
          <w:tcPr>
            <w:tcW w:w="2180" w:type="dxa"/>
            <w:vAlign w:val="bottom"/>
            <w:shd w:val="clear" w:color="auto" w:fill="0099E5"/>
          </w:tcPr>
          <w:p>
            <w:pPr>
              <w:ind w:left="20"/>
              <w:spacing w:after="0"/>
              <w:rPr>
                <w:sz w:val="20"/>
                <w:szCs w:val="20"/>
                <w:color w:val="auto"/>
              </w:rPr>
            </w:pPr>
            <w:r>
              <w:rPr>
                <w:rFonts w:ascii="Times New Roman" w:cs="Times New Roman" w:eastAsia="Times New Roman" w:hAnsi="Times New Roman"/>
                <w:sz w:val="16"/>
                <w:szCs w:val="16"/>
                <w:b w:val="1"/>
                <w:bCs w:val="1"/>
                <w:color w:val="FFFFFF"/>
              </w:rPr>
              <w:t>Partnered programs</w:t>
            </w:r>
          </w:p>
        </w:tc>
        <w:tc>
          <w:tcPr>
            <w:tcW w:w="1240" w:type="dxa"/>
            <w:vAlign w:val="bottom"/>
            <w:shd w:val="clear" w:color="auto" w:fill="0099E5"/>
          </w:tcPr>
          <w:p>
            <w:pPr>
              <w:spacing w:after="0"/>
              <w:rPr>
                <w:sz w:val="18"/>
                <w:szCs w:val="18"/>
                <w:color w:val="auto"/>
              </w:rPr>
            </w:pPr>
          </w:p>
        </w:tc>
        <w:tc>
          <w:tcPr>
            <w:tcW w:w="1600" w:type="dxa"/>
            <w:vAlign w:val="bottom"/>
            <w:shd w:val="clear" w:color="auto" w:fill="0099E5"/>
          </w:tcPr>
          <w:p>
            <w:pPr>
              <w:spacing w:after="0"/>
              <w:rPr>
                <w:sz w:val="18"/>
                <w:szCs w:val="18"/>
                <w:color w:val="auto"/>
              </w:rPr>
            </w:pPr>
          </w:p>
        </w:tc>
        <w:tc>
          <w:tcPr>
            <w:tcW w:w="340" w:type="dxa"/>
            <w:vAlign w:val="bottom"/>
            <w:shd w:val="clear" w:color="auto" w:fill="0099E5"/>
          </w:tcPr>
          <w:p>
            <w:pPr>
              <w:spacing w:after="0"/>
              <w:rPr>
                <w:sz w:val="18"/>
                <w:szCs w:val="18"/>
                <w:color w:val="auto"/>
              </w:rPr>
            </w:pPr>
          </w:p>
        </w:tc>
        <w:tc>
          <w:tcPr>
            <w:tcW w:w="960" w:type="dxa"/>
            <w:vAlign w:val="bottom"/>
            <w:shd w:val="clear" w:color="auto" w:fill="0099E5"/>
          </w:tcPr>
          <w:p>
            <w:pPr>
              <w:spacing w:after="0"/>
              <w:rPr>
                <w:sz w:val="18"/>
                <w:szCs w:val="18"/>
                <w:color w:val="auto"/>
              </w:rPr>
            </w:pPr>
          </w:p>
        </w:tc>
        <w:tc>
          <w:tcPr>
            <w:tcW w:w="260" w:type="dxa"/>
            <w:vAlign w:val="bottom"/>
            <w:shd w:val="clear" w:color="auto" w:fill="0099E5"/>
          </w:tcPr>
          <w:p>
            <w:pPr>
              <w:spacing w:after="0"/>
              <w:rPr>
                <w:sz w:val="18"/>
                <w:szCs w:val="18"/>
                <w:color w:val="auto"/>
              </w:rPr>
            </w:pPr>
          </w:p>
        </w:tc>
        <w:tc>
          <w:tcPr>
            <w:tcW w:w="2400" w:type="dxa"/>
            <w:vAlign w:val="bottom"/>
            <w:shd w:val="clear" w:color="auto" w:fill="0099E5"/>
          </w:tcPr>
          <w:p>
            <w:pPr>
              <w:spacing w:after="0"/>
              <w:rPr>
                <w:sz w:val="18"/>
                <w:szCs w:val="18"/>
                <w:color w:val="auto"/>
              </w:rPr>
            </w:pPr>
          </w:p>
        </w:tc>
      </w:tr>
      <w:tr>
        <w:trPr>
          <w:trHeight w:val="196"/>
        </w:trPr>
        <w:tc>
          <w:tcPr>
            <w:tcW w:w="2180" w:type="dxa"/>
            <w:vAlign w:val="bottom"/>
            <w:tcBorders>
              <w:bottom w:val="single" w:sz="8" w:color="D1CFCF"/>
            </w:tcBorders>
            <w:shd w:val="clear" w:color="auto" w:fill="D1CFCF"/>
          </w:tcPr>
          <w:p>
            <w:pPr>
              <w:ind w:left="20"/>
              <w:spacing w:after="0"/>
              <w:rPr>
                <w:sz w:val="20"/>
                <w:szCs w:val="20"/>
                <w:color w:val="auto"/>
              </w:rPr>
            </w:pPr>
            <w:r>
              <w:rPr>
                <w:rFonts w:ascii="Times New Roman" w:cs="Times New Roman" w:eastAsia="Times New Roman" w:hAnsi="Times New Roman"/>
                <w:sz w:val="14"/>
                <w:szCs w:val="14"/>
                <w:b w:val="1"/>
                <w:bCs w:val="1"/>
                <w:color w:val="auto"/>
              </w:rPr>
              <w:t>Novel CNS targets</w:t>
            </w:r>
          </w:p>
        </w:tc>
        <w:tc>
          <w:tcPr>
            <w:tcW w:w="1240" w:type="dxa"/>
            <w:vAlign w:val="bottom"/>
            <w:tcBorders>
              <w:bottom w:val="single" w:sz="8" w:color="D1CFCF"/>
            </w:tcBorders>
            <w:shd w:val="clear" w:color="auto" w:fill="D1CFCF"/>
          </w:tcPr>
          <w:p>
            <w:pPr>
              <w:ind w:left="300"/>
              <w:spacing w:after="0"/>
              <w:rPr>
                <w:sz w:val="20"/>
                <w:szCs w:val="20"/>
                <w:color w:val="auto"/>
              </w:rPr>
            </w:pPr>
            <w:r>
              <w:rPr>
                <w:rFonts w:ascii="Times New Roman" w:cs="Times New Roman" w:eastAsia="Times New Roman" w:hAnsi="Times New Roman"/>
                <w:sz w:val="13"/>
                <w:szCs w:val="13"/>
                <w:color w:val="auto"/>
              </w:rPr>
              <w:t>● CNS</w:t>
            </w:r>
          </w:p>
        </w:tc>
        <w:tc>
          <w:tcPr>
            <w:tcW w:w="1600" w:type="dxa"/>
            <w:vAlign w:val="bottom"/>
            <w:tcBorders>
              <w:bottom w:val="single" w:sz="8" w:color="D1CFCF"/>
            </w:tcBorders>
            <w:shd w:val="clear" w:color="auto" w:fill="D1CFCF"/>
          </w:tcPr>
          <w:p>
            <w:pPr>
              <w:spacing w:after="0"/>
              <w:rPr>
                <w:sz w:val="17"/>
                <w:szCs w:val="17"/>
                <w:color w:val="auto"/>
              </w:rPr>
            </w:pPr>
          </w:p>
        </w:tc>
        <w:tc>
          <w:tcPr>
            <w:tcW w:w="1300" w:type="dxa"/>
            <w:vAlign w:val="bottom"/>
            <w:tcBorders>
              <w:bottom w:val="single" w:sz="8" w:color="D1CFCF"/>
            </w:tcBorders>
            <w:gridSpan w:val="2"/>
            <w:shd w:val="clear" w:color="auto" w:fill="D1CFCF"/>
          </w:tcPr>
          <w:p>
            <w:pPr>
              <w:ind w:left="260"/>
              <w:spacing w:after="0"/>
              <w:rPr>
                <w:sz w:val="20"/>
                <w:szCs w:val="20"/>
                <w:color w:val="auto"/>
              </w:rPr>
            </w:pPr>
            <w:r>
              <w:rPr>
                <w:rFonts w:ascii="Times New Roman" w:cs="Times New Roman" w:eastAsia="Times New Roman" w:hAnsi="Times New Roman"/>
                <w:sz w:val="13"/>
                <w:szCs w:val="13"/>
                <w:color w:val="auto"/>
              </w:rPr>
              <w:t>● Preclinical</w:t>
            </w:r>
          </w:p>
        </w:tc>
        <w:tc>
          <w:tcPr>
            <w:tcW w:w="2660" w:type="dxa"/>
            <w:vAlign w:val="bottom"/>
            <w:tcBorders>
              <w:bottom w:val="single" w:sz="8" w:color="D1CFCF"/>
            </w:tcBorders>
            <w:gridSpan w:val="2"/>
            <w:shd w:val="clear" w:color="auto" w:fill="D1CFCF"/>
          </w:tcPr>
          <w:p>
            <w:pPr>
              <w:ind w:left="200"/>
              <w:spacing w:after="0"/>
              <w:rPr>
                <w:sz w:val="20"/>
                <w:szCs w:val="20"/>
                <w:color w:val="auto"/>
              </w:rPr>
            </w:pPr>
            <w:r>
              <w:rPr>
                <w:rFonts w:ascii="Times New Roman" w:cs="Times New Roman" w:eastAsia="Times New Roman" w:hAnsi="Times New Roman"/>
                <w:sz w:val="13"/>
                <w:szCs w:val="13"/>
                <w:color w:val="auto"/>
              </w:rPr>
              <w:t>● Collaborating with Ionis</w:t>
            </w:r>
          </w:p>
        </w:tc>
      </w:tr>
      <w:tr>
        <w:trPr>
          <w:trHeight w:val="121"/>
        </w:trPr>
        <w:tc>
          <w:tcPr>
            <w:tcW w:w="21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Novel neuromuscular targets</w:t>
            </w:r>
          </w:p>
        </w:tc>
        <w:tc>
          <w:tcPr>
            <w:tcW w:w="124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 Neuromuscular</w:t>
            </w:r>
          </w:p>
        </w:tc>
        <w:tc>
          <w:tcPr>
            <w:tcW w:w="1600" w:type="dxa"/>
            <w:vAlign w:val="bottom"/>
          </w:tcPr>
          <w:p>
            <w:pPr>
              <w:spacing w:after="0"/>
              <w:rPr>
                <w:sz w:val="10"/>
                <w:szCs w:val="10"/>
                <w:color w:val="auto"/>
              </w:rPr>
            </w:pPr>
          </w:p>
        </w:tc>
        <w:tc>
          <w:tcPr>
            <w:tcW w:w="130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3"/>
                <w:szCs w:val="13"/>
                <w:color w:val="auto"/>
              </w:rPr>
              <w:t>● Preclinical</w:t>
            </w:r>
          </w:p>
        </w:tc>
        <w:tc>
          <w:tcPr>
            <w:tcW w:w="266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color w:val="auto"/>
              </w:rPr>
              <w:t>● Collaborating with Ionis</w:t>
            </w:r>
          </w:p>
        </w:tc>
      </w:tr>
      <w:tr>
        <w:trPr>
          <w:trHeight w:val="193"/>
        </w:trPr>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ION826 (AZD4063)</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Cardiometabolic disease</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Phase I</w:t>
            </w:r>
          </w:p>
        </w:tc>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Collaborating with Ionis</w:t>
            </w:r>
          </w:p>
        </w:tc>
      </w:tr>
      <w:tr>
        <w:trPr>
          <w:trHeight w:val="118"/>
        </w:trPr>
        <w:tc>
          <w:tcPr>
            <w:tcW w:w="2180" w:type="dxa"/>
            <w:vAlign w:val="bottom"/>
          </w:tcPr>
          <w:p>
            <w:pPr>
              <w:spacing w:after="0"/>
              <w:rPr>
                <w:sz w:val="10"/>
                <w:szCs w:val="10"/>
                <w:color w:val="auto"/>
              </w:rPr>
            </w:pPr>
          </w:p>
        </w:tc>
        <w:tc>
          <w:tcPr>
            <w:tcW w:w="2840" w:type="dxa"/>
            <w:vAlign w:val="bottom"/>
            <w:gridSpan w:val="2"/>
          </w:tcPr>
          <w:p>
            <w:pPr>
              <w:spacing w:after="0"/>
              <w:rPr>
                <w:sz w:val="10"/>
                <w:szCs w:val="10"/>
                <w:color w:val="auto"/>
              </w:rPr>
            </w:pPr>
          </w:p>
        </w:tc>
        <w:tc>
          <w:tcPr>
            <w:tcW w:w="1300" w:type="dxa"/>
            <w:vAlign w:val="bottom"/>
            <w:gridSpan w:val="2"/>
          </w:tcPr>
          <w:p>
            <w:pPr>
              <w:spacing w:after="0"/>
              <w:rPr>
                <w:sz w:val="10"/>
                <w:szCs w:val="10"/>
                <w:color w:val="auto"/>
              </w:rPr>
            </w:pPr>
          </w:p>
        </w:tc>
        <w:tc>
          <w:tcPr>
            <w:tcW w:w="2660" w:type="dxa"/>
            <w:vAlign w:val="bottom"/>
            <w:gridSpan w:val="2"/>
          </w:tcPr>
          <w:p>
            <w:pPr>
              <w:spacing w:after="0"/>
              <w:rPr>
                <w:sz w:val="10"/>
                <w:szCs w:val="10"/>
                <w:color w:val="auto"/>
              </w:rPr>
            </w:pPr>
          </w:p>
        </w:tc>
      </w:tr>
      <w:tr>
        <w:trPr>
          <w:trHeight w:val="148"/>
        </w:trPr>
        <w:tc>
          <w:tcPr>
            <w:tcW w:w="2180" w:type="dxa"/>
            <w:vAlign w:val="bottom"/>
            <w:shd w:val="clear" w:color="auto" w:fill="D0CECE"/>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Undisclosed</w:t>
            </w:r>
          </w:p>
        </w:tc>
        <w:tc>
          <w:tcPr>
            <w:tcW w:w="2840" w:type="dxa"/>
            <w:vAlign w:val="bottom"/>
            <w:gridSpan w:val="2"/>
            <w:shd w:val="clear" w:color="auto" w:fill="D0CECE"/>
          </w:tcPr>
          <w:p>
            <w:pPr>
              <w:ind w:left="30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Radiopharmaceutical</w:t>
            </w:r>
          </w:p>
        </w:tc>
        <w:tc>
          <w:tcPr>
            <w:tcW w:w="1300" w:type="dxa"/>
            <w:vAlign w:val="bottom"/>
            <w:gridSpan w:val="2"/>
            <w:shd w:val="clear" w:color="auto" w:fill="D0CECE"/>
          </w:tcPr>
          <w:p>
            <w:pPr>
              <w:ind w:left="26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Preclinical</w:t>
            </w:r>
          </w:p>
        </w:tc>
        <w:tc>
          <w:tcPr>
            <w:tcW w:w="2660" w:type="dxa"/>
            <w:vAlign w:val="bottom"/>
            <w:gridSpan w:val="2"/>
            <w:shd w:val="clear" w:color="auto" w:fill="D0CECE"/>
          </w:tcPr>
          <w:p>
            <w:pPr>
              <w:ind w:left="200"/>
              <w:spacing w:after="0"/>
              <w:rPr>
                <w:sz w:val="20"/>
                <w:szCs w:val="20"/>
                <w:color w:val="auto"/>
              </w:rPr>
            </w:pPr>
            <w:r>
              <w:rPr>
                <w:rFonts w:ascii="Times New Roman" w:cs="Times New Roman" w:eastAsia="Times New Roman" w:hAnsi="Times New Roman"/>
                <w:sz w:val="13"/>
                <w:szCs w:val="13"/>
                <w:color w:val="auto"/>
              </w:rPr>
              <w:t>● Collaborating with Bayer</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Internal Programs</w:t>
      </w:r>
    </w:p>
    <w:p>
      <w:pPr>
        <w:spacing w:after="0" w:line="229" w:lineRule="exact"/>
        <w:rPr>
          <w:sz w:val="20"/>
          <w:szCs w:val="20"/>
          <w:color w:val="auto"/>
        </w:rPr>
      </w:pPr>
    </w:p>
    <w:p>
      <w:pPr>
        <w:ind w:left="60" w:right="280" w:firstLine="648"/>
        <w:spacing w:after="0" w:line="258" w:lineRule="auto"/>
        <w:rPr>
          <w:sz w:val="20"/>
          <w:szCs w:val="20"/>
          <w:color w:val="auto"/>
        </w:rPr>
      </w:pPr>
      <w:r>
        <w:rPr>
          <w:rFonts w:ascii="Times New Roman" w:cs="Times New Roman" w:eastAsia="Times New Roman" w:hAnsi="Times New Roman"/>
          <w:sz w:val="18"/>
          <w:szCs w:val="18"/>
          <w:color w:val="auto"/>
        </w:rPr>
        <w:t>We believe Bicycle molecules are an ideal vehicle to deliver small molecule payloads to tumors, each as potent cytotoxins in the case of BDC molecules, chelated radiopharmaceutical payloads in the case of BRC molecules, chelated radiopharmaceutical imaging agents in the case of BIA molecules, as well as small molecule agonists of the immune system in the case of Bicycle TICA molecules. We believe that Bicycle conjugates can offer improved performance as compared to antibody-mediated delivery.</w:t>
      </w:r>
    </w:p>
    <w:p>
      <w:pPr>
        <w:spacing w:after="0" w:line="183" w:lineRule="exact"/>
        <w:rPr>
          <w:sz w:val="20"/>
          <w:szCs w:val="20"/>
          <w:color w:val="auto"/>
        </w:rPr>
      </w:pPr>
    </w:p>
    <w:p>
      <w:pPr>
        <w:ind w:left="60"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their use as drug conjugates, Bicycle molecules can also be configured for use as standalone therapeutics. We have identified Bicycle molecules that have been observed to directly interact with CD137, a key immune cell co-stimulatory molecule. We believe our CD137-targeting Bicycle molecules may overcome limitations inherent in antibody-mediated approaches and have the potential to be converted into simple tumor-targeted immune cell-engaging Bicycle molecules.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Bicycle Drug Conjugates</w:t>
      </w:r>
    </w:p>
    <w:p>
      <w:pPr>
        <w:spacing w:after="0" w:line="229" w:lineRule="exact"/>
        <w:rPr>
          <w:sz w:val="20"/>
          <w:szCs w:val="20"/>
          <w:color w:val="auto"/>
        </w:rPr>
      </w:pPr>
    </w:p>
    <w:p>
      <w:pPr>
        <w:ind w:left="60" w:right="160" w:firstLine="648"/>
        <w:spacing w:after="0" w:line="253" w:lineRule="auto"/>
        <w:rPr>
          <w:sz w:val="20"/>
          <w:szCs w:val="20"/>
          <w:color w:val="auto"/>
        </w:rPr>
      </w:pPr>
      <w:r>
        <w:rPr>
          <w:rFonts w:ascii="Times New Roman" w:cs="Times New Roman" w:eastAsia="Times New Roman" w:hAnsi="Times New Roman"/>
          <w:sz w:val="18"/>
          <w:szCs w:val="18"/>
          <w:color w:val="auto"/>
        </w:rPr>
        <w:t>Within our BDC programs, we are evaluating nuzefatide pevedotin, a BDC molecule that targets EphA2 and carries an MMAE cytotoxin payload, in both an ongoing, company-sponsored Phase I/II clinical trial to assess safety, pharmacokinetics, and preliminary clinical activity in patients with solid tumors historically associated with EphA2 expression, as well as an ongoing, company-sponsored Phase II clinical trial to evaluate the efficacy, safety and pharmacokinetics of nuzefatide pevedotin in adult patients with metastatic pancreatic ductal adenocarcinoma. Nuzefatide pevedotin has also been granted Fast Track Designation, or FTD, for treatment of adult patients with previously treated, locally advanced or metastatic urothelial cancer. In addition, zelenectide pevedotin, a BDC molecule targeting Nectin-4, is being evaluated in an ongoing company-sponsored Phase I/II clinical trial to assess the safety, pharmacokinetics and clinical activity in patients with Nectin-4 expressing advanced malignancies, an ongoing Phase II/III registrational trial called Duravelo-2 evaluating zelenectide pevedotin in patients with untreated and previously treated metastatic urothelial cancer and in ongoing company-sponsored Phase I/II clinical trials to assess the efficacy and safety of zelenectide</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pevedotin in patients with NECTIN4 amplified advanced breast cancer and NECTIN4 amplified advanced or metastatic non-small cell lung cancer. In March 2026, we announced the strategic reprioritization of our clinical portfolio. As a result, we plan to convert the Phase II/III Duravelo-2 registrational trial to a randomized Phase II clinical trial and deprioritize the program for internal development while we evaluate next steps for zelenectide pevedotin and we plan to discontinue the Phase I/II clinical trials evaluating zelenectide pevedotin in patients with NECTIN4 amplified advanced breast cancer and NECTIN4 amplified advanced or metastatic non-small cell lung cancer.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discovery of monoclonal antibodies enabled the development of antibody drug conjugates, or ADCs. ADCs link antibodies that target tumor-associated antigens to potent cytotoxins through a process known as conjugation. ADCs are designed to selectively and potently destroy cancer cells by combining the targeting capability of antibodies with the cancer-killing ability of cytotoxins. Despite the growing use of ADCs in treating cancer and high interest in ADC development programs, we believe there are significant challenges to ADCs. The large molecular size of the antibody impairs the penetration of ADCs into tumors. ADCs are generally required to internalize into tumor cells after binding to internalizing tumor antigens on the surface. Finally, the relatively long systemic exposure and subsequent liver clearance generally associated with ADCs result in dose-limiting toxicities as well as other toxicities, such as hematological, liver, ocular, skin and gastrointestinal toxicities, and neuropathies.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Properties of Bicycle Drug Conjugates</w:t>
      </w:r>
    </w:p>
    <w:p>
      <w:pPr>
        <w:spacing w:after="0" w:line="22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believe the properties of our BDC molecules may address the challenges associated with ADCs and therefore that our approach has the potential to offer substantial benefits, including:</w:t>
      </w:r>
    </w:p>
    <w:p>
      <w:pPr>
        <w:spacing w:after="0" w:line="158" w:lineRule="exact"/>
        <w:rPr>
          <w:sz w:val="20"/>
          <w:szCs w:val="20"/>
          <w:color w:val="auto"/>
        </w:rPr>
      </w:pPr>
    </w:p>
    <w:p>
      <w:pPr>
        <w:ind w:left="1040" w:right="159" w:hanging="315"/>
        <w:spacing w:after="0" w:line="259"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and rapid tumor penetration. </w:t>
      </w:r>
      <w:r>
        <w:rPr>
          <w:rFonts w:ascii="Times New Roman" w:cs="Times New Roman" w:eastAsia="Times New Roman" w:hAnsi="Times New Roman"/>
          <w:sz w:val="18"/>
          <w:szCs w:val="18"/>
          <w:color w:val="auto"/>
        </w:rPr>
        <w:t>Bicycle molecules have been observed in our preclinical studies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penetrate tumors more rapidly and exhibit increased penetration to poorly perfused regions of the tumor when compared to a comparator antibody. Early clinical data from an ongoing clinical trial has shown 10 times higher tumor cytotoxin levels than corresponding plasma levels based on clinical tumor biopsies taken 24 hours post-infusion.</w:t>
      </w:r>
    </w:p>
    <w:p>
      <w:pPr>
        <w:spacing w:after="0" w:line="179" w:lineRule="exact"/>
        <w:rPr>
          <w:rFonts w:ascii="Times New Roman" w:cs="Times New Roman" w:eastAsia="Times New Roman" w:hAnsi="Times New Roman"/>
          <w:sz w:val="18"/>
          <w:szCs w:val="18"/>
          <w:color w:val="auto"/>
        </w:rPr>
      </w:pPr>
    </w:p>
    <w:p>
      <w:pPr>
        <w:ind w:left="1040" w:right="379" w:hanging="315"/>
        <w:spacing w:after="0" w:line="26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Retention in tumors. </w:t>
      </w:r>
      <w:r>
        <w:rPr>
          <w:rFonts w:ascii="Times New Roman" w:cs="Times New Roman" w:eastAsia="Times New Roman" w:hAnsi="Times New Roman"/>
          <w:sz w:val="18"/>
          <w:szCs w:val="18"/>
          <w:color w:val="auto"/>
        </w:rPr>
        <w:t>In preclinical studies, following administration of a tumor antigen targeting Bicycle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molecule the toxin payload was observed to be retained in the tumor for at least 120 hours after dosing. Preliminary clinical data observed to date from our ongoing clinical trials are consistent with preclinical observations of post-dose tumor retention.</w:t>
      </w:r>
    </w:p>
    <w:p>
      <w:pPr>
        <w:spacing w:after="0" w:line="176" w:lineRule="exact"/>
        <w:rPr>
          <w:rFonts w:ascii="Times New Roman" w:cs="Times New Roman" w:eastAsia="Times New Roman" w:hAnsi="Times New Roman"/>
          <w:sz w:val="18"/>
          <w:szCs w:val="18"/>
          <w:color w:val="auto"/>
        </w:rPr>
      </w:pPr>
    </w:p>
    <w:p>
      <w:pPr>
        <w:ind w:left="1040" w:right="119" w:hanging="315"/>
        <w:spacing w:after="0" w:line="26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Short systemic half-life and renal elimination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Bicycle molecules have been observed in clinical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preclinical studies to have a short systemic half-life of approximately 20 to 30 minutes. Due to their small size, Bicycle molecules are able to exit the tissue rapidly and are excreted through the kidneys rather than the liver, which we expect will support a favorable toxicity profile.</w:t>
      </w:r>
    </w:p>
    <w:p>
      <w:pPr>
        <w:spacing w:after="0" w:line="176" w:lineRule="exact"/>
        <w:rPr>
          <w:rFonts w:ascii="Times New Roman" w:cs="Times New Roman" w:eastAsia="Times New Roman" w:hAnsi="Times New Roman"/>
          <w:sz w:val="18"/>
          <w:szCs w:val="18"/>
          <w:color w:val="auto"/>
        </w:rPr>
      </w:pPr>
    </w:p>
    <w:p>
      <w:pPr>
        <w:ind w:left="1040" w:right="239" w:hanging="315"/>
        <w:spacing w:after="0" w:line="26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requirement for internalization. </w:t>
      </w:r>
      <w:r>
        <w:rPr>
          <w:rFonts w:ascii="Times New Roman" w:cs="Times New Roman" w:eastAsia="Times New Roman" w:hAnsi="Times New Roman"/>
          <w:sz w:val="18"/>
          <w:szCs w:val="18"/>
          <w:color w:val="auto"/>
        </w:rPr>
        <w:t>Unlike ADCs, which require cellular internalization for activity, BDC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molecules do not require internalization into the cell, and therefore potentially can target a wider range of tumor antigens.</w:t>
      </w:r>
    </w:p>
    <w:p>
      <w:pPr>
        <w:spacing w:after="0" w:line="170" w:lineRule="exact"/>
        <w:rPr>
          <w:rFonts w:ascii="Times New Roman" w:cs="Times New Roman" w:eastAsia="Times New Roman" w:hAnsi="Times New Roman"/>
          <w:sz w:val="18"/>
          <w:szCs w:val="18"/>
          <w:color w:val="auto"/>
        </w:rPr>
      </w:pPr>
    </w:p>
    <w:p>
      <w:pPr>
        <w:ind w:left="1040" w:right="399" w:hanging="315"/>
        <w:spacing w:after="0" w:line="26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non-expressing tumor cells. </w:t>
      </w:r>
      <w:r>
        <w:rPr>
          <w:rFonts w:ascii="Times New Roman" w:cs="Times New Roman" w:eastAsia="Times New Roman" w:hAnsi="Times New Roman"/>
          <w:sz w:val="18"/>
          <w:szCs w:val="18"/>
          <w:color w:val="auto"/>
        </w:rPr>
        <w:t>The toxin in our BDC molecules is liberated in the extracellular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enabling cell-killing adjacent cells that do not express the specific target through a toxin bystander effect. In our preclinical studies, we observed activity for BDC molecules even in tumors that were heterogeneous for target expression.</w:t>
      </w:r>
    </w:p>
    <w:p>
      <w:pPr>
        <w:spacing w:after="0" w:line="176" w:lineRule="exact"/>
        <w:rPr>
          <w:rFonts w:ascii="Times New Roman" w:cs="Times New Roman" w:eastAsia="Times New Roman" w:hAnsi="Times New Roman"/>
          <w:sz w:val="18"/>
          <w:szCs w:val="18"/>
          <w:color w:val="auto"/>
        </w:rPr>
      </w:pPr>
    </w:p>
    <w:p>
      <w:pPr>
        <w:ind w:left="1040" w:right="379" w:hanging="315"/>
        <w:spacing w:after="0" w:line="26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Larger toxin payload. </w:t>
      </w:r>
      <w:r>
        <w:rPr>
          <w:rFonts w:ascii="Times New Roman" w:cs="Times New Roman" w:eastAsia="Times New Roman" w:hAnsi="Times New Roman"/>
          <w:sz w:val="18"/>
          <w:szCs w:val="18"/>
          <w:color w:val="auto"/>
        </w:rPr>
        <w:t>Despite the small size of Bicycle molecules, they are able to carry a larger dose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toxin per unit mass than a comparator ADC. Therefore, we believe that Bicycle molecules can deliver a higher concentration of the linked toxin to increase the probability of tumor killing.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40" w:right="279" w:hanging="315"/>
        <w:spacing w:after="0" w:line="28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w:t>
      </w:r>
      <w:r>
        <w:rPr>
          <w:rFonts w:ascii="Times New Roman" w:cs="Times New Roman" w:eastAsia="Times New Roman" w:hAnsi="Times New Roman"/>
          <w:sz w:val="18"/>
          <w:szCs w:val="18"/>
          <w:color w:val="auto"/>
        </w:rPr>
        <w:t>The fully synthetic process by which Bicycle molecules are manufactured facilitates 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consistency of manufacturing and improved formulation compared to ADCs.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order to compare the ability of a Bicycle conjugate and an antibody conjugate to penetrate a tumor, using positron emission tomography, or PET, imaging, we compared a radiolabeled Bicycle molecule to an antibody directed at the same target in a preclinical rodent study. As shown in the figure below, we observed that 15% to 20% of the injected dose per gram was detected after administration of the Bicycle molecule in the tumor at 40 to 60 minutes, with no antibody detectable in the tumor during this time. We also observed accumulation of the balance of the Bicycle molecules in the bladder and kidneys, indicating rapid renal excretion. In contrast, the antibody was detected in the vasculature.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PET Imaging Revealing Payload Delivery in a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156845</wp:posOffset>
            </wp:positionV>
            <wp:extent cx="2846070" cy="2434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In addition, in a preclinical rodent study using photoacoustic imaging, we observed that Bicycle molecules were retained in the tumor for 24 hours and at levels substantially in excess of those observed with a comparator antibody.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figure below summarizes the results of a preclinical rodent xenograft model that investigated payload concentrations over time in different organ systems after administration of a BDC molecule. In this model, we observed the toxin payload was retained in the target-expressing tumor over time but was rapidly eliminated from other tissues.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Payload Concentrations Over Time in Different Organ Systems After Administration of a BDC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156845</wp:posOffset>
            </wp:positionV>
            <wp:extent cx="4406265" cy="2023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0626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We believe these data demonstrate the potential of BDC molecules to have long-term sustained activity and to limit the toxicity associated with ADCs.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Nuzefatide pevedotin</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Nuzefatide pevedotin is a BDC molecule designed to target EphA2. The molecule is comprised of our EphA2 targeting Bicycle molecule, a valine-citrulline, or val-cit, cleavable linker and a cytotoxin MMAE payload.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Schematic of Nuzefatide Pevedotin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156845</wp:posOffset>
            </wp:positionV>
            <wp:extent cx="4303395" cy="1654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0339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EphA2 is a member of the Ephrin superfamily of receptor tyrosine kinases regulating cell migration, adhesion, proliferation and differentiation. EphA2 is expressed at relatively low levels in normal adult tissues, but is overexpressed in numerous difficult-to-treat tumors including lung, breast, bladder, head and neck, gastric, ovarian, and pancreatic cancer. In both cell-derived and patient-derived preclinical models, we observed anti-tumor activity signals following administration of our EphA2 toxin conjugates, which correlated with EphA2 expression, as determined by FACS studies.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EphA2 has been pursued by other companies utilizing antibody drug conjugates, or ADCs. Significant safety concerns, including bleeding events and liver toxicity, were observed in preclinical studies and early clinical development, which resulted in the discontinuation of development. For example, in a Phase I clinical trial of MEDI-547, an EphA2-targeting ADC, an increase in the liver enzymes ALT and AST was observed in half of the dosed patients and bleeding events were observed in five out of six patients, in each case within two to eight days following a single dose. The bleeding events observed in humans from the clinical trial were consistent with findings from the preclinical studies in other species, including primates.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believe EphA2 is an attractive target for our BDC molecules due to the potential of Bicycle molecules to overcome the safety concerns observed with ADCs. In our preclinical PK and toxicokinetic studies, we observed a short systemic half-life and volume of distribution approximately equal to extracellular fluid. We observed that the accumulation of MMAE in the tumor tissue led to mitotic arrest of tumor cells and tumor regression was evident within days of administration. Due to the shorter half-life, improved penetration into solid tumors and kidney elimination, we believe that nuzefatide pevedotin could overcome the challenges faced by ADCs.</w:t>
      </w:r>
    </w:p>
    <w:p>
      <w:pPr>
        <w:spacing w:after="0" w:line="18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Nuzefatide pevedotin was evaluated in preclinical studies in multiple species, including rodents and non-human primates. In our preclinical studies, nuzefatide pevedotin was not observed to have a significant effect on clotting parameters and did not exhibit abnormal liver function at tolerated doses. We also observed no bleeding events in primates at toxin equivalent doses over 150-fold higher than the clinical dose of an ADC with the same amino acid sequence and with the same linker-toxin combination and average drug/antibody ratio as MEDI-547 used in patients.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7"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We are currently evaluating nuzefatide pevedotin in an ongoing company-sponsored Phase I/II clinical trial to assess safety, pharmacokinetics and preliminary clinical activity in patients with advanced solid tumors historically associated with EphA2 expression. Nuzefatide pevedotin has been granted FTD for treatment of adult patients with previously treated, locally advanced or metastatic urothelial cancer.</w:t>
      </w:r>
    </w:p>
    <w:p>
      <w:pPr>
        <w:spacing w:after="0" w:line="180" w:lineRule="exact"/>
        <w:rPr>
          <w:sz w:val="20"/>
          <w:szCs w:val="20"/>
          <w:color w:val="auto"/>
        </w:rPr>
      </w:pPr>
    </w:p>
    <w:p>
      <w:pPr>
        <w:ind w:left="60" w:right="79" w:firstLine="648"/>
        <w:spacing w:after="0" w:line="228" w:lineRule="auto"/>
        <w:rPr>
          <w:sz w:val="20"/>
          <w:szCs w:val="20"/>
          <w:color w:val="auto"/>
        </w:rPr>
      </w:pPr>
      <w:r>
        <w:rPr>
          <w:rFonts w:ascii="Times New Roman" w:cs="Times New Roman" w:eastAsia="Times New Roman" w:hAnsi="Times New Roman"/>
          <w:sz w:val="18"/>
          <w:szCs w:val="18"/>
          <w:color w:val="auto"/>
        </w:rPr>
        <w:t>In September 2024, we announced updated Phase I/II clinical results for nuzefatide pevedotin in advanced solid tumors, including metastatic urothelial cancer and ovarian cancer, at the ESMO Congress 2024. Updated results from the ongoing Phase I/II clinical trial evaluating 6.5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every two weeks and 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weekly of nuzefatide pevedotin monotherapy in patients with advanced solid tumors showed an ORR of 12% among 113 efficacy-evaluable patients with advanced solid tumors. Of these, the highest anti-tumor activity was in metastatic urothelial cancer, with a 34% ORR in all efficacy-evaluable patients enrolled in the dose escalation and expansion cohorts. Among patients receiving 6.5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every two weeks, a 31% ORR was observed in the dose escalation and expansion cohort and a 45% ORR was observed in the expansion cohort only. A lower, but acceptable ORR of 27% was observed in patients receiving 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weekly. There were no objective responses observed in patients with ovarian cancer who received 5 mg/m2 weekly. However, five patients maintained stable disease at the time of data cut off. In addition, the updated results suggested a correlation between EphA2 expression and response. Among 14 patients with metastatic urothelial cancer who had available immunohistochemistry and response data, a 43% ORR was observed in EphA2-positive patients compared to a 20% ORR in EphA2-negative patients.</w:t>
      </w:r>
    </w:p>
    <w:p>
      <w:pPr>
        <w:spacing w:after="0" w:line="206"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Nuzefatide pevedotin showed an emerging differentiated safety profile, with none of the hemorrhage events or hematological toxicities that have been associated with other EphA2-targeting drug conjugates. Low rates of treatment-related peripheral neuropathy, or TRPN, were observed following monotherapy treatment with nuzefatide pevedotin. In 74 patients treated with nuzefatide pevedotin at 6.5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every two weeks, results showed TRPN in 19% of patients, nearly all of which were low grade, with no events at or above Grade 3. TRPN had completely resolved in 21% of nuzefatide pevedotin patients, and 21% had some resolution or improvement at the time of reporting, though post-treatment follow-up was limited. The median time to resolution or improvement of TRPN was 1.7 weeks for nuzefatide pevedotin.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right="159" w:firstLine="648"/>
        <w:spacing w:after="0" w:line="232" w:lineRule="auto"/>
        <w:rPr>
          <w:sz w:val="20"/>
          <w:szCs w:val="20"/>
          <w:color w:val="auto"/>
        </w:rPr>
      </w:pPr>
      <w:r>
        <w:rPr>
          <w:rFonts w:ascii="Times New Roman" w:cs="Times New Roman" w:eastAsia="Times New Roman" w:hAnsi="Times New Roman"/>
          <w:sz w:val="18"/>
          <w:szCs w:val="18"/>
          <w:color w:val="auto"/>
        </w:rPr>
        <w:t>We are currently assessing nuzefatide pevedotin at 6.5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every two weeks in combination with nivolumab and are further evaluating nuzefatide pevedotin in certain other tumor indications. We plan to present data for nuzefatide pevedotin in combination with nivolumab in patients with metastatic urothelial cancer at a scientific conference in the first half of 2026.</w:t>
      </w:r>
    </w:p>
    <w:p>
      <w:pPr>
        <w:spacing w:after="0" w:line="19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are also evaluating nuzefatide pevedotin in a company-sponsored Phase II clinical trial to evaluate the efficacy, safety and pharmacokinetics of nuzefatide pevedotin in adult patients with recurrent metastatic pancreatic ductal adenocarcinoma, which commenced recruiting patients in the first quarter of 2026. Additional information regarding this indication will be presented at a scientific conference in the first half of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Zelenectide Pevedotin</w:t>
      </w:r>
    </w:p>
    <w:p>
      <w:pPr>
        <w:spacing w:after="0" w:line="229" w:lineRule="exact"/>
        <w:rPr>
          <w:sz w:val="20"/>
          <w:szCs w:val="20"/>
          <w:color w:val="auto"/>
        </w:rPr>
      </w:pPr>
    </w:p>
    <w:p>
      <w:pPr>
        <w:jc w:val="both"/>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Zelenectide pevedotin is a BDC molecule designed to target Nectin-4, a well-validated tumor antigen. The molecule is composed of our Nectin-4 targeting </w:t>
      </w:r>
      <w:r>
        <w:rPr>
          <w:rFonts w:ascii="Times New Roman" w:cs="Times New Roman" w:eastAsia="Times New Roman" w:hAnsi="Times New Roman"/>
          <w:sz w:val="18"/>
          <w:szCs w:val="18"/>
          <w:i w:val="1"/>
          <w:iCs w:val="1"/>
          <w:color w:val="auto"/>
        </w:rPr>
        <w:t>Bicycle</w:t>
      </w:r>
      <w:r>
        <w:rPr>
          <w:rFonts w:ascii="Times New Roman" w:cs="Times New Roman" w:eastAsia="Times New Roman" w:hAnsi="Times New Roman"/>
          <w:sz w:val="18"/>
          <w:szCs w:val="18"/>
          <w:color w:val="auto"/>
        </w:rPr>
        <w:t xml:space="preserve"> molecule, a val-cit cleavable linker, and a cytotoxin MMAE payload.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Schematic of Zelenectide Pevedotin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156845</wp:posOffset>
            </wp:positionV>
            <wp:extent cx="3891915" cy="140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9191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Nectin-4 (also known as PVRL4) is a cell adhesion molecule from the Nectin and Nectin-like family, members of which are integral to the formation of the homotypic and heterotypic cell junctions. Nectin-4 has been shown to be overexpressed in tumor cells and is believed to play a role in tumor cell growth and proliferation. High in normal embryonic and fetal tissue, Nectin-4 declines in adulthood, showing a limited distribution in healthy tissues. However, Nectin-4 is expressed on tumor cells in numerous cancer types including bladder, breast, gastric, lung and ovarian.</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December 2019, the U.S. Food and Drug Administration, or the FDA, granted accelerated approval to enfortumab vedotin, a Nectin-4 ADC program developed jointly by Pfizer Inc. (formerly Seagen, Inc., or Seagen, acquired by Pfizer in December 2023) and Astellas Pharma, Inc., or Astellas, for treatment of locally advanced or metastatic urothelial cancer in patients who had received prior PD-1/PD-L1 and platinum-based therapies. In July 2021, enfortumab vedotin received full approval in this setting as well as a label expansion for patients ineligible to receive cisplatin-containing therapy who received prior lines of therapy. Subsequently, enfortumab vedotin in combination with pembrolizumab has been approved in the locally advanced or metastatic setting for cisplatin-ineligible patients in April 2023 and all locally advanced or metastatic patients in December 2023. The most recent approval for this combination came in December 2025 for neoadjuvant treatment followed by continued adjuvant therapy after cystectomy for patients with muscle-invasive bladder cancer, or MIBC, who are ineligible for cisplatin-based chemotherapy. Starting in 2022, enfortumab vedotin, alone or in combination with pembrolizumab, has received similar approvals/incorporation into clinical consensus guidelines for indications in the locally advanced and metastatic settings in major markets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Zelenectide pevedotin, a BDC molecule targeting Nectin-4, is being evaluated in an ongoing company-sponsored Phase I/II clinical trial to assess the safety, pharmacokinetics and clinical activity in patients with Nectin-4 expressing advanced malignancies, an ongoing Phase II/III registrational trial called Duravelo-2 (which we plan to convert to a randomized Phase II trial) evaluating zelenectide pevedotin in patients with untreated and previously treated metastatic urothelial cancer and in ongoing company-sponsored Phase I/II clinical trials to assess the efficacy and safety of zelenectide pevedotin in patients with NECTIN4 amplified advanced breast cancer and NECTIN4 amplified advanced or metastatic non-small cell lung cancer, which commenced recruiting patients in the first and third quarters of 2025, respectively. Zelenectide pevedotin has been granted FTD by the FDA as a monotherapy for the treatment of adult patients with previously treated, locally advanced or metastatic urothelial cancer. Zelenectide pevedotin has also been selected to participate in the Chemistry, Manufacturing and Controls, or CMC, Development and Readiness Pilot Program launched by the FDA to facilitate CMC development for therapies with expedited clinical development timeframes based on the anticipated clinical benefits of earlier patient access to the therapy.</w:t>
      </w:r>
    </w:p>
    <w:p>
      <w:pPr>
        <w:spacing w:after="0" w:line="190" w:lineRule="exact"/>
        <w:rPr>
          <w:sz w:val="20"/>
          <w:szCs w:val="20"/>
          <w:color w:val="auto"/>
        </w:rPr>
      </w:pPr>
    </w:p>
    <w:p>
      <w:pPr>
        <w:ind w:left="60" w:right="99" w:firstLine="648"/>
        <w:spacing w:after="0" w:line="260" w:lineRule="auto"/>
        <w:rPr>
          <w:sz w:val="20"/>
          <w:szCs w:val="20"/>
          <w:color w:val="auto"/>
        </w:rPr>
      </w:pPr>
      <w:r>
        <w:rPr>
          <w:rFonts w:ascii="Times New Roman" w:cs="Times New Roman" w:eastAsia="Times New Roman" w:hAnsi="Times New Roman"/>
          <w:sz w:val="17"/>
          <w:szCs w:val="17"/>
          <w:color w:val="auto"/>
        </w:rPr>
        <w:t>In September 2024, we announced updated Phase I/II clinical results for zelenectide pevedotin used as a monotherapy in metastatic urothelial cancer at the European Society for Medical Oncology, or ESMO, Congress 2024. In the ongoing Phase I/II clinical trial evaluating 5 mg/m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weekly of zelenectide pevedotin monotherapy in 45 metastatic urothelial cancer patients who had not previously been treated with enfortumab vedotin, updated results showed an overall response rate, or ORR, of 45% in 38 efficacy-evaluable patients, including one confirmed complete response and 16 partial responses with 13 confirmed. Stable disease was maintained in nine patients, and 12 patients experienced progressive disease. In addition, updated results showed a median duration of response of 11.1 months among the 14 patients with confirmed responses. Zelenectide pevedotin continued to show an emerging differentiated safety profile, particularly around adverse events of interest such as peripheral neuropathy, skin reactions and eye disorders. Notably, there were no treatment-related adverse events of peripheral neuropathy, skin reactions or eye disorders at or above Grade 3, and patients with pre-existing peripheral neuropathy were unlikely to develop worsening peripheral neuropathy during treatment with zelenectide pevedotin. In addition, low rates of TRPN were observed following monotherapy treatment with zelenectide pevedotin. In 149 patients treated with zelenectide pevedotin, results showed TRPN in 28% of patients, nearly all of which were low grade. One Grade 3 event of neuralgia was reported in a patient treated with zelenectide pevedotin following prior therapy with enfortumab vedotin. Among zelenectide pevedotin patients with peripheral neuropathy at baseline, 80% did not develop TRPN during treatment. TRPN had completely resolved in 14% of zelenectide pevedotin patients and 26% had some resolution or improvement at the time of reporting, though post-treatment follow-up was limited. The median time to resolution or improvement of TRPN was 2.2 weeks for zelenectide pevedotin.</w:t>
      </w:r>
    </w:p>
    <w:p>
      <w:pPr>
        <w:spacing w:after="0" w:line="396"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In January 2025, we also announced updated topline results from the ongoing Phase I trial evaluating 5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weekly of zelenectide pevedotin plus 200 mg of pembrolizumab once every three weeks. In 22 previously untreated cisplatin-ineligible patients with metastatic urothelial cancer, results showed an ORR of 65% among all 20 efficacy-evaluable patients, and an ORR of 50% among patients with confirmed responses. Of the three unconfirmed responses, one patient remained on treatment. At the time of the data cut, the median duration of response was not yet mature, with 12 patients still on treatment. The safety and tolerability profile continues to be broadly consistent with other Phase I zelenectide pevedotin monotherapy and combination cohorts. Adverse events of interest such as peripheral neuropathy, skin reactions and eye disorders were primarily low grade. All cases of Grade 3 treatment-related adverse events of interest were reversible, and there were no Grade 4 or Grade 5 treatment-related adverse events of interest.</w:t>
      </w:r>
    </w:p>
    <w:p>
      <w:pPr>
        <w:spacing w:after="0" w:line="197" w:lineRule="exact"/>
        <w:rPr>
          <w:sz w:val="20"/>
          <w:szCs w:val="20"/>
          <w:color w:val="auto"/>
        </w:rPr>
      </w:pPr>
    </w:p>
    <w:p>
      <w:pPr>
        <w:ind w:left="60" w:right="199" w:firstLine="648"/>
        <w:spacing w:after="0" w:line="289" w:lineRule="auto"/>
        <w:rPr>
          <w:sz w:val="20"/>
          <w:szCs w:val="20"/>
          <w:color w:val="auto"/>
        </w:rPr>
      </w:pPr>
      <w:r>
        <w:rPr>
          <w:rFonts w:ascii="Times New Roman" w:cs="Times New Roman" w:eastAsia="Times New Roman" w:hAnsi="Times New Roman"/>
          <w:sz w:val="17"/>
          <w:szCs w:val="17"/>
          <w:color w:val="auto"/>
        </w:rPr>
        <w:t>We plan to present longer-term follow-up data for zelenectide pevedotin used as a monotherapy in late-line metastatic urothelial cancer and additional data for zelenectide pevedotin in combination with pembrolizumab in first-line cisplatin-ineligible and cisplatin-eligible metastatic urothelial cancer at a scientific conference in the first half of 2026.</w:t>
      </w:r>
    </w:p>
    <w:p>
      <w:pPr>
        <w:spacing w:after="0" w:line="15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Phase II/III Duravelo-2 clinical trial are promising, we plan to convert the Phase II/III Duravelo-2 registrational trial to a randomized Phase II clinical trial and deprioritize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program for internal development while we evaluate next steps for zelenectide pevedotin following preliminary feedback from regulatory agencies. Initial dose selection data from the Phase II/III Duravelo-2 clinical trial demonstrate response rates comparable with those published for existing standards of care, with a physician assessed ORR of 65%, a blinded independent central review, or BICR, confirmed ORR of 58% at the 27-week cutoff and a differentiated safety profile. Subsequent to the 27-week cutoff, an additional BICR response was observed, which would result in an ORR of 62%. The 6mg dose demonstrated a differentiated safety profile with only one patient discontinuing therapy due to a treatment-related adverse event at the 27-week cutoff. We plan to report initial dose selection data from the Duravelo-2 trial at a future scientific conference.</w:t>
      </w:r>
    </w:p>
    <w:p>
      <w:pPr>
        <w:spacing w:after="0" w:line="19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In addition, as part of the strategic reprioritization, we plan to discontinue the Phase I/II clinical trials evaluating zelenectide pevedotin in patients with NECTIN4 amplified advanced breast cancer and NECTIN4 amplified advanced or metastatic non-small cell lung cancer. Further enrollment in these trials will be closed and patients already enrolled will complete their course of treatment.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Bicycle Radioligands Pipeline</w:t>
      </w:r>
    </w:p>
    <w:p>
      <w:pPr>
        <w:spacing w:after="0" w:line="229" w:lineRule="exact"/>
        <w:rPr>
          <w:sz w:val="20"/>
          <w:szCs w:val="20"/>
          <w:color w:val="auto"/>
        </w:rPr>
      </w:pPr>
    </w:p>
    <w:p>
      <w:pPr>
        <w:ind w:left="60" w:right="139" w:firstLine="648"/>
        <w:spacing w:after="0" w:line="270" w:lineRule="auto"/>
        <w:rPr>
          <w:sz w:val="20"/>
          <w:szCs w:val="20"/>
          <w:color w:val="auto"/>
        </w:rPr>
      </w:pPr>
      <w:r>
        <w:rPr>
          <w:rFonts w:ascii="Times New Roman" w:cs="Times New Roman" w:eastAsia="Times New Roman" w:hAnsi="Times New Roman"/>
          <w:sz w:val="17"/>
          <w:szCs w:val="17"/>
          <w:color w:val="auto"/>
        </w:rPr>
        <w:t>Radiopharmaceuticals are therapies that contain radioisotopes and are used in nuclear medicine for the diagnosis and treatment of diseases, particularly cancer. They consist of radioactive isotope (radionuclide) combined with a pharmaceutical agent that targets specific organs or tissues. These agents are used for molecular imaging (PET/SPECT) or targeted therapy to destroy cancer cells. To create radiopharmaceuticals, radiation emitting medical isotopes are typically attached through chelation to targeting molecules, which are then administered via intravenous injection. Once administered, the radiopharmaceuticals are designed to target tumor antigens that are unique to, or preferentially expressed on, cancer cells. We believe the same advantages of Bicycle molecules for selectively delivering cytotoxic payloads are also advantageous for delivering a range of diverse radionuclide payloads. We are developing both BRC molecules for theranostic use as well as BIA molecules which we are using to potentially derisk novel targets prior to further clinical development and to efficiently triage cancer indications for subsequent treatment with both BRC and BDC molecules.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Schematic of Proposed Bicycle Radioligand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156845</wp:posOffset>
            </wp:positionV>
            <wp:extent cx="4149090" cy="127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4909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Bicycle molecules have ideal properties for radioisotope delivery due to their low molecular weight lending to rapid extravasation and tumor penetration, high selectivity and high affinity for their intended target, sustained tumor retention and rapid systemic clearance. Our strategy for radiopharmaceuticals involves (i) partnering with industry and academic leaders in the radiopharmaceutical field to build our understanding and deepen our knowledge base, (ii) pursuing novel targets with first-in-class potential by using BIA molecules to potentially derisk targets through human imaging and to direct indication selection for subsequent treatment with both BRC and BDC molecules and (iii) studying our BRC and BIA molecules with a range of isotopes to pair the most appropriate with the application, target biology and indication.</w:t>
      </w:r>
    </w:p>
    <w:p>
      <w:pPr>
        <w:spacing w:after="0" w:line="171"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Manufacturing challenges and ensuring supply chain continuity and reliability have historically hindered the development and commercialization of radiopharmaceuticals. To overcome these challenges, we have established arrangements with leading isotope suppliers and manufacturers for a potentially world-leading end-to-end and sustainable radioisotope supply chain. For instance, we have established an agreement with Eckert &amp; Ziegler, a leading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12" w:lineRule="auto"/>
        <w:rPr>
          <w:sz w:val="20"/>
          <w:szCs w:val="20"/>
          <w:color w:val="auto"/>
        </w:rPr>
      </w:pPr>
      <w:r>
        <w:rPr>
          <w:rFonts w:ascii="Times New Roman" w:cs="Times New Roman" w:eastAsia="Times New Roman" w:hAnsi="Times New Roman"/>
          <w:sz w:val="18"/>
          <w:szCs w:val="18"/>
          <w:color w:val="auto"/>
        </w:rPr>
        <w:t xml:space="preserve">isotope technology company, to supply a range of radioisotopes and develop and manufacture BRC and BIA molecules. In addition, in December 2025, we announced our entrance into a 15-year contract, including an option to renew, with the UK Nuclear Decommissioning Authority, or UKNDA, for access to up to 400 tonnes of reprocessed uranium. Reprocessed uranium continually regenerates providing a potentially sustainable supply of lead-212, or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a radioisotope and one of the more potent therapeutic payloads against cancer cells known as Targeted Alpha Therapy. We also announced a collaboration with United Kingdom National Nuclear Laboratory, or UKNNL, pursuant to which we plan to extract thorium-228, or </w:t>
      </w:r>
      <w:r>
        <w:rPr>
          <w:rFonts w:ascii="Times New Roman" w:cs="Times New Roman" w:eastAsia="Times New Roman" w:hAnsi="Times New Roman"/>
          <w:sz w:val="26"/>
          <w:szCs w:val="26"/>
          <w:color w:val="auto"/>
          <w:vertAlign w:val="superscript"/>
        </w:rPr>
        <w:t>228</w:t>
      </w:r>
      <w:r>
        <w:rPr>
          <w:rFonts w:ascii="Times New Roman" w:cs="Times New Roman" w:eastAsia="Times New Roman" w:hAnsi="Times New Roman"/>
          <w:sz w:val="18"/>
          <w:szCs w:val="18"/>
          <w:color w:val="auto"/>
        </w:rPr>
        <w:t xml:space="preserve">Th, from the reprocessed uranium obtained from UKNDA. The extracted </w:t>
      </w:r>
      <w:r>
        <w:rPr>
          <w:rFonts w:ascii="Times New Roman" w:cs="Times New Roman" w:eastAsia="Times New Roman" w:hAnsi="Times New Roman"/>
          <w:sz w:val="26"/>
          <w:szCs w:val="26"/>
          <w:color w:val="auto"/>
          <w:vertAlign w:val="superscript"/>
        </w:rPr>
        <w:t>228</w:t>
      </w:r>
      <w:r>
        <w:rPr>
          <w:rFonts w:ascii="Times New Roman" w:cs="Times New Roman" w:eastAsia="Times New Roman" w:hAnsi="Times New Roman"/>
          <w:sz w:val="18"/>
          <w:szCs w:val="18"/>
          <w:color w:val="auto"/>
        </w:rPr>
        <w:t xml:space="preserve">Th will then be further processed into radium-224, or </w:t>
      </w:r>
      <w:r>
        <w:rPr>
          <w:rFonts w:ascii="Times New Roman" w:cs="Times New Roman" w:eastAsia="Times New Roman" w:hAnsi="Times New Roman"/>
          <w:sz w:val="26"/>
          <w:szCs w:val="26"/>
          <w:color w:val="auto"/>
          <w:vertAlign w:val="superscript"/>
        </w:rPr>
        <w:t>224</w:t>
      </w:r>
      <w:r>
        <w:rPr>
          <w:rFonts w:ascii="Times New Roman" w:cs="Times New Roman" w:eastAsia="Times New Roman" w:hAnsi="Times New Roman"/>
          <w:sz w:val="18"/>
          <w:szCs w:val="18"/>
          <w:color w:val="auto"/>
        </w:rPr>
        <w:t xml:space="preserve">Ra, and loaded into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generators currently being developed exclusively for us by SpectronRx, with whom we have an agreement to develop bespoke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generators, with initial quantities of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successfully produced. Collectively, we believe this bespoke set of arrangements is designed to support the potential discovery, development and commercial supply of a portfolio of BRC molecules containing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w:t>
      </w:r>
    </w:p>
    <w:p>
      <w:pPr>
        <w:spacing w:after="0" w:line="93"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a pipeline of novel Bicycle molecules with properties which we have optimized using our proprietary approach for radioisotope delivery. In October 2024, first human imaging data for a BIA molecule targeting MT1-MMP, which was not optimized to minimize kidney retention, was presented by the German Cancer Consortium, or DKTK, part of a cooperative network with DKFZ, at the European Association for Nuclear Medicine, or EANM, 2024 Congress and in April 2025, DKTK presented additional human imaging data at the American Association for Cancer Research, or AACR, Annual Meeting 2025. The images presented were of a 65-year old male diagnosed with advanced pulmonary adenocarcinoma, the most common type of non-small cell lung cancer, and an 84-year old female diagnosed with invasive ductal breast cancer and high-grade urothelial cancer.</w:t>
      </w:r>
    </w:p>
    <w:p>
      <w:pPr>
        <w:spacing w:after="0" w:line="19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65-year old male patient with advanced pulmonary adenocarcinoma underwent fluorine-18-labelled FDG-PET/CT imaging and two weeks later underwent MT1-MMP PET/CT imaging up to one hour post injection of the gallium-68-labelled BIA tracer.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123190</wp:posOffset>
            </wp:positionV>
            <wp:extent cx="4869180" cy="1346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6918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MT1-MMP gallium-68 scan demonstrated uptake in the primary tumor in the lung and in the lymph node and other metastases, corroborating the findings of the FDG scan. While the MT1-MMP gallium-68 scan demonstrated lower uptake in the primary tumor compared to the FDG imaging (maximum standardized uptake value, or SUVmax, 6.0 g/mL vs. 10.3 g/mL), MT1-MMP gallium-68 uptake was comparable in lymph node metastases (SUVmax 4.7 g/mL vs. 4.4 g/mL) and higher in bone metastases (SUVmax 7.9 g/mL vs. 6.0 g/mL).</w:t>
      </w:r>
    </w:p>
    <w:p>
      <w:pPr>
        <w:spacing w:after="0" w:line="183"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84-year old female patient with invasive ductal breast cancer and high-grade urothelial cancer underwent contrast-enhanced CT imaging and later underwent MT1-MMP gallium-68 PET/CT imaging up to one hour post injection of the gallium-68-labelled BIA tracer.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420370</wp:posOffset>
            </wp:positionV>
            <wp:extent cx="3103245" cy="1491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0324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MT1-MMP gallium-68 scan revealed higher BIA tracer uptake in the primary tumors in the breast (SUVmax 4.5 g/mL) and the bladder (SUVmax 6.6 g/mL) compared to contrast-enhanced CT imaging. The MT1-MMP scan also showed cancer spread to the lymph nodes, lower spine (sacral bone) and skull, and detected a mass in the adrenal gland above the left kidney. Surgery confirmed the patient had bladder cancer that spread to the lymph nodes, and immunohistochemistry testing confirmed MT1-MMP expression in the tumor cells.</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These data are representative of the results seen in 12 out of 14 patients with various cancers, including those affecting the lung, head and neck, and bladder, who have undergone MT1-MMP gallium-68 PET imaging to date. Imaging was unsuccessful or inconclusive in two patients. Overall, the results demonstrate the rapid distribution of the BIA tracer throughout the body, high uptake of the BIA tracer in the primary tumor(s) and/or in metastases where the cancer spread in the body, and elimination through the kidneys. Scans showing retention in the kidneys were in line with expectations given the imaging was conducted using a pathfinder BIA molecule which had not been optimized to minimize kidney retention. Additional and more detailed analyses of the data and confirmation of MT1-MMP expression in tumors via immunohistochemistry are ongoing.</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at the EANM 2024 Congress, we presented preclinical data demonstrating the suitability of Bicycle molecules to deliver indium-111 to tumors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due to their favorable properties, including specific tumor uptake, rapid tumor penetration and rapid renal elimination. Preclinical imaging showed how the biodistribution profile of BRC molecules can be optimized to maintain high tumor uptake and retention while significantly reducing kidney uptake and retention.</w:t>
      </w:r>
    </w:p>
    <w:p>
      <w:pPr>
        <w:spacing w:after="0" w:line="183"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Altogether, we believe these data validate the potential of MT1-MMP as a novel target in the treatment of cancer, demonstrate the translatability of Bicycle radioligand preclinical data and highlight the potential of Bicycle molecules for targeted radionuclide therapy.</w:t>
      </w:r>
    </w:p>
    <w:p>
      <w:pPr>
        <w:spacing w:after="0" w:line="17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Outside of MT1-MMP, we have selected a novel tumor antigen EphA2 as our second Bicycle radioligand target. In November 2025, we presented first human imaging data for an early BIA molecule targeting EphA2 at the Targeted Radiopharmaceuticals Summit Europe, supporting the potential of EphA2 as a novel cancer target and further demonstrating the attractive properties of Bicycle molecules for radiopharmaceutical applications. We plan to present additional EphA2 human imaging data in the first half of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BT1702</w:t>
      </w:r>
    </w:p>
    <w:p>
      <w:pPr>
        <w:spacing w:after="0" w:line="221" w:lineRule="exact"/>
        <w:rPr>
          <w:sz w:val="20"/>
          <w:szCs w:val="20"/>
          <w:color w:val="auto"/>
        </w:rPr>
      </w:pPr>
    </w:p>
    <w:p>
      <w:pPr>
        <w:ind w:left="60" w:right="99" w:firstLine="648"/>
        <w:spacing w:after="0" w:line="232" w:lineRule="auto"/>
        <w:rPr>
          <w:sz w:val="20"/>
          <w:szCs w:val="20"/>
          <w:color w:val="auto"/>
        </w:rPr>
      </w:pPr>
      <w:r>
        <w:rPr>
          <w:rFonts w:ascii="Times New Roman" w:cs="Times New Roman" w:eastAsia="Times New Roman" w:hAnsi="Times New Roman"/>
          <w:sz w:val="18"/>
          <w:szCs w:val="18"/>
          <w:color w:val="auto"/>
        </w:rPr>
        <w:t xml:space="preserve">BT1702 is a theranostic BRC molecule targeting MT1-MMP and carries a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therapeutic payload. In preclinical models, BT1702 showed a favorable biodistribution profile and was effective at reducing tumor burden in a range of model systems. IND-enabling activities for BT1702 are currently ongoing. We plan to initiate the first company-sponsored radioligand clinical trial for BT1702 in 2027.</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Bicycle Tumor-Targeted Immune Cell Agonists</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Approaches that activate cytotoxic T-cells and other types of cells used in a body’s immune response have been observed to improve outcomes in cancer. However, prolonged immune activation can be toxic and lead to T-cell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exhaustion, which is a challenge amplified by the long half-life of antibodies and biologics that are often used in these treatment approaches. We believe the differentiated properties of Bicycle molecules may allow us to develop molecules with a pharmacodynamically distinct and improved profile over existing therapies.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BT7480</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BT7480, a Bicycle TICA molecule targeting Nectin-4 and agonizing CD137, is being evaluated as a monotherapy and in combination with nivolumab in a company-sponsored Phase I/II clinical trial to assess the safety and tolerability of BT7480, and to determine a recommended Phase II dose</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September 2024, we announced updated Phase I/II clinical trial results for BT7480 in advanced solid tumors at the ESMO Congress 2024. Initial data from the dose escalation portion of the Phase I/II clinical trial evaluating BT7480 in patients with advanced solid tumors showed an emerging differentiated safety and tolerability profile among 39 patients assigned to receive one of 10 different doses of BT7480, ranging from 0.002-3.5 mg/kg weekly, with a low number of severe adverse events. Low rates of adverse events at or above Grade 3 were observed, with 8% of patients experiencing treatment-related adverse events at or above Grade 3 and 5% of patients experiencing treatment-related severe adverse events at or above Grade 3. No such events were observed among those patients receiving the highest dose of 3.5 mg/kg. The best overall response observed was stable disease in 13 patients, five of whom had non-small cell lung cancer. Stable disease was prolonged in three patients, two with non-small cell lung cancer and one with anal cancer. In addition, there were two unconfirmed partial responses, both in patients with cervical cancer. Preliminary biomarker analyses that support BT7480 dual targeting of CD137 and Nectin-4 as demonstrated by enhanced immune cell activation, aligned with the proposed mechanism of action of BT7480.</w:t>
      </w:r>
    </w:p>
    <w:p>
      <w:pPr>
        <w:spacing w:after="0" w:line="19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We plan to present data from the combination cohort at a scientific conference in the first half of 2026. After reporting combination data in the first half of 2026, we will no longer develop BT7480 internally and intend to explore partnership opportunities for future development.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Beyond our wholly owned oncology portfolio, we are collaborating with biopharmaceutical companies and organizations in additional therapeutic areas in which we believe our proprietary Bicycle screening platform can identify therapies to treat diseases with significant unmet medical need by leveraging the broad applicability of Bicycle molecules. Our strategic collaborations are based on the ability of Bicycle molecules to address a wide variety of targets and we are working with collaborators with deep therapeutic expertise to enable us to more efficiently develop novel medicines for patients. For additional information on these collaboration agreements, see Note 9. “Significant agreements” of our consolidated financial statements appearing elsewhere in this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May 4, 2023, we entered into a collaboration and license agreement with Bayer Consumer Care AG, or Bayer, pursuant to which we and Bayer will perform research and discovery activities under a mutually agreed upon research plan during a research term up to a specified number of years per target program to generate radiopharmaceutical compounds incorporating optimized Bicycle constructs directed to two specified targets, under the oversight of a joint research committee. In addition, Bayer has a one-time right to expand the collaboration to include a third target program, and with respect to each of the up to three target programs, Bayer has an option, exercisable within a specified period of time following the effective date of the agreement, to generate, develop and commercialize non-radiopharmaceutical compounds directed to the applicable target, either by itself or in collaboration with us. Bayer also has certain limited target substitution rights, in certain cases subject to specified additional payments. For each collaboration program, Bayer may elect, at its sole discretion, to progress compounds arising from activities under the research programs into further preclinical development of potential products directed to the target of such collaboration program. On a target-by-target basis, if Bayer elects to progress development candidates directed to such target into further clinical development, Bayer will be required to use commercially reasonable efforts to develop and seek regulatory approval in certain major markets for products directed to the applicable target. In November 2025, Bayer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provided the Company with a notice of termination for one of the initial target programs, with such termination to be effective in January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Ionis</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On July 9, 2021, we and Ionis entered into a collaboration and license agreement, or the Ionis Collaboration Agreement. Pursuant to the Ionis Collaboration Agreement, we granted to Ionis a worldwide exclusive license under our relevant technology to research, develop, manufacture and commercialize products incorporating Bicycle peptides directed to the protein coded by the gene TFRC1 (transferrin receptor), or TfR1 Bicycle molecules, intended for the delivery of oligonucleotide compounds directed to targets selected by Ionis for diagnostic, therapeutic, prophylactic and preventative uses in humans. Ionis will maintain exclusivity to all available targets unless it fails to achieve specified development diligence milestone deadlines. If Ionis fails to achieve one or more development diligence milestone deadlines, we have the right to limit exclusivity to certain specific collaboration targets, subject to the payment by Ionis of a low-single-digit million dollar amount per target as specified in the Ionis Collaboration Agreement. Each party was responsible for optimization of such TfR1 Bicycle molecules and other research and discovery activities related to TfR1 Bicycle molecules, as specified by a research plan which was completed during 2024, and thereafter Ionis is responsible for all future research, development, manufacture and commercialization activities. We performed research and discovery activities including a baseline level of effort for a period of three years. We have retained certain rights, including the right to use TfR1 Bicycle molecules for all non-oligonucleotide therapeutic purposes. In December 2025, ION826 (AZD4063), an investigational medicine incorporating a TfR1 Bicycle molecule under the Ionis Collaboration Agreement, entered Phase I development. ION826 is an investigational siRNA medicine in development for a serious form of myocardial disease called PLN-R14del dilated cardiomyopathy.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the development of our business, including our Bicycle platform. This includes seeking, maintaining, and defending patent rights, whether developed internally or licensed from third parties, which are directed to the use of our Bicycle platform, composition of matter of bicyclic peptides identified through use of the platform and further chemical optimization, conjugates comprising such bicyclic peptides, methods of using our product candidates, and other inventions that are important to our business.</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also rely on trade secrets and know-how that may be important for the development of our business. This includes aspects of our proprietary technology platform and our continuing technological innovation to develop, maintain, and strengthen our position in the field of peptide, peptidomimetic, and small molecule-based therapeutics. We additionally may rely on regulatory protection afforded through data exclusivity, market exclusivity and patent term extensions where available.</w:t>
      </w:r>
    </w:p>
    <w:p>
      <w:pPr>
        <w:spacing w:after="0" w:line="183" w:lineRule="exact"/>
        <w:rPr>
          <w:sz w:val="20"/>
          <w:szCs w:val="20"/>
          <w:color w:val="auto"/>
        </w:rPr>
      </w:pPr>
    </w:p>
    <w:p>
      <w:pPr>
        <w:jc w:val="both"/>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our product candidates, technology and know-how, defend and enforce our patents; prevent others from infringing our proprietary rights, preserve the confidentiality of our trade secrets, and to operate without infringing the proprietary rights of others.</w:t>
      </w:r>
    </w:p>
    <w:p>
      <w:pPr>
        <w:spacing w:after="0" w:line="18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For more information, please see “Risk Factors—Risks Related to Our Intellectual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caused by the United States Patent and Trademark Office, or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9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own various trademark registrations and applications, and unregistered trademarks, including our name and our corporate logo. All other trade names, trademarks and service marks of other companies appearing in this report are the property of their respective holders. Solely for convenience, the trademarks and trade names in this report may be referred to without the ®, ™ or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Company-Owned Intellectual Property</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our patent portfolio included eight patent families directed to novel scaffolds, linkers and payloads, eight patent families directed to our platform technology, 42 patent families directed to bicyclic peptides and related conjugates, and 16 patent families directed to later inventions relating to such bicyclic peptides and related conjugates, such as methods of making or using certain bicyclic peptide conjugates for treating various indications.</w:t>
      </w:r>
    </w:p>
    <w:p>
      <w:pPr>
        <w:spacing w:after="0" w:line="180"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We own at least eight patent families relating to our product candidate nuzefatide pevedotin, including patent families directed to its composition of matter, methods of use for treating cancer and methods of identifying patients suitable to receive nuzefatide pevedotin. The issued patents in these families, and the pending patent applications if issued, are expected to expire between 2038 and 2044, not including any patent term extensions and/or patent term adjustments.</w:t>
      </w:r>
    </w:p>
    <w:p>
      <w:pPr>
        <w:spacing w:after="0" w:line="16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own at least 12 patent families relating to our product candidate zelenectide pevedotin, including patent families directed to its composition of matter, methods of use for treating cancer, synthetic routes to zelenectide pevedotin and methods of identifying patients suitable to receive zelenectide pevedotin. The issued patents in these families, and the pending patent applications if issued, are expected to expire between 2039 and 2045, not including any patent term extensions and/or patent term adjustments.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own at least 10 patent families relating to our product candidate BT7480, including patent families directed to its composition of matter and the composition of matter of its constituent bicyclic peptides, methods of use for treating cancer, combinations with other active agents, and the methods of identifying patients suitable to receive BT7480. The issued patents from these families, and the pending patent applications, if issued, are expected to expire between 2038 and 2044, not including any patent term extensions and/or patent term adjustments.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total, as of December 31, 2025, we owned about 536 patents in the United States and in foreign jurisdictions, such as Australia, Canada, China, Europe, Hong Kong, Japan, New Zealand, Russia and Singapore. In addition, as of December 31, 2025, we had about 412 patent applications pending in the United States and in foreign jurisdictions, such as Argentina, Australia, Brazil, Canada, China, Europe, Hong Kong, India, Japan, Korea, New Zealand, Russia, Singapore and Taiwan, as well as pending international applications under the Patent Cooperation Treaty, or PCT. These patents, as well as any patents that may be issued from these patent applications, are generally expected to have terms that will expire at various dates between February 2029 and August 2045, not including any patent term extensions and/or patent term adjustments.</w:t>
      </w:r>
    </w:p>
    <w:p>
      <w:pPr>
        <w:spacing w:after="0" w:line="19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 total, as of December 31, 2025, we owned 138 trademark registrations across 10 territories (United Kingdom, European Union, United States, Japan, Hong Kong, Australia, China, Israel, Switzerland and Norway), as well as a number of pending applications for new trademarks.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Secret Protection</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Finally, we may rely, in some circumstances, on trade secrets to protect our technology. We anticipate relying on trade secrets to protect the know-how behind our Bicycle platform. However, trade secrets can be difficult to protect. We seek to protect our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further information, please see “Risk Factors — Risks Related to Our Intellectual Property.”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There are a number of currently marketed products and product candidates in preclinical research and clinical development by third parties for the various oncology applications that we are targeting. For example, a number of companies are developing programs for the targets, including Nectin-4 and EphA2, that we are exploring for our BDC programs, including, but not limited to, Pfizer Inc. (formerly Seagen, acquired by Pfizer Inc. in December 2023) which has a marketed Nectin-4 antibody-drug conjugate, Eli Lilly and Company, Mabwell Therapeutics, Inc., Tianjin Conjustar Biologics Co., Ltd. and Stemline Therapeutics. Furthermore, many companies are developing programs for radiopharmaceutical therapies. In addition, we are aware that technologies for drug discovery, including peptide-based medicines, continue to advance rapidly, which may compete with our own screening technology or render it obsolete.</w:t>
      </w:r>
    </w:p>
    <w:p>
      <w:pPr>
        <w:spacing w:after="0" w:line="192" w:lineRule="exact"/>
        <w:rPr>
          <w:sz w:val="20"/>
          <w:szCs w:val="20"/>
          <w:color w:val="auto"/>
        </w:rPr>
      </w:pPr>
    </w:p>
    <w:p>
      <w:pPr>
        <w:ind w:left="60" w:right="639" w:firstLine="648"/>
        <w:spacing w:after="0" w:line="312" w:lineRule="auto"/>
        <w:rPr>
          <w:sz w:val="20"/>
          <w:szCs w:val="20"/>
          <w:color w:val="auto"/>
        </w:rPr>
      </w:pPr>
      <w:r>
        <w:rPr>
          <w:rFonts w:ascii="Times New Roman" w:cs="Times New Roman" w:eastAsia="Times New Roman" w:hAnsi="Times New Roman"/>
          <w:sz w:val="17"/>
          <w:szCs w:val="17"/>
          <w:color w:val="auto"/>
        </w:rPr>
        <w:t>Many of our competitors, either alone or with their strategic partners, have substantially greater financial, technical and human resources than we do and significantly greater experience in the discovery and development of</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product candidates, obtaining FDA and other regulatory approvals of products and the commercialization of those products. Accordingly, our competitors may be more successful than we may be in discovering product candidates, obtaining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We anticipate that we will face intense and increasing competition as new drugs enter the market and advanced technologies become available.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Subject to receiving marketing approval, we intend to pursue the commercialization of our product candidates either by building internal sales and marketing capabilities or through opportunistic collaborations with others.</w:t>
      </w:r>
    </w:p>
    <w:p>
      <w:pPr>
        <w:spacing w:after="0" w:line="14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plan to build our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Each of our Bicycle molecules is entirely synthetic. We believe the synthetic nature of our product candidates allows for a more cost effective and scalable manufacturing process compared to biologics. In addition, this property of Bicycle molecules allows for the manufacturing of product candidates of consistent pharmaceutical quality with favorable stability characteristics. Based on our experience, we believe that the manufacturing of Bicycle molecules can be made to be well controlled, reproducible and scalable.</w:t>
      </w:r>
    </w:p>
    <w:p>
      <w:pPr>
        <w:spacing w:after="0" w:line="18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currently do not own or operate good manufacturing practice, or GMP, manufacturing facilities and we operate an outsourced model for the manufacture of our product candidates, and contract with multiple GMP licensed pharmaceutical contract development and manufacturing organizations, both for the synthesis of each drug substance component, and the formulation and packaging of finished drug product candidates. We selected these organizations based on their experience, capability, capacity and regulatory status. Projects are managed by a specialist team of our internal staff, which is designed to promote compliance with the technical aspects and regulatory requirements of the manufacturing process.</w:t>
      </w:r>
    </w:p>
    <w:p>
      <w:pPr>
        <w:spacing w:after="0" w:line="189" w:lineRule="exact"/>
        <w:rPr>
          <w:sz w:val="20"/>
          <w:szCs w:val="20"/>
          <w:color w:val="auto"/>
        </w:rPr>
      </w:pPr>
    </w:p>
    <w:p>
      <w:pPr>
        <w:ind w:left="60" w:right="79" w:firstLine="648"/>
        <w:spacing w:after="0" w:line="234" w:lineRule="auto"/>
        <w:rPr>
          <w:sz w:val="20"/>
          <w:szCs w:val="20"/>
          <w:color w:val="auto"/>
        </w:rPr>
      </w:pPr>
      <w:r>
        <w:rPr>
          <w:rFonts w:ascii="Times New Roman" w:cs="Times New Roman" w:eastAsia="Times New Roman" w:hAnsi="Times New Roman"/>
          <w:sz w:val="17"/>
          <w:szCs w:val="17"/>
          <w:color w:val="auto"/>
        </w:rPr>
        <w:t xml:space="preserve">We engage with third parties for the supply of radioisotopes for the development and manufacturing of BRC and BIA molecules. For instance, we’ve established an agreement with Eckert &amp; Ziegler, a leading isotope technology company, to supply a range of radioisotopes and develop and manufacture BRC and BIA molecules. In addition, in December 2025, we entered into a contract with UKNDA for access to up to 400 tonnes of reprocessed uranium. We also entered into an arrangement with UKNNL under which we plan to extract </w:t>
      </w:r>
      <w:r>
        <w:rPr>
          <w:rFonts w:ascii="Times New Roman" w:cs="Times New Roman" w:eastAsia="Times New Roman" w:hAnsi="Times New Roman"/>
          <w:sz w:val="25"/>
          <w:szCs w:val="25"/>
          <w:color w:val="auto"/>
          <w:vertAlign w:val="superscript"/>
        </w:rPr>
        <w:t>228</w:t>
      </w:r>
      <w:r>
        <w:rPr>
          <w:rFonts w:ascii="Times New Roman" w:cs="Times New Roman" w:eastAsia="Times New Roman" w:hAnsi="Times New Roman"/>
          <w:sz w:val="17"/>
          <w:szCs w:val="17"/>
          <w:color w:val="auto"/>
        </w:rPr>
        <w:t xml:space="preserve">Th from the reprocessed uranium obtained from UKNDA. The extracted </w:t>
      </w:r>
      <w:r>
        <w:rPr>
          <w:rFonts w:ascii="Times New Roman" w:cs="Times New Roman" w:eastAsia="Times New Roman" w:hAnsi="Times New Roman"/>
          <w:sz w:val="25"/>
          <w:szCs w:val="25"/>
          <w:color w:val="auto"/>
          <w:vertAlign w:val="superscript"/>
        </w:rPr>
        <w:t>228</w:t>
      </w:r>
      <w:r>
        <w:rPr>
          <w:rFonts w:ascii="Times New Roman" w:cs="Times New Roman" w:eastAsia="Times New Roman" w:hAnsi="Times New Roman"/>
          <w:sz w:val="17"/>
          <w:szCs w:val="17"/>
          <w:color w:val="auto"/>
        </w:rPr>
        <w:t xml:space="preserve">Th will then be further processed into </w:t>
      </w:r>
      <w:r>
        <w:rPr>
          <w:rFonts w:ascii="Times New Roman" w:cs="Times New Roman" w:eastAsia="Times New Roman" w:hAnsi="Times New Roman"/>
          <w:sz w:val="25"/>
          <w:szCs w:val="25"/>
          <w:color w:val="auto"/>
          <w:vertAlign w:val="superscript"/>
        </w:rPr>
        <w:t>224</w:t>
      </w:r>
      <w:r>
        <w:rPr>
          <w:rFonts w:ascii="Times New Roman" w:cs="Times New Roman" w:eastAsia="Times New Roman" w:hAnsi="Times New Roman"/>
          <w:sz w:val="17"/>
          <w:szCs w:val="17"/>
          <w:color w:val="auto"/>
        </w:rPr>
        <w:t xml:space="preserve">Ra, and loaded into </w:t>
      </w:r>
      <w:r>
        <w:rPr>
          <w:rFonts w:ascii="Times New Roman" w:cs="Times New Roman" w:eastAsia="Times New Roman" w:hAnsi="Times New Roman"/>
          <w:sz w:val="25"/>
          <w:szCs w:val="25"/>
          <w:color w:val="auto"/>
          <w:vertAlign w:val="superscript"/>
        </w:rPr>
        <w:t>212</w:t>
      </w:r>
      <w:r>
        <w:rPr>
          <w:rFonts w:ascii="Times New Roman" w:cs="Times New Roman" w:eastAsia="Times New Roman" w:hAnsi="Times New Roman"/>
          <w:sz w:val="17"/>
          <w:szCs w:val="17"/>
          <w:color w:val="auto"/>
        </w:rPr>
        <w:t xml:space="preserve">Pb generators currently being developed exclusively for us by SpectronRx, with whom we have an agreement to develop bespoke </w:t>
      </w:r>
      <w:r>
        <w:rPr>
          <w:rFonts w:ascii="Times New Roman" w:cs="Times New Roman" w:eastAsia="Times New Roman" w:hAnsi="Times New Roman"/>
          <w:sz w:val="25"/>
          <w:szCs w:val="25"/>
          <w:color w:val="auto"/>
          <w:vertAlign w:val="superscript"/>
        </w:rPr>
        <w:t>212</w:t>
      </w:r>
      <w:r>
        <w:rPr>
          <w:rFonts w:ascii="Times New Roman" w:cs="Times New Roman" w:eastAsia="Times New Roman" w:hAnsi="Times New Roman"/>
          <w:sz w:val="17"/>
          <w:szCs w:val="17"/>
          <w:color w:val="auto"/>
        </w:rPr>
        <w:t xml:space="preserve">Pb generators, with initial quantities of </w:t>
      </w:r>
      <w:r>
        <w:rPr>
          <w:rFonts w:ascii="Times New Roman" w:cs="Times New Roman" w:eastAsia="Times New Roman" w:hAnsi="Times New Roman"/>
          <w:sz w:val="25"/>
          <w:szCs w:val="25"/>
          <w:color w:val="auto"/>
          <w:vertAlign w:val="superscript"/>
        </w:rPr>
        <w:t>212</w:t>
      </w:r>
      <w:r>
        <w:rPr>
          <w:rFonts w:ascii="Times New Roman" w:cs="Times New Roman" w:eastAsia="Times New Roman" w:hAnsi="Times New Roman"/>
          <w:sz w:val="17"/>
          <w:szCs w:val="17"/>
          <w:color w:val="auto"/>
        </w:rPr>
        <w:t xml:space="preserve">Pb successfully produced. Collectively, we believe this bespoke set of arrangements is designed to support the potential discovery, development and commercial supply of a portfolio of BRC molecules containing </w:t>
      </w:r>
      <w:r>
        <w:rPr>
          <w:rFonts w:ascii="Times New Roman" w:cs="Times New Roman" w:eastAsia="Times New Roman" w:hAnsi="Times New Roman"/>
          <w:sz w:val="25"/>
          <w:szCs w:val="25"/>
          <w:color w:val="auto"/>
          <w:vertAlign w:val="superscript"/>
        </w:rPr>
        <w:t>212</w:t>
      </w:r>
      <w:r>
        <w:rPr>
          <w:rFonts w:ascii="Times New Roman" w:cs="Times New Roman" w:eastAsia="Times New Roman" w:hAnsi="Times New Roman"/>
          <w:sz w:val="17"/>
          <w:szCs w:val="17"/>
          <w:color w:val="auto"/>
        </w:rPr>
        <w:t>Pb.</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and devices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 addition, an applicant may need to recall a product.</w:t>
      </w:r>
    </w:p>
    <w:p>
      <w:pPr>
        <w:spacing w:after="0" w:line="19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62" w:lineRule="exact"/>
        <w:rPr>
          <w:sz w:val="20"/>
          <w:szCs w:val="20"/>
          <w:color w:val="auto"/>
        </w:rPr>
      </w:pPr>
    </w:p>
    <w:p>
      <w:pPr>
        <w:ind w:left="1040" w:right="81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preclinical, laboratory tests, animal studies and formulation studies in compliance with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take effect before human clinical trials may begin;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representing each clinical site before each clinical trial may be initiated;</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179"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and</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Preclinical studies include laboratory evaluation of the purity and stability of the manufactured drug substance or active pharmaceutical ingredient and the formulated drug or drug product, as well as in vitro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The FDA can place an IND on full or partial clinical hold at any point in development, and depending upon the scope of the hold, clinical trial(s) may not restart until resolution of the outstanding concerns to the FDA’s satisfaction.</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an IRB representing each institution participating in the clinical trial must review and approve the plan for any clinical trial before it commences at that institution, and the IRB must conduct a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1" w:lineRule="exact"/>
        <w:rPr>
          <w:sz w:val="20"/>
          <w:szCs w:val="20"/>
          <w:color w:val="auto"/>
        </w:rPr>
      </w:pPr>
    </w:p>
    <w:p>
      <w:pPr>
        <w:ind w:left="1040" w:right="459" w:hanging="315"/>
        <w:spacing w:after="0" w:line="26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I. </w:t>
      </w:r>
      <w:r>
        <w:rPr>
          <w:rFonts w:ascii="Times New Roman" w:cs="Times New Roman" w:eastAsia="Times New Roman" w:hAnsi="Times New Roman"/>
          <w:sz w:val="18"/>
          <w:szCs w:val="18"/>
          <w:color w:val="auto"/>
        </w:rPr>
        <w:t>The drug is initially introduced into healthy human subjects or, in certain indications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patients with the target disease or condition and tested for safety, dosage tolerance, absorption, metabolism, distribution, excretion and, if possible, to gain an early indication of its effectiveness and to determine optimal dosage.</w:t>
      </w:r>
    </w:p>
    <w:p>
      <w:pPr>
        <w:spacing w:after="0" w:line="176" w:lineRule="exact"/>
        <w:rPr>
          <w:rFonts w:ascii="Times New Roman" w:cs="Times New Roman" w:eastAsia="Times New Roman" w:hAnsi="Times New Roman"/>
          <w:sz w:val="18"/>
          <w:szCs w:val="18"/>
          <w:color w:val="auto"/>
        </w:rPr>
      </w:pPr>
    </w:p>
    <w:p>
      <w:pPr>
        <w:ind w:left="1040" w:right="339" w:hanging="315"/>
        <w:spacing w:after="0" w:line="268"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II. </w:t>
      </w:r>
      <w:r>
        <w:rPr>
          <w:rFonts w:ascii="Times New Roman" w:cs="Times New Roman" w:eastAsia="Times New Roman" w:hAnsi="Times New Roman"/>
          <w:sz w:val="18"/>
          <w:szCs w:val="18"/>
          <w:color w:val="auto"/>
        </w:rPr>
        <w:t>The drug is administered to a limited patient population to identify possible adverse effects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risks, to preliminarily evaluate the efficacy of the product for specific targeted diseases and to determine dosage tolerance and optimal dosage.</w:t>
      </w:r>
    </w:p>
    <w:p>
      <w:pPr>
        <w:spacing w:after="0" w:line="170" w:lineRule="exact"/>
        <w:rPr>
          <w:rFonts w:ascii="Times New Roman" w:cs="Times New Roman" w:eastAsia="Times New Roman" w:hAnsi="Times New Roman"/>
          <w:sz w:val="18"/>
          <w:szCs w:val="18"/>
          <w:color w:val="auto"/>
        </w:rPr>
      </w:pPr>
    </w:p>
    <w:p>
      <w:pPr>
        <w:jc w:val="both"/>
        <w:ind w:left="1040" w:right="79" w:hanging="315"/>
        <w:spacing w:after="0" w:line="26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III. </w:t>
      </w:r>
      <w:r>
        <w:rPr>
          <w:rFonts w:ascii="Times New Roman" w:cs="Times New Roman" w:eastAsia="Times New Roman" w:hAnsi="Times New Roman"/>
          <w:sz w:val="18"/>
          <w:szCs w:val="18"/>
          <w:color w:val="auto"/>
        </w:rPr>
        <w:t>The drug is administered to an expanded patient population, generally at geographically dispersed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trial sites, in well-controlled clinical trials to generate enough data to evaluate the efficacy and safety of the product for approval, to establish the overall risk-benefit profile of the product and to provide adequate information for the labeling of the product.</w:t>
      </w:r>
    </w:p>
    <w:p>
      <w:pPr>
        <w:spacing w:after="0" w:line="176" w:lineRule="exact"/>
        <w:rPr>
          <w:rFonts w:ascii="Times New Roman" w:cs="Times New Roman" w:eastAsia="Times New Roman" w:hAnsi="Times New Roman"/>
          <w:sz w:val="18"/>
          <w:szCs w:val="18"/>
          <w:color w:val="auto"/>
        </w:rPr>
      </w:pPr>
    </w:p>
    <w:p>
      <w:pPr>
        <w:ind w:left="1040" w:right="99" w:hanging="315"/>
        <w:spacing w:after="0" w:line="28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IV. </w:t>
      </w:r>
      <w:r>
        <w:rPr>
          <w:rFonts w:ascii="Times New Roman" w:cs="Times New Roman" w:eastAsia="Times New Roman" w:hAnsi="Times New Roman"/>
          <w:sz w:val="18"/>
          <w:szCs w:val="18"/>
          <w:color w:val="auto"/>
        </w:rPr>
        <w:t>Post-approval studies may be conducted after initial marketing approval. These studies are used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additional experience from the treatment of patients in the intended therapeutic indication.</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Phase I, Phase II and Phase III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Review of an NDA by the FDA</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substantial user fees, and the sponsor of an approved NDA is also subject to annual program user fees. These fees are typically increased annually.</w:t>
      </w:r>
    </w:p>
    <w:p>
      <w:pPr>
        <w:spacing w:after="0" w:line="187"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The FDA conducts a preliminary review of an NDA within 60 days of its receipt and informs the sponsor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10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8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9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 Designations</w:t>
      </w:r>
    </w:p>
    <w:p>
      <w:pPr>
        <w:spacing w:after="0" w:line="22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76"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NDA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an application under rolling review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sponsor regarding development and approval; involving more senior staff in the review process; assigning a cross-disciplinary project lead for the review team; and taking other steps to design the clinical trials in an efficient manner.</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is expected to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227"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approval, if there is a basis for concluding that the therapeutic effect is reasonably likely to predict the ultimate clinical benefit of a product.</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and to provide regular updates to the FDA on the progress of such studies. As a result, a product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Chemistry, Manufacturing, and Controls Development and Readiness Pilot (CDRP) Program</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October 2022, the FDA announced a two-year opportunity for a limited number of applicants to participate in the CDRP program to facilitate expedited development CMC development of products under an IND, where warranted, based on the anticipated clinical benefit of earlier patient access to the products. The FDA has implemented this pilot program to facilitate CMC readiness for selected Center for Biologics Evaluation and Research, or CBER, and Center for Drug Evaluation and Research, or CDER, regulated products with accelerated clinical development timelines. To accelerate CMC development and facilitate CMC readiness, the pilot features increased communication between the FDA and sponsors and explores the use of science- and risk-based regulatory approaches, such as those described in FDA guidance, as applicable.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Project Optimus</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Project Optimus is an initiative of the Oncology Center of Excellence at the FDA. This project focuses on dose optimization and dose selection in oncology drug development, and whether the current paradigm based on cytotoxic chemotherapeutics leads to doses and schedules of molecularly targeted therapies that provide more toxicity without additional efficacy, among other things. In Project Optimus, drug developers have the opportunity to meet with the FDA’s Oncology Review Divisions early in their development programs, well before conducting trials intended for registration, to discuss dose-finding and dose optimization. The program thus allows sponsors to develop strategies for dose finding and dose optimization that leverages nonclinical and clinical data in dose selection, including randomized evaluations of a range of doses in trials, with the objective of performing these studies as early as possible in the development program to bring new therapies to patients.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Project Frontrunner</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Project Frontrunner is an Oncology Center of Excellence initiative to encourage drug sponsors to consider when it may be appropriate to first develop and seek approval of new cancer drugs for advanced or metastatic disease, in an earlier clinical setting rather than the usual approach to develop and seek approval of a new drug for treatment of patients who have received numerous prior lines of therapies or have exhausted available treatment options. The goals of Project Frontrunner are to develop a framework for identifying candidate drugs that are appropriate to initially develop for the treatment of early metastatic disease (e.g., first or second line setting), taking into account clinical, scientific, regulatory and operational considerations; facilitate engagement with drug sponsors during drug development to develop and implement strategies to support approvals in early clinical setting; and to engage and collaborate with internal and external stakeholders on related research, policy and educational initiatives.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IV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7" w:lineRule="exact"/>
        <w:rPr>
          <w:sz w:val="20"/>
          <w:szCs w:val="20"/>
          <w:color w:val="auto"/>
        </w:rPr>
      </w:pPr>
    </w:p>
    <w:p>
      <w:pPr>
        <w:ind w:left="1040" w:right="23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voluntary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85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generally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6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Drug Supply Chain Security Act, which regulates the distribution of drugs at the federal level, and sets minimum standards for the registration and regulation of drug distributors by the states, which additionally limit the distribution of prescription pharmaceutical products and impose requirements to ensure accountability in distribution.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Companion Diagnostics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employ companion diagnostics to help us to more accurately identify patients within a particular subset, both during our clinical trials and in connection with the commercialization of our product candidates that we are developing or may in the future develop.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and, as such, require either clearance or approval prior to commercialization. The level of risk combined with available controls to mitigate risk determines whether a companion diagnostic device requires Premarket Approval Application, or PMA, approval or is cleared through the 510(k) premarket notification process. For a novel therapeutic product for which a companion diagnostic device is essential for the safe and effective use of the product, the companion diagnostic device should be developed and approved or 510(k)-cleared contemporaneously with the therapeutic. The use of the companion diagnostic device will be stipulated in the labeling of the therapeutic product.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8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8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the already approved product’s listed patents or that such patents are invalid or unenforceable, in which case the applicant may submit its application four years following the original product approval.</w:t>
      </w:r>
    </w:p>
    <w:p>
      <w:pPr>
        <w:spacing w:after="0" w:line="18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An applicant who submits a section 505(b)(2) NDA, which is for new or improved formulations or new uses of previously approved drug products and where at least one or more of the investigations relied upon by the applicant for approval were not conducted by or for the applicant and for which the applicant has not obtained a right of reference or use from the person by or for whom the investigations were conducted, also must certify to the FDA concerning any patents listed for the approved product in the Orange Book to the same extent that an ANDA applicant would.</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225"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83"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Unless otherwise required by regulation, the pediatric data requirements do not apply to products with orphan designation.</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A patent claiming a new drug product may be eligible for a limited patent term extension under the Hatch-Waxman Amendments, which permits a patent restoration of up to five years for patent term lost during product development and the FDA regulatory review. The restoration period granted is typically one-half the time between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effective date of an IND and the submission date of an NDA, plus the time between the submission date of an NDA and the ultimate approval date. Patent term restoration cannot be used to extend the remaining term of a patent past a total of</w:t>
      </w: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Union/Rest of World Regulation</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the European Union, or EU, clinical trials are governed by the Clinical Trials Regulation (EU) No 536/2014, or CTR, which entered into application on January 31, 2022 repealing and replacing the former Clinical Trials Directive 2001/20, or CTD. The CTR foresaw a three-year transition period that ended on January 31, 2025. Since this date, all new or ongoing trials are subject to the provisions of the CTR.</w:t>
      </w:r>
    </w:p>
    <w:p>
      <w:pPr>
        <w:spacing w:after="0" w:line="180"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all cases, clinical trials must be conducted in accordance with GCP and the applicable regulatory requirements and the ethical principles that have their origin in the Declaration of Helsinki. Medicines used in clinical trials must be manufactured in accordance with the guidelines on cGMP and in a GMP licensed facility, which can be subject to GMP inspections.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EU Review and Approval Process</w:t>
      </w:r>
    </w:p>
    <w:p>
      <w:pPr>
        <w:spacing w:after="0" w:line="22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or MA, has been granted. To obtain an MA for a product in the EU, an applicant must submit a Marketing Authorization Application, or MAA, either under a centralized procedure administered by the European Medicines Agency, or EMA, or one of the procedures administered by the competent authorities of EU Member States (decentralized procedure, national procedure or mutual recognition procedure). An MA may be granted only to an applicant established in the EU.</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throughout the European Economic Area, or EEA (which is comprised of the 27 EU Member States plus Norway, Iceland and Liechtenstein).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or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9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w:t>
      </w:r>
    </w:p>
    <w:p>
      <w:pPr>
        <w:spacing w:after="0" w:line="19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7"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7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7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31F20"/>
        </w:rPr>
        <w:t>Pediatric Development in the EU</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231F20"/>
        </w:rPr>
        <w:t>In the EU, Regulation (EC) No 1901/2006 provides that all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Manufacturing Regulation in the EU</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to an MA, various other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authorization, in case of non-compliance with the EU or EU Member States’ requirements applicable to the manufacturing of medicinal products.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31F20"/>
        </w:rPr>
        <w:t>Data and Market Exclusivity in the EU</w:t>
      </w:r>
    </w:p>
    <w:p>
      <w:pPr>
        <w:spacing w:after="0" w:line="227" w:lineRule="exact"/>
        <w:rPr>
          <w:sz w:val="20"/>
          <w:szCs w:val="20"/>
          <w:color w:val="auto"/>
        </w:rPr>
      </w:pPr>
    </w:p>
    <w:p>
      <w:pPr>
        <w:ind w:left="60" w:right="379" w:firstLine="648"/>
        <w:spacing w:after="0" w:line="253" w:lineRule="auto"/>
        <w:rPr>
          <w:sz w:val="20"/>
          <w:szCs w:val="20"/>
          <w:color w:val="auto"/>
        </w:rPr>
      </w:pPr>
      <w:r>
        <w:rPr>
          <w:rFonts w:ascii="Times New Roman" w:cs="Times New Roman" w:eastAsia="Times New Roman" w:hAnsi="Times New Roman"/>
          <w:sz w:val="18"/>
          <w:szCs w:val="18"/>
          <w:color w:val="231F20"/>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9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231F20"/>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Orphan Designation in the EU</w:t>
      </w:r>
    </w:p>
    <w:p>
      <w:pPr>
        <w:spacing w:after="0" w:line="227"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10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88"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spacing w:after="0" w:line="270" w:lineRule="auto"/>
        <w:rPr>
          <w:sz w:val="20"/>
          <w:szCs w:val="20"/>
          <w:color w:val="auto"/>
        </w:rPr>
      </w:pPr>
      <w:r>
        <w:rPr>
          <w:rFonts w:ascii="Times New Roman" w:cs="Times New Roman" w:eastAsia="Times New Roman" w:hAnsi="Times New Roman"/>
          <w:sz w:val="17"/>
          <w:szCs w:val="17"/>
          <w:color w:val="auto"/>
        </w:rPr>
        <w:t>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w:t>
      </w:r>
    </w:p>
    <w:p>
      <w:pPr>
        <w:spacing w:after="0" w:line="3" w:lineRule="exact"/>
        <w:rPr>
          <w:sz w:val="20"/>
          <w:szCs w:val="20"/>
          <w:color w:val="auto"/>
        </w:rPr>
      </w:pPr>
    </w:p>
    <w:p>
      <w:pPr>
        <w:ind w:left="60" w:right="299" w:hanging="10"/>
        <w:spacing w:after="0" w:line="255"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31F20"/>
        </w:rPr>
        <w:t>Post-Approval Requirements in the EU</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231F20"/>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231F20"/>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31F20"/>
        </w:rPr>
        <w:t>Other EU Compliance Requirements</w:t>
      </w:r>
    </w:p>
    <w:p>
      <w:pPr>
        <w:spacing w:after="0" w:line="22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cs="Times New Roman" w:eastAsia="Times New Roman" w:hAnsi="Times New Roman"/>
          <w:sz w:val="18"/>
          <w:szCs w:val="18"/>
          <w:color w:val="000000"/>
        </w:rPr>
        <w:t>General requirements for advertising and promotion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19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Much like the federal Health Care Program Anti-Kickback Statute, or Anti-Kick Statute, prohibition in the United States, described above, the provision of benefits or advantages to physicians and other health care professionals to induce or encourage the prescription, recommendation, endorsement, purchase, supply, order or use of medicinal products is also prohibited in the EU. Interactions between pharmaceutical companies and healthcare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or imprisonment.</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Payments made to physicians and other healthcare professionals in certain EU Member States must be publicly disclosed. Moreover, agreements with healthcare professionals may require prior notification or approval by the healthcare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Regulation of Companion Diagnostics in the EU</w:t>
      </w:r>
    </w:p>
    <w:p>
      <w:pPr>
        <w:spacing w:after="0" w:line="225"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the EEA, companion diagnostics are deemed to be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or IVDs, and are governed by Regulation 2017/746, or IVDR, which entered into application on May 26, 2022, repealing and replacing Directive 98/79/EC. The IVDR defines a companion diagnostic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w:t>
      </w:r>
    </w:p>
    <w:p>
      <w:pPr>
        <w:spacing w:after="0" w:line="184"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including companion diagnostics, must conform with the general safety and performance requirements, or GSPR, of the IVDR. Compliance with these requirements is a prerequisite to be able to affix the CE mark to devices, without which they cannot be marketed or sold in the EEA. To demonstrate compliance with the GSPR laid down in Annex I to the IVDR, and obtain the right to affix the CE mark, IVD manufacturers must conduct a conformity assessment procedure, which varies according to the type of IVD and its classification. Apart from low risk IVDs (Class A which are not sterile), in relation to which the manufacturer may issue an EU Declaration of Conformity based on a self-assessment of the conformity of its products with the GSPRs, a conformity assessment procedure requires the intervention of a Notified Body, which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GSPRs. This Certificate and the related conformity assessment process entitles the manufacturer to affix the CE mark to its medical devices after having prepared and signed a related EC Declaration of Conformity.</w:t>
      </w:r>
    </w:p>
    <w:p>
      <w:pPr>
        <w:spacing w:after="0" w:line="17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Companion diagnostics must undergo a conformity assessment by a Notified Body. If the related medicinal product has, or is in the process of, been authorised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or are in the process of authorisation through any other route provided in EU legislation, the Notified Body must seek the opinion of the national competent authority of an EU Member State.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8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approved for sale, a company may need to conduct expensive pharmacoeconomic studies in order to demonstrate the medical necessity and cost-effectiveness of the product, in addition to the costs required to obtain FDA or other comparable regulatory approvals. Nonetheless, products may not be considered medically necessary or cost effective. Additionally, a payor’s decision to provide coverage for a drug product does not imply that an adequate reimbursement rate will be approved. Further, no uniform policy for coverage and reimbursement exists in the United States. Third-party payors often rely upon Medicare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coverage policy and payment limitations in setting their own reimbursement rates, but also have their own methods and approval process apart from Medicare determinations. Therefore,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Our results of operations could be adversely affected by healthcare legislative reforms, including those that may be enacted or adopted in the future.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9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w:t>
      </w:r>
    </w:p>
    <w:p>
      <w:pPr>
        <w:spacing w:after="0" w:line="180" w:lineRule="exact"/>
        <w:rPr>
          <w:sz w:val="20"/>
          <w:szCs w:val="20"/>
          <w:color w:val="auto"/>
        </w:rPr>
      </w:pPr>
    </w:p>
    <w:p>
      <w:pPr>
        <w:ind w:left="60" w:right="439" w:firstLine="648"/>
        <w:spacing w:after="0" w:line="256"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In addition, some EU Member States may require the completion of additional studies that compare the cost-effectiveness of a particular medicinal product candidate to currently available therapies. This Health Technology Assessment, or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Healthcare Laws and Regulations</w:t>
      </w:r>
    </w:p>
    <w:p>
      <w:pPr>
        <w:spacing w:after="0" w:line="229"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without limitation, state and federal anti-kickback, fraud and abuse, false claims, health information privacy and security, price reporting and physician sunshine laws. Some of our pre-commercial activities are subject to some of these laws.</w:t>
      </w:r>
    </w:p>
    <w:p>
      <w:pPr>
        <w:spacing w:after="0" w:line="17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Anti-Kickback Statute, prohibits any person or entity, including a prescription drug manufacturer or a party acting on its behalf, from, among other things, knowingly and willfully, directly or indirectly, soliciting, receiving, offering, or providing any remuneration that is intended to induce the referral of business, including the purchase, order or recommendation or arranging of, any good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Moreover, a claim including items or services resulting from a violation of the Anti-Kickback Statute constitutes a false or fraudulent claim for purposes of the federal civil False Claims Act.</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any of our future activities relating to the reporting of wholesaler or estimated retail prices for our products, the reporting of prices used to calculate Medicaid rebate information and other information affecting federal, state and other third-party payor reimbursement for our products, and the sale and marketing of our products, are subject to scrutiny under this law. Penalties for federal civil False Claims Act violations may include up to three times the actual damages sustained by the government, plus significant mandatory civil penalties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19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19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Additionally, to the extent that any of our product candidates, if approved, are sold in a foreign country, we may be subject to similar foreign laws.</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certain healthcare providers, healthcare clearinghouses and health plans, known as covered entities, that create, receive or obtain protected health information in connection with providing a service for or on behalf of a covered entity or another business associate, and their covered subcontractors. HITECH also increased the civil and criminal penalties that may be imposed against covered entities and business associates and gave state attorneys general new authority to file civil actions for damages or injunctions in federal courts to enforce HIPAA and seek attorney’s fees and costs associated with pursuing federal civil actions. In addition, certain state and foreign laws govern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9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U.S. federal transparency requirements under the Patient Protection and Affordable Care Act, as amended by the Health Care and Education Reconciliation Act, or collectively, ACA, including the provision commonly referred to as the Physician Payments Sunshine Act imposed, among other things, annual reporting requirements for covered manufacturers for certain payments and other transfers of value provided to physicians, as defined by such law, other healthcare professionals (such as physician assistant and nurse practitioners), and teaching hospitals, as well as certain ownership and investment interests held by physicians and their immediate family members.</w:t>
      </w:r>
    </w:p>
    <w:p>
      <w:pPr>
        <w:spacing w:after="0" w:line="18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be subject to certain analogous state and foreign laws of each of the above federal healthcare laws. In some instances, such laws may be broader in scope than its federal counterpart, such as certain state anti-kickback and false claims laws, which may apply to claims involving healthcare items or services reimbursed by non-governmental third-party payors, including private insurers. In addition, certain states and local jurisdictions also mandate implementation of compliance programs, impose restrictions on drug manufacturer marketing practices or require the tracking and reporting of gifts, compensation or other remuneration to physicians and other healthcare professionals.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Because we intend to commercialize products that could be reimbursed under a federal healthcare program and other governmental healthcare programs, we intend to develop a comprehensive compliance program that establishes internal control to facilitate adherence to the rules and program requirements to which we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187"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If our operations are found to be in violation of any of such laws or any other governmental regulations that apply to us, we may be subject to penalties, including, without limitation, significant administrative, civil and criminal penalties, damages, fines, disgorgement, imprisonment, contractual damages, reputational harm, diminished profits and future earnings, the curtailment or restructuring of our operations, exclusion from participation in federal and state healthcare programs, including Medicare and Medicaid, additional reporting requirements and/or oversight if we become subject to a corporate integrity agreement or similar agreement to resolve allegations of non-compliance with these laws, and individual imprisonment, any of which could adversely affect our ability to operate our business and our financial results.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government control and other changes to the healthcare system in the United States.</w:t>
      </w:r>
    </w:p>
    <w:p>
      <w:pPr>
        <w:spacing w:after="0" w:line="17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By way of example, the United States and state governments continue to propose and pass legislation designed to reduce the cost of healthcare. The ACA, which was signed into law in 2010,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Since its enactment, there have been amendments and judicial and Congressional challenges to numerous provisions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Other legislative changes have been proposed and adopted since the ACA was enacted, including aggregated reductions to Medicare payments to providers of 2% per fiscal year, which began in 2013 and will remain in effect through 2032 unless additional Congressional action is taken.</w:t>
      </w:r>
    </w:p>
    <w:p>
      <w:pPr>
        <w:spacing w:after="0" w:line="17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Centers for Medicare and Medicaid Services, or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Congress may introduce and ultimately pass healthcare-related legislation that could impact the drug approval process and make changes to the Medicare Drug Price Negotiation Program. Any reduction in reimbursement from Medicare or other government programs may result in a similar reduction in payments from private payors.</w:t>
      </w:r>
    </w:p>
    <w:p>
      <w:pPr>
        <w:spacing w:after="0" w:line="18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on January 12, 2025, Regulation No 2021/2282 on HTA, or the HTA Regulation, entered into application through a phased implementation. The HTA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EU Member States in assessing health technologies, including new medicinal products. The HTA Regulation establishes a framework for EU-level joint clinical assessments, joint scientific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consultations, and the early identification of emerging health technologies. The HTA Regulation permits EU Member States to use common tools, methodologies, and procedures and requires them to rely on EU-level joint clinical assessment reports for the clinical components of their national HTA evaluations. Individual EU Member States will continue to be responsible for assessing non-clinical (e.g., economic, social, ethical) aspects of health technologies and pricing and reimbursement decisions based on these assessments.</w:t>
      </w:r>
    </w:p>
    <w:p>
      <w:pPr>
        <w:spacing w:after="0" w:line="18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healthcare reform measures, including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Framework in the United Kingdom</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Medicines and Healthcare products Regulatory Agency, or the MHRA, is the United Kingdom’s standalone regulator for medicinal products and medical devices.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While the United Kingdom’s regulatory framework for clinical trials was historically based on the Medicines for Human Use (Clinical Trials) Regulations 2004, which implemented the former EU Clinical Trials Directive, this has been significantly reformed by the Medicines for Human Use (Clinical Trials) (Amendment) Regulations 2024. The new legislation, which was adopted in April 2025, modernizes the United Kingdom’s approach to make it a more attractive location for research, and includes key features such as: (i) a risk-proportionate approach, including a notification scheme for lower-risk trials; (ii) a combined review process integrating ethics committee and regulatory approvals into a single, streamlined pathway; (iii) enhanced transparency requirements mandating registration of clinical trials in a public registry and publication of trial results within 12 months of trial completion (with scope for deferrals in certain circumstances); (iv) greater flexibility to support innovation in clinical trial design; and (v) measures to promote patient and public involvement. The amendments will become applicable on April 28, 2026 following a one-year transition period.</w:t>
      </w:r>
    </w:p>
    <w:p>
      <w:pPr>
        <w:spacing w:after="0" w:line="194"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Marketing authorizations in the United Kingdom are governed by the Human Medicines Regulations (SI 2012/1916), as amended. In order to obtain a United Kingdom marketing authorization, or MA, to commercialize products in the United Kingdom, an applicant must be established in the United Kingdom and must follow one of the United Kingdom national authorization procedures or one of the remaining post-Brexit international cooperation procedures. Applications are governed by the Human Medicines Regulations (SI 2012/1916) and are made electronically through the MHRA Submissions Portal. The MHRA has introduced changes to national licensing procedures, including procedures to prioritize access to new medicines that will benefit patients, a 150-day assessment (subject to clock-stops) and a rolling-review procedure. The rolling-review procedure permits the separate or joint submission of quality, non-clinical and clinical data to the MHRA which can be reviewed on a rolling basis. After an application under the rolling-review procedure has been validated, the decision should be received within 100 days (subject to clock-stops).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since January 1, 2024, the MHRA may rely on the International Recognition Procedure, or IRP, when reviewing certain types of MAAs. Pursuant to the IRP, the MHRA will take into account the expertise and decision-making of trusted regulatory partners (e.g., the regulatory authorities in Australia, Canada, Switzerland, Singapore, Japan, the United States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 MA in the United Kingdom. Applications should be decided within a maximum of 60 days if: (i) there are no major objections identified that cannot be resolved within such 60-day period and (ii) approval from the trusted regulatory partner selected has been granted within the previous two years. Where major objections are identified or such approval has not been granted within the previous two years, the decision timeline extends to 110 days. Applicants can submit initial MAAs to the IRP but the procedure can also be used throughout the lifecycle of a product for post-authorization procedures including line extensions, variations and renewals.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Existing EU marketing authorizations for centrally authorized products were automatically converted into the United Kingdom’s marketing authorizations, effective in Great Britain only, free of charge on January 1, 2021, unless the marketing authorization holder opted out of this possibility. On January 1, 2025, the Windsor Framework came into effect, reintegrating Northern Ireland under the regulatory authority of the MHRA with respect to medicinal products and introducing a United Kingdom-wide licensing process for medicines.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United Kingdom.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the United Kingdom,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288 full-time or part-time employees, including 108 with M.D. or Ph.D. degrees. Of these employees, 220 employees are engaged in research and development activities and 68 employees are engaged in general and administrative activities. Our employees are primarily based at the locations of our office and laboratory facilities: 191 are located in the United Kingdom and 97 are located in the United States. None of our employees are represented by labor unions or covered by collective bargaining agreements. We consider the relationship with our employees to be good. In conjunction with our strategic reprioritization announced in March 2026, we are implementing a proposed workforce reduction of approximately 30% of our workforce.</w:t>
      </w:r>
    </w:p>
    <w:p>
      <w:pPr>
        <w:spacing w:after="0" w:line="18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developing, retaining, incentivizing and integrating our existing and additional employees to support the continued growth of our company and progress the development of our product candidates. The principal purposes of our equity incentive plans are to attract, retain and motivate selected employees, consultants and directors through the granting of equity-based compensation awards.</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believe a diverse workforce is critical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and all employees are annually trained to help prevent, identify, report, and stop any type of discrimination and harassment. Our processes in recruitment, hiring, development, training, compensation, and advancement are based on qualifications, performance, skills, and experience without regard to gender, race, or ethnicity.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believe our employees are our most valuable assets and are key to achieving our goals. We focus our efforts on attracting and retaining a diverse, high-performing workforce through offering competitive and fair compensation packages that are based on robust industry market data. Our total compensation package includes competitive base pay, annual bonus, equity participation, and a broad range of benefits, including retirement planning, healthcare and insurance benefits, paid time off, enhanced paid family and medical leave, flexible working, and various health and wellness programs. We also run recognition programs that highlight employees who exhibit exceptional performance and demonstrate our company values.</w:t>
      </w:r>
    </w:p>
    <w:p>
      <w:pPr>
        <w:spacing w:after="0" w:line="18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We ensure that our compensation programs are designed to be equitable and fair, and routinely analyze data to ensure that our programs are administered in a fair and equitable way.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Career Development</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invest heavily in our employees’ personal and professional development. We offer a vast array of learning and development opportunities including online and classroom training and learning, technical training, mentoring and coaching programs, training academies and management and leadership development programs.</w:t>
      </w:r>
    </w:p>
    <w:p>
      <w:pPr>
        <w:spacing w:after="0" w:line="1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developing the next generation of talent and have active internship partnerships with local universities in both the United States and United Kingdom.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2009, we were incorporated as a limited liability company under the laws of England and Wales. In 2017, we effected a reorganization to create a new holding company which, in connection with our IPO, was re-registered as a public limited company named Bicycle Therapeutics plc. Bicycle Therapeutics plc is the parent company of three wholly owned subsidiaries, two of which are based in Cambridge, United Kingdom and one of which is based in Massachusetts, United States, that carry on our business.</w:t>
      </w:r>
    </w:p>
    <w:p>
      <w:pPr>
        <w:spacing w:after="0" w:line="183"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The U.K. subsidiaries are BicycleTx Limited and BicycleRD Limited, and the U.S. subsidiary is Bicycle Therapeutics Inc. Our principal executive offices are located at Blocks A &amp; B, Portway Building, Granta Park, Great Abington, Cambridge, CB21 6GS, United Kingdom, and our phone number is +44 1223 261503.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website address is http://www.bicycletherapeutics.com. We make available on our website, free of charge, our Annual Reports on Form 10-K, our Quarterly Reports on Form 10-Q and our Current Reports on Form 8-K and any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the SEC. The SEC maintains a website that contains reports, proxy and information statements and other information regarding our filings at www.sec.gov. The information found on our website is not incorporated by reference into this Annual Report or any other report we file with or furnish to the SEC.</w:t>
      </w:r>
    </w:p>
    <w:p>
      <w:pPr>
        <w:spacing w:after="0" w:line="18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The following information about these risks and uncertainties, together with the other information appearing elsewhere in this Annual Report on Form 10-K, or this Annual Report, including our consolidated financial statements and related notes thereto, should be carefully considered before a decision to invest in our American Depositary Shares, or ADSs.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Additional risks that are currently unknown to us or that we currently believe to be immaterial may also impair our business. In these circumstances, the market price of our ADSs could decline and holders of our ADSs may lose all or part of their investment. We cannot provide assurance that any of the events discussed below will not occur.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Selected Risk Factors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ADSs. These risks and uncertainties include, among others, the following:</w:t>
      </w:r>
    </w:p>
    <w:p>
      <w:pPr>
        <w:spacing w:after="0" w:line="162" w:lineRule="exact"/>
        <w:rPr>
          <w:sz w:val="20"/>
          <w:szCs w:val="20"/>
          <w:color w:val="auto"/>
        </w:rPr>
      </w:pPr>
    </w:p>
    <w:p>
      <w:pPr>
        <w:ind w:left="1040" w:right="1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operating losses and expect to incur significant and increasing losses for the foreseeable future, and we may never achieve or maintain profitability.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40" w:right="21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substantial additional funding, and if we are unable to raise capital when needed, we could be forced to delay, reduce or eliminate our product discovery and development programs or commercialization efforts.</w:t>
      </w:r>
    </w:p>
    <w:p>
      <w:pPr>
        <w:spacing w:after="0" w:line="17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shareholders or holders of our ADSs, restrict our operations or cause us to relinquish valuable rights.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3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internal development programs and of our product candidates from our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Drug Conjugate, or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Bicycle Radioconjugate,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programs, which may not successfully complete clinical trials, receive regulatory approval or be successfully commercialized.</w:t>
      </w:r>
    </w:p>
    <w:p>
      <w:pPr>
        <w:spacing w:after="0" w:line="198"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at an early stage in our development efforts, and our product candidates and those of our collaborators represent a new category of medicines and may be subject to heightened regulatory scrutiny until they are established as a therapeutic modality.</w:t>
      </w:r>
    </w:p>
    <w:p>
      <w:pPr>
        <w:spacing w:after="0" w:line="17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future clinical trials.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undesirable side effects or have other properties when used alone or in combination with other approved products or investigational new drugs, or IND, that could halt their clinical development, prevent their marketing approval, limit their commercial potential or result in significant negative consequences.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delayed or not be successful in our efforts to identify or discover additional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development strategy, product candidate or indication and fail to capitalize on strategies, product candidates or indications that may be more profitable or for which there is a greater likelihood of success.</w:t>
      </w:r>
    </w:p>
    <w:p>
      <w:pPr>
        <w:spacing w:after="0" w:line="175" w:lineRule="exact"/>
        <w:rPr>
          <w:rFonts w:ascii="Times New Roman" w:cs="Times New Roman" w:eastAsia="Times New Roman" w:hAnsi="Times New Roman"/>
          <w:sz w:val="18"/>
          <w:szCs w:val="18"/>
          <w:color w:val="auto"/>
        </w:rPr>
      </w:pPr>
    </w:p>
    <w:p>
      <w:pPr>
        <w:jc w:val="both"/>
        <w:ind w:left="1040" w:right="159" w:hanging="315"/>
        <w:spacing w:after="0" w:line="258"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designations for our product candidates with the U.S. Food and Drug Administration, or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58"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183"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75"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19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product candidate will depend upon the degree of market acceptance by physicians, patients, payors and others in the medical community.</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 approved products is uncertain. Failure to obtain or maintain adequate coverage and reimbursement for any of our product candidates, could limit our ability to market those products and decrease our ability to generate revenue.</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legislative reform measures may have a negative impact on our business and results of operations.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rules, contractual obligations, policies and other obligations related to data privacy and security. Our (and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83"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3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intend to rely on third parties to manufacture product candidates and supply raw materials used in our product candidates, such as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which increases the risk that we will not have sufficient quantities of such product candidates or products or such quantities at an acceptable cost, which could delay, prevent or impair our development or commercialization efforts.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179" w:lineRule="exact"/>
        <w:rPr>
          <w:rFonts w:ascii="Times New Roman" w:cs="Times New Roman" w:eastAsia="Times New Roman" w:hAnsi="Times New Roman"/>
          <w:sz w:val="18"/>
          <w:szCs w:val="18"/>
          <w:color w:val="auto"/>
        </w:rPr>
      </w:pPr>
    </w:p>
    <w:p>
      <w:pPr>
        <w:ind w:left="1040" w:right="239" w:hanging="315"/>
        <w:spacing w:after="0" w:line="312" w:lineRule="auto"/>
        <w:tabs>
          <w:tab w:leader="none" w:pos="10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sued for infringing intellectual property rights of third parties, such litigation could be costly and time consuming and could prevent or delay us from developing or commercializing our product candidates.</w:t>
      </w:r>
    </w:p>
    <w:p>
      <w:pPr>
        <w:spacing w:after="0" w:line="139" w:lineRule="exact"/>
        <w:rPr>
          <w:rFonts w:ascii="Times New Roman" w:cs="Times New Roman" w:eastAsia="Times New Roman" w:hAnsi="Times New Roman"/>
          <w:sz w:val="17"/>
          <w:szCs w:val="17"/>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workforce reductions were undertaken to significantly reduce our ongoing operating expenses, but they may not result in our intended outcomes and may yield unintended consequences and additional costs.</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ADSs is highly volatile, and holders of our ADSs may not be able to resell their ADSs at or above the price at which they purchased their ADSs.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operations outside of the United States, we are subject to economic, political, regulatory and other risks associated with international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operating losses and expect to incur significant and increasing losses for the foreseeable future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we may never achieve or maintain profitability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or profitability that is necessary to finance our operations in the short term. Since inception, we have incurred recurring losses, including net losses of $219.0 million, $169.0 million and $180.7 million for the years ended December 31, 2025, 2024 and 2023, respectively. As of December 31, 2025, we had an accumulated deficit of $899.8 million. To date, we have not commercialized any products or generated any revenues from the sale of products, and absent the realization of sufficient revenues from product sales, we may never attain profitability in the future.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shareholders’ equity and working capital.</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1040" w:right="41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with respect to our BDC and BRC programs and our other pipeline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preclinical and clinical development efforts for any future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and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product candidates for clinical development and, potentially, commercialization;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infrastructure, including hiring and retaining additional personnel, such as clinical, quality control and scientific personnel;</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in the future to commercialize products for which we obtain marketing approval, if any;</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and help us comply with our obligations as a public company;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225"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Generating product revenue will depend on our or any of our collaborators’ ability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w:t>
      </w:r>
    </w:p>
    <w:p>
      <w:pPr>
        <w:spacing w:after="0" w:line="1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Our revenue to date has been primarily generated from our current and former research collaborations with Bayer Consumer Care AG, or Bayer, Novartis Pharma AG, or Novartis, Ionis Pharmaceuticals, Inc., or Ionis, and Genentech Inc., or Genentech. There can be no assurance that we will generate revenue from our collaborations in the future.</w:t>
      </w:r>
    </w:p>
    <w:p>
      <w:pPr>
        <w:spacing w:after="0" w:line="176"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depress the market price of our ADSs and could impair our ability to raise capital, expand our business, diversify our product offerings or continue our operations. If we continue to suffer losses, investors may not receive any return on their investment and may lose their entire investment.</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holders of our ADSs or ordinary shares to evaluate the success of our business to date and to assess our future viability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business commenced operations in 2009. Our operations to date have been limited to financing and staffing our company, developing our technology, conducting preclinical research and early-stage clinical trials for our product candidates and pursuing strategic collaborations to advance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any current or prospective holder of our ADSs or ordinary shares should consider our prospects in light of the costs, uncertainties, delays and difficulties frequently encountered by companies in the early stages of development, especially clinical-stage pharmaceutical companies such as ours. Any predictions made about our future success or viability may not be as accurate as they would be if we had a longer operating history or a history of successfully developing and commercializing pharmaceutical products.</w:t>
      </w:r>
    </w:p>
    <w:p>
      <w:pPr>
        <w:spacing w:after="0" w:line="194"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and reliance should not be made upon the results of any quarterly or annual periods as indications of future operating performance.</w:t>
      </w:r>
    </w:p>
    <w:p>
      <w:pPr>
        <w:spacing w:after="0" w:line="1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funding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we are unable to raise capital when needed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be forced to delay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reduce or eliminate our product discovery and development programs or commercialization efforts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initiate new clinical trials of, initiate new research and preclinical development efforts for and seek marketing approval for, our current product candidates or any future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collaborator. Furthermore, we expect to incur significant ongoing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will be required to expend significant funds in order to advance the development of the product candidates in our pipeline, as well as other product candidates we may seek to develop. In addition, while we may seek one or more collaborators for future development of our product candidates, we may not be able to enter into a collaboration for any of our product candidates for such indications on suitable terms, on a timely basis or at all. In any event, our existing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cash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of $628.1 million as of December 31, 2025, will enable us to fund our operating expenses and capital expenditure requirements for at least 12 months from the date of filing of this Annual Report.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87" w:lineRule="exact"/>
        <w:rPr>
          <w:sz w:val="20"/>
          <w:szCs w:val="20"/>
          <w:color w:val="auto"/>
        </w:rPr>
      </w:pPr>
    </w:p>
    <w:p>
      <w:pPr>
        <w:ind w:left="1040" w:right="31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our current and future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or other arrangements;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one or more future product candidates for our pipeline;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our current and future product candidates;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and associated costs as we progress our research and development and establish a commercial infrastructure;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While the long-term economic impact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is difficult to assess or predict, these events have caused or may cause significant disruptions to the global financial markets and have contributed or may contribute to a general global economic slowdown. Furthermore, inflation rates, particularly in the United States and the United Kingdom, recently increased to levels not seen in decades and, despite recent decreases, remain high. Increased inflation may result in increased operating costs (including labor costs) and may affect our operating budgets. Future increases in interest rates, especially if coupled with reduced government spending and volatility in financial markets and the global banking system, may further increase economic uncertainty and heighten these risks.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or holders of our ADSs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restrict our operations or cause us to relinquish valuable rights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licensing arrangements or monetization transactions. To the extent that we raise additional capital through the sale of equity, convertible debt securities or other equity-based derivative securities, the ownership interest of existing holders of our ADSs or ordinary shares will be diluted and the terms may include liquidation or other preferences that adversely affect existing holders’ rights. Any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and alliances, licensing arrangements or monetization transactions with third parties, we may have to relinquish valuable rights to our technologies, or our product candidates, or grant licenses on terms unfavorable to us. Adequate additional financing may not be available to us on acceptable terms, or at all.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Development and Regulatory Approval of Our Product Candidates</w:t>
      </w:r>
    </w:p>
    <w:p>
      <w:pPr>
        <w:spacing w:after="0" w:line="22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internal development programs and of our product candidates from our BDC and BRC programs, which may not successfully complete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receive regulatory approval or be successfully commercialized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Our future success will depend heavily on the success of our internal development programs and of product candidates from our BDC and BRC programs.</w:t>
      </w:r>
    </w:p>
    <w:p>
      <w:pPr>
        <w:spacing w:after="0" w:line="162" w:lineRule="exact"/>
        <w:rPr>
          <w:sz w:val="20"/>
          <w:szCs w:val="20"/>
          <w:color w:val="auto"/>
        </w:rPr>
      </w:pPr>
    </w:p>
    <w:p>
      <w:pPr>
        <w:ind w:left="60" w:right="59" w:firstLine="648"/>
        <w:spacing w:after="0" w:line="244" w:lineRule="auto"/>
        <w:rPr>
          <w:sz w:val="20"/>
          <w:szCs w:val="20"/>
          <w:color w:val="auto"/>
        </w:rPr>
      </w:pPr>
      <w:r>
        <w:rPr>
          <w:rFonts w:ascii="Times New Roman" w:cs="Times New Roman" w:eastAsia="Times New Roman" w:hAnsi="Times New Roman"/>
          <w:sz w:val="18"/>
          <w:szCs w:val="18"/>
          <w:color w:val="auto"/>
        </w:rPr>
        <w:t xml:space="preserve">Within our BDC programs, we are evaluating nuzefatide pevedotin, formerly BT5528, a BDC molecule that targets Ephrin type-A receptor 2, or EphA2 and carries a MMAE cytotoxin payload, in an ongoing, company-sponsored Phase I/II clinical trial to assess safety, pharmacokinetics and preliminary clinical activity in patients with advanced malignancies historically associated with EphA2 expression as well as an ongoing, company-sponsored Phase II clinical trial to evaluate the efficacy, safety and pharmacokinetics of nuzefatide pevedotin in adult patients with recurrent metastatic pancreatic ductal adenocarcinoma. In addition, IND-enabling activities are currently ongoing for BT1702, a theranostic BRC molecule targeting MT1-MMP and carrying a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There can be no assurance our BDC or BRC molecules will ever demonstrate evidence of safety or effectiveness for any use or receive regulatory approval in the United States, the European Union, or any other country in any indication. Even if clinical trials show positive results, there can be no assurance that the FDA in the United States, or the European Commission, whose decision is based on an opinion from the EMA in Europe or similar regulatory authorities will approve our BDC or BRC molecules or any of our other product candidates for any given indication for several potential reasons, including the failure to follow Good Clinical Practice, or GCP, a negative assessment of the risks and benefits, insufficient product quality control and standardization, failure to have Good Manufacturing Practices, or GMP, compliant manufacturing facilities, or the failure to agree with regulatory authorities on clinical endpoints.</w:t>
      </w:r>
    </w:p>
    <w:p>
      <w:pPr>
        <w:spacing w:after="0" w:line="20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Our ability to successfully commercialize our BDC molecules, BRC molecules, and our other product candidates will depend on, among other things, our ability to:</w:t>
      </w:r>
    </w:p>
    <w:p>
      <w:pPr>
        <w:spacing w:after="0" w:line="162"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preclinical studies and clinical trials, which may be delayed;</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approvals from the FDA, the European Commission based on an opinion from the EMA and other similar regulatory authorities;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15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 with third parties for the development and/or commercialization of our product candidates, or otherwise build and maintain strong development, sales, distribution and marketing capabilities that are sufficient to develop products and launch commercial sales of any approved products;</w:t>
      </w:r>
    </w:p>
    <w:p>
      <w:pPr>
        <w:spacing w:after="0" w:line="17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payors such as government health care systems and insurance companies and achieve commercially attractive levels of pricing;</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acceptance of our product candidates from physicians, health care payors, patients and the medical community;</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in manufacturing facilities inspected and approved by regulatory authorities, including the FDA, sufficiently large quantities of our product candidates to permit successful commercialization;</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expenses increase due to clinical trials and commercialization; and</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enforce sufficient intellectual property rights for any approved products and product candidates and maintain freedom to operate for such products with respect to the intellectual property rights of third parties.</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Of the large number of drugs in development in the pharmaceutical industry, only a small percentage result in the submission of a new drug application, or NDA, to the FDA or comparable foreign applications to competent regulatory authorities abroad, and even fewer are approved for commercialization. Furthermore, even if we do receive regulatory approval to market our product candidates, any such approval may be subject to limitations on the indicated uses or patient populations for which we may market the product. Accordingly, even if we are able to obtain the requisite financing to continue to fund our development programs, we cannot provide assurance that our product candidates will be successfully developed or commercialized. If we are unable to develop, or obtain regulatory approval for, or, if approved, to successfully commercialize our product candidates, we may not be able to generate sufficient revenue to continue our business.</w:t>
      </w:r>
    </w:p>
    <w:p>
      <w:pPr>
        <w:spacing w:after="0" w:line="18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231F20"/>
        </w:rPr>
        <w:t>In addition, the policies of the FDA, the competent authorities of the EU Member States, the EMA, the European Commission and other comparable regulatory authorities responsible for clinical trials may change and additional government regulations may be enacted. For instance, the regulatory landscape related to clinical trials in the EU recently evolved. The CTR, which was adopted in April 2014 and repeals the CTD, became applicable on January 31, 2022. The CTR introduces, among other changes, a centralized application system, coordinated review procedures, expanded reporting and increased transparency obligations. Compliance with the CTR requirements by us and our third-party service providers, such as CROs, may impact our developments plans.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231F20"/>
        </w:rPr>
        <w:t>In addition, on December 11, 2025, the European Commission, European Parliament and European Council reached a political agreement on a comprehensive overhaul of EU pharmaceutical legislation, or the Pharma Package. The reform has been under negotiation since the European Commission submitted its proposal in April 2023. This package, composed of a new directive and regulation to replace existing legislation, aims to modernize the EU framework. The political agreement is still subject to formal approval by the European Parliament and European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spacing w:after="0" w:line="194"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Moreover, following a public consultation that began in 2022, the United Kingdom government has enacted new legislation to overhaul the clinical trials regulatory framework. In April 2025, the United Kingdom adopted an amendment to the Medicines for Human Use (Clinical Trials) Regulations 2004 intended to support a more streamlined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and flexible regulation of clinical trials, remove unnecessary administrative burdens on trial sponsors, and protect the interests of trial participants. It also intends to bring the U.K. regulatory framework for clinical trials into closer alignment with the EU’s CTR. The amendment will become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p>
    <w:p>
      <w:pPr>
        <w:spacing w:after="0" w:line="18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231F20"/>
        </w:rPr>
        <w:t>If we are slow or unable to adapt to changes in existing requirements or the adoption of new requirements or policies, our development plans may be impacted.</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at an early stage in our development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product candidates and those of our collaborators represent a new category of medicines and may be subject to heightened regulatory scrutiny until they are established as a therapeutic modality</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Our product candidates may not demonstrate in patients any or all of the pharmacological benefits we believe they may possess. We have not yet succeeded and may never succeed in demonstrating efficacy and safety for these or any other product candidates in clinical trials or in obtaining marketing approval thereafter.</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Regulatory authorities have limited experience with Bicycle molecules and may require evidence of safety and efficacy that goes beyond what we and our collaborators have included in our development plans. In such a case, development of Bicycle product candidates may be more costly or time-consuming than expected, and our candidate products and those of our collaboration partners may not prove to be viable.</w:t>
      </w:r>
    </w:p>
    <w:p>
      <w:pPr>
        <w:spacing w:after="0" w:line="18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those of our collaborators will need to undergo preclinical and clinical trials that are time consuming and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outcomes of which are unpredictable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for which there is a high risk of failure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preclinical or clinical trials of our or their product candidates fail to satisfactorily demonstrate safety and efficacy to the FDA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EMA and the European Commission and any other comparable regulatory 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additional costs may be incurred or delays experienced in completing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development of these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their development may be abandoned</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in the United States, the European Commission based on a positive opinion from the EMA, or national competent regulatory authorities in the EEA, countries and any other comparable regulatory authorities in other jurisdictions must approve product candidates before they can be marketed, promoted or sold in those territories. We have not previously submitted an NDA to the FDA or similar drug approval filings to comparable foreign regulatory authorities for any of our product candidates. We must provide these regulatory authorities with data from preclinical studies and clinical trials that demonstrate that our product candidates are safe and effective for a specific indication before they can be approved for commercial distribution. We cannot be certain that our clinical trials for our product candidates will be successful or that any of our other product candidates will receive approval from the FDA, the European Commission based on a positive opinion from the EMA or any other comparable regulatory authority.</w:t>
      </w:r>
    </w:p>
    <w:p>
      <w:pPr>
        <w:spacing w:after="0" w:line="188"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 are inherently unpredictable and can occur at any stage. New or ongoing public health crises may also impact our and our collaboration partners’ abilities to activate trial sites or enroll patients in clinical trials or to otherwise advance those clinical trials. Interruptions resulting from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crises may reduce our, or our collaboration partners’, abilities to administer the investigational product to enrolled patients, present difficulties for enrolled patients to adhere to protocol-mandated visits and laboratory/diagnostic testing, increase the possibility of patient dropouts, or impact our, and our suppliers’, abilities to provide investigational product to trial sites, all of which could negatively impact the data we are able to obtain from our clinical trials and complicate regulatory review.</w:t>
      </w:r>
    </w:p>
    <w:p>
      <w:pPr>
        <w:spacing w:after="0" w:line="16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may also be required to conduct additional clinical trials or other testing of our product candidates beyond the trials and testing that we contemplate, which may lead to us incurring additional unplanned costs or result in delays in clinical development. In addition, we may be required to redesign or otherwise modify our plans with respect to an ongoing or planned clinical trial, and changing the design of a clinical trial can be expensive and time consuming. An unfavorable outcome in one or more trials would be a major setback for our product candidates and for us. An unfavorable outcome in one or more trials may require us to delay, reduce the scope of or eliminate one or more product development programs, which could have a material adverse effect on our business, financial position, results of operations and future growth prospects.</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marketing approval for our product candidates. The FDA, EMA or the European Commission or any other comparable regulatory authority may disagree with our clinical trial design and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connection with clinical trials of our product candidates, we face a number of risks, including risks that:</w:t>
      </w:r>
    </w:p>
    <w:p>
      <w:pPr>
        <w:spacing w:after="0" w:line="225" w:lineRule="exact"/>
        <w:rPr>
          <w:sz w:val="20"/>
          <w:szCs w:val="20"/>
          <w:color w:val="auto"/>
        </w:rPr>
      </w:pPr>
    </w:p>
    <w:p>
      <w:pPr>
        <w:ind w:left="1040" w:right="4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ineffective, inferior or a rigorous comparison cannot be made to existing approved products for the same indications;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causes or is associated with unacceptable toxicity or has unacceptable side effects;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die or suffer adverse effects for reasons that may or may not be related to the product candidate being tested;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meet the level of statistical significance required by the FDA, the EMA or the European Commission or other relevant regulatory authorities to establish the safety and efficacy of our product candidates for continued trial or marketing approval;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be unable or unwilling to perform under their contracts.</w:t>
      </w:r>
    </w:p>
    <w:p>
      <w:pPr>
        <w:spacing w:after="0" w:line="22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the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milestones in the timeframes we expect, the commercialization of our product candidates may be delayed, we may not be entitled to receive certain contractual payments, which could have a material adverse effect on our business, financial position,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delay or prevent us from proceeding with clinical trials of our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clinical trials because of negative publicity from adverse events related to novel therapeutic approaches, competitive clinical trials for similar patient populations, the existence of current treatments or for other reasons. Enrollment risks are heightened with respect to certain indications that we may target for one or more of our product candidates that may be rare diseases, which may limit the pool of patients that may be enrolled in our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94"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p>
    <w:p>
      <w:pPr>
        <w:spacing w:after="0" w:line="168"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 to treatment of diseases;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subject’s disease at the time of enrollment;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addition, clinical testing of our product candidates generally is performed in multiple jurisdictions, including countries outside of the United States. Our ability to successfully initiate, enroll and complete a clinical trial in any foreign country is subject to numerous risks unique to conducting business in foreign countries, including: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academic partners or CROs and physicians;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protocols related to our novel approach;</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future clinical trials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The outcome of preclinical studies and early clinical trials may not be predictive of the success of later clinical trials, and preliminary or interim results of clinical trials do not necessarily predict success in the results of completed clinical trials. Many companies in the pharmaceutical and biotechnology industries have suffered significant setbacks in late-stage clinical trials after achieving positive results in earlier development, and we could face similar setbacks. For example, the interim results of our company-sponsored Phase I/II clinical trials of nuzefatide pevedotin, zelenectide pevedotin and BT7480, including specific patient responses we have observed and disclosed, may not be replicated in the completed data sets or in future trials at global clinical trial sites in a later stage clinical trial conducted by us or our collaborators. The design of a clinical trial can determine whether its results will support approval of a product and flaws in the design of a clinical trial may not become apparent until the clinical trial is well advanced. We have limited experience in designing late-stage clinical trials and may be unable to design and execute a clinical trial to support marketing approval.</w:t>
      </w:r>
    </w:p>
    <w:p>
      <w:pPr>
        <w:spacing w:after="0" w:line="17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our ability to enroll trial participants,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8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validate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develop and obtain regulatory approval for companion diagnostics could harm our drug development strategy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399" w:firstLine="648"/>
        <w:spacing w:after="0" w:line="255" w:lineRule="auto"/>
        <w:rPr>
          <w:sz w:val="20"/>
          <w:szCs w:val="20"/>
          <w:color w:val="auto"/>
        </w:rPr>
      </w:pPr>
      <w:r>
        <w:rPr>
          <w:rFonts w:ascii="Times New Roman" w:cs="Times New Roman" w:eastAsia="Times New Roman" w:hAnsi="Times New Roman"/>
          <w:sz w:val="18"/>
          <w:szCs w:val="18"/>
          <w:color w:val="auto"/>
        </w:rPr>
        <w:t>We may employ companion diagnostics to help us more accurately identify patients within a particular subset, both during our clinical trials and in connection with the commercialization of our product candidates that we are developing or may in the future develop. Companion diagnostics are subject to regulation by the FDA and comparable foreign regulatory authorities as medical devices and require separate regulatory approval or certification prior to commercialization. In the EEA (and Northern Ireland), in order to place an in vitro diagnostic medical device on the market, the device must be designed, developed, manufactured and marketed in compliance with the Regulation on In-Vitro Diagnostic Devices (Regulation (EU) 2017/746), which is a lengthy and costly process.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do not develop companion diagnostics internally and thus we will be dependent on the sustained cooperation and effort of our third-party collaborators in developing and obtaining approval or certification for these companion diagnostics. There can be no guarantees that we will successfully find a suitable collaborator to develop companion diagnostics. We and our collaborators may encounter difficulties in developing and obtaining approval or certification for the companion diagnostics, including issues relating to selectivity/specificity, analytical validation, reproducibility, or clinical validation. Any delay or failure by our collaborators to develop or obtain regulatory approval or certification of the companion diagnostics could delay or prevent approval of our product candidates. In addition, our collaborators may encounter production difficulties that could constrain the supply of the companion diagnostics, and both they and we may have difficulties gaining acceptance of the use of the companion diagnostics in the clinical community or difficulties obtaining insurance coverage and reimbursement from private insurance or government payors. If such companion diagnostics fail to gain market acceptance, our ability to derive revenues from sales of any products, if approved, will be adversely affected.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89" w:lineRule="exact"/>
        <w:rPr>
          <w:sz w:val="20"/>
          <w:szCs w:val="20"/>
          <w:color w:val="auto"/>
        </w:rPr>
      </w:pPr>
    </w:p>
    <w:p>
      <w:pPr>
        <w:jc w:val="both"/>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prevent their marketing approval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limit their commercial potential or result in significant negative consequences</w:t>
      </w:r>
      <w:r>
        <w:rPr>
          <w:rFonts w:ascii="Times New Roman" w:cs="Times New Roman" w:eastAsia="Times New Roman" w:hAnsi="Times New Roman"/>
          <w:sz w:val="17"/>
          <w:szCs w:val="17"/>
          <w:i w:val="1"/>
          <w:iCs w:val="1"/>
          <w:color w:val="auto"/>
        </w:rPr>
        <w:t>.</w:t>
      </w:r>
    </w:p>
    <w:p>
      <w:pPr>
        <w:spacing w:after="0" w:line="15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 If unacceptable side effect profiles arise, or side effects beyond those identified to date develop or worsen, as we continue development of our current or future product candidates, we, the FDA or comparable foreign regulatory authorities, the Institutional Review Boards, or IRBs, or independent ethics committees at the institutions in which our studies are conducted, or Safety Review Committees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cause delays in ongoing clinical trials, or result in potential product liability claims. In addition, these side effects may not be appropriately recognized or managed by the treating medical staff. We may be required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19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Three of our product candidates are currently undergoing safety testing in the form of Phase I/II or Phase II/III clinical trials. None of our products have completed this testing to date. While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rarer, after our products have been approved by regulatory authorities and the approved product has been marketed, resulting in the exposure of additional patients. So far, we have not demonstrated, and we cannot predict if ongoing or future clinical trials will demonstrate, that nuzefatide pevedotin, zelenectide pevedotin, BT7480 or any other of our product candidates are safe in humans.</w:t>
      </w:r>
    </w:p>
    <w:p>
      <w:pPr>
        <w:spacing w:after="0" w:line="192"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Moreover, clinical trials of our product candidates are conducted in carefully defined sets of patients who have agreed to enter into clinical trials. Consequently, it is possible that our clinical trials may indicate an apparent positive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consequences could occur:</w:t>
      </w:r>
    </w:p>
    <w:p>
      <w:pPr>
        <w:spacing w:after="0" w:line="180"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need to recall the product, or be required to change the way the product is administered or conduct additional clinical trials;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be required to create a medication guide outlining the risks of the previously unidentified side effects for distribution to patients;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fail to demonstrate safety and efficacy in clinical trials or do not gain marketing approval, we will not be able to generate revenue and our business will be harmed. Any of these events could harm our business and operations, and could negatively impact the price of our ADSs.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delayed or may not be successful in our efforts to identify or discover additional product candidates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Although we intend to utilize our Bicycle screening platform to explore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A key part of our strategy is to utilize our screening technology to identify product candidates to pursue in clinical development. Such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If we fail to identify and develop additional potential product candidates, we may be unable to grow our business and our results of operations could be materially harmed.</w:t>
      </w:r>
    </w:p>
    <w:p>
      <w:pPr>
        <w:spacing w:after="0" w:line="17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development strategy, product candidate or indication and fail to capitalize on strategies, product candidates or indications that may be more profitable or for which there is a greater likelihood of success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Phase II/III Duravelo-2 clinical trial for zelenectide pevedotin are promising, demonstrating response rates comparable to published rates for existing standards of care and a differentiated safety profile, we plan to convert the Phase II/III Duravelo-2 registrational trial to a randomized Phase II</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clinical trial and deprioritize the program for internal development while we evaluate next steps for zelenectide pevedotin following preliminary feedback from regulatory agencies. In addition, as part of the strategic reprioritization, we plan to discontinue the Phase I/II clinical trials evaluating zelenectide pevedotin in patients with NECTIN4 amplified advanced breast cancer and NECTIN4 amplified advanced or metastatic non-small cell lung cancer. Further enrollment in these trials will be closed and patients already enrolled will complete their course of treatment.</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past resource allocation decisions, and those we may make in the future,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8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successful claims are brought against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incur substantial liability and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the use of our product candidates harms patients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is perceived to harm patients even when such harm is unrelated to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regulatory approvals could be revoked or otherwise negatively impacted and we could be subject to costly and damaging product liability claims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187"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business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clinical trial participants;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maintain insurance coverage at a reasonable cost or in sufficient amounts to protect us against losses due to liability. We intend to expand our insurance coverage each time we commercialize an additional product;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ADS price to decline and, if judgments exceed our insurance coverage, could adversely affect our results of operations and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Patients with the diseases targeted by certain of our product candidates, such as our lead indications in oncology,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but there can be no assurance that we will successfully obtain such designations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 addition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even if one or more of our product candidates are granted such designations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realize the intended benefits of such designations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FDA and other comparable regulatory authorities offer certain designations for product candidates that are intended to encourage the research and development of pharmaceutical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any of our other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92"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one or more of our product candidates. A breakthrough therapy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9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 The EMA has a similar program called PRIME.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5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seek priority review designation for one or more of our product candidates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but we might not receive such designation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and even if we do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such designation may not lead to a faster regulatory review or approval process</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90"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do not have experience in obtaining reimbursement or pricing approvals in international markets.</w:t>
      </w:r>
    </w:p>
    <w:p>
      <w:pPr>
        <w:spacing w:after="0" w:line="19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Obtaining marketing approvals and compliance with regulatory requirements could result in significant delays, difficulties and costs for us and could delay or prevent the introduction of our products in certain countries outside of the United States.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regulatory landscape, policies, or processes, as well as disruptions at the FDA and other government agencies caused by layoffs, changes in personnel, funding shortages or global health concerns could negatively impact our business.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proposed clinical trials or approve new products can be affected by a variety of factors, including government budget and funding levels, statutory, regulatory, and policy changes, the FDA’s ability to hire and retain key personnel and accept payment of user fees, and other events that may otherwise affect the FDA’s ability to perform routine functions. In addition, government funding of other government agencies that fund research and development activities is subject to the political process, including executive and congressional priorities, the impacts of which are inherently fluid and unpredictable.</w:t>
      </w:r>
    </w:p>
    <w:p>
      <w:pPr>
        <w:spacing w:after="0" w:line="18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new product candidates to be reviewed and/or approved, which would adversely affect our business. For example, over the last several years, including in October 2025,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also increased uncertainty as to how the FDA and other regulatory agencies will regulate our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Other Regulatory Compliance Matters</w:t>
      </w:r>
    </w:p>
    <w:p>
      <w:pPr>
        <w:spacing w:after="0" w:line="225"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marketing approval process is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time consuming and uncertain and may prevent us or any collaborators from obtaining approvals for the commercialization of some or all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 result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cannot predict when or if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in which territories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any collaborators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will obtain marketing approval to commercialize a product candidate</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Varying interpretations of the data obtained from preclinical and clinical testing could delay, limit or prevent marketing approval of a product candidate. We cannot commercialize a product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which could delay anticipated approval decisions and otherwise delay or limit our ability to make planned regulatory submissions or obtain new product approvals.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Any marketing approval we ultimately obtain, if any, may be limited or subject to restrictions or post-approval commitments that render the approved product not commercially viable.</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trial.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addition, regulatory authorities may not approve the labeling claims that are necessary or desirable for the successful commercialization of our product candidates. For example, regulatory authorities may approve a product candidate for fewer or more limited indications than requested or may grant approval subject to the performance of post-marketing studies. Regulators may approve a product candidate for a smaller patient population, a different drug formulation or a different manufacturing process, than we are seeking. If we are unable to obtain necessary regulatory approvals, or more limited regulatory approvals than we expect, our business, prospects, financial condition and results of operations may suffer.</w:t>
      </w:r>
    </w:p>
    <w:p>
      <w:pPr>
        <w:spacing w:after="0" w:line="18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negatively impact our ability to generate revenue from the particular product candidate, which likely would result in significant harm to our financial position and adversely impact the price of our ADSs.</w:t>
      </w:r>
    </w:p>
    <w:p>
      <w:pPr>
        <w:spacing w:after="0" w:line="1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limited 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sales or distribution infrastructure with respect to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we are unable to develop our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marketing and distribution capability on our own or through collaborations with marketing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will not be successful in commercializing our product candidates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currently have limited marketing, sales or distribution capabilities and have limited sales or marketing experience within our organization. If one or more of our product candidates is approved, we intend either to build our sales and marketing organization with technical expertise and supporting distribution capabilities to commercialize that product candidate, or to outsource this function to a third party. There are risks involved with either building our own sales and marketing capabilities and entering into arrangements with third parties to perform these services.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Recruiting and training an internal commercial organization is expensive and time consuming and could delay any product launch. Some or all of these costs may be incurred in advance of any approval of any of our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In addition, we may not be able to hire a sales force in the United States or other target market that is sufficient in size or has adequate expertise in the medical markets that we intend to target.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25"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our failure to educate physicians on the benefits of prescribing our products;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expanding an independent sales and marketing organization.</w:t>
      </w:r>
    </w:p>
    <w:p>
      <w:pPr>
        <w:spacing w:after="0" w:line="22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market opportunities for any current or future product candidate we develop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if and when approved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may be limited to those patients who are ineligible for established therapies or for whom prior therapies have failed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and may be small</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third-line or later-line therapies, and the FDA often approves new therapies initially only for third-line use. When cancer is detected early enough, first-line therapy, usually chemotherapy, hormone therapy, surgery, radiation therapy, immunotherapy or a combination of these, is sometimes adequate to cure the cancer or prolong life without a cure. Second- and third-line therapies are administered to patients when prior therapy is not effective. We may initially seek approval of nuzefatide pevedotin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use as first- or second-line therapy.</w:t>
      </w:r>
    </w:p>
    <w:p>
      <w:pPr>
        <w:spacing w:after="0" w:line="17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will be subject to ongoing regulatory obligations and continued regulatory review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may result in significant additional expense and we may be subject to penalties if we fail to comply with regulatory requirements or experience unanticipated problems with our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approved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or comparable foreign regulatory authorities may also require a Risk Evaluation and Mitigation Strategy, or REMS, or a comparable foreign strategy, as a condition of approval of any product candidate, which could include requirements for a medication guide, physician communication plans or additional elements to ensure safe use, such as restricted distribution methods, patient registries and other risk minimization tools.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among others, submissions of safety and other post-marketing information and reports, registration, as well as continued compliance with current Good Manufacturing Practice, or cGMP, and Good Clinical Practice, or GCP, for any clinical trials that we conduct post-approval, and prohibitions on the promotion of an approved product for uses not included in the product’s approved labeling. The FDA and other or comparable foreign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Similar considerations apply outside of the United States.</w:t>
      </w:r>
    </w:p>
    <w:p>
      <w:pPr>
        <w:spacing w:after="0" w:line="19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ind w:left="1040" w:right="61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distribution,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and warning letters, or holds on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81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we filed or suspension or revocation of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safer or less expensive than the product candidates we develop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commercial opportunities will be negatively impacted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therapeutics that will compete, if approved, with other products and therapies that currently exist, are being developed or will in the future be developed, some of which we may not currently be aware.</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7"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There are a large number of companies developing or marketing treatments for cancer, including many major pharmaceutical and biotechnology companies. These treatments consist both of small molecule drug products, such as traditional chemotherapy, as well as novel immunotherapies. For example, a number of companies are developing programs for the targets, including Nectin-4 and EphA2, that we are exploring for our BDC programs, including, but not limited to, Pfizer Inc. (formerly Seagen, acquired by Pfizer Inc. in December 2023) which has a marketed Nectin-4 antibody-drug conjugate, Eli Lilly and Company, Mabwell Therapeutics, Inc., Tianjin Conjustar Biologics Co., Ltd. and Stemline Therapeutics. Furthermore, many companies are developing programs for radiopharmaceutical therapies.</w:t>
      </w:r>
    </w:p>
    <w:p>
      <w:pPr>
        <w:spacing w:after="0" w:line="189"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also may obtain FDA, EU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current or future product candidate will depend upon the degree of market acceptance by physicians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patients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payors and others in the medical community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have never commercialized a product, and even if we obtain any regulatory approval for our product candidates, the commercial success of our product candidates will depend in part on the medical community, patients, and payors accepting products based on our Bicycle peptides in general, and our product candidates in particular, as effective, safe and cost-effective. Any product that we bring to the market may not gain market acceptance by physicians, patients,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9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these product candidates, if approved for commercial sale, will depend on a number of factors, including:</w:t>
      </w:r>
    </w:p>
    <w:p>
      <w:pPr>
        <w:spacing w:after="0" w:line="162"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side effects, including any limitations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side effects resulting from follow-up requirements for the administration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and adequate reimbursement.</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particularly due to the novelty of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Bicycle approach. If these products do not achieve an adequate level of acceptance, we may not generate significant product revenue and may not become profitable.</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product revenues may be adversely affected and our business may suffer</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oncology indications and our product candidates are designed to target specific tumor antigens. Our understanding of both the number of people who have these diseases, as well as the subset of people with these diseases who have the potential to benefit from treatment with our product candidates, is based on estimates. These estimates may prove to be incorrect and new studies may reduce the estimated incidence or prevalence of these diseases. Patient identification efforts also influence the ability to address a patient population. If efforts in patient identification are unsuccessful or less impactful than anticipated, we may not address the entirety of the opportunity we are seeking.</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addition, the tumor antigens that our product candidates target may not be expressed as broadly as we anticipate. Further, if companion diagnostics are not developed alongside our product candidates, testing patients for the tumor antigens may not be possible, which would hamper our ability to identify patients who could benefit from treatment with our product candidates.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a result, the number of patients we are able to identify in the United States, the European Union and elsewhere may turn out to be lower than expected, may not be otherwise amenable to treatment with our products or patients may become increasingly difficult to access, all of which would adversely affect our business, financial condition, results of operations and prospects.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Failure to obtain or maintain adequate coverage and reimbursement for any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approved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could limit our ability to market those products and decrease our ability to generate revenue</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expect the cost of our product candidates to be substantial, when and if they achieve market approval. 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private payors, such as private health coverage insurers, health maintenance, managed care, pharmacy benefit and similar healthcare management organizations, or reimbursed by government health care programs, such as Medicare and Medicaid. We may not be able to provide data sufficient to gain acceptance with respect to coverage and reimbursement. If reimbursement is not available, or is available only at limited levels, we may not be able to successfully commercialize our product candidates, even if approved. Even if coverage is provided, the approved reimbursement amount may not be high enough to allow us to establish or maintain pricing sufficient to realize a sufficient return on our investment.</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medicines are typically made by the CMS as the CMS decides whether and to what extent a new medicine will be covered and reimbursed under Medicare. Private payors tend to follow CMS to a substantial degree. It is difficult to predict what CMS will decide with respect to coverage and reimbursement for novel products such as ours, as there is no body of established practices and precedents for these new products. Coverage and reimbursement by a third-party payor may depend upon a number of factors, including the third-party payor’s determination that use of a product is: (1) a covered benefit under its health plan; (2) safe, effective and medically necessary; (3) appropriate for the specific patient; (4) cost-effective; and (5) neither experimental nor investigational. In the United States, no uniform policy of coverage and reimbursement for products exists among third-party payors.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Even if we obtain coverage for a given product, the resulting reimbursement payment rates might not be adequate for us to achieve or sustain profitability or may require co-payments that patients find unacceptably high.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Third-party payors may limit coverage to specific drug products on an approved list, also known as a formulary, which might not include all of the approved drugs for a particular indication.</w:t>
      </w:r>
    </w:p>
    <w:p>
      <w:pPr>
        <w:spacing w:after="0" w:line="162"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or our collaborators will be required to obtain coverage and reimbursement for companion diagnostic tests separate and apart from the coverage and reimbursement we seek for our product candidates, once approved. There is significant uncertainty regarding our and our collaborators’ ability to obtain coverage and adequate reimbursement for any companion diagnostic test for the same reasons applicable to our product candidates.</w:t>
      </w:r>
    </w:p>
    <w:p>
      <w:pPr>
        <w:spacing w:after="0" w:line="180"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Outside the United States, certain countries, including a number of member states of the European Union, set prices and reimbursement for pharmaceutical products, or medicinal products, as they are commonly referred to in the European Union. These countries have broad discretion in setting prices and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lawfully marketed. In many countries, the pricing review period begins after marketing or product licensing approval is granted. To obtain reimbursement or pricing approval in some countries, we, or any collaborators, may be required to conduct a clinical trial that compares the cost-effectiveness of our product to other available therapies.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9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efforts by governments and payors, in the United States and abroad, to cap or reduce healthcare costs may cause such organizations to limit both coverage and level of reimbursement for new products approved and, as a result, they may not cover or provide adequate reimbursement for our product candidates. There has been increasing legislative and enforcement interest in the United States with respect to specialty drugs.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9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spacing w:after="0" w:line="180"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On January 12, 2025, the HTA Regulation entered into application through a phased implementation. It is intended to boost cooperation among EU Member States in assessing health technologies, including new medicinal products. The HTA Regulation establishes a framework for joint clinical assessments, joint scientific consultations, 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early identification of emerging health technologies. The HTA Regulation permits Member States to use common HTA tools, methodologies, and procedures across the European Union and requires them to rely on EU-level joint clinical assessment reports for the clinical components of their national HTA evaluations. EU Member States, however, remain responsible for assessing non-clinical aspects, such as economic, ethical, and social considerations, and for making pricing and reimbursement decisions at the national level. Individual Member States continue to be responsible for assessing non-clinical (e.g., economic, social, ethical) aspects of health technologies, and making decisions on pricing and reimbursement. As implementation of the HTA Regulation is phased in and key methodological and procedural guidance continues to evolve, there remains uncertainty regarding the evidence requirements, timing, and impact of joint clinical assessments on national reimbursement processes. The new framework may result in additional or differently structured evidentiary expectations, misalignment between assessment and regulatory timelines, or delays in national decisions. Any adverse or delayed HTA outcomes, or divergent national reimbursement decisions, could negatively affect our ability to obtain or maintain favorable pricing and reimbursement status for any product candidates, if approved. If we are unable to maintain favorable pricing and reimbursement status in Member States for product candidates that we may successfully develop and for which we may obtain regulatory approval, any anticipated revenue from and growth prospects for those products in the EU could be negatively affected. In light of the fact that the U.K. has left the EU, the HTA Regulation does not apply in the U.K. However, the U.K. MHRA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p>
    <w:p>
      <w:pPr>
        <w:spacing w:after="0" w:line="18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If reimbursement of our products is unavailable or limited in scope or amount, or if pricing is set at unsatisfactory levels, our business could be harmed.</w:t>
      </w:r>
    </w:p>
    <w:p>
      <w:pPr>
        <w:spacing w:after="0" w:line="15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 candidates that receive marketing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such authorities do not grant such products appropriate periods of data exclusivity before approving generic versions of such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sales of such products could be adversely affected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generally must show that its product has the same active ingredient(s), dosage form, strength, route of administration and conditions of use or labeling as the reference-listed drug and that the generic version is bioequivalent to the reference-listed drug, meaning, in part, that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and the price of the branded product may be lowered.</w:t>
      </w:r>
    </w:p>
    <w:p>
      <w:pPr>
        <w:spacing w:after="0" w:line="177" w:lineRule="exact"/>
        <w:rPr>
          <w:sz w:val="20"/>
          <w:szCs w:val="20"/>
          <w:color w:val="auto"/>
        </w:rPr>
      </w:pPr>
    </w:p>
    <w:p>
      <w:pPr>
        <w:jc w:val="both"/>
        <w:ind w:left="60" w:right="399" w:firstLine="648"/>
        <w:spacing w:after="0" w:line="272" w:lineRule="auto"/>
        <w:rPr>
          <w:sz w:val="20"/>
          <w:szCs w:val="20"/>
          <w:color w:val="auto"/>
        </w:rPr>
      </w:pPr>
      <w:r>
        <w:rPr>
          <w:rFonts w:ascii="Times New Roman" w:cs="Times New Roman" w:eastAsia="Times New Roman" w:hAnsi="Times New Roman"/>
          <w:sz w:val="17"/>
          <w:szCs w:val="17"/>
          <w:color w:val="auto"/>
        </w:rPr>
        <w:t>The FDA may not accept for review or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w:t>
      </w:r>
    </w:p>
    <w:p>
      <w:pPr>
        <w:spacing w:after="0" w:line="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Three-year exclusivity is given to a non-NCE drug if the NDA includes reports of one or more new clinical investigations, other than bioavailability or bioequivalence studies, that were conducted by or for the applicant and are essential to the approval of the NDA.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Manufacturers may seek to launch these generic products following the expiration of the applicable marketing exclusivity period, even if we still have patent protection for our product.</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72" w:lineRule="exact"/>
        <w:rPr>
          <w:sz w:val="20"/>
          <w:szCs w:val="20"/>
          <w:color w:val="auto"/>
        </w:rPr>
      </w:pPr>
    </w:p>
    <w:p>
      <w:pPr>
        <w:jc w:val="both"/>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directly or indirectly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to federal and state healthcare fraud and abuse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false claims laws, health information privacy and security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other health care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we are unable to comply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have not fully complied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with such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face substantial penalties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U.S. federal and state fraud and abuse laws and regulations, including, without limitation, the federal Health Care Program Anti-Kickback Statute, or Anti-Kickback Statute, the federal civil and criminal False Claims Act and Physician Payments Sunshine Act and regulations.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our business. The laws that will affect our operations include, but are not limited to:</w:t>
      </w:r>
    </w:p>
    <w:p>
      <w:pPr>
        <w:spacing w:after="0" w:line="192" w:lineRule="exact"/>
        <w:rPr>
          <w:sz w:val="20"/>
          <w:szCs w:val="20"/>
          <w:color w:val="auto"/>
        </w:rPr>
      </w:pPr>
    </w:p>
    <w:p>
      <w:pPr>
        <w:ind w:left="1040" w:right="99" w:hanging="315"/>
        <w:spacing w:after="0" w:line="25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the Medicare and Medicaid programs. “Remuneration” has been interpreted broadly to include anything of value.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federal False Claims Act, or FCA, or federal civil money penalties.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p>
      <w:pPr>
        <w:spacing w:after="0" w:line="190" w:lineRule="exact"/>
        <w:rPr>
          <w:rFonts w:ascii="Times New Roman" w:cs="Times New Roman" w:eastAsia="Times New Roman" w:hAnsi="Times New Roman"/>
          <w:sz w:val="18"/>
          <w:szCs w:val="18"/>
          <w:color w:val="auto"/>
        </w:rPr>
      </w:pPr>
    </w:p>
    <w:p>
      <w:pPr>
        <w:ind w:left="1040" w:right="99" w:hanging="315"/>
        <w:spacing w:after="0" w:line="254"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laws, including the FCA, and civil monetary penalty law, which impose criminal and civil penalties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88" w:lineRule="exact"/>
        <w:rPr>
          <w:rFonts w:ascii="Times New Roman" w:cs="Times New Roman" w:eastAsia="Times New Roman" w:hAnsi="Times New Roman"/>
          <w:sz w:val="18"/>
          <w:szCs w:val="18"/>
          <w:color w:val="auto"/>
        </w:rPr>
      </w:pPr>
    </w:p>
    <w:p>
      <w:pPr>
        <w:ind w:left="1040" w:right="379" w:hanging="315"/>
        <w:spacing w:after="0" w:line="289" w:lineRule="auto"/>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provisions of the civil monetary penalty law, which prohibits, among other things, the offering or giving of remuneration, which includes, without limitation, any transfer of items or services for free or for less than fair market value (with limited exceptions), to a Medicare or Medicaid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619"/>
        <w:spacing w:after="0" w:line="282" w:lineRule="auto"/>
        <w:rPr>
          <w:sz w:val="20"/>
          <w:szCs w:val="20"/>
          <w:color w:val="auto"/>
        </w:rPr>
      </w:pPr>
      <w:r>
        <w:rPr>
          <w:rFonts w:ascii="Times New Roman" w:cs="Times New Roman" w:eastAsia="Times New Roman" w:hAnsi="Times New Roman"/>
          <w:sz w:val="18"/>
          <w:szCs w:val="18"/>
          <w:color w:val="auto"/>
        </w:rPr>
        <w:t>beneficiary that the person knows or should know is likely to influence the beneficiary’s selection of a particular supplier of items or services reimbursable by a federal or state governmental program;</w:t>
      </w:r>
    </w:p>
    <w:p>
      <w:pPr>
        <w:spacing w:after="0" w:line="162" w:lineRule="exact"/>
        <w:rPr>
          <w:sz w:val="20"/>
          <w:szCs w:val="20"/>
          <w:color w:val="auto"/>
        </w:rPr>
      </w:pPr>
    </w:p>
    <w:p>
      <w:pPr>
        <w:ind w:left="1040" w:right="179" w:hanging="315"/>
        <w:spacing w:after="0" w:line="253"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Anti-Kickback Statute, a person or entity does not need to have actual knowledge of the statute or specific intent to violate it in order to have committed a violation;</w:t>
      </w:r>
    </w:p>
    <w:p>
      <w:pPr>
        <w:spacing w:after="0" w:line="194"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healthcare providers, health plans, and healthcare clearinghouses, known as covered entities, as well as their respective business associates, individuals and entities that perform services on their behalf that involve the use or disclosure of individually identifiable health information, and their subcontractors that use disclose or otherwise process individually identifiable health information, relating to the privacy, security and transmission of individually identifiable health information;</w:t>
      </w:r>
    </w:p>
    <w:p>
      <w:pPr>
        <w:spacing w:after="0" w:line="188"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transparency requirements under the ACA, including the provision commonly referred to as the Physician Payments Sunshine Act, which requires applicable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the physicians described above and their immediate family members;</w:t>
      </w:r>
    </w:p>
    <w:p>
      <w:pPr>
        <w:spacing w:after="0" w:line="19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government price reporting laws, which require us to calculate and report complex pricing metrics in an accurate and timely manner to government programs; and</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consumers.</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we are subject to U.S. state and foreign equivalents of each of the healthcare laws and regulations described above, among others, some of which may be broader in scope and may apply regardless of the payor. Many U.S. states have adopted laws similar to the Anti-Kickback Statute and FCA,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Certain states and local jurisdictions also require the registration of pharmaceutical sales representatives. There are ambiguities as to what is required to comply with these state requirements, and if we fail to comply with an applicable state law requirement we could be subject to significant penalties. Finally, there are state and foreign laws governing the privacy and security of health information, many of which differ from each other in significant ways and often are not preempted by HIPAA, thus complicating compliance efforts. For further information concerning additional data privacy and security laws we may be subject to and our processing of personal data, see the risk factor titled “</w:t>
      </w:r>
      <w:r>
        <w:rPr>
          <w:rFonts w:ascii="Times New Roman" w:cs="Times New Roman" w:eastAsia="Times New Roman" w:hAnsi="Times New Roman"/>
          <w:sz w:val="18"/>
          <w:szCs w:val="18"/>
          <w:i w:val="1"/>
          <w:iCs w:val="1"/>
          <w:color w:val="auto"/>
        </w:rPr>
        <w:t>We and the third parties with whom we work are subject to stringent and evolving U.S. and foreign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rules, contractual obligations, policies and other obligations related to data privacy and security. Our (and the third parties with whom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right="319"/>
        <w:spacing w:after="0" w:line="267" w:lineRule="auto"/>
        <w:rPr>
          <w:sz w:val="20"/>
          <w:szCs w:val="20"/>
          <w:color w:val="auto"/>
        </w:rPr>
      </w:pPr>
      <w:r>
        <w:rPr>
          <w:rFonts w:ascii="Times New Roman" w:cs="Times New Roman" w:eastAsia="Times New Roman" w:hAnsi="Times New Roman"/>
          <w:sz w:val="18"/>
          <w:szCs w:val="18"/>
          <w:i w:val="1"/>
          <w:iCs w:val="1"/>
          <w:color w:val="auto"/>
        </w:rPr>
        <w:t>work) actual or perceived failure to comply with such obligations could lead to regulatory investigations or actions, litigation, fines and penalties, disruptions of our business operations, reputational harm, loss of revenues or profits, and other adverse business consequences.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significant administrative, civil and criminal penalties, damages, fines, disgorgement, contractual damages, reputational harm, diminished profits and future earnings, the curtailment or restructuring of our operations, imprisonment, exclusion from participation in federal and state healthcare programs (such as Medicare and Medicaid), additional reporting requirements and/or oversight if we become subject to a corporate integrity agreement or similar agreement to resolve allegations of non-compliance with these laws, and imprisonment, any of which could adversely affect our ability to operate our business and our financial results.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w:t>
      </w:r>
    </w:p>
    <w:p>
      <w:pPr>
        <w:spacing w:after="0" w:line="5" w:lineRule="exact"/>
        <w:rPr>
          <w:sz w:val="20"/>
          <w:szCs w:val="20"/>
          <w:color w:val="auto"/>
        </w:rPr>
      </w:pPr>
    </w:p>
    <w:p>
      <w:pPr>
        <w:jc w:val="both"/>
        <w:ind w:left="60" w:right="199" w:hanging="10"/>
        <w:spacing w:after="0" w:line="255" w:lineRule="auto"/>
        <w:tabs>
          <w:tab w:leader="none" w:pos="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coverage, reimbursement, and pricing for our products, (v) transparency reporting obligations regarding transfers of value to health care professionals or (vi) additional record-keeping requirements. If any such changes were to be imposed, they could adversely affect our business, financial condition and results of operations.</w:t>
      </w:r>
    </w:p>
    <w:p>
      <w:pPr>
        <w:spacing w:after="0" w:line="18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Among policy makers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ACA, which was signed into law in 2010, is a sweeping law intended to broaden access to health insurance, reduce or constrain the growth of health care spending, enhance remedies against fraud and abuse, add new transparency requirements for the health care and health insurance industries, impose new taxes and fees on the health industry and impose additional health policy reforms.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and amendments to certain aspects of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Other legislative changes have been approved and adopted since the ACA was enacted, including aggregate reductions to Medicare payments to providers of 2% per fiscal year, which began in 2013, and will remain in effect through 2032 unless additional Congressional action is taken.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addition, the U.S. Supreme Court recently greatly reduced judicial deference to regulatory agencies, which could increase successful legal challenges to federal regulations affecting our operations. Congress may introduce and ultimately pass healthcare-related legislation that could impact the drug approval process and make changes to the Medicare Drug Price Negotiation Program.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20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healthcare reform measures, including legislative and regulatory proposals at the foreign, federal and state levels directed at broadening the availability of healthcare and containing or lowering the cost of healthcare. The implementation of healthcare reform and other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Bribery Act 2010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 Bribery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Foreign Corrupt Practices Act of 1977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amended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 FCPA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other anti-corruption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well as export control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import and customs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trade and economic sanctions laws and other laws governing our operations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9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188"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rules, contractual obligations, industry standards, policies and other obligations related to data privacy and security. Our (and third parties with whom we work) actual or perceived failure to comply with such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183"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or confidential information, including proprietary and confidential business data, trade secrets, intellectual property, data we collect about trial participants in connection with clinical trials, and sensitive third-party data (collectively,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To the extent applicable,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referred to collectively as CCPA, applies to personal data of consumers, business representatives, and employees who are California residents, and requires businesses to provide specific disclosures in privacy notices and honor requests of such individuals to exercise certain privacy rights. The CCPA allows for fines for noncompliance and allows private litigants affected by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are being considered in several other states, as well as at the federal and local levels, and we expect more states to pass similar laws in the future.</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Outside of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spacing w:after="0" w:line="187"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technologies to perform their work, and the disclosure and use of personal data in generative artificial intelligence technologies is subject to various privacy laws and other privacy obligations. Governments have passed and are likely to pass additional laws and regulations regulating generative artificial intelligence. Our use of this technology could result in additional compliance costs, regulatory investigations and actions, and lawsuits. If we are unable to use generative artificial intelligence, it could make our business less efficient and result in competitive disadvantages.</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the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transfer laws. Although there are currently various mechanisms that may be used to transfer personal data from the EEA and U.K. to the United States in compliance with law, such as the European Commission’s Standard Contractual Clauses, the U.K. International Data Transfer Agreement and the U.K. Transfer Addendum, the EU-U.S. Data Privacy Framework and the U.K.’s Extension to that Framework (which allows for transfers for relevant U.S.-based organizations who self-certify compliance and participate in the relevant Framework and/or Extension), these mechanisms are subject to potential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194"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In addition to data privacy and security laws, we are also bound by other contractual and industry obligations related to data privacy and security, and our efforts to comply with such obligations may not be successful.</w:t>
      </w:r>
    </w:p>
    <w:p>
      <w:pPr>
        <w:spacing w:after="0" w:line="140"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misrepresentative of our practices, we may be subject to investigation, enforcement actions by regulators, or other adverse consequences.</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conflicting among jurisdictions. Preparing for and complying with these obligations requires us to devote significant resources and may necessitate changes to our services, information technologies, systems, and practices and to those of any third parties with whom we work.</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Such failures can subject us to potential foreign, local, state and federal action if they are found to be deceptive, unfair, misleading or misrepresentative of our actual practices, which could negatively impact our business operations and compliance posture. If we or the third parties with whom we work fail, or are perceived to have failed, to address or comply with applicable data privacy or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operate in certain jurisdictions; limited ability to develop or commercialize our products; expenditure of time and resources to defend any claim or inquiry; adverse publicity; or substantial changes to our business model or operations.</w:t>
      </w:r>
    </w:p>
    <w:p>
      <w:pPr>
        <w:spacing w:after="0" w:line="193"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activities subject us to various laws relating to foreign investment and the export of certain technologies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failure to comply with these laws or adequately monitor the compliance of our suppliers and others we do business with could subject us to substantial fines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penalties and even injunctions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imposition of which on us could have a material adverse effect on the success of our business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laws that regulate certain transactions and access to technology.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threatening monetary fines and other penalties if we do not.</w:t>
      </w:r>
    </w:p>
    <w:p>
      <w:pPr>
        <w:spacing w:after="0" w:line="19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health and safety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become subject to fines or penalties or incur costs that could have a material adverse effect on the success of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efforts. Failure to comply with these laws and regulations also may result in substantial fines, penalties or other sanctions.</w:t>
      </w:r>
    </w:p>
    <w:p>
      <w:pPr>
        <w:spacing w:after="0" w:line="225" w:lineRule="exact"/>
        <w:rPr>
          <w:sz w:val="20"/>
          <w:szCs w:val="20"/>
          <w:color w:val="auto"/>
        </w:rPr>
      </w:pPr>
    </w:p>
    <w:p>
      <w:pPr>
        <w:jc w:val="both"/>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International Operations</w:t>
      </w:r>
    </w:p>
    <w:p>
      <w:pPr>
        <w:spacing w:after="0" w:line="22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operations outside of the United States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are subject to economic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political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regulatory and other risks associated with international operations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As a company with operations in the U.K.,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spacing w:after="0" w:line="176"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 including, without limitation, restrictive regulations such as the EU GDPR and U.K. GDPR governing the use, processing, and cross-border transfer of personal data;</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pound sterling, U.S. dollar, euro and currency controls;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1040" w:right="10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including, for example, the variable tax treatment in different jurisdictions of options granted under our share option schemes or equity incentive plans;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7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staffing and managing international operations, including differing labor relations;</w:t>
      </w:r>
    </w:p>
    <w:p>
      <w:pPr>
        <w:spacing w:after="0" w:line="236" w:lineRule="exact"/>
        <w:rPr>
          <w:rFonts w:ascii="Times New Roman" w:cs="Times New Roman" w:eastAsia="Times New Roman" w:hAnsi="Times New Roman"/>
          <w:sz w:val="17"/>
          <w:szCs w:val="17"/>
          <w:color w:val="auto"/>
        </w:rPr>
      </w:pPr>
    </w:p>
    <w:p>
      <w:pPr>
        <w:ind w:left="1040" w:right="27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or public health crises.</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or all of these factors could have a material adverse impact on our business, financial condition and results of operations. Moreover, global instability may continue as a result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These events could have a lasting impact on regional and global economies, any or all of which could disrupt our supply chain and increase the costs associated with or otherwise adversely affect our ability to conduct ongoing and future clinical trials of our product candidates. In addition, continued instability may adversely impact our ability to raise capital in the future on favorable terms or at all.</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affect our business, results of operations, financial conditions and prospects.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In addition,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7"/>
          <w:szCs w:val="17"/>
          <w:color w:val="auto"/>
        </w:rPr>
        <w:t>We do not own or operate any manufacturing facilities for production of clinical or commercial supply. We currently rely, and expect to continue to rely on third parties, including those located in China, for supply of our product candidates, as well as for manufacture of any products that we may commercialize, if approved. For further information concerning our reliance on third parties, see the risk factor titled “</w:t>
      </w:r>
      <w:r>
        <w:rPr>
          <w:rFonts w:ascii="Times New Roman" w:cs="Times New Roman" w:eastAsia="Times New Roman" w:hAnsi="Times New Roman"/>
          <w:sz w:val="17"/>
          <w:szCs w:val="17"/>
          <w:i w:val="1"/>
          <w:iCs w:val="1"/>
          <w:color w:val="auto"/>
        </w:rPr>
        <w:t>Risks Related to Our Dependence on Third Parties—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intend to rely on third parties to manufacture product candidates and supply raw materials used in our product candidates, such as </w:t>
      </w:r>
      <w:r>
        <w:rPr>
          <w:rFonts w:ascii="Times New Roman" w:cs="Times New Roman" w:eastAsia="Times New Roman" w:hAnsi="Times New Roman"/>
          <w:sz w:val="25"/>
          <w:szCs w:val="25"/>
          <w:i w:val="1"/>
          <w:iCs w:val="1"/>
          <w:color w:val="auto"/>
          <w:vertAlign w:val="superscript"/>
        </w:rPr>
        <w:t>212</w:t>
      </w:r>
      <w:r>
        <w:rPr>
          <w:rFonts w:ascii="Times New Roman" w:cs="Times New Roman" w:eastAsia="Times New Roman" w:hAnsi="Times New Roman"/>
          <w:sz w:val="17"/>
          <w:szCs w:val="17"/>
          <w:i w:val="1"/>
          <w:iCs w:val="1"/>
          <w:color w:val="auto"/>
        </w:rPr>
        <w:t>Pb, which increases the risk that we will not have sufficient quantities of such product candidates or products or such quantities at an acceptable cost, which could delay, prevent or impair our development or commercialization efforts.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Current or future tariffs or other trade barriers may result in increased research and development expenses, including with respect to increased costs associated with active pharmaceutical ingredients, raw materials, laboratory equipment and research materials and components. In addition, such tariffs may increase our supply chain complexity and could also potentially disrupt our existing supply chain. Unlike consumer goods, pharmaceuticals face unique regulatory constraints that make rapid supply chain adjustments particularly difficult and costly. Trade restrictions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8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0"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Cyber-attacks, failures in or interruptions of, or other compromise to our information technology systems, or those of third parties with whom we work, or our data could result in adverse consequences that materially affect our business, including without limitation, regulatory investigations or actions, litigation, fines and penalties, information theft, data corruption, harm to our reputation and brand, significant disruption of our business operations, and other adverse consequences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In the ordinary course of business, we and the third parties with whom we work process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conduct our research and development programs and our clinical trials. We and the third parties with whom we work may be subject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or AI, and other similar threats. In particular, severe ransomware attacks are becoming increasingly prevalent and severe and can lead to significant interruptions in our operations, disruption of clinical trials, loss of sensitive data (including data related to clinical trials), loss of income, reputational harm, and diversion of funds. Extortion payments may alleviate the negative impact of a ransomware attack, but we may be unwilling or unable to make such payments due to, for example, applicable laws or regulations prohibiting such payments. Remote work has increased risks to our information technology systems and data, as more of our employees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during due diligence of such acquired or integrated entities, and it may be difficult to integrate companies into our information technology environment and security program.</w:t>
      </w:r>
    </w:p>
    <w:p>
      <w:pPr>
        <w:spacing w:after="0" w:line="16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information in a variety of contexts, including, without limitation, third-party providers of information technology infrastructure, cloud-based infrastructure, encryption and authentication technology, employee email, content delivery to customers, CROs for managing clinical trial data, and other functions. We also rely on third-party service providers to provide other products, services, parts,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the liability of such third party may be limited such that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w:t>
      </w:r>
    </w:p>
    <w:p>
      <w:pPr>
        <w:spacing w:after="0" w:line="19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certain of our business activities (which could include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While we have established physical, electronic and organizational security measures designed to safeguard and secure our systems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we expect such attempts will continue in the future. A security incident or other interruption could disrupt our ability (and that of third parties with whom we work) to provide our products or services. For example, the loss of clinical trial data from completed or ongoing or planned clinical trials could result in delays in our regulatory approval efforts and significantly increase our costs to recover or reproduce the data.</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class-action claims); indemnification obligations; negative publicity; reputational harm; monetary fund diversions; interruptions in our operations (including availability of data); financial loss; and other similar harms. Security incidents and attendant material consequences may cause customers to stop using our services, deter new customers from using our services, and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Additionally, our sensitive information, including personal data, could be leaked, disclosed or revealed as a result of, or in connection with, our employees’, personnel’s, or vendors’ use of generative artificial intelligence technologies.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artificial intelligence-based platforms present new risks and challenges to our business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AI-based platforms are increasingly being used in the pharmaceutical industry and we are expanding the use of AI-based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vendors, suppliers and contractors with access to our proprietary and confidential information, including trade secrets, may lead to the release of our proprietary and confidential information, which may negatively impact our company, including our ability to realize the benefit of our intellectual property. Moreover, AI-based platforms may create flawed, incomplete, or inaccurate outputs, some of which may appear correct. This may happen if the inputs that the model relied on were inaccurate, incomplete or flawed (including if a bad actor “poisons” the AI-based platform with bad inputs or logic), or if the logic of the AI-based platform is flawed (a so-called “hallucination”).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pound sterling and the U.S. dollar, may adversely affect us. Although we are based in the U.K., we source research and development, manufacturing, consulting and other services from the United States, European Union and Asia that are billed in U.S. dollars.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 Any fluctuation in the exchange rate of these foreign currencies may negatively impact our business, financial condition and operating results. Global economic events have and may continue to significantly impact local economies and the foreign exchange markets, which may increase the risks associated with sales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 certain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depend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may depend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on development and commercialization collaboration partners to develop, conduct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obtain regulatory approvals 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approved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market and sell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such partnerships fail to perform as expected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potential for us to generate future revenue from such product candidates would be significantly reduced and our business would be harmed</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For certain products candidates, we depend, or may depend, on development and commercialization collaboration partners to develop, conduct clinical trials of, and, if approved, sell product candidates.</w:t>
      </w:r>
    </w:p>
    <w:p>
      <w:pPr>
        <w:spacing w:after="0" w:line="162"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Under our existing collaborations with Ionis and Bayer, we are responsible for identifying and optimizing Bicycle peptides related to collaboration targets and our collaborators are responsible for further development and product commercialization after we complete the defined research screening and compound optimization. We depend on these collaborators to develop and, where applicable, commercialize products based on Bicycle peptides, and the success of their efforts directly impacts the milestones and royalties we will receive. We cannot provide assurance that our collaborators will be successful in or that they will devote sufficient resources to the development or commercialization of their products.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w:t>
      </w:r>
    </w:p>
    <w:p>
      <w:pPr>
        <w:spacing w:after="0" w:line="18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also explore partnership opportunities for certain of our product candidates, such as BT7480. However there can be no assurance that we will be able to do so, or that such relationships, if established, will be successful or on favorable terms.</w:t>
      </w:r>
    </w:p>
    <w:p>
      <w:pPr>
        <w:spacing w:after="0" w:line="176"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current collaborations and any future collaborations or partnerships that we enter into are subject to numerous risks, including:</w:t>
      </w:r>
    </w:p>
    <w:p>
      <w:pPr>
        <w:spacing w:after="0" w:line="162" w:lineRule="exact"/>
        <w:rPr>
          <w:sz w:val="20"/>
          <w:szCs w:val="20"/>
          <w:color w:val="auto"/>
        </w:rPr>
      </w:pPr>
    </w:p>
    <w:p>
      <w:pPr>
        <w:ind w:left="1040" w:right="29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 collaborations;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fail to fulfill their responsibilities in a timely manner, or at all;</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175" w:lineRule="exact"/>
        <w:rPr>
          <w:rFonts w:ascii="Times New Roman" w:cs="Times New Roman" w:eastAsia="Times New Roman" w:hAnsi="Times New Roman"/>
          <w:sz w:val="18"/>
          <w:szCs w:val="18"/>
          <w:color w:val="auto"/>
        </w:rPr>
      </w:pPr>
    </w:p>
    <w:p>
      <w:pPr>
        <w:ind w:left="1040" w:right="259" w:hanging="315"/>
        <w:spacing w:after="0" w:line="26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19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may not result in product candidates to develop and/or preclinical studies or clinical trials conducted as part of the collaborations may not be successful;</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17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events, including public health crises, could materially affect our operations as well as causing significant disruption in the operations and business of our collaborators and the third-party manufacturers, CROs and other service providers that we and/or our collaborators conduct business with; and</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In that event,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90"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with our development and commercialization collaborators or licensors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they may act in their own self-interest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may be adverse to the interests of our company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176" w:lineRule="exact"/>
        <w:rPr>
          <w:sz w:val="20"/>
          <w:szCs w:val="20"/>
          <w:color w:val="auto"/>
        </w:rPr>
      </w:pPr>
    </w:p>
    <w:p>
      <w:pPr>
        <w:ind w:left="1040" w:right="4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respect to milestone, royalty and other payments that are believed due under the applicable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respect to the ownership of intellectual property rights or scope of licenses;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respect to the scope of any reporting obligations;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on the part of a collaborator to keep us informed regarding the progress of its development and commercialization activities, or to permit public disclosure of these activities; and</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respect to a collaborator’s or our development or commercialization efforts with respect to our products and product candidates.</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example, we were previously involved in litigation with Pepscan Systems B.V., and its affiliates, or Pepscan, related to a non-exclusive patent license agreement that our subsidiary, BicycleRD Limited, or BicycleRD, entered into with Pepscan in 2009.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Conflicts with our development and commercialization collaborators or licensors could materially adversely affect our business, financial condition or results of operations and future growth prospects. If we are unable to prevail against these challenges, our intellectual property estate may be materially harmed, which would impair our ability to establish competitive barriers to entry in the form of intellectual property protections.</w:t>
      </w:r>
    </w:p>
    <w:p>
      <w:pPr>
        <w:spacing w:after="0" w:line="176"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including independent clinical investigators and CROs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to conduct and sponsor some of the clinical trials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academic partners,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We also utilize CROs to perform toxicology studies related to our preclinical activities. While we will have agreements governing the activities of such third parties, we will control only certain aspects of their activities and have limited influence over their actual performance. Given the breadth of clinical therapeutic areas for which we believe Bicycle molecules may have utility, we intend to continue to rely on external service providers.</w:t>
      </w:r>
    </w:p>
    <w:p>
      <w:pPr>
        <w:spacing w:after="0" w:line="19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8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EEA countries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9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any of the third parties conducting clinical trials on our behalf, including clinical investigators, do not successfully carry out their contractual duties for any reason,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manufacturing issues,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189" w:lineRule="exact"/>
        <w:rPr>
          <w:sz w:val="20"/>
          <w:szCs w:val="20"/>
          <w:color w:val="auto"/>
        </w:rPr>
      </w:pPr>
    </w:p>
    <w:p>
      <w:pPr>
        <w:ind w:left="60" w:right="79"/>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intend to rely on third parties to manufacture product candidates and supply raw materials used in our product candidates, such as </w:t>
      </w:r>
      <w:r>
        <w:rPr>
          <w:rFonts w:ascii="Times New Roman" w:cs="Times New Roman" w:eastAsia="Times New Roman" w:hAnsi="Times New Roman"/>
          <w:sz w:val="26"/>
          <w:szCs w:val="26"/>
          <w:b w:val="1"/>
          <w:bCs w:val="1"/>
          <w:i w:val="1"/>
          <w:iCs w:val="1"/>
          <w:color w:val="auto"/>
          <w:vertAlign w:val="superscript"/>
        </w:rPr>
        <w:t>212</w:t>
      </w:r>
      <w:r>
        <w:rPr>
          <w:rFonts w:ascii="Times New Roman" w:cs="Times New Roman" w:eastAsia="Times New Roman" w:hAnsi="Times New Roman"/>
          <w:sz w:val="18"/>
          <w:szCs w:val="18"/>
          <w:b w:val="1"/>
          <w:bCs w:val="1"/>
          <w:i w:val="1"/>
          <w:iCs w:val="1"/>
          <w:color w:val="auto"/>
        </w:rPr>
        <w:t>Pb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increases the risk that we will not have sufficient quantities of such product candidates or products or such quantities at an acceptable cost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delay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prevent or impair our development or commercialization efforts</w:t>
      </w:r>
      <w:r>
        <w:rPr>
          <w:rFonts w:ascii="Times New Roman" w:cs="Times New Roman" w:eastAsia="Times New Roman" w:hAnsi="Times New Roman"/>
          <w:sz w:val="18"/>
          <w:szCs w:val="18"/>
          <w:i w:val="1"/>
          <w:iCs w:val="1"/>
          <w:color w:val="auto"/>
        </w:rPr>
        <w:t>.</w:t>
      </w:r>
    </w:p>
    <w:p>
      <w:pPr>
        <w:spacing w:after="0" w:line="199"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rely on third parties, including those located in China, for supply of our product candidates, and our strategy is to outsource all manufacturing of our product candidates and products to third parties. For any activities conducted in China, we are exposed to the increased possibility of supply disruptions and higher costs in the event of changes in the policies of the U.S. or Chinese governments including tariffs, political unrest or unstable economic conditions including sanctions on China or any of our China-based suppliers. Our manufacturing costs could also increase as a result of future appreciation of the local currency in China or increased labor costs if the demand for skilled laborers increases and/or the availability of skilled labor declines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Such disruption could have adverse effects on the development of our product candidates and our business operations. For example, the United States has recently passed legislation, namely the BIOSECURE Act, to prohibit U.S. federal executive agencies from procuring or obtaining any biotechnology equipment or service produced or provided by a “biotechnology company of concern,” or BCC, or entering into or renewing a contract, loan, or grant with an entity that uses such biotechnology equipment or service.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agreement entered into before the applicable effective date. Given the BIOSECURE Act, we may be restricted in our ability to work with certain Chinese biotechnology companies to the extent we would contract with, or otherwise receive funding from, the U.S. government.</w:t>
      </w:r>
    </w:p>
    <w:p>
      <w:pPr>
        <w:spacing w:after="0" w:line="176" w:lineRule="exact"/>
        <w:rPr>
          <w:sz w:val="20"/>
          <w:szCs w:val="20"/>
          <w:color w:val="auto"/>
        </w:rPr>
      </w:pPr>
    </w:p>
    <w:p>
      <w:pPr>
        <w:ind w:left="60" w:right="339" w:firstLine="648"/>
        <w:spacing w:after="0" w:line="227" w:lineRule="auto"/>
        <w:rPr>
          <w:sz w:val="20"/>
          <w:szCs w:val="20"/>
          <w:color w:val="auto"/>
        </w:rPr>
      </w:pPr>
      <w:r>
        <w:rPr>
          <w:rFonts w:ascii="Times New Roman" w:cs="Times New Roman" w:eastAsia="Times New Roman" w:hAnsi="Times New Roman"/>
          <w:sz w:val="18"/>
          <w:szCs w:val="18"/>
          <w:color w:val="auto"/>
        </w:rPr>
        <w:t xml:space="preserve">We are substantially dependent on third parties for supply of our raw material used in our product candidates. Although we believe our present suppliers have adequate quantities of raw material to meet our current needs, we may encounter supply shortages which could adversely affect our business. There can be no assurance that our suppliers will renew contracts on acceptable terms, or at all. In addition, as it relates to our BRC and BIA molecules, we expect future product candidates to include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or other radioisotopes. While we have announced arrangements with the United Kingdom Nuclear Decommissioning Authority, United Kingdom National Nuclear Laboratory and SpectronRx for the ultimate supply of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and Eckert &amp; Ziegler for a range of radioisotopes, there are not many alternatives to these suppliers, and finding any replacement suppliers would divert management resources.</w:t>
      </w:r>
    </w:p>
    <w:p>
      <w:pPr>
        <w:spacing w:after="0" w:line="20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product candidates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Additionally, our manufacturers may experience delays as a result of impacts due to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our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product candidates as we transfer our manufacturing technology to these manufacturers and as they gain experience manufacturing our product candidates. Even after a third-party manufacturer has gained significant experience in manufacturing our product candidates or even if we believe we have succeeded in optimizing the manufacturing process, there can be no assurance that such manufacturer will produce sufficient quantities of our product candidates in a timely manner or continuously over time, or at all.</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operate an outsourced model for the manufacture of our product candidates, and contract with cGMP licensed pharmaceutical contract development and manufacturing organizations. While we have engaged several third-party vendors to provide clinical and non-clinical supplies and fill-finish services, we do not currently have any agreements with third-party manufacturers for long-term commercial supplies.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89" w:lineRule="exact"/>
        <w:rPr>
          <w:sz w:val="20"/>
          <w:szCs w:val="20"/>
          <w:color w:val="auto"/>
        </w:rPr>
      </w:pPr>
    </w:p>
    <w:p>
      <w:pPr>
        <w:ind w:left="1040" w:right="79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manufacturing process development, regulatory compliance and quality assurance;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 and</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In addition, some of the product candidates we intend to develop, including nuzefatide pevedotin, use toxins or other substances that can be produced only in specialized facilities with specific authorizations and permits, and there can be no guarantee that we or our manufacturers can maintain such authorizations and permits. These specialized requirements may also limit the number of potential manufacturers that we can engage to produce our product candidates and impair any efforts to transition to replacement manufacturers.</w:t>
      </w:r>
    </w:p>
    <w:p>
      <w:pPr>
        <w:spacing w:after="0" w:line="194"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that might be capable of manufacturing for us.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preclinical tests and clinical trials should cease to continue to do so for any reason, including as a result of the impacts of public health crises on the global workforce and manufacturing operations,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8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spacing w:after="0" w:line="1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increases the possibility that a competitor will discover them or that our trade secrets will be misappropriated or disclosed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7"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In addition, these agreements typically restrict the ability of our collaborators, advisors, employees and consultants to publish data potentially relating to our trade secrets. Our academic collaborators typically have rights 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products and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if the scope of the patent and other intellectual property protection obtained is not sufficiently broad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competitors could develop and commercialize products similar or identical to ours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ability to successfully commercialize our products and product candidates may be adversely affected</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will depend, in part, on our ability to maintain the proprietary nature of our technology and manufacturing processes. We rely on research, manufacturing and other know-how, patents, trade secrets, license agreements and contractual provisions to establish our intellectual property rights and protect our products and product candidates. These legal means, however, afford only limited protection and may not adequately protect our rights.</w:t>
      </w:r>
    </w:p>
    <w:p>
      <w:pPr>
        <w:spacing w:after="0" w:line="18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certain situations and as considered appropriate, we have sought, and we intend to continue to seek to protect our proprietary position by filing patent applications in the United States and, in at least some cases, one or more countries outside the United States relating to current and future products and product candidates that are important to our business. However, we cannot predict whether the patent applications currently being pursued will issue as patents, or whether the claims of any resulting patents will provide us with a competitive advantage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 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w:t>
      </w:r>
    </w:p>
    <w:p>
      <w:pPr>
        <w:spacing w:after="0" w:line="19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patents and patent applications, if issued, may not provide us with any meaningful protection or prevent competitors from designing around our patent claims by developing similar or alternative technologies or therapeutics in a non-infringing manner. For example, a third party may develop a competitive therapy that provides benefits similar to one or more of our product candidates but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Our competitors may also seek approval to market their own products similar to or otherwise competitive with our products. Alternatively, our competitors may seek to market generic versions of any approved products by submitting ANDAs to the FDA in which they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the future, one or more of our products and product candidates may be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 Our failure to obtain, maintain, enforce or defend such intellectual property rights, for any reason, could allow third parties, in particular, other established and better financed competitors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spacing w:after="0" w:line="19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we expect to rely heavily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8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and product candidates could be found invalid or unenforceable if challenged in court or in administrative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protect our trade secrets in court</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 third-party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An adverse determination in any of the foregoing proceedings could result in the revocation or cancellation of, or amendment to, our patents in such a way that they no longer cover our products or product candidates. As an example of the foregoing risks, the validity of our European Patent No. 4464721 has been challenged by an opponent at the European Patent Office. Proceedings are ongoing, during which the patent may be maintained, narrowed or invalidated. The outcome following legal assertions of invalidity and unenforceability is unpredictable. With respect to the validity question, for example, we cannot be certain that there is no invalidating prior art, of which the patent examiner and we were unaware during prosecution. If a defendant or third party were to prevail on a legal assertion of invalidity or unenforceability, we could lose at least part, and perhaps all, of the patent protection on one or more of our products and product candidates. Such a loss of patent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protection may materially harm our intellectual property estate, which would impair our ability to establish competitive barriers to entry in the form of intellectual property protections.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the patents and other intellectual property</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ownership interest in the patents and intellectual property that we own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7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document submission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fee payment and other requirements imposed by governmental patent agencies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patent protection could be reduced or eliminated for non-compliance with these requirements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 The terms of one or more licenses that we enter into the future may not provide us with the ability to maintain or prosecute patents in the portfolio, and must therefore rely on third parties to do so.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products and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business may be materially harmed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A patent licensed to us by a third party may not be available for patent term extension.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9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thereby impairing our ability to protect our products and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 development and commercialization of biologics and pharmaceuticals are uncertain. Changes in either the patent laws or the interpretation of the patent laws in the United States or other jurisdictions could further increase the uncertainties and costs surrounding the prosecution of patent applications and the enforcement or defense of issued patents. For example,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courts’ decisions in historical and future cases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Filing, prosecuting, maintaining, defending and enforcing patents on products and product candidates in all countries throughout the world would be prohibitively expensive, and our intellectual property rights in some countries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outside the United States could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There can be no assurance that we will obtain or maintain patent rights in or outside the United States under any future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even in jurisdictions where we pursue patent protection,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spacing w:after="0" w:line="19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foreign countries have compulsory licensing laws under which a patent owner must grant licenses to third parties.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our products, we cannot ensure that we will be able to initiate or maintain similar efforts in all jurisdictions in which we may wish to market our products. Accordingly, our efforts to enforce our intellectual property rights around the world may be inadequate to obtain a significant commercial advantage from the intellectual property that we develop.</w:t>
      </w:r>
    </w:p>
    <w:p>
      <w:pPr>
        <w:spacing w:after="0" w:line="193"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such litigation could be costly and time consuming and could prevent or delay us from developing or commercializing our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methods of manufacturing compounds and/or methods of use for the treatment of the disease indications for which we are developing our product candidates. If any third-party patents or patent applications are found to cover our product candidates or their methods of use or manufacture, we and our collaborators or sublicensees may not be free to manufacture or market our product candidates as planned without obtaining a license, which may not be available on commercially reasonable terms, or at all. We may also be required to indemnify our collaborators or sublicensees in such an event.</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were previously party to protracted litigation with Pepscan, which we settled in 2020. We may become party to, or be threatened with, litigation or other adversarial proceedings regarding intellectual property rights with respect to our products candidates, including interference and post-grant proceedings before the USPTO. There may be third-party patents or patent applications with claims to materials, formulations, methods of manufacture or methods for treatment related to the composition, use or manufacture of our product candidates.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 candidates in any jurisdiction.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claiming ownership of what we regard as our own intellectual property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Many of our current and former employees, including our senior management, were previously employed at universities or at other biotechnology or pharmaceutical companies, including some which may be competitors or potential competitors. Some of these employees may be subject to proprietary rights, non-disclosure and non-competition agreements, or similar agreements, in connection with such previous employment. Although we try to ensure that our employees do not use the proprietary information or know-how of others in their work for us, we have been in the past and may be subject in the future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90"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be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time-consuming and unsuccessful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In addition, our patents may become, involved in inventorship, priority, or validity disputes. To counter or defend against such claims can be expensive and time-consuming, and our adversaries may have the ability to dedicate substantially greater resources to prosecuting these legal actions than we can. Any claims we assert against perceived infringers could provoke these parties to assert counterclaims against us alleging that we infringe their patents, in addition to counterclaims asserting that our patents are invalid or unenforceable, or both.</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is invalid or unenforceable, or may refuse to stop the other party from using the technology at issue on the grounds that our patents do not cover the technology in question. Accordingly, despite our efforts, we may not be able to prevent third parties from infringing upon or misappropriating intellectual property rights we own or control. An adverse result in any litigation proceeding could put one or more of our owned or in-licensed patents at risk of being invalidated or interpreted narrowly. Further,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court may decide not to grant an injunction against further infringing activity and instead award only monetary damages, which may or may not be an adequate remedy.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future intellectual property licenses with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lose license rights that are important to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efforts to build our product candidate pipeline, we may enter into license agreements in the future. We expect that such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then we may not be able to build name recognition in our marks of interest and our business may be adversely affected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invalid,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trademark registration proceedings, we may receive objections. Although we would be given an opportunity to respond to those objections, we may be unable to overcome such objections.</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in the USPTO and in comparable Intellectual Property Offices in many foreign jurisdictions, third parties are given an opportunity to oppose pending trademark applications and to seek to cancel registered trademarks. Opposition or cancellation proceedings have been and may in the future be filed against our trademarks, and our trademarks may not survive such proceedings. For example, our U.K. trademark application for “TICA” was successfully opposed in the U.K., Japan and the EU for the majority of goods and services for which we originally applied, and we have abandoned our trademark application for “TICA” in the United States as a result. If we are unable to establish name recognition based on our trademarks and trade names, we may not be able to compete effectively and our business may be adversely affected.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workforce reductions were undertaken to significantly reduce our ongoing operating expenses, but they may not result in our intended outcomes and may yield unintended consequences and additional costs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In August 2025, we announced cost reduction initiatives that are expected to reduce planned operating costs, primarily through a workforce reduction. This workforce reduction was substantially completed in the fourth quarter of 2025. As a result, we incurred aggregate charges, representing cash expenditure for severance and other employee termination benefits, of approximately $5.3 million during the year ended December 31, 2025.</w:t>
      </w:r>
    </w:p>
    <w:p>
      <w:pPr>
        <w:spacing w:after="0" w:line="180"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In addition, in conjunction with our strategic reprioritization announced in March 2026, we are implementing a proposed workforce reduction of approximately 30% of our workforce. Together, the workforce reduction and strategic reprioritization are expected to reduce our annual operating expenses by approximately 50% based on our current plans. We expect this workforce reduction to be substantially completed by the end of 2026, and that we will incur aggregate charges, representing cash expenditure for severance and other employee termination benefits, of approximately $8.0 million.</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These recent workforce reductions may result in unintended consequences and costs, such as the loss of institutional knowledge and expertise, attrition beyond the intended number of employees, decreased morale among our remaining employees, and the risk that we may not achieve the anticipated benefits of the workforce reductions. In addition, we may be unsuccessful in distributing the duties and obligations of departed employees among our remaining employees or to contractors or other partners. The workforce reductions could also make it difficult for us to pursue, or prevent us from pursuing, new opportunities and initiatives due to insufficient personnel, or require us to incur additional and unanticipated costs to hire new personnel to pursue such opportunities or initiatives. Further, inflationary pressure may increase our costs, including employee compensation costs, or result in employee attrition to the extent our compensation does not keep up with inflation, particularly if our competitors’ compensation does. If we are unable to realize the anticipated benefits from the workforce reductions, if we experience significant adverse consequences from the workforce reductions, or if we are otherwise unable to retain our employees, our business, financial condition, and results of operations may be materially adversely affected.</w:t>
      </w:r>
    </w:p>
    <w:p>
      <w:pPr>
        <w:spacing w:after="0" w:line="186"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consultants and advisors and to attract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retain and motivate qualified personnel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key employees might impede the achievement of our research, development and commercialization objectives.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will also be critical to our success. There is currently a shortage of skilled executives and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Particularly in light of our recent workforce reductions, we may find it difficult to maintain valuable aspects of our culture, to prevent a negative effect on employee morale or attrition beyond our planned reduction in headcount, and to attract and retain competent personnel. If we are not able to continue to retain, on acceptable terms, the qualified personnel necessary for the continued operation of our business, we may not be able to sustain our operations. The inability to recruit or the loss of the services of any executive, key employee, consultant or advisor may impede the progress of our research, development and commercialization objectives.</w:t>
      </w:r>
    </w:p>
    <w:p>
      <w:pPr>
        <w:spacing w:after="0" w:line="183" w:lineRule="exact"/>
        <w:rPr>
          <w:sz w:val="20"/>
          <w:szCs w:val="20"/>
          <w:color w:val="auto"/>
        </w:rPr>
      </w:pPr>
    </w:p>
    <w:p>
      <w:pPr>
        <w:ind w:left="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independent contractors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consultants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collaborators and CROs may engage in misconduct or other improper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including non-compliance with regulatory standards and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cause significant liability for us and harm our reputation</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Further, because of our hybrid work environment, information that is normally protected, including company confidential information, may be less secure. We have adopted a code of conduct and business ethics to which all of our employees must adhere,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disrupt our operations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recent years, we have experienced significant fluctuations in the number of our employees and growth in the scope of our operations and over the long term we expect to expand, particularly in the areas of drug manufacturing, supply chain, clinical development, sales, marketing,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time and attention to managing both rightsizing and growth activities.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potential growth over the long term may also require us to relocate to geographic areas beyond those where we have been historically located. For example, we maintain office and laboratory space in Cambridge, U.K. and in Massachusetts, U.S. Due to our limited resources, we may not be able to effectively manage the potential expansion or relocation of our operations, retain key employees, or identify, recruit and train additional qualified personnel. Our inability to effectively manage changes in the size of our workforce and other operations effectively may result in weaknesses in our infrastructure, give rise to operational mistakes, loss of business opportunities, loss of employees and reduced productivity among remaining employees. Our potential growth could also require significant capital expenditures and may divert financial resources from other projects, such as the development of additional product candidates. If we are unable to effectively manage our potential growth, our expenses may increase more than expected, our ability to generate revenues could be reduced and we may not be able to implement our business strategy, including the successful commercialization of our product candidates.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ADSs is highly volatile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holders of our ADSs may not be able to resell their ADSs at or above the price at which they purchased their ADSs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market price of our ADSs is highly volatile. Since our IPO in May 2019, through March 12, 2026, the trading price of our ADSs has ranged from $5.04 to $62.08. The stock market in general, and the market for pharmaceutical companies in particular, has experienced extreme volatility that has often been unrelated to the operating performance of particular companies. As a result of this volatility, holders of our ADSs may not be able to sell their ADSs at or above the price at which they purchased their ADSs. The market price for our ADSs may be influenced by many factors, including:</w:t>
      </w:r>
    </w:p>
    <w:p>
      <w:pPr>
        <w:spacing w:after="0" w:line="168"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products similar or perceived to be similar to those we are developing or clinical trials of such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successfully develop and commercialize our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our existing strategic collaborations or enter into new collaborations;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identify additional product candidates for our pipeline;</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partners to prosecute, maintain or enforce our intellectual property rights;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future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8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adequate product supply for our product candidates or the inability to do so at acceptable prices;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services or technologies by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financial projections we may provide to the public;</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the financial projections of the investment community;</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partners or our competitors;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or ordinary shares by us or our shareholders in the future;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ADSs.</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increases in unemployment rates, supply chain shortages, increases in inflation rates, higher interest rates and uncertainty about economic stability. Similarly,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have created extreme volatility in the global capital markets and may have further global economic consequences, including further disruptions of the global supply chain and energy markets. Any such volatility and disruptions may have adverse consequences on us or the third parties on whom we rely. If the equity and credit markets continue to deteriorate, it may make any necessary debt or equity financings more difficult to obtain in a timely manner or on favorable terms, more costly or more dilutive. Increased inflation rates and macroeconomic turmoil can adversely affect us by increasing our costs and the costs of our contract manufacturing organizations, or CMOs, and other suppliers. These factors may negatively affect the market price of our ADSs, regardless of our actual operating performance.</w:t>
      </w:r>
    </w:p>
    <w:p>
      <w:pPr>
        <w:spacing w:after="0" w:line="18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shares may limit your ability to influence corporate matters and may limit your visibility with respect to certain transactions.</w:t>
      </w:r>
    </w:p>
    <w:p>
      <w:pPr>
        <w:spacing w:after="0" w:line="15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March 12, 2026, we had 50,269,082 ordinary shares, nominal value £0.01 per share, and 19,437,944 non-voting ordinary shares, nominal value £0.01 per share, outstanding. The dual class structure of our shares may limit your ability to influence corporate matters. Holders of our ordinary shares are entitled to one vote per share, while holders of our non-voting ordinary shares are not entitled to any votes. Nevertheless, non-voting ordinary shares may be re-designated at any time as ordinary shares at the option of the holder by providing written notice to us, subject to certain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restrictions. Such restrictions include prohibitions on a holder from re-designating the non-voting ordinary shares as ordinary shares if such re-designation would result in such holder beneficially owning (when aggregated with “affiliates” and “group” members) in excess of 9.99% of any class of our securities registered under the Exchange Act, or upon at least 61 days’ notice, not in excess of 19.9%. Any re-designation of non-voting ordinary shares as ordinary shares will have the effect of increasing the relative voting power of those prior holders of our non-voting ordinary shares, and correspondingly decreasing the voting power of the holders of our ordinary shares, which may limit your ability to influence corporate matters. The ordinary shares currently have 100% of the voting power, but if the holders of non-voting ordinary shares were to re-designate all of their non-voting ordinary shares as ordinary shares (assuming, for these purposes, that they were able to do so in compliance with the beneficial ownership limitation), based on the number of ordinary shares and non-voting ordinary shares outstanding on December 31, 2025, the ordinary shares outstanding prior to the re-designation would have approximately 72% of the voting power and the former non-voting ordinary shares would represent approximately 28% of the voting power.</w:t>
      </w:r>
    </w:p>
    <w:p>
      <w:pPr>
        <w:spacing w:after="0" w:line="18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issuances of shares of our ordinary shares or ADSs or other equity-related securities could adversely affect the price of our ADSs and dilute shareholders.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ordinary shares or ADSs, and sales by our management, our directors, their affiliates, or significant shareholders, could occur at any time. Based on information available to us, entities affiliated with Baker Bros. Advisors LP, or the Baker Entities, beneficially own approximately 21.7% of our ordinary shares. If these shares are sold in the market in transactions that occur at about the same time, such transactions could depress the market of our ADSs and could also affect our ability to raise equity capital through the sale of additional equity or equity-related securities, including non-voting ordinary shares, to meet our capital needs, including in connection with funding potential future acquisition or licensing opportunities, capital expenditures or product development costs. Our registration obligations pursuant to the Registration Rights Agreement with the Baker Entities also cover all shares thereafter acquired by the Baker Entities, for up to 10 years, and include our obligation to facilitate certain underwritten public offerings of our ordinary shares or ADSs by the Baker Entities in the future. In addition,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 which will dilute current holders.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consult with our management and have various impacts on our business affairs.</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While our shareholder base and relative holdings may change over time, the Baker Entities hold the largest ownership position in our outstanding ordinary shares and non-voting ordinary shares. In addition, Felix J. Baker, Chairman of our board of directors, is a managing member of Baker Bros. Advisors (GP) LLC, which is the sole general partner of Baker Bros. Advisors LP. The interests of the Baker Entities and its affiliates may not always coincide with the interests of other shareholders, and any influence exerted over our business and affairs by these entities may not coincide with the wishes of other shareholders.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addition, our executive officers and directors and holders of greater than five percent of our outstanding ordinary shares beneficially owned approximately 47% of our voting power as of March 12, 2026. As a result, these shareholders in aggregate are able to exert substantial influence over our management and affairs and matters requiring shareholder approval, including the election of directors and approval of significant corporate transactions, such as mergers, consolidations or the sale of substantially all of our assets. Consequently, this concentration of ownership may result in our taking corporate actions that our other shareholders may not consider to be in their best interest. For example, it may have the effect of delaying, deferring or preventing a change in control, including a merger, consolidation, takeover or other business combination involving us or discourage a potential acquirer from making a tender offer or otherwise attempting to obtain control, which might affect the market price of our ADSs.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0" w:right="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ADSs in the foreseeable future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capital appreciation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if 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will be the sole source of gains for holders of our ADSs, and they may never receive a return on their investment</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a holder’s sole source of gains for the foreseeable future, and holders will suffer a loss on their investment if they are unable to sell their ADSs at or above the original purchase price.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Incorporation Under the Laws of England and Wales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Claims of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civil liabilities may not be enforceable against us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are incorporated under English law.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United States or any state in the United States.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8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federal income tax consequences to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United States person holds our shares, such U.S. shareholder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a PFIC in the 2025 taxable year. In addition, no assurances can be provided that we will not be a PFIC for any future taxable year or that we have not been a PFIC in any prior taxable years. The determination of whether we are a PFIC is a fact-intensive determination made on an annual basis applying principles and methodologies that in some circumstances are unclear and subject to varying interpretation. As a result, there can be no assurance regarding if we will be PFIC or will not be a PFIC in the future. In addition,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and our corporate structure. In the event we are a PFIC, we intend to provide the information necessary for U.S. holders to make a qualified electing fund election.</w:t>
      </w:r>
    </w:p>
    <w:p>
      <w:pPr>
        <w:spacing w:after="0" w:line="190"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to reduce future tax payments or benefit from favorable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tax legislation</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an entity incorporated and tax resident in the U.K., we are subject to U.K. corporate taxation. Due to the nature of our business, we have generated losses since inception and therefore have not paid any U.K. corporation tax. Subject to numerous utilization criteria and restrictions (including the Corporate Income Loss Restriction and the Corporate Capital Loss Restriction that, broadly, restrict the amount of carried forward losses that can be utilized to 50% of group profits or gains arising above £5.0 million per tax year), we expect losses to be eligible for carry forward and utilization against future operating profits. In addition, if we were to have a major change in the nature of the conduct or the conduct of our trade, loss carryforwards may be restricted or extinguished.</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 group that carries out extensive research and development, or R&amp;D, activities, we seek to benefit from the U.K. R&amp;D tax credit regime. In respect of accounting periods in which we qualify as a Small and Medium-sized Enterprise, or SME, and in which our relevant R&amp;D expenditure represents 30% or more of the total relevant expenditure (meaning we also qualify as “R&amp;D intensive” during such accounting period), we may, under this regime, surrender the trading losses that arise from our R&amp;D activities for a cash rebate of up to 26.97% of qualifying R&amp;D expenditure. Accordingly, if we cease to qualify as an R&amp;D-intensive SME in the future, we will either cease to be able to claim cash rebates in respect of our R&amp;D activities, or only be able to receive cash payments or other tax relief (under other provisions of the U.K. R&amp;D tax credit regime) at a significantly lower rate than at present. Further, the regime’s rules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 In addition, future changes to the U.K. R&amp;D tax credit regime may mean that we no longer qualify for it or have a material impact on the extent to which we can make claims (or benefit from them).</w:t>
      </w:r>
    </w:p>
    <w:p>
      <w:pPr>
        <w:spacing w:after="0" w:line="18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benefit in the future from the United Kingdom’s “patent box” regime, which allows certain profits attributable to revenues from patented products (and other qualifying income) to be taxed at an effective rate of 10% by giving an additional tax deduction. We are the exclusive licensee or owner of several patent applications which, if issued, would cover our product candidates, and accordingly, future upfront fees, milestone fees, product revenues and royalties could be eligible for this tax deduction. When taken in combination with the enhanced relief available on our R&amp;D expenditures, we expect a long-term rate of corporation tax lower than the statutory rate to apply to us. If, however, there are unexpected adverse changes to the U.K. R&amp;D tax relief programs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tax treatment of the company is, and our ADSs and ordinary shares are, subject to changes in tax laws, regulations and treaties, or the interpretation thereof, tax policy initiatives and reforms under consideration or being implemented by tax authorities in jurisdictions in which we operate, including in connection with tax policy initiatives and reforms led by the Organization for Economic Co-Operation and Development’s, or OECD, Base Erosion and Profit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Shifting, or BEPS, Project (including “BEPS 2.0”) and the European Commission. Such changes may include (but are not limited to) the taxation of operating income, investment income, dividends received or (in the specific context of withholding tax) dividends paid, or the stamp duty or stamp duty reserve tax treatment of our ADSs or ordinary shares.</w:t>
      </w:r>
    </w:p>
    <w:p>
      <w:pPr>
        <w:spacing w:after="0" w:line="1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IRA includes a minimum tax equal to 15% of the adjusted financial statement income of certain corporations, as well as a 1% excise tax on share buybacks. In addition, the OBBBA includes provisions affecting corporate tax rates on specified eligible income, timing of tax deductibility of depreciation, interest expense and research and development costs, and the taxation of foreign income. For example, for tax years beginning after December 31, 2024, the OBBBA restores the tax deductibility of domestic research and development expenses in the year incurred, which expenses had been required under prior legislation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Future guidance from the Internal Revenue Service and other tax authorities with respect to any legislation may affect us, and certain aspects of such legislation could be repealed or modified in future legislation or sunset in future years.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26" w:lineRule="exact"/>
        <w:rPr>
          <w:sz w:val="20"/>
          <w:szCs w:val="20"/>
          <w:color w:val="auto"/>
        </w:rPr>
      </w:pPr>
    </w:p>
    <w:p>
      <w:pPr>
        <w:ind w:left="60" w:right="2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Tax authorities may disagree with our positions and conclusions regarding certain tax positions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or may apply existing rules in an unforeseen manner, resulting in unanticipated costs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taxes or non-realization of expected benefits</w:t>
      </w:r>
      <w:r>
        <w:rPr>
          <w:rFonts w:ascii="Times New Roman" w:cs="Times New Roman" w:eastAsia="Times New Roman" w:hAnsi="Times New Roman"/>
          <w:sz w:val="17"/>
          <w:szCs w:val="17"/>
          <w:i w:val="1"/>
          <w:iCs w:val="1"/>
          <w:color w:val="auto"/>
        </w:rPr>
        <w:t>.</w:t>
      </w:r>
    </w:p>
    <w:p>
      <w:pPr>
        <w:spacing w:after="0" w:line="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while we believe that we operate in compliance with applicable transfer pricing laws and intend to continue to do so, our transfer pricing procedures are not binding on applicable tax authorities.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U.K. City Code on Takeovers and Mergers that may have anti-takeover effects do not apply to us.</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transitional provisions that apply until February 2, 2027, the U.K. City Code on Takeovers and Mergers, or the Takeover Code, can apply to an offer for, among other things, a public company whose registered office is in the United Kingdom (but is not listed in the United Kingdom) if the company is considered by the Panel on Takeovers and Mergers, or the Takeover Panel, to have its place of central management and control in the United Kingdom (or the Channel Islands or the Isle of Man). This is known as the “residency test.” The test for central management and control under the Takeover Code is different from that used by the U.K. tax authorities. Under the Takeover Code, the Takeover Panel will determine whether we have our place of central management and control in the United Kingdom by looking at various factors, primarily where the directors are resident.</w:t>
      </w:r>
    </w:p>
    <w:p>
      <w:pPr>
        <w:spacing w:after="0" w:line="12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September 2019, the Takeover Panel Executive confirmed that, based on our current circumstances, we are not subject to the Takeover Code. As a result, our shareholders are not entitled to the benefit of certain takeover offer protections provided under the Takeover Code. We believe that this position is unlikely to change before the end of the transitional period but, in accordance with good practice, we will review the situation on a regular basis and consult with the Takeover Panel if there is any change in our circumstances which may have a bearing on whether the Takeover Panel would determine our place of central management and control to be in the United Kingdom.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Following the end of the transitional period, with effect from February 3, 2027, the “residency test” will be abolished in its entirety and we expect we will no longer be subject to the jurisdiction of the Takeover Code at all from that time, unless our securities are listed in the United Kingdom.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corporation</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 The principal differences include the following:</w:t>
      </w:r>
    </w:p>
    <w:p>
      <w:pPr>
        <w:spacing w:after="0" w:line="112" w:lineRule="exact"/>
        <w:rPr>
          <w:sz w:val="20"/>
          <w:szCs w:val="20"/>
          <w:color w:val="auto"/>
        </w:rPr>
      </w:pPr>
    </w:p>
    <w:p>
      <w:pPr>
        <w:ind w:left="1040" w:right="13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08" w:lineRule="exact"/>
        <w:rPr>
          <w:rFonts w:ascii="Times New Roman" w:cs="Times New Roman" w:eastAsia="Times New Roman" w:hAnsi="Times New Roman"/>
          <w:sz w:val="18"/>
          <w:szCs w:val="18"/>
          <w:color w:val="auto"/>
        </w:rPr>
      </w:pPr>
    </w:p>
    <w:p>
      <w:pPr>
        <w:ind w:left="1040" w:right="37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the number of shares determines the number of votes a holder may cast only on a poll. However, the voting rights of ADSs are also governed by the provisions of a deposit agreement with our depositary bank;</w:t>
      </w:r>
    </w:p>
    <w:p>
      <w:pPr>
        <w:spacing w:after="0" w:line="108" w:lineRule="exact"/>
        <w:rPr>
          <w:rFonts w:ascii="Times New Roman" w:cs="Times New Roman" w:eastAsia="Times New Roman" w:hAnsi="Times New Roman"/>
          <w:sz w:val="18"/>
          <w:szCs w:val="18"/>
          <w:color w:val="auto"/>
        </w:rPr>
      </w:pPr>
    </w:p>
    <w:p>
      <w:pPr>
        <w:ind w:left="1040" w:right="259" w:hanging="315"/>
        <w:spacing w:after="0" w:line="281" w:lineRule="auto"/>
        <w:tabs>
          <w:tab w:leader="none" w:pos="10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6" w:lineRule="exact"/>
        <w:rPr>
          <w:rFonts w:ascii="Times New Roman" w:cs="Times New Roman" w:eastAsia="Times New Roman" w:hAnsi="Times New Roman"/>
          <w:sz w:val="17"/>
          <w:szCs w:val="17"/>
          <w:color w:val="auto"/>
        </w:rPr>
      </w:pPr>
    </w:p>
    <w:p>
      <w:pPr>
        <w:ind w:left="1040" w:right="79" w:hanging="315"/>
        <w:spacing w:after="0" w:line="25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19"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if we were to be subject to the Takeover Code,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as well as the sanction of the U.K. court; and</w:t>
      </w:r>
    </w:p>
    <w:p>
      <w:pPr>
        <w:spacing w:after="0" w:line="126" w:lineRule="exact"/>
        <w:rPr>
          <w:rFonts w:ascii="Times New Roman" w:cs="Times New Roman" w:eastAsia="Times New Roman" w:hAnsi="Times New Roman"/>
          <w:sz w:val="18"/>
          <w:szCs w:val="18"/>
          <w:color w:val="auto"/>
        </w:rPr>
      </w:pPr>
    </w:p>
    <w:p>
      <w:pPr>
        <w:ind w:left="1040" w:right="279" w:hanging="315"/>
        <w:spacing w:after="0" w:line="25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accurately report our financial results or prevent fraud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 result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shareholders could lose confidence in our financial and other public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would harm our business and the trading price of our ADSs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Our management is required to assess the effectiveness of our controls over financial reporting annually. Pursuant to Section 404, we are also required to furnish a report by our management on our internal control over financial reporting, including an attestation report on internal control over financial reporting issued by our independent registered public accounting firm.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ADS price and trading volume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spacing w:after="0" w:line="183"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third-party hosted services, communications systems, computer hardware and software, and our critical data, which includes proprietary, confidential and sensitive data, including, without limitation, personal data (such as health-related data), intellectual property and trade secrets, referred to collectively as Information Assets. Accordingly, we maintain certain risk assessment processes intended to identify cybersecurity threats, determine their likelihood of occurring, and assess potential material impact to our business. Based on our assessment, we implement and maintain risk management processes designed to protect the confidentiality, integrity, and availability of our Information Assets and mitigate harm to our business.</w:t>
      </w:r>
    </w:p>
    <w:p>
      <w:pPr>
        <w:spacing w:after="0" w:line="19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Risks from cybersecurity threats are among those that we address in our general risk management program. We rely on a multidisciplinary team (including personnel from our information security function, management and third-party service providers, as needed, as described further below) to help identify, assess and manage our risks. We identify and assess such threats by, among other things, monitoring and evaluating the threat environment using various methods, including, for example, manual and automated tools, information security tools and platforms to alert us to potentially unwarranted activity on our networks, subscribing to reports and services that identify cybersecurity threats, analyzing reports of threats and actors, conducting scans of the threat environment, evaluating our and our industry’s risk profile, evaluating threats reported to us, conducting threat assessments for internal and external threats, and conducting risk and vulnerability assessments to identify vulnerabilities.</w:t>
      </w:r>
    </w:p>
    <w:p>
      <w:pPr>
        <w:spacing w:after="0" w:line="188"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Depending on the environment, we implement and maintain various technical, physical and organizational measures, processes, standards and policies designed to manage and mitigate material risks from cybersecurity threats to our Information Assets. For example, the risk management and reduction measures we implement for certain of our Information Assets include: policies and procedures designed to address cybersecurity threats, including an incident response plan, vulnerability management, and disaster recovery/business continuity plans; incident detection and response solutions; internal and/or external audits to assess our exposure to cybersecurity threats; documented risk assessments; implementation of certain security standards/certifications; encryption of data; network security controls; data segregation; physical and electronic access controls; physical security; asset management, tracking and disposal; systems monitoring; employee security training; penetration testing; and cyber insurance. In addition to the above, management obtains a third-party review and formal certification of its information management system policies and procedures, which has been collated into an Information Security Management System (ISMS) which is maintained to ISO27001 standards.</w:t>
      </w:r>
    </w:p>
    <w:p>
      <w:pPr>
        <w:spacing w:after="0" w:line="182"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We work with third parties from time to time that assist us to identify, assess, and manage cybersecurity risks, including professional services firms, threat intelligence service providers, cybersecurity consultants, cybersecurity software providers, managed cybersecurity service providers, penetration testing firms and other vendors that help to identify, assess, or manage cybersecurity risks.</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To operate our business, we utilize certain third-party service providers to perform a variety of functions, such as outsourced business critical functions including contract research organizations, or CROs, for managing clinical trials, professional services, SaaS platforms, managed services, property management, cloud-based infrastructure, data center facilities, content delivery to customers, encryption and authentication technology, corporate productivity services, and other functions. We generally engage reliable, reputable service providers that maintain cybersecurity programs.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related to the services they provide and/or the information they process, conducting security assessments, requiring their completion of written questionnaires regarding their services and data handling practices, and conducting periodic re-assessments during their engagement.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For service providers that provide particularly critical services to us or process particularly sensitive information for us, we may also require that such providers possess at least one of the following certificates, reports, or procedures: SOC 2 Type 2; ISO 27001; annual penetration tests; and/or red/blue team tests.</w:t>
      </w:r>
    </w:p>
    <w:p>
      <w:pPr>
        <w:spacing w:after="0" w:line="176"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 xml:space="preserve">For a description of the risks from cybersecurity threats that may materially affect us and how they may do so, see our risk factors under Part 1. Item 1A. Risk Factors in this Annual Report on Form 10-K, including the risk factor titled: </w:t>
      </w:r>
      <w:r>
        <w:rPr>
          <w:rFonts w:ascii="Times New Roman" w:cs="Times New Roman" w:eastAsia="Times New Roman" w:hAnsi="Times New Roman"/>
          <w:sz w:val="17"/>
          <w:szCs w:val="17"/>
          <w:i w:val="1"/>
          <w:iCs w:val="1"/>
          <w:color w:val="auto"/>
        </w:rPr>
        <w:t>Cyber-attacks, failures in or interruptions of, or other compromise of our information technology systems, or those of third parties with whom we work, or our data could result in adverse consequences that materially affect our business, including without limitation, regulatory investigations or actions, litigation, fines and penalties, information theft, data corruption, harm to our reputation and brand, significant disruption of our business operations and other adverse consequences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strategy relies on input from management, including our Vice President, Information Technology &amp; Cybersecurity, who reports directly to our Chief Operating Officer, and has over a decade of experience in developing and implementing cybersecurity strategies for companies in the biopharmaceutical industry, as well as our Chief Financial Officer and Chief Legal Officer and General Counsel. We also operate an Information Risk Operating Committee, or IROC, consisting of senior members of the finance, legal, operations and information technology functions, to oversee the management of information security as a whole, including integrating cybersecurity considerations into the company’s overall risk management strategy, and for communicating key priorities to employees. The IROC meets on a regular basis, generally quarterly, to discuss cybersecurity risk and to review our cybersecurity program.</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processes are designed to escalate certain cybersecurity incidents to members of management depending on the circumstances, including our incident response team, which includes, but is not limited to, our Vice President, Information Technology &amp; Cybersecurity, Chief Legal Officer and General Counsel and Chief Financial Officer. In addition, our incident response processes include reporting to the Audit Committee of the board of directors for certain cybersecurity incidents.</w:t>
      </w:r>
    </w:p>
    <w:p>
      <w:pPr>
        <w:spacing w:after="0" w:line="183"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Management, including the IROC, is also responsible for approving budgets, helping prepare for cybersecurity incidents, responding to cybersecurity incidents, approving cybersecurity policies and procedures, reviewing audit reports, and reporting to the board of directors.</w:t>
      </w:r>
    </w:p>
    <w:p>
      <w:pPr>
        <w:spacing w:after="0" w:line="176"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oversees our risk management strategy with respect to cybersecurity threats. The board, through its Audit Committee, holds regular meetings, at least quarterly, to discuss issues including our cybersecurity threats. The meetings involve presentations and reports from our management, including our Vice President, Information Technology &amp; Cybersecurity, concerning our significant cybersecurity threats and risks and the processes we have implemented to address them.</w:t>
      </w:r>
    </w:p>
    <w:p>
      <w:pPr>
        <w:spacing w:after="0" w:line="179"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occupy approximately 45,000 rentable square feet of office and laboratory space in Cambridge, United Kingdom under a lease that expires in December 2031, and may be renewed for 10 years, cancelable in the fifth year of the extension. We also lease an additional 11,000 rentable square feet of office and laboratory space in Lexington, Massachusetts under a lease that expires in December 2027 and approximately 23,000 rentable square feet of office and laboratory space in Cambridge, Massachusetts under a lease that expires in March 2026. We believe that our office and laboratory spaces are sufficient to meet our current needs and that suitable additional space will be available as and when needed.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and claims that arise in the ordinary course of our business activities. We are not currently subject to any material legal proceedings.</w:t>
      </w:r>
    </w:p>
    <w:p>
      <w:pPr>
        <w:spacing w:after="0" w:line="15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20" w:right="379" w:hanging="97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Neither our ordinary shares, nominal value £0.01 per share, nor our non-voting ordinary shares, nominal value £0.01 per share, are publicly traded. Our American Depositary Shares, or ADSs, each represent one ordinary share of Bicycle Therapeutics plc and began trading on The Nasdaq Global Select Market on May 23, 2019 under the symbol “BCYC.” Prior to that date, there was no public trading market for our ADSs, ordinary shares, or non-voting ordinary shares.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Ordinary Shares</w:t>
      </w:r>
    </w:p>
    <w:p>
      <w:pPr>
        <w:spacing w:after="0" w:line="22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March 12, 2026, there were approximately 45 holders of record of our ordinary shares, two holders of record of our non-voting ordinary shares, and one holder of record of our ADSs. The number of beneficial owners of the ADSs in the United States is likely to be much larger than the number of record holders of our ordinary shares in the United States.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20" w:right="199" w:hanging="97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this discussion and analysis of our financial condition and consolidated results of operations together with the consolidated financial statements, related notes and other financial information included in this Annual Report on Form 10-K, or this Annual Report. Some of the information contained in this discussion and analysis or set forth elsewhere in this Annual Report, including statements of our plans, objectives, expectations and intentions, contain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Please also see the section titled “Forward-Looking Statements.”</w:t>
      </w:r>
    </w:p>
    <w:p>
      <w:pPr>
        <w:spacing w:after="0" w:line="18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 the discussion of the financial condition and results of operations for the year ended December 31, 2024 compared to the year ended December 31, 2023, refer to “Management's Discussion and Analysis of Financial Condition and Results of Operations—Results of Operations” and “Liquidity and Capital Resources” included in the Company’s Annual Report on Form 10-K for the year ended December 31, 2024, which was filed with the Securities and Exchange Commission, or the SEC, on February 25,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We are a clinical-stage pharmaceutical company developing a novel class of medicines, which we refer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The relatively large surface area presented by Bicycle molecules allows targets to be drugged that have historically been intractable to non-biological approaches. Bicycle molecules are excreted by the kidney rather than the liver and have shown no significant signs of immunogenicity to date, qualities which we believe explain the molecules’ favorable toxicological profile.</w:t>
      </w:r>
    </w:p>
    <w:p>
      <w:pPr>
        <w:spacing w:after="0" w:line="19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novel and proprietary phage display screening platform which we use to identify Bicycle molecules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quintillions of potential Bicycle molecules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89"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7"/>
          <w:szCs w:val="17"/>
          <w:color w:val="auto"/>
        </w:rPr>
        <w:t>Our internal programs are focused on oncology indications with high unmet medical need. Our product candidate, nuzefatide pevedotin, formerly BT5528, is a Bicycle Drug Conjugate, or a BDC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molecule, whereby the Bicycle molecules are chemically attached to a toxin that, when administered, is cleaved from the Bicycle molecule and kills the tumor cells.</w:t>
      </w:r>
    </w:p>
    <w:p>
      <w:pPr>
        <w:spacing w:after="0" w:line="2"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18"/>
          <w:szCs w:val="18"/>
          <w:color w:val="auto"/>
        </w:rPr>
        <w:t>We are evaluating nuzefatide pevedotin, a BDC molecule targeting Ephrin type A receptor 2, or EphA2, in both an ongoing company-sponsored Phase I/II clinical trial to assess safety, pharmacokinetics and clinical activity in patients with advanced solid tumors and an ongoing company-sponsored Phase II clinical trial to evaluate the efficacy, safety and pharmacokinetics of nuzefatide pevedotin in adult patients with recurrent metastatic pancreatic ductal adenocarcinoma after progression on a first-line therapy, which commenced recruiting patients in the first quarter of 2026. We are also developing BT1702, a Bicycle Radioconjugate,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targeting Membrane Type 1 matrix metalloproteinase, or MT1-MMP, and carrying a lead-212, or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for theranostic use. We are currently conducting Investigational New Drug application, or IND, -enabling activities for BT1702. We are also developing Bicycle Imaging Agents, or BIA molecules. In a BIA molecule a Bicycle molecule is linked to a chelated radiopharmaceutical imaging agent. We are using BIA molecules to potentially derisk novel targets prior to further clinical development and to efficiently triage cancer indications for subsequent treatment with both BRC and BDC molecules. Our discovery pipeline in oncology includes next-generation BDC molecules, BRC molecules and BIA molecules.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Zelenectide pevedotin, a BDC molecule targeting Nectin-4, is being evaluated in an ongoing company-sponsored Phase I/II clinical trial to assess the safety, pharmacokinetics and clinical activity in patients with Nectin-4 expressing advanced malignancies, an ongoing Phase II/III registrational trial called Duravelo-2 evaluating zelenectide pevedotin in patients with untreated and previously treated metastatic urothelial cancer and in ongoing company-sponsored Phase I/II clinical trials to assess the efficacy and safety of zelenectide pevedotin in patients with NECTIN4 amplified advanced breast cancer and NECTIN4 amplified advanced or metastatic non-small cell lung cancer, which commenced recruiting patients in the first and third quarters of 2025, respectively. 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clinical trial for zelenectide pevedotin are promising, demonstrating response rates comparable to published rates for existing standards of care and a differentiated safety profile, we plan to convert the Phase II/III Duravelo-2 registrational trial to a randomized Phase II clinical trial and deprioritize the program for internal development while we evaluate next steps for zelenectide pevedotin following preliminary feedback from regulatory agencies. In addition, as part of the strategic reprioritization, we plan to discontinue the Phase I/II clinical trials evaluating zelenectide pevedotin in patients with NECTIN4 amplified advanced breast cancer and NECTIN4 amplified advanced or metastatic non-small cell lung cancer. Further enrollment in these trials will be closed and patients already enrolled will complete their course of treatment.</w:t>
      </w:r>
    </w:p>
    <w:p>
      <w:pPr>
        <w:spacing w:after="0" w:line="187" w:lineRule="exact"/>
        <w:rPr>
          <w:sz w:val="20"/>
          <w:szCs w:val="20"/>
          <w:color w:val="auto"/>
        </w:rPr>
      </w:pPr>
    </w:p>
    <w:p>
      <w:pPr>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Our other product candidate, BT7480, is a Bicycle Tumor-Targeted Immune Cell Agonist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Bicycle TICA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A Bicycle TICA molecule links immune cell receptor binding Bicycle molecules to tumor antigen binding Bicycle molecules. BT7480, a Bicycle TICA molecule targeting Nectin-4 and agonizing CD137, is being evaluated in a company-sponsored Phase I/II clinical trial. After reporting certain data from the clinical trial in the first half of 2026, we will no longer develop BT7480 internally and intend to explore partnership opportunities for future development.</w:t>
      </w:r>
    </w:p>
    <w:p>
      <w:pPr>
        <w:spacing w:after="0" w:line="201"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Beyond our wholly owned oncology portfolio, we are collaborating with biopharmaceutical companies and organizations in additional therapeutic areas in which we believe our proprietary Bicycle screening platform can identify therapies to treat diseases with significant unmet medical need.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Workforce Reductions</w:t>
      </w:r>
    </w:p>
    <w:p>
      <w:pPr>
        <w:spacing w:after="0" w:line="229" w:lineRule="exact"/>
        <w:rPr>
          <w:sz w:val="20"/>
          <w:szCs w:val="20"/>
          <w:color w:val="auto"/>
        </w:rPr>
      </w:pPr>
    </w:p>
    <w:p>
      <w:pPr>
        <w:ind w:left="60" w:right="219" w:firstLine="648"/>
        <w:spacing w:after="0" w:line="270" w:lineRule="auto"/>
        <w:rPr>
          <w:sz w:val="20"/>
          <w:szCs w:val="20"/>
          <w:color w:val="auto"/>
        </w:rPr>
      </w:pPr>
      <w:r>
        <w:rPr>
          <w:rFonts w:ascii="Times New Roman" w:cs="Times New Roman" w:eastAsia="Times New Roman" w:hAnsi="Times New Roman"/>
          <w:sz w:val="17"/>
          <w:szCs w:val="17"/>
          <w:color w:val="auto"/>
        </w:rPr>
        <w:t>In August 2025, we announced cost reduction initiatives to reduce planned operating costs, primarily through a workforce reduction that was substantially complete as of December 31, 2025. As a result, we incurred aggregate charges for severance and other employee termination benefits of $5.3 million during the year ended December 31, 2025. In addition, in March 2026, we announced the strategic reprioritization of our clinical portfolio to focus on our promising pipeline of next-generation therapeutics, including nuzefatide pevedotin as well as next-generation Bicycle conjugates, including BRC molecules. In connection with the strategic reprioritization, we are implementing a proposed workforce reduction of approximately 30% of our workforce. Together, the workforce reduction and strategic reprioritization are expected to reduce our annual operating expenses by approximately 50% based on our current plans. We expect the workforce reduction to be substantially completed by the end of 2026, and that we will incur aggregate charges, representing cash expenditure for severance and other employee termination benefits, of approximately $8.0 million.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our Bicycle platform and our product candidates, conducting research and development of our product candidates and preclinical programs, raising capital and providing general and administrative support for our operations. To date, we have financed our operations primarily with proceeds from the sale of our equity securities; proceeds received from upfront payments, research and development payments, and development milestone payments from our collaboration agreements; and borrowings pursuant to a loan and security agreement, or the Loan Agreement, with Hercules Capital, Inc., or Hercules. From our inception in 2009 through December 31, 2025, we have received gross proceeds of $1.4 billion from the sale of equity securities and $239.6 million of cash payments under our collaboration agreements, including $46.3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from Bayer Consumer Care AG, or Bayer, $53.0 million from Novartis Pharma AG, or Novartis, $49.7 million from Ionis Pharmaceuticals, Inc., or Ionis, and $56.0 million from Genentech Inc., or Genentech. We do not have any products approved for sale and have not generated any revenue from product sales.</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$219.0 million, $169.0 million and $180.7 million for the years ended December 31, 2025, 2024 and 2023, respectively. As of December 31, 2025, we had an accumulated deficit of</w:t>
      </w:r>
    </w:p>
    <w:p>
      <w:pPr>
        <w:spacing w:after="0" w:line="3" w:lineRule="exact"/>
        <w:rPr>
          <w:sz w:val="20"/>
          <w:szCs w:val="20"/>
          <w:color w:val="auto"/>
        </w:rPr>
      </w:pPr>
    </w:p>
    <w:p>
      <w:pPr>
        <w:ind w:left="60" w:right="339"/>
        <w:spacing w:after="0" w:line="255" w:lineRule="auto"/>
        <w:rPr>
          <w:sz w:val="20"/>
          <w:szCs w:val="20"/>
          <w:color w:val="auto"/>
        </w:rPr>
      </w:pPr>
      <w:r>
        <w:rPr>
          <w:rFonts w:ascii="Times New Roman" w:cs="Times New Roman" w:eastAsia="Times New Roman" w:hAnsi="Times New Roman"/>
          <w:sz w:val="18"/>
          <w:szCs w:val="18"/>
          <w:color w:val="auto"/>
        </w:rPr>
        <w:t>$899.8 million. These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w:t>
      </w:r>
    </w:p>
    <w:p>
      <w:pPr>
        <w:spacing w:after="0" w:line="18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expenses and capital requirements will decrease in the near term as a result of our cost saving initiatives and our strategic reprioritization announced in March 2026. However, our expenses and capital requirements may increase substantially if and as we:</w:t>
      </w:r>
    </w:p>
    <w:p>
      <w:pPr>
        <w:spacing w:after="0" w:line="176" w:lineRule="exact"/>
        <w:rPr>
          <w:sz w:val="20"/>
          <w:szCs w:val="20"/>
          <w:color w:val="auto"/>
        </w:rPr>
      </w:pPr>
    </w:p>
    <w:p>
      <w:pPr>
        <w:ind w:left="1040" w:right="1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conducting future clinical trials of nuzefatide pevedotin and BT1702;</w:t>
      </w:r>
    </w:p>
    <w:p>
      <w:pPr>
        <w:spacing w:after="0" w:line="16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obtain marketing approval for our product candidates and to support manufacturing to commercial scale;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commercial and scientific personnel;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and any future commercialization efforts.</w:t>
      </w:r>
    </w:p>
    <w:p>
      <w:pPr>
        <w:spacing w:after="0" w:line="16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from product sales unless and until we successfully complete development and obtain marketing approval for one or more of our product candidates, which we expect will take many years and is subject to significant uncertainty. We have no commercial-scale manufacturing facilities of our own, and all of our manufacturing activities have been and are planned to be contracted out to third parties. Additionally, we currently utilize third-party contract research organizations, or CROs, to carry out our clinical development activities. If we seek to obtain marketing approval for any of our product candidates from which we obtain encouraging results in clinical development, we expect to incur significant commercialization expenses as we prepare for product sales, marketing, manufacturing, and distribution.</w:t>
      </w:r>
    </w:p>
    <w:p>
      <w:pPr>
        <w:spacing w:after="0" w:line="192"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charitable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and governmental grants, monetization transactions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$628.1 million. We believe that our existing cash and cash equivalents will enable us to fund our operating expenses and capital expenditure requirements for at least 12 months from the date of filing of this Annual Report. We have based this estimate on assumptions that may prove to be wrong, and we could deplete our available capital resources sooner than we expect. See “Liquidity and Capital Resources” and “Capital Resources and Funding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we do not expect to generate any revenue from product sales for the foreseeable future. Our revenue primarily consists of collaboration revenue under our arrangements with our collaboration partners, including amounts that are recognized related to upfront payments, milestone payments and option exercise payments, amounts due to us for research and development services and reimbursement of certain expenses incurred. In the future, revenue may include additional milestone payments and option exercise payments, and royalties on any net product sales under our collaborations. In the near term, we expect that revenue may decrease as a result of the terminations of our collaboration agreements with Genentech and Novartis, effective in August 2025 and February 2026, respectively. In the future, we expect that any revenue we generate will fluctuate from period to period as a result of the timing and amount of license, research and development services, milestone and other payments, as well as the exercise or expiration of options.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discovery efforts, and the development of our product candidates, which include:</w:t>
      </w:r>
    </w:p>
    <w:p>
      <w:pPr>
        <w:spacing w:after="0" w:line="140" w:lineRule="exact"/>
        <w:rPr>
          <w:sz w:val="20"/>
          <w:szCs w:val="20"/>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share-based compensation expense;</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and clinical trial materials;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other operating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Research and development costs are expensed as incurred. Costs for certain activities are recognized based on an evaluation of the progress to completion of specific tasks. Payments for these activities are based on the terms of the individual agreements, which may differ from the pattern of costs incurred, and are reflected in our consolidated financial statements as prepaid expenses and other current assets or accrued research and development expenses.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7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direct external research and development expenses are tracked on a program-by-program basis and consist of costs, such as fees paid to consultants, contract research organizations, or CROs, contractors and CMOs in connection with our preclinical and clinical development activities. Costs incurred after a product candidate has been designated and that are directly related to the product candidate are included in direct research and development expenses for that program. Costs incurred prior to designating a product candidate are included in discovery, platform and other expense.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December 2016, we entered into a Clinical Trial and License Agreement with Cancer Research Technology Limited, or CRTL and Cancer Research UK, or the BT1718 Cancer Research UK Agreement, pursuant to which the Cancer Research UK Centre for Drug Development sponsored and funded a Phase I/IIa clinical trial for our previous product candidate, BT1718, in patients with advanced solid tumors. The costs incurred by Cancer Research UK were recorded as a liability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 the payments were not based solely on the results of the research and development having future economic benefit. The accrual of the liability was recorded as incremental research and development expense in our consolidated statements of operations and comprehensive loss prior to the expiration and termination of the BT1718 Cancer Research UK Agreement in December 2024. See “Other Income (Expense)” for additional information on our accounting for the expiration and termination of the BT1718 Cancer Research UK Agreement.</w:t>
      </w:r>
    </w:p>
    <w:p>
      <w:pPr>
        <w:spacing w:after="0" w:line="19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Through our subsidiaries in the U.K., we receive reimbursements of certain research and development expenditures as part of a U.K. government research and development tax relief program. For 2023 and 2024, we benefitted from the Small and Medium-sized Enterprises, or SME, R&amp;D Tax Relief program, under which we were able to surrender trading losses that arose from qualifying research and development expenses incurred by our subsidiaries in the U.K. for a cash rebate. The Finance Act 2024, which was enacted in February 2024, replaced the legacy research and development expenditure credit and the SME R&amp;D Tax Relief program with a merged research and development expenditure credit scheme, or RDEC, and an enhanced research and development intensive support scheme, or ERIS. The Finance Act 2024 increased the cash rebate that may be claimed from 18.6% to 26.97% of qualifying expenditure and retroactively applied to qualifying expenditures incurred after April 1, 2023, if we qualify as “R&amp;D intensive” for an accounting period (broadly, a loss-making SME whose relevant R&amp;D expenditure represents, for accounting periods beginning on or after April 1, 2023, 40%, or, for accounting periods beginning on or after April 1, 2024, 30% of its total expenditure for that accounting period). For periods prior to April 1, 2023 the cash rebate was up to 33.35% of qualifying expenditures. We qualified as R&amp;D intensive for the years ended December 31, 2025, 2024 and 2023. Going forward, if we no longer qualify as an R&amp;D intensive SME during an accounting period, we will be subject to a single 20% gross rebate rate applying to all claims under the RDEC scheme.</w:t>
      </w:r>
    </w:p>
    <w:p>
      <w:pPr>
        <w:spacing w:after="0" w:line="196"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2025 and beyond, the Finance Act 2024 also introduces restrictions (unless limited exceptions apply) on the tax relief that can be claimed for expenditures incurred on sub-contracted R&amp;D activities or externally provided workers, where such sub-contracted activities are not carried out in the U.K. or such workers are not subject to U.K. payroll taxes. These restrictions may limit our ability to claim R&amp;D tax credits for sub-contracted R&amp;D in the future.</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U.K. research and development tax credit is fully refundable to us after surrendering tax losses and is not dependent on current or future taxable income. As a result, we have recorded the entire benefit from the U.K. research and development tax credit as a reduction to research and development expenses and it is not reflected as part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decrease in the near term as a result of our cost saving initiatives and our strategic reprioritization announced in March 2026. However, our research and development expenses will increase over the longer term if and as we:</w:t>
      </w:r>
    </w:p>
    <w:p>
      <w:pPr>
        <w:spacing w:after="0" w:line="3" w:lineRule="exact"/>
        <w:rPr>
          <w:sz w:val="20"/>
          <w:szCs w:val="20"/>
          <w:color w:val="auto"/>
        </w:rPr>
      </w:pPr>
    </w:p>
    <w:p>
      <w:pPr>
        <w:jc w:val="both"/>
        <w:ind w:left="60" w:right="159" w:hanging="10"/>
        <w:spacing w:after="0" w:line="255" w:lineRule="auto"/>
        <w:tabs>
          <w:tab w:leader="none" w:pos="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and seek to obtain marketing approval for our product candidates; (ii) initiate clinical trials for our product candidates; and (iii) build our in-house process development and analytical capabilities and continue to discover and develop additional product candidates.</w:t>
      </w:r>
    </w:p>
    <w:p>
      <w:pPr>
        <w:spacing w:after="0" w:line="18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product candidates. This is due to the numerous risks and uncertainties associated with developing products, including the uncertainty of:</w:t>
      </w:r>
    </w:p>
    <w:p>
      <w:pPr>
        <w:spacing w:after="0" w:line="183" w:lineRule="exact"/>
        <w:rPr>
          <w:sz w:val="20"/>
          <w:szCs w:val="20"/>
          <w:color w:val="auto"/>
        </w:rPr>
      </w:pPr>
    </w:p>
    <w:p>
      <w:pPr>
        <w:ind w:left="1040" w:right="21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new product candidates to add to our development pipeline,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development of our product candidates;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 to advance our preclinical programs into clinical development;</w:t>
      </w:r>
    </w:p>
    <w:p>
      <w:pPr>
        <w:spacing w:after="0" w:line="16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the initiation and completion of clinical trials, including conducting future clinical trials of nuzefatide pevedotin and BT1702;</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product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timely delivery of commercial-grade drug formulations that can be used in our clinical trials;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as well as any changes in governmental regulations;</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as well as obtaining and maintaining regulatory exclusivity for our product candidates;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example, the FDA, the European Medicines Agency, or EMA, or another regulatory authority may require us to conduct clinical trials beyond those that we anticipate will be required for the completion of clinical development of a product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product candidates or focus on others.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In addition, on April 26, 2023, the European Commission adopted a proposal for a new Directive and Regulation to revise the current EU pharmaceutical legislation. The proposed revisions remain to be agreed and adopted by the European Council. Moreover, on December 1, 2024, a new European Commission took office. The proposal could, therefore, still be subject to revisions. If adopted in the form proposed, the European Commission proposals may result in a decrease in data and market exclusivity opportunities for our product candidates in the EU and make them open to generic or biosimilar competition earlier than is currently the case with a related reduction in reimbursement status.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our executive, finance, corporate and business development, commercial and administrative functions. General and administrative expenses also include professional fees for legal, patent, accounting, auditing, tax and consulting services, insurance, travel expenses and facility-related expenses, which include direct depreciation costs and allocated expenses for rent and maintenance of facilities and other operating costs.</w:t>
      </w:r>
    </w:p>
    <w:p>
      <w:pPr>
        <w:spacing w:after="0" w:line="183"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Foreign currency transactions in currencies different from the applicable functional currency are translated into the functional currency using the exchange rates prevailing at the dates of the transactions. Foreign exchange differences resulting from the settlement of such transactions and from the remeasurement at period-end exchange rates in foreign currencies are recorded in general and administrative expense in the consolidated statements of operations and comprehensive loss. As such, our operating expenses may be impacted by future changes in exchange rates. See “Quantitative and Qualitative Disclosures About Market Risks” for further discussion.</w:t>
      </w:r>
    </w:p>
    <w:p>
      <w:pPr>
        <w:spacing w:after="0" w:line="18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in the near term as a result of our cost saving initiatives and our strategic reprioritization announced in March 2026. However, we expect that our general and administrative expenses may increase in the future if and as we increase our general and administrative headcount to support our continued research and development and potential commercialization of our portfolio of product candidates. We also expect to continue to incur increased expenses associated with being a public company including costs of accounting, audit, information systems, legal, intellectual property, regulatory and tax compliance services, director and officer insurance and investor and public relations.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consists primarily of interest earned on our cash held in operating accounts and our cash equivalents.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for financing arrangements.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Loss on extinguishment of debt is related to the loss recognized from the repayment and voluntary termination of the Loan Agreement on July 9,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 on Extinguishment of Research and Development Funding Liability</w:t>
      </w:r>
    </w:p>
    <w:p>
      <w:pPr>
        <w:spacing w:after="0" w:line="22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Gain on extinguishment of research and development funding liability is related to the gain recognized from the extinguishment of the research and development funding liability previously recognized under the BT1718 Cancer Research UK Agreement. In December 2024, we entered into an Expiry and Revenue Sharing Agreement, or the BT1718 Expiration Agreement, with CRTL and Cancer Research UK pursuant to which, among other things, the BT1718 Cancer Research UK Agreement, and all rights and obligations (other than certain surviving provisions as outlined in the agreement) under the BT1718 Cancer Research UK Agreement, expired and terminated. As such, we recognized a gain on extinguishment of the research and development funding liability of $4.5 million during the year ended December 31, 2024, which is recorded within other income, net, in the consolidated statements of operations and comprehensive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corporate taxation in the United States and the U.K. We have generated losses since inception and have therefore not paid U.K. corporation tax. The provision for (benefit from) income taxes included in the consolidated statements of operations and comprehensive loss represents the tax impact from operating activities in the United States, which has generated taxable income based on intercompany service arrangements.</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After consideration of our history of cumulative net losses in the U.K., we have concluded that it is more likely than not that we will not realize the benefits of our U.K. deferred tax assets and accordingly we have provided a valuation allowance for the full amount of the net deferred tax assets in the U.K. We intend to continue to maintain a full valuation allowance on our U.K. deferred tax assets until there is sufficient evidence to support the reversal of all or some portion of these allowances. The release of the valuation allowance would result in the recognition of certain deferred tax assets and an incremental benefit from income taxes in the period the release is recorded. However, the exact timing and amount of the valuation allowance release are subject to change on the basis of the level of profitability that we are able to actually achieve.</w:t>
      </w:r>
    </w:p>
    <w:p>
      <w:pPr>
        <w:spacing w:after="0" w:line="192"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2024 and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6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(247,065)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(209,872)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Gain on extinguishment of research and development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funding liability</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4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(247,065)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(209,872)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Gain on extinguishment of research and development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funding liability</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Collaboration revenue increased by $37.3 million in the year ended December 31, 2025, compared to the year ended December 31, 2024, primarily due to increases of $38.8 million from our collaboration with Novartis primarily due to the recognition of all remaining revenue upon a notice of termination from Novartis in November 2025, effective in February 2026, as well as $5.5 million from our collaboration with Bayer primarily due to the recognition of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upon a notice of termination from Bayer of one of the target programs in November 2025, effective in January 2026. These increases were offset by a decrease in revenue of $6.9 million from our collaboration with Ionis due to the completion of the combined licenses and research and discovery performance obligation during the year ended December 31, 2024.</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presented: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Zelenectide pevedotin (Nectin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Nuzefatide pevedotin (EphA2)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incentives and government grants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increased by $67.3 million in the year ended December 31, 2025 compared to the year ended December 31, 2024, primarily due to increases of: $44.1 million in clinical program expenses for zelenectide pevedotin primarily due to the Phase II/III Duravelo-2 registrational trial as well as the Phase I/II clinical trials assessing zelenectide pevedotin in patients with NECTIN4 amplified advanced breast cancer and NECTIN4 amplified advanced or metastatic non-small cell lung cancer, which commenced recruiting patients in the first and third quarters of 2025, respectively; $12.9 million in discovery, platform and other expense primarily due to continued development of our pipeline programs, including advancing our Bicycle radioligand molecule pipeline; $11.0 million in employee and contractor related expenses primarily attributable to higher headcount prior to our August 2025 workforce reduction as well as $2.2 million in incremental severance-related costs period over period; and $8.3 million resulting from a decrease in research and development incentives primarily due to the retroactive impact of U.K. R&amp;D tax credit reimbursement rate changes that were enacted and effective in the first quarter of 2024, retroactively applied to April 1, 2023. These increases were offset by decreases of: $5.8 million in Bicycle TICA program development expenses due to the timing of clinical program activities; $1.4 million in share-based compensation expense primarily due to the impact of our workforce reduction in August 2025; and $1.1 million in facility expenses.</w:t>
      </w:r>
    </w:p>
    <w:p>
      <w:pPr>
        <w:spacing w:after="0" w:line="19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begin to separately track program expenses at candidate nomination, at which point we accumulate all direct external program costs incurred to support that program to date. Through December 31, 2025, we have incurred approximately $283.4 million and $57.2 million of direct external expenses for the development of zelenectide pevedotin and nuzefatide pevedotin, respectively, since their candidate nominations, and an aggregate of $51.3 million of direct external expenses for the development of the two named Bicycle TICA candidates since their nominations.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presented:</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4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administration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09"/>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79,368</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$7.2 million in the year ended December 31, 2025 compared to the year ended December 31, 2024 primarily due to increases of $4.9 million in personnel-related costs primarily associated with higher headcount prior to our August 2025 workforce reduction as well as $1.6 million in incremental severance-related costs period over period, and $2.8 million in share-based compensation primarily associated with equity grants issued since the prior year, offset by a favorable impact of $1.4 million due to the effect of foreign exchange rates.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Other income, net decreased by $7.8 million in the year ended December 31, 2025 compared to the year ended December 31, 2024, which was primarily due to a decrease in interest and other income of $5.8 million related to lower average interest rates period over period as well as higher cash and cash equivalents balances in the second half of 2024. In addition, during the year ended December 31, 2024, we recorded a gain on extinguishment of the research and development funding liability of $4.5 million recognized in the fourth quarter of 2024 as a result of the termination of our arrangement with Cancer Research UK for BT1718. These impacts were offset by a decrease in interest expense of $1.5 million due to the repayment and voluntary termination of the Loan Agreement in July 2024 and the loss on extinguishment of debt of $1.0 million recognized in the third quarter of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$0.2 million for the year ended December 31, 2025, is primarily the result of the reversal of deferred tax assets for share-based payments resulting from our August 2025 workforce reduction. The benefit from income taxes of $4.8 million for the year ended December 31, 2024, is mainly the result of deferred tax assets benefited in the United States that do not have a valuation allowance against them because of profits that will be generated by an intercompany service agreement, including income tax benefits of approximately $3.5 million recognized during the third quarter of 2024 related to the completion of a U.S. research and development tax credit study.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From our inception in 2009 through December 31, 2025, we have not generated any revenue from product sales and have incurred significant operating losses and negative cash flows from our operations. We do not expect to generate significant revenue from sales of any products for several years, if at 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with proceeds from the sale of our equity securities, proceeds received from upfront payments, payments for research and development services and development milestone payments pursuant to our collaboration agreements, and borrowings pursuant to our Loan Agreement with Hercules.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2024 and 2023:</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20" w:type="dxa"/>
            <w:vAlign w:val="bottom"/>
            <w:vMerge w:val="restart"/>
          </w:tcPr>
          <w:p>
            <w:pPr>
              <w:ind w:left="5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(249,675)</w:t>
            </w:r>
          </w:p>
        </w:tc>
        <w:tc>
          <w:tcPr>
            <w:tcW w:w="4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(164,724)</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(251,352)</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353,097</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$249.7 million as compared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$164.7 million for the year ended December 31, 2024. The increase in cash used in operations of $85.0 million is primarily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an increase in cash payments for clinical program activities, primarily related to the multiple clinical trials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zelenectide pevedotin, including for the Phase II/III registrational trial in patients with untreated and previously treated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metastatic urothelial cancer and the initiation of the Phase I/II clinical trials in patients with NECTIN4 amplified advanced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breast cancer and NECTIN4 amplified advanced or metastatic non-small cell lung cancer.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used $2.4 million and $1.2 million, respectively, of cash in investing activities for purchases of property and equipment, consisting primarily of laboratory equipment.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used in financing activities was $0.1 million, primarily consisting of payments of finance lease obligations.</w:t>
      </w:r>
    </w:p>
    <w:p>
      <w:pPr>
        <w:spacing w:after="0" w:line="16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$519.8 million, primarily consisting of net proceeds of $544.1 million from the private placement completed in May 2024 and $7.5 million from the exercise of share options, offset by payments on debt of $31.9 million associated with the repayment and voluntary termination of the Loan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Program</w:t>
      </w:r>
    </w:p>
    <w:p>
      <w:pPr>
        <w:spacing w:after="0" w:line="219" w:lineRule="exact"/>
        <w:rPr>
          <w:sz w:val="20"/>
          <w:szCs w:val="20"/>
          <w:color w:val="auto"/>
        </w:rPr>
      </w:pPr>
    </w:p>
    <w:p>
      <w:pPr>
        <w:ind w:left="60" w:right="159" w:firstLine="648"/>
        <w:spacing w:after="0" w:line="239" w:lineRule="auto"/>
        <w:rPr>
          <w:sz w:val="20"/>
          <w:szCs w:val="20"/>
          <w:color w:val="auto"/>
        </w:rPr>
      </w:pPr>
      <w:r>
        <w:rPr>
          <w:rFonts w:ascii="Times New Roman" w:cs="Times New Roman" w:eastAsia="Times New Roman" w:hAnsi="Times New Roman"/>
          <w:sz w:val="18"/>
          <w:szCs w:val="18"/>
          <w:color w:val="auto"/>
        </w:rPr>
        <w:t>On June 5, 2020,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and Oppenheimer &amp; Co. Inc., collectively, the Sales Agents, with respect to an at-the-market, or ATM, program pursuant to which we may offer and sell through the Sales Agents, from time to time at our sole discretion, ADSs. Our prospectus supplement dated May 26, 2023, related to our ADSs issuable pursuant to the Sales Agreement is not currently effective. Accordingly, we will not make any sales of our securities pursuant to the Sales Agreement unless and until a new prospectus, prospectus supplement or a new registration statement is filed. No ADSs were issued or sold pursuant to the Sales Agreement during the year ended December 31, 2025.</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July 9, 2024, we repaid all amounts outstanding, including $30.0 million in outstanding borrowings, $0.1 million in accrued and unpaid interest, an end-of-term charge of $1.5 million and a prepayment charge of $0.3 million, for a total aggregate payment of $31.9 million, and terminated the Loan Agreement. Upon the termination of the Loan Agreement, all security interests granted to the secured parties thereunder were terminated and released. For additional information on the Loan Agreement, see Note 6. “Debt” of our consolidated financial statements included elsewhere in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 and Funding Requirements</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expenses associated with our ongoing activities, particularly as we advance the preclinical activities and clinical trials of our product candidates and as we:</w:t>
      </w:r>
    </w:p>
    <w:p>
      <w:pPr>
        <w:spacing w:after="0" w:line="162" w:lineRule="exact"/>
        <w:rPr>
          <w:sz w:val="20"/>
          <w:szCs w:val="20"/>
          <w:color w:val="auto"/>
        </w:rPr>
      </w:pPr>
    </w:p>
    <w:p>
      <w:pPr>
        <w:ind w:left="1040" w:right="5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current trials and conducting future clinical trials of nuzefatide pevedotin and BT1702;</w:t>
      </w:r>
    </w:p>
    <w:p>
      <w:pPr>
        <w:spacing w:after="0" w:line="16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seek to obtain marketing approval for our product candidates and to support manufacturing of product to commercial scale;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finance, commercial and scientific personnel;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any future commercialization efforts.</w:t>
      </w:r>
    </w:p>
    <w:p>
      <w:pPr>
        <w:spacing w:after="0" w:line="16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our collaboration partners.</w:t>
      </w:r>
    </w:p>
    <w:p>
      <w:pPr>
        <w:spacing w:after="0" w:line="17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the following table summarizes our contractual obligations as of December 31, 2025 and the effects that such obligations are expected to have on our liquidity and cash flows in future periods. For additional information, see Note 11. “Commitments and contingencies” of our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70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gridSpan w:val="2"/>
          </w:tcPr>
          <w:p>
            <w:pPr>
              <w:jc w:val="right"/>
              <w:ind w:right="16"/>
              <w:spacing w:after="0" w:line="13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40" w:type="dxa"/>
            <w:vAlign w:val="bottom"/>
          </w:tcPr>
          <w:p>
            <w:pPr>
              <w:spacing w:after="0"/>
              <w:rPr>
                <w:sz w:val="11"/>
                <w:szCs w:val="11"/>
                <w:color w:val="auto"/>
              </w:rPr>
            </w:pPr>
          </w:p>
        </w:tc>
        <w:tc>
          <w:tcPr>
            <w:tcW w:w="280" w:type="dxa"/>
            <w:vAlign w:val="bottom"/>
            <w:gridSpan w:val="2"/>
          </w:tcPr>
          <w:p>
            <w:pPr>
              <w:jc w:val="right"/>
              <w:ind w:right="42"/>
              <w:spacing w:after="0" w:line="13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6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1"/>
                <w:szCs w:val="11"/>
                <w:color w:val="auto"/>
              </w:rPr>
            </w:pPr>
          </w:p>
        </w:tc>
        <w:tc>
          <w:tcPr>
            <w:tcW w:w="100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 years to 5 years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commitments</w:t>
            </w:r>
            <w:r>
              <w:rPr>
                <w:rFonts w:ascii="Times New Roman" w:cs="Times New Roman" w:eastAsia="Times New Roman" w:hAnsi="Times New Roman"/>
                <w:sz w:val="25"/>
                <w:szCs w:val="25"/>
                <w:color w:val="auto"/>
                <w:vertAlign w:val="superscript"/>
              </w:rPr>
              <w:t>(1)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Finance lease commitments</w:t>
            </w: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119" w:hanging="330"/>
        <w:spacing w:after="0" w:line="231" w:lineRule="auto"/>
        <w:tabs>
          <w:tab w:leader="none" w:pos="380"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Amounts reflect minimum payments due for our office and laboratory space leases. We have one office and laboratory lease in Cambridge, U.K. under an operating lease with a lease term through December 2031. We have two office and laboratory leases in Massachusetts, U.S. under operating leases that expire in March 2026 and December 2027.</w:t>
      </w:r>
    </w:p>
    <w:p>
      <w:pPr>
        <w:spacing w:after="0" w:line="20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various agreements with contract research organizations to provide clinical trial services, with contract manufacturing organizations to provide clinical trial materials, and with vendors for preclinical research studies, synthetic chemistry and other services for operating purposes. These payments are not included in the table above since the contracts are generally cancelable with advanced written notice, generally with a notice period of 90 days or less. From the time of notice until termination, we are contractually obligated to make certain minimum payments to the vendors, based on the timing of the notification and the exact terms of the agreement.</w:t>
      </w:r>
    </w:p>
    <w:p>
      <w:pPr>
        <w:spacing w:after="0" w:line="18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have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 These additional milestone payments are contingent upon future events that are not considered probable of achievement as of December 31, 2025. As of December 31, 2025, we were unable to estimate the timing or likelihood of achieving these milestones.</w:t>
      </w:r>
    </w:p>
    <w:p>
      <w:pPr>
        <w:spacing w:after="0" w:line="18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$628.1 million. We expect that our existing cash and cash equivalents will enable us to fund our operating expenses and capital expenditure requirements for at least 12 months from the date of filing of this Annual Report.</w:t>
      </w:r>
    </w:p>
    <w:p>
      <w:pPr>
        <w:spacing w:after="0" w:line="17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light of the impacts of the unfavorable global economic and political conditions;</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the product candidates we may develop;</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programs;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manufacturing process development and evaluation of third-party manufacturers and suppliers;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right="99" w:hanging="315"/>
        <w:spacing w:after="0" w:line="266"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spacing w:after="0" w:line="17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 and the extent to which we acquire or in-license other product candidates, technologies and intellectual property.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collaborations;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ownership interests of existing holders of our ADSs and ordinary shares will be diluted, and the terms of these securities may include liquidation or other preferences that adversely affect the rights of holders of our ADSs or ordinary shares.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Future debt financing, if available, may involve covenants restricting our operations or our ability to incur additional debt. Any debt or equity financing that we raise may contain terms that are not favorable to us or our shareholders.</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Global trade disruption, volatility in the capital markets and continued uncertainty may contribute to a general global economic slowdown or recession. Inflationary factors, such as increases in the cost of our clinical trial materials and supplies, interest rates and overhead costs may adversely affect our operating results. In addition, current or future tariffs or other trade barriers may result in increased research and development expenses, including with respect to increased costs associated with active pharmaceutical ingredients, raw materials, laboratory equipment and research materials and components. High interest rates also present a recent challenge impacting the U.S. economy and could make it more difficult for us to obtain traditional financing on acceptable terms, if at all, in the future. Furthermore, such economic conditions have produced downward pressure on share prices. Although we do not believe that inflation has had a material impact on our financial position or results of operations to date, in the future increased inflation rates and macroeconomic turmoil may adversely affect us by increasing our costs and the costs of our CMOs and other suppliers. In addition, our labor and research and development costs may increase due to supply chain constraints, consequences associated with geopolitical conflicts, war, worsening global macroeconomic conditions, including those resulting from changes in global trade policies, or other factors, which may result in additional stress on our working capital resources. If we are unable to raise capital when needed or on attractive terms, we would be forced to delay, reduce, or eliminate our research and development programs or future commercialization efforts.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is based on our consolidated financial statements, which have been prepared in accordance with U.S. GAAP. The preparation of our consolidated financial statements and related disclosures requires us to make estimates and assumptions that affect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revenues are generated primarily through collaborative arrangements and license agreements with pharmaceutical companies. The terms of these arrangements may include (i) performing research and development services using our bicyclic peptide screening platform with the goal of identifying and/or optimizing compounds for further development and commercialization, (ii) the transfer of intellectual property rights (licenses), or (iii) options to obtain additional research and development services or licenses for additional targets, or to optimize product candidates, upon the payment of option fees.</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terms of these arrangements typically include payment to us of one or more of the following: non-refundable upfront license fees; payments for research and development services and reimbursement of certain expenses incurred;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81" w:lineRule="exact"/>
        <w:rPr>
          <w:sz w:val="20"/>
          <w:szCs w:val="20"/>
          <w:color w:val="auto"/>
        </w:rPr>
      </w:pPr>
    </w:p>
    <w:p>
      <w:pPr>
        <w:jc w:val="both"/>
        <w:ind w:left="60" w:right="139"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Topic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or ASC 606. This standard applies to all contracts with customers, except for contracts that are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of other standards, such as leases, insurance, and financial instruments.</w:t>
      </w:r>
    </w:p>
    <w:p>
      <w:pPr>
        <w:spacing w:after="0" w:line="17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w:t>
      </w:r>
    </w:p>
    <w:p>
      <w:pPr>
        <w:spacing w:after="0" w:line="3" w:lineRule="exact"/>
        <w:rPr>
          <w:sz w:val="20"/>
          <w:szCs w:val="20"/>
          <w:color w:val="auto"/>
        </w:rPr>
      </w:pPr>
    </w:p>
    <w:p>
      <w:pPr>
        <w:ind w:left="360" w:hanging="310"/>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0" w:right="139" w:hanging="10"/>
        <w:spacing w:after="0" w:line="255"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the performance obligations. We only apply the five-step model to contracts when it is probable that we will collect substantially all of the consideration we are entitled to in exchange for the goods or services we transfer to the customer.</w:t>
      </w:r>
    </w:p>
    <w:p>
      <w:pPr>
        <w:spacing w:after="0" w:line="18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part of the accounting for these arrangements, we must make significant judgments, including identifying performance obligations in the contract, including assessing whether options to additional goods or services provide a material right to the customer, estimating the amount of variable consideration to include in the transaction price, allocating the transaction price to each performance obligation based on estimated relative standalone selling prices, and measuring progress towards the satisfaction of each performance obligation.</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Many of our performance obligations, whether distinct or combined, do not have readily available standalone selling prices and therefore we are required to make judgments and estimates regarding the standalone selling prices utilizing key assumptions, which may include other comparable transactions, pricing considered in negotiating the transaction, probabilities of technical and regulatory success and estimated costs.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an arrangement. In addition, we must determine whether a change in scope or price of a contract represents a contract modification and, if so, account for the effects of the modification when it is approved by both parties to the contract. We determine the accounting for a contract modification as (i) a separate contract if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modification adds distinct goods or services and the price of the contract increases by an amount that reflects the standalone selling price of those additional goods or services; (ii) a termination of the existing contract and creation of a new contract if the remaining goods or services are distinct from those transferred before the modification; (iii) a cumulative catch-up adjustment to the revenue recognized on the original contract if the remaining goods or services are not distinct from those transferred before the modification; or (iv) a combination of (ii) and (iii) if the remaining goods or services include both goods and services that are distinct from those transferred before the modification and goods and services that are not distinct.</w:t>
      </w:r>
    </w:p>
    <w:p>
      <w:pPr>
        <w:spacing w:after="0" w:line="18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a license to our intellectual property is determined to be distinct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promises or performance obligations identified in the arrangement, we recognize revenue from the portion of the transaction price that is allocated to the license when the license is transferred to the customer and the customer is able to use and benefit from the license. In assessing whether a license to our intellectual property is distinct from the other promises in the arrangement, we consider factors such as the stage of development of the underlying intellectual property, the capabilities of the customer to develop the intellectual property on their own and whether the required expertise is readily available. In addition, we consider whether the collaboration partner can benefit from a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such as research and development services and a research license,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A customer’s right to choose, at its discretion, to make a payment for additional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is generally considered an option. If we are not presently obligated to provide, and do not have a right to consideration for delivering additional goods or services, the item is considered an option. We evaluate customer options to obtain additional items (i.e., additional license rights) for material rights, or options to acquire additional goods or services for free or at a discount. Optional future goods and services that reflect their standalone selling prices do not provide the customer with a material right and, therefore, are not considered performance obligations and are accounted for as separate contracts. If optional future goods and services reflect a significant or incremental discount, they are material rights, and are accounted for as performance obligations.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Our collaboration agreements may include development and regulatory milestones.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whether the milestones are considered probable of being reached and estimate the amounts to be included in the transaction price using the most likely amount method. We evaluate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our control or the licensee’s control, such as marketing approvals, are not considered probable of being achieved until those approvals are received. At the end of each reporting period, we re-evaluate the probability of achievement of such milestones and any related constraint, and if necessary, adjusts the estimate of the overall transaction price. Any such adjustments are recorded on a cumulative catch-up basis, which would affect collaboration revenue and net loss in the period of adjustment. Milestone payments that may only be achieved after the exercise of a customer option are excluded from the initial determination of the transaction price.</w:t>
      </w:r>
    </w:p>
    <w:p>
      <w:pPr>
        <w:spacing w:after="0" w:line="192" w:lineRule="exact"/>
        <w:rPr>
          <w:sz w:val="20"/>
          <w:szCs w:val="20"/>
          <w:color w:val="auto"/>
        </w:rPr>
      </w:pPr>
    </w:p>
    <w:p>
      <w:pPr>
        <w:ind w:left="60" w:right="159"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sales-based royalties, including milestone payments based on the level of sales, we determine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the sole or predominant item to which the royalties relate is a license. When the license is the sole or predominant item to which the sales-based royalty relates, we recognize revenue at the later of: (i) when the related sales occur, or</w:t>
      </w:r>
    </w:p>
    <w:p>
      <w:pPr>
        <w:spacing w:after="0" w:line="1" w:lineRule="exact"/>
        <w:rPr>
          <w:sz w:val="20"/>
          <w:szCs w:val="20"/>
          <w:color w:val="auto"/>
        </w:rPr>
      </w:pPr>
    </w:p>
    <w:p>
      <w:pPr>
        <w:ind w:left="60" w:right="219" w:hanging="10"/>
        <w:spacing w:after="0" w:line="290" w:lineRule="auto"/>
        <w:tabs>
          <w:tab w:leader="none" w:pos="32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performance obligation to which some or all of the royalty has been allocated has been satisfied (or partially satisfied). To date, we have not recognized any sales-based royalty revenue resulting from our collaboration agreements.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External Research and Development Expenses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external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Examples of estimated accrued external research and development expenses include costs associated with:</w:t>
      </w:r>
    </w:p>
    <w:p>
      <w:pPr>
        <w:spacing w:after="0" w:line="188" w:lineRule="exact"/>
        <w:rPr>
          <w:sz w:val="20"/>
          <w:szCs w:val="20"/>
          <w:color w:val="auto"/>
        </w:rPr>
      </w:pPr>
    </w:p>
    <w:p>
      <w:pPr>
        <w:ind w:left="1040" w:right="319" w:hanging="315"/>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performing research activities on our behalf and conducting preclinical studies and clinical trials on our behalf;</w:t>
      </w:r>
    </w:p>
    <w:p>
      <w:pPr>
        <w:spacing w:after="0" w:line="161"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and development and distribution of preclinical and clinical supplies;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investigative sites or other service providers in connection with clinical trials.</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CMOs, research institutions and vendors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actual results could differ from our estimates. Our historical accrual estimates have not been materially different from actual costs, and as of December 31, 2025, there have not been any material adjustments to our prior estimates of accrued external research and development expenses.</w:t>
      </w:r>
    </w:p>
    <w:p>
      <w:pPr>
        <w:spacing w:after="0" w:line="186"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$628.1 million. Our exposure to interest rate sensitivity is impacted by changes in the underlying U.K. and U.S. bank interest and treasury rates. Our surplus cash has been invested in money market funds that invest primarily in short-term, highly liquid securities and that maintain a stable net asset value.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Our earnings would be affected by changes in interest rates due to the impact those changes have on interest income generated from our cash and cash equivalents. We believe we have minimal interest rate risk as a one percentage point change in the average interest rate on our portfolio would not have a material effect on our consolidated statements of operations and comprehensive loss for the year ended December 31,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an entity’s operations are conducted. The functional currency of Bicycle Therapeutics plc and Bicycle Therapeutics Inc. is the United States Dollar, or USD. The functional currency of Bicycle Therapeutics plc’s wholly owned non-U.S. subsidiaries, BicycleTx</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Limited and BicycleRD Limited, is the British Pound Sterling, and the consolidated financial statements are presented in USD. The functional currency of our subsidiaries is the same as the local currency.</w:t>
      </w:r>
    </w:p>
    <w:p>
      <w:pPr>
        <w:spacing w:after="0" w:line="16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 in the consolidated statements of operations and comprehensive loss as incurred. We recorded a foreign exchange gain of $0.7 million for the year ended December 31, 2025 and foreign exchange losses of $0.7 million and $0.6 million for the years ended December 31, 2024 and 2023, respectively.</w:t>
      </w:r>
    </w:p>
    <w:p>
      <w:pPr>
        <w:spacing w:after="0" w:line="18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For financial reporting purposes, our consolidated financial statements have been translated into U.S. dollars. We translate the assets and liabilities of BicycleTx Limited and BicycleRD Limited into USD at the exchange rate in effect on the balance sheet date. Revenues and expenses are translated at the average exchange rate in effect during the period and shareholders’ equity amounts are translated based on historical exchange rates as of the date of each transaction. Translation adjustments are not included in determining net loss but are included in our foreign currency translation adjustment included in the consolidated statements of shareholders’ equity and as a component of accumulated other comprehensive income (loss) in the consolidated balance sheets.</w:t>
      </w:r>
    </w:p>
    <w:p>
      <w:pPr>
        <w:spacing w:after="0" w:line="18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w:t>
      </w:r>
    </w:p>
    <w:p>
      <w:pPr>
        <w:spacing w:after="0" w:line="15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financial statements required by this item are set forth beginning on page F-1 of this Annual Report on Form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ind w:left="1020" w:right="779" w:hanging="97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December 31, 2025. Based on the evaluation of our disclosure controls and procedures as of December 31, 2025, our Chief Executive Officer and Chief Financial Officer concluded that, as of such date, our disclosure controls and procedures were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promulgated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our internal control over financial reporting based on the framework established in 2013 by the Committee of Sponsoring Organizations of the Treadway Commission in Internal Control-Integrated Framework (2013). Based on the assessment, management concluded that our internal control over financial reporting was effective as of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212529"/>
        </w:rPr>
        <w:t>We are a non-accelerated filer and a smaller reporting company, and therefore our independent registered public accounting firm has not issued an attestation report on the effectiveness of internal control over financial reporting.</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our directors and officers (as defined in Rule 16a-1(f) under the Exchange Act) adopted or terminated the contracts, instructions or written plans for the purchase or sale of our securities set forth in the table below, each of which is intended to satisfy the affirmative defense conditions of Rule 10b5-1(c) under the Exchange Act (“Rule 10b5-1 Plan”).</w:t>
      </w:r>
    </w:p>
    <w:p>
      <w:pPr>
        <w:spacing w:after="0" w:line="191"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1540" w:type="dxa"/>
            <w:vAlign w:val="bottom"/>
            <w:tcBorders>
              <w:top w:val="single" w:sz="8" w:color="auto"/>
              <w:left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98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2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r>
      <w:tr>
        <w:trPr>
          <w:trHeight w:val="238"/>
        </w:trPr>
        <w:tc>
          <w:tcPr>
            <w:tcW w:w="154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2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r>
        <w:trPr>
          <w:trHeight w:val="187"/>
        </w:trPr>
        <w:tc>
          <w:tcPr>
            <w:tcW w:w="15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100" w:type="dxa"/>
            <w:vAlign w:val="bottom"/>
            <w:tcBorders>
              <w:right w:val="single" w:sz="8" w:color="auto"/>
            </w:tcBorders>
          </w:tcPr>
          <w:p>
            <w:pPr>
              <w:spacing w:after="0"/>
              <w:rPr>
                <w:sz w:val="16"/>
                <w:szCs w:val="16"/>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0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w:t>
            </w: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Adoption/Termination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Non-Rule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10b5-1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10b5-1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r>
        <w:trPr>
          <w:trHeight w:val="183"/>
        </w:trPr>
        <w:tc>
          <w:tcPr>
            <w:tcW w:w="15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Charles Swanton,</w:t>
            </w:r>
          </w:p>
        </w:tc>
        <w:tc>
          <w:tcPr>
            <w:tcW w:w="11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w w:val="98"/>
              </w:rPr>
              <w:t>Termination</w:t>
            </w:r>
          </w:p>
        </w:tc>
        <w:tc>
          <w:tcPr>
            <w:tcW w:w="19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December 22, 2025</w:t>
            </w:r>
          </w:p>
        </w:tc>
        <w:tc>
          <w:tcPr>
            <w:tcW w:w="8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rPr>
              <w:t>X</w:t>
            </w:r>
          </w:p>
        </w:tc>
        <w:tc>
          <w:tcPr>
            <w:tcW w:w="11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right"/>
              <w:ind w:right="650"/>
              <w:spacing w:after="0" w:line="183" w:lineRule="exact"/>
              <w:rPr>
                <w:sz w:val="20"/>
                <w:szCs w:val="20"/>
                <w:color w:val="auto"/>
              </w:rPr>
            </w:pPr>
            <w:r>
              <w:rPr>
                <w:rFonts w:ascii="Times New Roman" w:cs="Times New Roman" w:eastAsia="Times New Roman" w:hAnsi="Times New Roman"/>
                <w:sz w:val="18"/>
                <w:szCs w:val="18"/>
                <w:color w:val="auto"/>
              </w:rPr>
              <w:t>3,500</w:t>
            </w:r>
          </w:p>
        </w:tc>
        <w:tc>
          <w:tcPr>
            <w:tcW w:w="11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July 14,</w:t>
            </w:r>
          </w:p>
        </w:tc>
      </w:tr>
      <w:tr>
        <w:trPr>
          <w:trHeight w:val="355"/>
        </w:trPr>
        <w:tc>
          <w:tcPr>
            <w:tcW w:w="1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r>
              <w:rPr>
                <w:rFonts w:ascii="Times New Roman" w:cs="Times New Roman" w:eastAsia="Times New Roman" w:hAnsi="Times New Roman"/>
                <w:sz w:val="26"/>
                <w:szCs w:val="26"/>
                <w:color w:val="auto"/>
                <w:vertAlign w:val="superscript"/>
              </w:rPr>
              <w:t>(1)</w:t>
            </w:r>
          </w:p>
        </w:tc>
        <w:tc>
          <w:tcPr>
            <w:tcW w:w="11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2028</w:t>
            </w:r>
          </w:p>
        </w:tc>
      </w:tr>
      <w:tr>
        <w:trPr>
          <w:trHeight w:val="104"/>
        </w:trPr>
        <w:tc>
          <w:tcPr>
            <w:tcW w:w="1540" w:type="dxa"/>
            <w:vAlign w:val="bottom"/>
            <w:tcBorders>
              <w:left w:val="single" w:sz="8" w:color="auto"/>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r>
    </w:tbl>
    <w:p>
      <w:pPr>
        <w:ind w:left="380" w:right="119" w:hanging="330"/>
        <w:spacing w:after="0" w:line="253"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2025, Charles Swanton, a member of our board of directors, terminated a pre-arranged share trading plan pursuant to Rule 10b5-1, which was adopted on October 14, 2024. The plan provided for the sale of Restricted Share Units that were expected to vest during the term of the 10b5-1 plan until July 14, 2028 or the earlier completion of all authorized transactions under the plan.</w:t>
      </w:r>
    </w:p>
    <w:p>
      <w:pPr>
        <w:spacing w:after="0" w:line="18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Directors and Executive Officers</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under the captions “Board of Directors and Corporate Governance—Board of Directors” and “Executive Officers of the Company”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Identification of Audit Committee and Financial Experts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our Audit Committee required by this item will be contained in our Proxy Statement under the caption “Board of Directors and Corporate Governance—Corporate Governance—Committees of our Board of Directors—Audit Committee,” and is hereby incorporated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Changes to Procedures for Recommending Directors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Information regarding procedures for recommending directors required by this item will be contained in our Proxy Statement under the caption “Board of Directors and Corporate Governance—Corporate Governance—Committees of our Board of Directors—Nominating and Corporate Governance Committee—Shareholder Recommendations and Nominees,” and is hereby incorporated by reference.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Information regarding our Code of Business Conduct and Ethics required by this item will be contained in our Proxy Statement under the caption “Board of Directors and Corporate Governance—Corporate Governance—Code of Business Conduct and Ethics,” and is hereby incorporated by reference. The full text of our Code of Business Conduct and Ethics is available at the investors section of our website at www.bicycletherapeutics.com. If we make any amendments to our Code of Business Conduct and Ethics, or grant any waiver from a provision of our Code of Business Conduct and Ethics to any executive officer or director, we will promptly disclose the nature of the amendment or waiver on our website. The reference to our website address does not constitute incorporation by reference of the information contained at or available through our website, and you should not consider it to be a part of this Annual Report.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compliance with Section 16(a) of the Exchange Act required by this item will be contained in our Proxy Statement under the caption “Delinquent Section 16(a) Reports,” if any, and is hereby incorporated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adopted insider trading policies and procedures governing the purchase, sale, and/or other dispositions of our ordinary shares by directors, officers, employees and consultants that are reasonably designed to promote compliance with insider trading laws, rules and regulations, and any applicable listing standards. It is our policy to comply with all applicable laws and regulations relating to insider trading in connection with the repurchase of our securities. A copy of our Amended and Restated Insider Trading Policy, as amended, is filed as Exhibit 19.1 to this report.</w:t>
      </w:r>
    </w:p>
    <w:p>
      <w:pPr>
        <w:spacing w:after="0" w:line="39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our executive compensation required by this item will be contained in our Proxy Statement under the captions “Executive Compensation,” “Pay Versus Performance” and “Director Remuneration,” and is hereby incorporated by reference.</w:t>
      </w:r>
    </w:p>
    <w:p>
      <w:pPr>
        <w:spacing w:after="0" w:line="172" w:lineRule="exact"/>
        <w:rPr>
          <w:sz w:val="20"/>
          <w:szCs w:val="20"/>
          <w:color w:val="auto"/>
        </w:rPr>
      </w:pPr>
    </w:p>
    <w:p>
      <w:pPr>
        <w:ind w:left="1020" w:right="459" w:hanging="97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under the captions “Security Ownership of Certain Beneficial Owners and Management” and “Equity Compensation Plan Information” and is hereby incorporated by reference.</w:t>
      </w:r>
    </w:p>
    <w:p>
      <w:pPr>
        <w:spacing w:after="0" w:line="172" w:lineRule="exact"/>
        <w:rPr>
          <w:sz w:val="20"/>
          <w:szCs w:val="20"/>
          <w:color w:val="auto"/>
        </w:rPr>
      </w:pPr>
    </w:p>
    <w:p>
      <w:pPr>
        <w:ind w:left="1020" w:right="1379" w:hanging="97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tab/>
        <w:t>CERTAIN RELATIONSHIPS AND RELATED TRANSACTIONS, AND DIRECTOR INDEPENDENCE.</w:t>
      </w:r>
    </w:p>
    <w:p>
      <w:pPr>
        <w:spacing w:after="0" w:line="159"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under the captions “Board of Directors and Corporate Governance—Corporate Governance—Board Independence” and “Transactions with Related Persons” and is hereby incorporated by reference.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Information regarding accounting fees and services required by this item will be contained in our Proxy Statement in the Proposal titled “Ratification of the Appointment of PricewaterhouseCoopers LLP as our Independent Registered Public Accounting Firm for the Year Ending December 31, 2026” under the captions “Independent Registered Public Accounting Firm Fees” and “Pre-Approval Policies and Procedures” and is hereby incorporated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financial statements schedules and exhibits filed as part of this Annual Report on Form 10-K are as follows: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(a)(1) Financial Statements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4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876)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8420" w:type="dxa"/>
            <w:vAlign w:val="bottom"/>
            <w:gridSpan w:val="8"/>
            <w:vMerge w:val="continue"/>
          </w:tcPr>
          <w:p>
            <w:pPr>
              <w:spacing w:after="0"/>
              <w:rPr>
                <w:sz w:val="13"/>
                <w:szCs w:val="13"/>
                <w:color w:val="auto"/>
              </w:rPr>
            </w:pPr>
          </w:p>
        </w:tc>
        <w:tc>
          <w:tcPr>
            <w:tcW w:w="46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6"/>
                <w:szCs w:val="16"/>
                <w:color w:val="auto"/>
                <w:w w:val="98"/>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3780" w:type="dxa"/>
            <w:vAlign w:val="bottom"/>
            <w:gridSpan w:val="4"/>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412"/>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2024 and</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7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412"/>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2025, 2024 and 2023</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12"/>
        </w:trPr>
        <w:tc>
          <w:tcPr>
            <w:tcW w:w="7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800" w:type="dxa"/>
            <w:vAlign w:val="bottom"/>
            <w:gridSpan w:val="2"/>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3"/>
          </w:tcPr>
          <w:p>
            <w:pPr>
              <w:spacing w:after="0"/>
              <w:rPr>
                <w:sz w:val="24"/>
                <w:szCs w:val="24"/>
                <w:color w:val="auto"/>
              </w:rPr>
            </w:pPr>
          </w:p>
        </w:tc>
        <w:tc>
          <w:tcPr>
            <w:tcW w:w="1480" w:type="dxa"/>
            <w:vAlign w:val="bottom"/>
            <w:gridSpan w:val="3"/>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453"/>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required or the required information is included in the financial statements or notes thereto.</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other than Exhibit 32.1, which shall be deemed furnished: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8160" w:type="dxa"/>
            <w:vAlign w:val="bottom"/>
            <w:gridSpan w:val="14"/>
          </w:tcPr>
          <w:p>
            <w:pPr>
              <w:ind w:left="6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01"/>
        </w:trPr>
        <w:tc>
          <w:tcPr>
            <w:tcW w:w="7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7900" w:type="dxa"/>
            <w:vAlign w:val="bottom"/>
            <w:tcBorders>
              <w:bottom w:val="single" w:sz="8" w:color="0000EE"/>
            </w:tcBorders>
            <w:gridSpan w:val="11"/>
          </w:tcPr>
          <w:p>
            <w:pPr>
              <w:spacing w:after="0" w:line="201"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Articles of Association, dated May 16, 2024 (incorporated by reference to Exhibit 3.1 to the Quarterly Report</w:t>
              </w:r>
            </w:hyperlink>
          </w:p>
        </w:tc>
        <w:tc>
          <w:tcPr>
            <w:tcW w:w="120" w:type="dxa"/>
            <w:vAlign w:val="bottom"/>
            <w:gridSpan w:val="2"/>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on Form 10-Q (File No. 001-38916) filed with the Securities and Exchange Commission on August 6, 2024).</w:t>
              </w:r>
            </w:hyperlink>
          </w:p>
        </w:tc>
        <w:tc>
          <w:tcPr>
            <w:tcW w:w="140" w:type="dxa"/>
            <w:vAlign w:val="bottom"/>
            <w:gridSpan w:val="3"/>
          </w:tcPr>
          <w:p>
            <w:pPr>
              <w:spacing w:after="0"/>
              <w:rPr>
                <w:sz w:val="18"/>
                <w:szCs w:val="18"/>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8020" w:type="dxa"/>
            <w:vAlign w:val="bottom"/>
            <w:gridSpan w:val="13"/>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Deposit Agreement (incorporated by reference to Exhibit 4.1 to Amendment No. 1 to the Registration</w:t>
              </w:r>
            </w:hyperlink>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Statement on Form S-1 (File No. 333-231076), filed with the Securities and Exchange Commission on May</w:t>
              </w:r>
            </w:hyperlink>
          </w:p>
        </w:tc>
        <w:tc>
          <w:tcPr>
            <w:tcW w:w="160" w:type="dxa"/>
            <w:vAlign w:val="bottom"/>
            <w:tcBorders>
              <w:top w:val="single" w:sz="8" w:color="0000EE"/>
            </w:tcBorders>
            <w:gridSpan w:val="4"/>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13, 2019).</w:t>
              </w:r>
            </w:hyperlink>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7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American Depositary Receipt (included in Exhibit 4.1) (incorporated by reference to Exhibit 4.2 to</w:t>
              </w:r>
            </w:hyperlink>
          </w:p>
        </w:tc>
        <w:tc>
          <w:tcPr>
            <w:tcW w:w="260" w:type="dxa"/>
            <w:vAlign w:val="bottom"/>
            <w:gridSpan w:val="7"/>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gridSpan w:val="13"/>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Amendment No. 1 to the Registration Statement on Form S-1 (File No. 333-231076), filed with the Securities</w:t>
              </w:r>
            </w:hyperlink>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and Exchange Commission on May 13, 2019).</w:t>
              </w:r>
            </w:hyperlink>
          </w:p>
        </w:tc>
        <w:tc>
          <w:tcPr>
            <w:tcW w:w="4540" w:type="dxa"/>
            <w:vAlign w:val="bottom"/>
            <w:tcBorders>
              <w:top w:val="single" w:sz="8" w:color="0000EE"/>
            </w:tcBorders>
            <w:gridSpan w:val="9"/>
          </w:tcPr>
          <w:p>
            <w:pPr>
              <w:spacing w:after="0"/>
              <w:rPr>
                <w:sz w:val="18"/>
                <w:szCs w:val="18"/>
                <w:color w:val="auto"/>
              </w:rPr>
            </w:pPr>
          </w:p>
        </w:tc>
        <w:tc>
          <w:tcPr>
            <w:tcW w:w="120" w:type="dxa"/>
            <w:vAlign w:val="bottom"/>
            <w:gridSpan w:val="2"/>
          </w:tcPr>
          <w:p>
            <w:pPr>
              <w:spacing w:after="0"/>
              <w:rPr>
                <w:sz w:val="18"/>
                <w:szCs w:val="18"/>
                <w:color w:val="auto"/>
              </w:rPr>
            </w:pPr>
          </w:p>
        </w:tc>
      </w:tr>
      <w:tr>
        <w:trPr>
          <w:trHeight w:val="344"/>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8020" w:type="dxa"/>
            <w:vAlign w:val="bottom"/>
            <w:gridSpan w:val="13"/>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Letter Agreement, dated July 1, 2020, between Bicycle Therapeutics plc and Citibank, N.A. (incorporated by</w:t>
              </w:r>
            </w:hyperlink>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reference to Exhibit 4.1 to the Registrant’s Quarterly Report on Form 10-Q (File No. 001-38916), filed with</w:t>
              </w:r>
            </w:hyperlink>
          </w:p>
        </w:tc>
        <w:tc>
          <w:tcPr>
            <w:tcW w:w="80" w:type="dxa"/>
            <w:vAlign w:val="bottom"/>
            <w:tcBorders>
              <w:top w:val="single" w:sz="8" w:color="0000EE"/>
            </w:tcBorders>
            <w:gridSpan w:val="2"/>
          </w:tcPr>
          <w:p>
            <w:pPr>
              <w:spacing w:after="0"/>
              <w:rPr>
                <w:sz w:val="18"/>
                <w:szCs w:val="18"/>
                <w:color w:val="auto"/>
              </w:rPr>
            </w:pPr>
          </w:p>
        </w:tc>
        <w:tc>
          <w:tcPr>
            <w:tcW w:w="160" w:type="dxa"/>
            <w:vAlign w:val="bottom"/>
            <w:gridSpan w:val="4"/>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gridSpan w:val="13"/>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the Securities and Exchange Commission on November 5, 2020)</w:t>
              </w:r>
              <w:r>
                <w:rPr>
                  <w:rFonts w:ascii="Times New Roman" w:cs="Times New Roman" w:eastAsia="Times New Roman" w:hAnsi="Times New Roman"/>
                  <w:sz w:val="18"/>
                  <w:szCs w:val="18"/>
                  <w:color w:val="000000"/>
                </w:rPr>
                <w:t>.</w:t>
              </w:r>
            </w:hyperlink>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44"/>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77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Amendment to Letter Agreement, dated October 27, 2020, between Bicycle Therapeutics plc and Citibank,</w:t>
              </w:r>
            </w:hyperlink>
          </w:p>
        </w:tc>
        <w:tc>
          <w:tcPr>
            <w:tcW w:w="300" w:type="dxa"/>
            <w:vAlign w:val="bottom"/>
            <w:gridSpan w:val="8"/>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N.A. (incorporated by reference to Exhibit 4.4 to Form 10-K (File No. 001-38916), filed with the Securities</w:t>
              </w:r>
            </w:hyperlink>
          </w:p>
        </w:tc>
        <w:tc>
          <w:tcPr>
            <w:tcW w:w="260" w:type="dxa"/>
            <w:vAlign w:val="bottom"/>
            <w:gridSpan w:val="7"/>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gridSpan w:val="13"/>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and Exchange Commission on March 11, 2021).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gridSpan w:val="4"/>
          </w:tcPr>
          <w:p>
            <w:pPr>
              <w:ind w:left="3420"/>
              <w:spacing w:after="0"/>
              <w:rPr>
                <w:sz w:val="20"/>
                <w:szCs w:val="20"/>
                <w:color w:val="auto"/>
              </w:rPr>
            </w:pPr>
            <w:r>
              <w:rPr>
                <w:rFonts w:ascii="Times New Roman" w:cs="Times New Roman" w:eastAsia="Times New Roman" w:hAnsi="Times New Roman"/>
                <w:sz w:val="18"/>
                <w:szCs w:val="18"/>
                <w:color w:val="auto"/>
              </w:rPr>
              <w:t>130</w:t>
            </w: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8160" w:type="dxa"/>
            <w:vAlign w:val="bottom"/>
            <w:gridSpan w:val="34"/>
          </w:tcPr>
          <w:p>
            <w:pPr>
              <w:ind w:left="6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01"/>
        </w:trPr>
        <w:tc>
          <w:tcPr>
            <w:tcW w:w="7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7880" w:type="dxa"/>
            <w:vAlign w:val="bottom"/>
            <w:tcBorders>
              <w:bottom w:val="single" w:sz="8" w:color="0000EE"/>
            </w:tcBorders>
            <w:gridSpan w:val="29"/>
          </w:tcPr>
          <w:p>
            <w:pPr>
              <w:spacing w:after="0" w:line="201"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Amendment to Letter Agreement, dated May 24, 2021, between Bicycle Therapeutics plc and Citibank, N.A.</w:t>
              </w:r>
            </w:hyperlink>
          </w:p>
        </w:tc>
        <w:tc>
          <w:tcPr>
            <w:tcW w:w="140" w:type="dxa"/>
            <w:vAlign w:val="bottom"/>
            <w:gridSpan w:val="4"/>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(incorporated by reference to Exhibit 4.1 to Form 10-Q (File No. 001-38916), filed with the Securities and</w:t>
              </w:r>
            </w:hyperlink>
          </w:p>
        </w:tc>
        <w:tc>
          <w:tcPr>
            <w:tcW w:w="340" w:type="dxa"/>
            <w:vAlign w:val="bottom"/>
            <w:gridSpan w:val="13"/>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Exchange Commission on August 5, 2021).</w:t>
              </w:r>
            </w:hyperlink>
          </w:p>
        </w:tc>
        <w:tc>
          <w:tcPr>
            <w:tcW w:w="4860" w:type="dxa"/>
            <w:vAlign w:val="bottom"/>
            <w:gridSpan w:val="30"/>
          </w:tcPr>
          <w:p>
            <w:pPr>
              <w:spacing w:after="0"/>
              <w:rPr>
                <w:sz w:val="18"/>
                <w:szCs w:val="18"/>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Description of Securities (incorporated by reference to Exhibit 4.6 to the Registrant’s Annual Report on Form</w:t>
              </w:r>
            </w:hyperlink>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10-K (File No. 001-38916), filed with the Securities and Exchange Commission on February 25, 2025).</w:t>
              </w:r>
            </w:hyperlink>
          </w:p>
        </w:tc>
        <w:tc>
          <w:tcPr>
            <w:tcW w:w="420" w:type="dxa"/>
            <w:vAlign w:val="bottom"/>
            <w:tcBorders>
              <w:top w:val="single" w:sz="8" w:color="0000EE"/>
            </w:tcBorders>
            <w:gridSpan w:val="14"/>
          </w:tcPr>
          <w:p>
            <w:pPr>
              <w:spacing w:after="0"/>
              <w:rPr>
                <w:sz w:val="18"/>
                <w:szCs w:val="18"/>
                <w:color w:val="auto"/>
              </w:rPr>
            </w:pPr>
          </w:p>
        </w:tc>
        <w:tc>
          <w:tcPr>
            <w:tcW w:w="120" w:type="dxa"/>
            <w:vAlign w:val="bottom"/>
            <w:gridSpan w:val="3"/>
          </w:tcPr>
          <w:p>
            <w:pPr>
              <w:spacing w:after="0"/>
              <w:rPr>
                <w:sz w:val="18"/>
                <w:szCs w:val="18"/>
                <w:color w:val="auto"/>
              </w:rPr>
            </w:pPr>
          </w:p>
        </w:tc>
      </w:tr>
      <w:tr>
        <w:trPr>
          <w:trHeight w:val="344"/>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7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Share Option Contract of Bicycle Therapeutics Limited for employees in England (incorporated by</w:t>
              </w:r>
            </w:hyperlink>
          </w:p>
        </w:tc>
        <w:tc>
          <w:tcPr>
            <w:tcW w:w="240" w:type="dxa"/>
            <w:vAlign w:val="bottom"/>
            <w:gridSpan w:val="9"/>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reference to Exhibit 10.2 to the Registration Statement on Form S-1 (File No. 333-231076), filed with the</w:t>
              </w:r>
            </w:hyperlink>
          </w:p>
        </w:tc>
        <w:tc>
          <w:tcPr>
            <w:tcW w:w="400" w:type="dxa"/>
            <w:vAlign w:val="bottom"/>
            <w:gridSpan w:val="15"/>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Securities and Exchange Commission on April 26, 2019).</w:t>
              </w:r>
            </w:hyperlink>
          </w:p>
        </w:tc>
        <w:tc>
          <w:tcPr>
            <w:tcW w:w="3860" w:type="dxa"/>
            <w:vAlign w:val="bottom"/>
            <w:gridSpan w:val="26"/>
          </w:tcPr>
          <w:p>
            <w:pPr>
              <w:spacing w:after="0"/>
              <w:rPr>
                <w:sz w:val="18"/>
                <w:szCs w:val="18"/>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Share Option Contract of Bicycle Therapeutics Limited for employees in the United States</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(incorporated by reference to Exhibit 10.3 to the Registration Statement on Form S-1 (File No. 333-231076),</w:t>
              </w:r>
            </w:hyperlink>
          </w:p>
        </w:tc>
        <w:tc>
          <w:tcPr>
            <w:tcW w:w="160" w:type="dxa"/>
            <w:vAlign w:val="bottom"/>
            <w:gridSpan w:val="5"/>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filed with the Securities and Exchange Commission on April 26, 2019).</w:t>
              </w:r>
            </w:hyperlink>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7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Rules of the Bicycle Therapeutics Share Option Plan, as amended on September 12, 2019 (incorporated by</w:t>
              </w:r>
            </w:hyperlink>
          </w:p>
        </w:tc>
        <w:tc>
          <w:tcPr>
            <w:tcW w:w="320" w:type="dxa"/>
            <w:vAlign w:val="bottom"/>
            <w:gridSpan w:val="12"/>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reference to Exhibit 10.3 to the Quarterly Report on Form 10-Q (File No. 001-38916) filed with the Securities</w:t>
              </w:r>
            </w:hyperlink>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and Exchange Commission on November 7, 2019).</w:t>
              </w:r>
            </w:hyperlink>
          </w:p>
        </w:tc>
        <w:tc>
          <w:tcPr>
            <w:tcW w:w="4220" w:type="dxa"/>
            <w:vAlign w:val="bottom"/>
            <w:tcBorders>
              <w:top w:val="single" w:sz="8" w:color="0000EE"/>
            </w:tcBorders>
            <w:gridSpan w:val="25"/>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78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Forms of award agreements under the Bicycle Therapeutics Share Option Plan, as amended (incorporated by</w:t>
              </w:r>
            </w:hyperlink>
          </w:p>
        </w:tc>
        <w:tc>
          <w:tcPr>
            <w:tcW w:w="180" w:type="dxa"/>
            <w:vAlign w:val="bottom"/>
            <w:gridSpan w:val="6"/>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reference to Exhibit 10.4 to the Annual Report on Form 10-K (File No. 001-38916), filed with the Securities</w:t>
              </w:r>
            </w:hyperlink>
          </w:p>
        </w:tc>
        <w:tc>
          <w:tcPr>
            <w:tcW w:w="200" w:type="dxa"/>
            <w:vAlign w:val="bottom"/>
            <w:gridSpan w:val="7"/>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and Exchange Commission on March 10, 2020)</w:t>
              </w:r>
              <w:r>
                <w:rPr>
                  <w:rFonts w:ascii="Times New Roman" w:cs="Times New Roman" w:eastAsia="Times New Roman" w:hAnsi="Times New Roman"/>
                  <w:sz w:val="18"/>
                  <w:szCs w:val="18"/>
                  <w:color w:val="000000"/>
                </w:rPr>
                <w:t>.</w:t>
              </w:r>
            </w:hyperlink>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77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2019 Employee Share Purchase Plan (incorporated by reference to Exhibit 10.5 to Amendment No. 1 to the</w:t>
              </w:r>
            </w:hyperlink>
          </w:p>
        </w:tc>
        <w:tc>
          <w:tcPr>
            <w:tcW w:w="260" w:type="dxa"/>
            <w:vAlign w:val="bottom"/>
            <w:gridSpan w:val="10"/>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Registration Statement on Form S-1 (File No. 333-231076), filed with the Securities and Exchange</w:t>
              </w:r>
            </w:hyperlink>
          </w:p>
        </w:tc>
        <w:tc>
          <w:tcPr>
            <w:tcW w:w="860" w:type="dxa"/>
            <w:vAlign w:val="bottom"/>
            <w:gridSpan w:val="21"/>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Commission on May 13, 2019).</w:t>
              </w:r>
            </w:hyperlink>
          </w:p>
        </w:tc>
        <w:tc>
          <w:tcPr>
            <w:tcW w:w="5720" w:type="dxa"/>
            <w:vAlign w:val="bottom"/>
            <w:gridSpan w:val="32"/>
          </w:tcPr>
          <w:p>
            <w:pPr>
              <w:spacing w:after="0"/>
              <w:rPr>
                <w:sz w:val="18"/>
                <w:szCs w:val="18"/>
                <w:color w:val="auto"/>
              </w:rPr>
            </w:pPr>
          </w:p>
        </w:tc>
      </w:tr>
      <w:tr>
        <w:trPr>
          <w:trHeight w:val="34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77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Amended and Restated Bicycle Therapeutics plc 2020 Equity Incentive Plan, or the 2020 Plan and forms of</w:t>
              </w:r>
            </w:hyperlink>
          </w:p>
        </w:tc>
        <w:tc>
          <w:tcPr>
            <w:tcW w:w="26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awards thereunder (incorporated by reference to Exhibit 10.6 to the Annual Report on Form 10-K (File No.</w:t>
              </w:r>
            </w:hyperlink>
          </w:p>
        </w:tc>
        <w:tc>
          <w:tcPr>
            <w:tcW w:w="28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20" w:type="dxa"/>
            <w:vAlign w:val="bottom"/>
            <w:gridSpan w:val="33"/>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001-38916), filed with the Securities and Exchange Commission on February 28, 2023).</w:t>
              </w:r>
            </w:hyperlink>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7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Amendment No. 1 to the Amended and Restated 2020 Equity Incentive Plan (incorporated by reference to</w:t>
              </w:r>
            </w:hyperlink>
          </w:p>
        </w:tc>
        <w:tc>
          <w:tcPr>
            <w:tcW w:w="36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Exhibit 10.3 to the Quarterly Report on Form 10-Q (File No. 001-38916), filed with the Securities and</w:t>
              </w:r>
            </w:hyperlink>
          </w:p>
        </w:tc>
        <w:tc>
          <w:tcPr>
            <w:tcW w:w="64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Exchange Commission on August 8, 2025).</w:t>
              </w:r>
            </w:hyperlink>
          </w:p>
        </w:tc>
        <w:tc>
          <w:tcPr>
            <w:tcW w:w="4860" w:type="dxa"/>
            <w:vAlign w:val="bottom"/>
            <w:gridSpan w:val="30"/>
          </w:tcPr>
          <w:p>
            <w:pPr>
              <w:spacing w:after="0"/>
              <w:rPr>
                <w:sz w:val="17"/>
                <w:szCs w:val="17"/>
                <w:color w:val="auto"/>
              </w:rPr>
            </w:pPr>
          </w:p>
        </w:tc>
      </w:tr>
      <w:tr>
        <w:trPr>
          <w:trHeight w:val="42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Option Grant Notice and Agreement (for employees) for the 2020 Plan (incorporated by reference to</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Exhibit 10.7 to the Annual Report on Form 10-K (File No. 001-38916), filed with the Securities and Exchange</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Commission on February 25, 2025).</w:t>
              </w:r>
            </w:hyperlink>
          </w:p>
        </w:tc>
        <w:tc>
          <w:tcPr>
            <w:tcW w:w="5400" w:type="dxa"/>
            <w:vAlign w:val="bottom"/>
            <w:gridSpan w:val="31"/>
          </w:tcPr>
          <w:p>
            <w:pPr>
              <w:spacing w:after="0"/>
              <w:rPr>
                <w:sz w:val="17"/>
                <w:szCs w:val="17"/>
                <w:color w:val="auto"/>
              </w:rPr>
            </w:pPr>
          </w:p>
        </w:tc>
      </w:tr>
      <w:tr>
        <w:trPr>
          <w:trHeight w:val="42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7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Form of Option Grant Notice and Agreement (for non-employees) for the 2020 Plan (incorporated by</w:t>
              </w:r>
            </w:hyperlink>
          </w:p>
        </w:tc>
        <w:tc>
          <w:tcPr>
            <w:tcW w:w="700" w:type="dxa"/>
            <w:vAlign w:val="bottom"/>
            <w:gridSpan w:val="1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reference to Exhibit 10.8 to the Annual Report on Form 10-K (File No. 001-38916), filed with the Securities</w:t>
              </w:r>
            </w:hyperlink>
          </w:p>
        </w:tc>
        <w:tc>
          <w:tcPr>
            <w:tcW w:w="20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and Exchange Commission on February 25, 2025).</w:t>
              </w:r>
            </w:hyperlink>
          </w:p>
        </w:tc>
        <w:tc>
          <w:tcPr>
            <w:tcW w:w="4340" w:type="dxa"/>
            <w:vAlign w:val="bottom"/>
            <w:gridSpan w:val="28"/>
          </w:tcPr>
          <w:p>
            <w:pPr>
              <w:spacing w:after="0"/>
              <w:rPr>
                <w:sz w:val="17"/>
                <w:szCs w:val="17"/>
                <w:color w:val="auto"/>
              </w:rPr>
            </w:pPr>
          </w:p>
        </w:tc>
      </w:tr>
      <w:tr>
        <w:trPr>
          <w:trHeight w:val="426"/>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Restricted Share Unit Grant Notice and Agreement (for employees) for the 2020 Plan (incorporated</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by reference to Exhibit 10.9 to the Annual Report on Form 10-K (File No. 001-38916), filed with the</w:t>
              </w:r>
            </w:hyperlink>
          </w:p>
        </w:tc>
        <w:tc>
          <w:tcPr>
            <w:tcW w:w="22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Securities and Exchange Commission on February 25, 2025).</w:t>
              </w:r>
            </w:hyperlink>
          </w:p>
        </w:tc>
        <w:tc>
          <w:tcPr>
            <w:tcW w:w="740" w:type="dxa"/>
            <w:vAlign w:val="bottom"/>
            <w:gridSpan w:val="20"/>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gridSpan w:val="8"/>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r>
      <w:tr>
        <w:trPr>
          <w:trHeight w:val="42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7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Form of Amended and Restated Restricted Share Unit Grant Notice and Agreement (for employees) for the</w:t>
              </w:r>
            </w:hyperlink>
          </w:p>
        </w:tc>
        <w:tc>
          <w:tcPr>
            <w:tcW w:w="28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2020 Plan (incorporated by reference to Exhibit 10.10 to the Annual Report on Form 10-K (File No. 001-</w:t>
              </w:r>
            </w:hyperlink>
          </w:p>
        </w:tc>
        <w:tc>
          <w:tcPr>
            <w:tcW w:w="42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38916)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Securities and Exchange Commission on February 25, 2025).</w:t>
              </w:r>
            </w:hyperlink>
          </w:p>
        </w:tc>
        <w:tc>
          <w:tcPr>
            <w:tcW w:w="1980" w:type="dxa"/>
            <w:vAlign w:val="bottom"/>
            <w:gridSpan w:val="23"/>
          </w:tcPr>
          <w:p>
            <w:pPr>
              <w:spacing w:after="0"/>
              <w:rPr>
                <w:sz w:val="17"/>
                <w:szCs w:val="17"/>
                <w:color w:val="auto"/>
              </w:rPr>
            </w:pPr>
          </w:p>
        </w:tc>
      </w:tr>
      <w:tr>
        <w:trPr>
          <w:trHeight w:val="8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56489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9" w:lineRule="exact"/>
        <w:rPr>
          <w:sz w:val="20"/>
          <w:szCs w:val="20"/>
          <w:color w:val="auto"/>
        </w:rPr>
      </w:pPr>
    </w:p>
    <w:p>
      <w:pPr>
        <w:ind w:left="940" w:right="7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74">
        <w:r>
          <w:rPr>
            <w:rFonts w:ascii="Times New Roman" w:cs="Times New Roman" w:eastAsia="Times New Roman" w:hAnsi="Times New Roman"/>
            <w:sz w:val="18"/>
            <w:szCs w:val="18"/>
            <w:u w:val="single" w:color="auto"/>
            <w:color w:val="0000EE"/>
          </w:rPr>
          <w:t>Form of Restricted Share Unit Grant Notice and Agreement (regular settlement for directors) for the 2020 Plan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(incorporated by reference to Exhibit 10.11 to the Annual Report on Form 10-K (File No. 001-38916), filed</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with the Securities and Exchange Commission on February 25, 2025).</w:t>
        </w:r>
      </w:hyperlink>
    </w:p>
    <w:p>
      <w:pPr>
        <w:spacing w:after="0" w:line="189" w:lineRule="exact"/>
        <w:rPr>
          <w:rFonts w:ascii="Times New Roman" w:cs="Times New Roman" w:eastAsia="Times New Roman" w:hAnsi="Times New Roman"/>
          <w:sz w:val="18"/>
          <w:szCs w:val="18"/>
          <w:u w:val="single" w:color="auto"/>
          <w:color w:val="0000EE"/>
        </w:rPr>
      </w:pPr>
    </w:p>
    <w:p>
      <w:pPr>
        <w:ind w:left="940" w:right="29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5">
        <w:r>
          <w:rPr>
            <w:rFonts w:ascii="Times New Roman" w:cs="Times New Roman" w:eastAsia="Times New Roman" w:hAnsi="Times New Roman"/>
            <w:sz w:val="18"/>
            <w:szCs w:val="18"/>
            <w:u w:val="single" w:color="auto"/>
            <w:color w:val="0000EE"/>
          </w:rPr>
          <w:t>Form of Amended and Restated Restricted Share Unit Grant Notice and Agreement (regular settlement for</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directors) for the 2020 Plan (incorporated by reference to Exhibit 10.12 to the Annual Report on Form 10-K</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(File No. 001-38916), filed with the Securities and Exchange Commission on February 25, 2025).</w:t>
        </w:r>
      </w:hyperlink>
    </w:p>
    <w:p>
      <w:pPr>
        <w:spacing w:after="0" w:line="189" w:lineRule="exact"/>
        <w:rPr>
          <w:rFonts w:ascii="Times New Roman" w:cs="Times New Roman" w:eastAsia="Times New Roman" w:hAnsi="Times New Roman"/>
          <w:sz w:val="18"/>
          <w:szCs w:val="18"/>
          <w:u w:val="single" w:color="auto"/>
          <w:color w:val="0000EE"/>
        </w:rPr>
      </w:pPr>
    </w:p>
    <w:p>
      <w:pPr>
        <w:jc w:val="both"/>
        <w:ind w:left="940" w:right="33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6">
        <w:r>
          <w:rPr>
            <w:rFonts w:ascii="Times New Roman" w:cs="Times New Roman" w:eastAsia="Times New Roman" w:hAnsi="Times New Roman"/>
            <w:sz w:val="18"/>
            <w:szCs w:val="18"/>
            <w:u w:val="single" w:color="auto"/>
            <w:color w:val="0000EE"/>
          </w:rPr>
          <w:t>Form of Restricted Share Unit Grant Notice and Agreement (deferred settlement for directors) for the 2020</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Plan (incorporated by reference to Exhibit 10.13 to the Annual Report on Form 10-K (File No. 001-38916),</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filed with the Securities and Exchange Commission on February 25, 2025).</w:t>
        </w:r>
      </w:hyperlink>
    </w:p>
    <w:p>
      <w:pPr>
        <w:spacing w:after="0" w:line="189" w:lineRule="exact"/>
        <w:rPr>
          <w:rFonts w:ascii="Times New Roman" w:cs="Times New Roman" w:eastAsia="Times New Roman" w:hAnsi="Times New Roman"/>
          <w:sz w:val="18"/>
          <w:szCs w:val="18"/>
          <w:u w:val="single" w:color="auto"/>
          <w:color w:val="0000EE"/>
        </w:rPr>
      </w:pPr>
    </w:p>
    <w:p>
      <w:pPr>
        <w:jc w:val="both"/>
        <w:ind w:left="940" w:right="29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7">
        <w:r>
          <w:rPr>
            <w:rFonts w:ascii="Times New Roman" w:cs="Times New Roman" w:eastAsia="Times New Roman" w:hAnsi="Times New Roman"/>
            <w:sz w:val="18"/>
            <w:szCs w:val="18"/>
            <w:u w:val="single" w:color="auto"/>
            <w:color w:val="0000EE"/>
          </w:rPr>
          <w:t>Form of Amended and Restated Restricted Share Unit Grant Notice and Agreement (deferred settlement for</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directors) for the 2020 Plan (incorporated by reference to Exhibit 10.14 to the Annual Report on Form 10-K</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(File No. 001-38916), filed with the Securities and Exchange Commission on February 25, 2025).</w:t>
        </w:r>
      </w:hyperlink>
    </w:p>
    <w:p>
      <w:pPr>
        <w:spacing w:after="0" w:line="189" w:lineRule="exact"/>
        <w:rPr>
          <w:rFonts w:ascii="Times New Roman" w:cs="Times New Roman" w:eastAsia="Times New Roman" w:hAnsi="Times New Roman"/>
          <w:sz w:val="18"/>
          <w:szCs w:val="18"/>
          <w:u w:val="single" w:color="auto"/>
          <w:color w:val="0000EE"/>
        </w:rPr>
      </w:pPr>
    </w:p>
    <w:p>
      <w:pPr>
        <w:ind w:left="940" w:right="7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8">
        <w:r>
          <w:rPr>
            <w:rFonts w:ascii="Times New Roman" w:cs="Times New Roman" w:eastAsia="Times New Roman" w:hAnsi="Times New Roman"/>
            <w:sz w:val="18"/>
            <w:szCs w:val="18"/>
            <w:u w:val="single" w:color="auto"/>
            <w:color w:val="0000EE"/>
          </w:rPr>
          <w:t>Bicycle Therapeutics plc 2024 Inducement Plan, or the 2024 Plan (incorporated by reference to Exhibit 99.1 to</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the Registration Statement on Form S-8 (File No. 333-281304), filed with the Securities and Exchange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Commission on August 6, 2024).</w:t>
        </w:r>
      </w:hyperlink>
    </w:p>
    <w:p>
      <w:pPr>
        <w:spacing w:after="0" w:line="189" w:lineRule="exact"/>
        <w:rPr>
          <w:rFonts w:ascii="Times New Roman" w:cs="Times New Roman" w:eastAsia="Times New Roman" w:hAnsi="Times New Roman"/>
          <w:sz w:val="18"/>
          <w:szCs w:val="18"/>
          <w:u w:val="single" w:color="auto"/>
          <w:color w:val="0000EE"/>
        </w:rPr>
      </w:pPr>
    </w:p>
    <w:p>
      <w:pPr>
        <w:ind w:left="940" w:right="13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9">
        <w:r>
          <w:rPr>
            <w:rFonts w:ascii="Times New Roman" w:cs="Times New Roman" w:eastAsia="Times New Roman" w:hAnsi="Times New Roman"/>
            <w:sz w:val="18"/>
            <w:szCs w:val="18"/>
            <w:u w:val="single" w:color="auto"/>
            <w:color w:val="0000EE"/>
          </w:rPr>
          <w:t>Form of Option Grant Notice and Option Agreement for the 2024 Plan (incorporated by reference to Exhibit</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99.2 to the Registration Statement on Form S-8 (File No. 333-281304), filed with the Securities and Exchange</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Commission on August 6, 2024).</w:t>
        </w:r>
      </w:hyperlink>
    </w:p>
    <w:p>
      <w:pPr>
        <w:spacing w:after="0" w:line="189" w:lineRule="exact"/>
        <w:rPr>
          <w:rFonts w:ascii="Times New Roman" w:cs="Times New Roman" w:eastAsia="Times New Roman" w:hAnsi="Times New Roman"/>
          <w:sz w:val="18"/>
          <w:szCs w:val="18"/>
          <w:u w:val="single" w:color="auto"/>
          <w:color w:val="0000EE"/>
        </w:rPr>
      </w:pPr>
    </w:p>
    <w:p>
      <w:pPr>
        <w:ind w:left="940" w:right="199"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80">
        <w:r>
          <w:rPr>
            <w:rFonts w:ascii="Times New Roman" w:cs="Times New Roman" w:eastAsia="Times New Roman" w:hAnsi="Times New Roman"/>
            <w:sz w:val="18"/>
            <w:szCs w:val="18"/>
            <w:u w:val="single" w:color="auto"/>
            <w:color w:val="0000EE"/>
          </w:rPr>
          <w:t>Form of RSU Grant Notice and RSU Agreement for the 2024 Plan (incorporated by reference to Exhibit 99.3</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to the Registration Statement on Form S-8 (File No. 333-281304), filed with the Securities and Exchange</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Commission on August 6, 2024).</w:t>
        </w:r>
      </w:hyperlink>
    </w:p>
    <w:p>
      <w:pPr>
        <w:spacing w:after="0" w:line="189" w:lineRule="exact"/>
        <w:rPr>
          <w:rFonts w:ascii="Times New Roman" w:cs="Times New Roman" w:eastAsia="Times New Roman" w:hAnsi="Times New Roman"/>
          <w:sz w:val="18"/>
          <w:szCs w:val="18"/>
          <w:u w:val="single" w:color="auto"/>
          <w:color w:val="0000EE"/>
        </w:rPr>
      </w:pPr>
    </w:p>
    <w:p>
      <w:pPr>
        <w:ind w:left="940" w:right="21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81">
        <w:r>
          <w:rPr>
            <w:rFonts w:ascii="Times New Roman" w:cs="Times New Roman" w:eastAsia="Times New Roman" w:hAnsi="Times New Roman"/>
            <w:sz w:val="18"/>
            <w:szCs w:val="18"/>
            <w:u w:val="single" w:color="auto"/>
            <w:color w:val="0000EE"/>
          </w:rPr>
          <w:t>Senior Executive Cash Incentive Bonus Plan (incorporated by reference to Exhibit 10.4 to Amendment No. 1</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to the Registration Statement on Form S-1 (File No. 333-231076), filed with the Securities and Exchange</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Commission on May 13, 2019).</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15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82">
        <w:r>
          <w:rPr>
            <w:rFonts w:ascii="Times New Roman" w:cs="Times New Roman" w:eastAsia="Times New Roman" w:hAnsi="Times New Roman"/>
            <w:sz w:val="18"/>
            <w:szCs w:val="18"/>
            <w:u w:val="single" w:color="auto"/>
            <w:color w:val="0000EE"/>
          </w:rPr>
          <w:t>Service Agreement, dated September 26, 2019, by and between BicycleTx Ltd. and Kevin Lee (Incorporated</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by reference to Exhibit 10.1 to the Current Report on Form 8-K (File No. 001-38916) filed with the Securities</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and Exchange Commission on September 30, 2019).</w:t>
        </w:r>
      </w:hyperlink>
    </w:p>
    <w:p>
      <w:pPr>
        <w:spacing w:after="0" w:line="96" w:lineRule="exact"/>
        <w:rPr>
          <w:rFonts w:ascii="Times New Roman" w:cs="Times New Roman" w:eastAsia="Times New Roman" w:hAnsi="Times New Roman"/>
          <w:sz w:val="18"/>
          <w:szCs w:val="18"/>
          <w:u w:val="single" w:color="auto"/>
          <w:color w:val="0000EE"/>
        </w:rPr>
      </w:pPr>
    </w:p>
    <w:p>
      <w:pPr>
        <w:ind w:left="940" w:right="19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83">
        <w:r>
          <w:rPr>
            <w:rFonts w:ascii="Times New Roman" w:cs="Times New Roman" w:eastAsia="Times New Roman" w:hAnsi="Times New Roman"/>
            <w:sz w:val="18"/>
            <w:szCs w:val="18"/>
            <w:u w:val="single" w:color="auto"/>
            <w:color w:val="0000EE"/>
          </w:rPr>
          <w:t>Amendment No. 1 to Service Agreement, dated July 24, 2023, by and between BicycleTx Limited and Kevin</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Lee (incorporated by reference to Exhibit 10.1 to the Quarterly Report on Form 10-Q (File No. 001-38916)</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filed with the Securities and Exchange Commission on November 2, 2023).</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259" w:hanging="890"/>
        <w:spacing w:after="0" w:line="281" w:lineRule="auto"/>
        <w:tabs>
          <w:tab w:leader="none" w:pos="92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10.22+</w:t>
      </w:r>
      <w:r>
        <w:rPr>
          <w:sz w:val="20"/>
          <w:szCs w:val="20"/>
          <w:color w:val="auto"/>
        </w:rPr>
        <w:tab/>
      </w:r>
      <w:hyperlink r:id="rId184">
        <w:r>
          <w:rPr>
            <w:rFonts w:ascii="Times New Roman" w:cs="Times New Roman" w:eastAsia="Times New Roman" w:hAnsi="Times New Roman"/>
            <w:sz w:val="18"/>
            <w:szCs w:val="18"/>
            <w:u w:val="single" w:color="auto"/>
            <w:color w:val="0000EE"/>
          </w:rPr>
          <w:t>Amended and Restated Employment Agreement, dated September 26, 2019, by and between BicycleTx Ltd.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and Michael Skynner, Ph.D. (incorporated by reference to Exhibit 10.9 to the Annual Report on Form 10-K</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(File No. 001-38916), filed with the Securities and Exchange Commission on March 10, 2020)</w:t>
        </w:r>
        <w:r>
          <w:rPr>
            <w:rFonts w:ascii="Times New Roman" w:cs="Times New Roman" w:eastAsia="Times New Roman" w:hAnsi="Times New Roman"/>
            <w:sz w:val="18"/>
            <w:szCs w:val="18"/>
            <w:color w:val="000000"/>
          </w:rPr>
          <w:t>.</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17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85">
        <w:r>
          <w:rPr>
            <w:rFonts w:ascii="Times New Roman" w:cs="Times New Roman" w:eastAsia="Times New Roman" w:hAnsi="Times New Roman"/>
            <w:sz w:val="18"/>
            <w:szCs w:val="18"/>
            <w:u w:val="single" w:color="auto"/>
            <w:color w:val="0000EE"/>
          </w:rPr>
          <w:t>Amended and Restated Employment Agreement, dated January 6, 2022, by and between BicycleTx Ltd. And</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Michael Skynner, Ph.D. (incorporated by reference to Exhibit 10.11 to the Annual Report on Form 10-K (File</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No. 001-38916), filed with the Securities and Exchange Commission on March 1, 2022).</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27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86">
        <w:r>
          <w:rPr>
            <w:rFonts w:ascii="Times New Roman" w:cs="Times New Roman" w:eastAsia="Times New Roman" w:hAnsi="Times New Roman"/>
            <w:sz w:val="18"/>
            <w:szCs w:val="18"/>
            <w:u w:val="single" w:color="auto"/>
            <w:color w:val="0000EE"/>
          </w:rPr>
          <w:t>Amendment No. 2 to Service Agreement, dated February 20, 2023, by and between BicycleTx Limited and</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Michael Skynner (incorporated by reference to Exhibit 10.2 to the Quarterly Report on Form 10-Q (File No.</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001-38916), filed with the Securities and Exchange Commission on May 4, 2023).</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2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56489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9" w:lineRule="exact"/>
        <w:rPr>
          <w:sz w:val="20"/>
          <w:szCs w:val="20"/>
          <w:color w:val="auto"/>
        </w:rPr>
      </w:pPr>
    </w:p>
    <w:p>
      <w:pPr>
        <w:ind w:left="940" w:right="41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9">
        <w:r>
          <w:rPr>
            <w:rFonts w:ascii="Times New Roman" w:cs="Times New Roman" w:eastAsia="Times New Roman" w:hAnsi="Times New Roman"/>
            <w:sz w:val="18"/>
            <w:szCs w:val="18"/>
            <w:u w:val="single" w:color="auto"/>
            <w:color w:val="0000EE"/>
          </w:rPr>
          <w:t>Service Agreement, dated March 18, 2024, by and between BicycleTx Ltd. and Michael Charles Ferguson</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Hannay (incorporated by reference to Exhibit 10.4 to the Quarterly Report on Form 10-Q (File No. 001-</w:t>
        </w:r>
      </w:hyperlink>
      <w:hyperlink r:id="rId189">
        <w:r>
          <w:rPr>
            <w:rFonts w:ascii="Times New Roman" w:cs="Times New Roman" w:eastAsia="Times New Roman" w:hAnsi="Times New Roman"/>
            <w:sz w:val="18"/>
            <w:szCs w:val="18"/>
            <w:u w:val="single" w:color="auto"/>
            <w:color w:val="0000EE"/>
          </w:rPr>
          <w:t>38916), filed with the Securities and Exchange Commission on August 6, 2024).</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239" w:hanging="890"/>
        <w:spacing w:after="0" w:line="305" w:lineRule="auto"/>
        <w:tabs>
          <w:tab w:leader="none" w:pos="920" w:val="left"/>
        </w:tabs>
        <w:rPr>
          <w:rFonts w:ascii="Times New Roman" w:cs="Times New Roman" w:eastAsia="Times New Roman" w:hAnsi="Times New Roman"/>
          <w:sz w:val="17"/>
          <w:szCs w:val="17"/>
          <w:color w:val="0000EE"/>
        </w:rPr>
      </w:pPr>
      <w:r>
        <w:rPr>
          <w:rFonts w:ascii="Times New Roman" w:cs="Times New Roman" w:eastAsia="Times New Roman" w:hAnsi="Times New Roman"/>
          <w:sz w:val="18"/>
          <w:szCs w:val="18"/>
          <w:color w:val="auto"/>
        </w:rPr>
        <w:t>10.26+</w:t>
      </w:r>
      <w:r>
        <w:rPr>
          <w:sz w:val="20"/>
          <w:szCs w:val="20"/>
          <w:color w:val="auto"/>
        </w:rPr>
        <w:tab/>
      </w:r>
      <w:hyperlink r:id="rId190">
        <w:r>
          <w:rPr>
            <w:rFonts w:ascii="Times New Roman" w:cs="Times New Roman" w:eastAsia="Times New Roman" w:hAnsi="Times New Roman"/>
            <w:sz w:val="17"/>
            <w:szCs w:val="17"/>
            <w:u w:val="single" w:color="auto"/>
            <w:color w:val="0000EE"/>
          </w:rPr>
          <w:t>Form of letter agreement to amend Service Agreement by and between the BicycleTx Ltd. and its executive</w:t>
        </w:r>
      </w:hyperlink>
      <w:r>
        <w:rPr>
          <w:rFonts w:ascii="Times New Roman" w:cs="Times New Roman" w:eastAsia="Times New Roman" w:hAnsi="Times New Roman"/>
          <w:sz w:val="17"/>
          <w:szCs w:val="17"/>
          <w:u w:val="single" w:color="auto"/>
          <w:color w:val="0000EE"/>
        </w:rPr>
        <w:t xml:space="preserve"> </w:t>
      </w:r>
      <w:hyperlink r:id="rId190">
        <w:r>
          <w:rPr>
            <w:rFonts w:ascii="Times New Roman" w:cs="Times New Roman" w:eastAsia="Times New Roman" w:hAnsi="Times New Roman"/>
            <w:sz w:val="17"/>
            <w:szCs w:val="17"/>
            <w:u w:val="single" w:color="auto"/>
            <w:color w:val="0000EE"/>
          </w:rPr>
          <w:t>officers in the United Kingdom, effective January 1, 2020 (incorporated by reference to the Quarterly Report</w:t>
        </w:r>
      </w:hyperlink>
      <w:r>
        <w:rPr>
          <w:rFonts w:ascii="Times New Roman" w:cs="Times New Roman" w:eastAsia="Times New Roman" w:hAnsi="Times New Roman"/>
          <w:sz w:val="17"/>
          <w:szCs w:val="17"/>
          <w:u w:val="single" w:color="auto"/>
          <w:color w:val="0000EE"/>
        </w:rPr>
        <w:t xml:space="preserve"> </w:t>
      </w:r>
      <w:hyperlink r:id="rId190">
        <w:r>
          <w:rPr>
            <w:rFonts w:ascii="Times New Roman" w:cs="Times New Roman" w:eastAsia="Times New Roman" w:hAnsi="Times New Roman"/>
            <w:sz w:val="17"/>
            <w:szCs w:val="17"/>
            <w:u w:val="single" w:color="auto"/>
            <w:color w:val="0000EE"/>
          </w:rPr>
          <w:t>on Form 10-Q (File No. 001-38916), filed with the Securities and Exchange Commission on May 7, 2020)</w:t>
        </w:r>
        <w:r>
          <w:rPr>
            <w:rFonts w:ascii="Times New Roman" w:cs="Times New Roman" w:eastAsia="Times New Roman" w:hAnsi="Times New Roman"/>
            <w:sz w:val="17"/>
            <w:szCs w:val="17"/>
            <w:color w:val="000000"/>
          </w:rPr>
          <w:t>.</w:t>
        </w:r>
      </w:hyperlink>
    </w:p>
    <w:p>
      <w:pPr>
        <w:spacing w:after="0" w:line="78" w:lineRule="exact"/>
        <w:rPr>
          <w:rFonts w:ascii="Times New Roman" w:cs="Times New Roman" w:eastAsia="Times New Roman" w:hAnsi="Times New Roman"/>
          <w:sz w:val="17"/>
          <w:szCs w:val="17"/>
          <w:u w:val="single" w:color="auto"/>
          <w:color w:val="0000EE"/>
        </w:rPr>
      </w:pPr>
    </w:p>
    <w:p>
      <w:pPr>
        <w:jc w:val="both"/>
        <w:ind w:left="940" w:right="299" w:hanging="890"/>
        <w:spacing w:after="0" w:line="27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91">
        <w:r>
          <w:rPr>
            <w:rFonts w:ascii="Times New Roman" w:cs="Times New Roman" w:eastAsia="Times New Roman" w:hAnsi="Times New Roman"/>
            <w:sz w:val="18"/>
            <w:szCs w:val="18"/>
            <w:u w:val="single" w:color="auto"/>
            <w:color w:val="0000EE"/>
          </w:rPr>
          <w:t>Form of letter agreement to amend Service Agreement by and between the BicycleTx Ltd. and its executive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officers in the United Kingdom, effective January 1, 2021 (incorporated by reference to Exhibit 10.27 to the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Annual Report on Form 10-K (File No. 001-38916),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March 11, 2021).</w:t>
        </w:r>
      </w:hyperlink>
    </w:p>
    <w:p>
      <w:pPr>
        <w:spacing w:after="0" w:line="101" w:lineRule="exact"/>
        <w:rPr>
          <w:rFonts w:ascii="Times New Roman" w:cs="Times New Roman" w:eastAsia="Times New Roman" w:hAnsi="Times New Roman"/>
          <w:sz w:val="18"/>
          <w:szCs w:val="18"/>
          <w:u w:val="single" w:color="auto"/>
          <w:color w:val="0000EE"/>
        </w:rPr>
      </w:pPr>
    </w:p>
    <w:p>
      <w:pPr>
        <w:ind w:left="940" w:right="21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92">
        <w:r>
          <w:rPr>
            <w:rFonts w:ascii="Times New Roman" w:cs="Times New Roman" w:eastAsia="Times New Roman" w:hAnsi="Times New Roman"/>
            <w:sz w:val="18"/>
            <w:szCs w:val="18"/>
            <w:u w:val="single" w:color="auto"/>
            <w:color w:val="0000EE"/>
          </w:rPr>
          <w:t>Service Agreement, dated January 5, 2022, by and between BicycleTx Ltd. and Alistair Milnes (incorporated</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by reference to Exhibit 10.17 to the Annual Report on Form 10-K (File No. 001-38916), filed with the</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Securities and Exchange Commission on March 1, 2022).</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33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93">
        <w:r>
          <w:rPr>
            <w:rFonts w:ascii="Times New Roman" w:cs="Times New Roman" w:eastAsia="Times New Roman" w:hAnsi="Times New Roman"/>
            <w:sz w:val="18"/>
            <w:szCs w:val="18"/>
            <w:u w:val="single" w:color="auto"/>
            <w:color w:val="0000EE"/>
          </w:rPr>
          <w:t>Amendment No. 1 to Service Agreement, dated February 20, 2023, by and between BicycleTx Limited and</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Alistair Milnes (incorporated by reference to Exhibit 10.6 to the Quarterly Report on Form 10-Q (File No.</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001-38916), filed with the Securities and Exchange Commission on May 4, 2023).</w:t>
        </w:r>
      </w:hyperlink>
    </w:p>
    <w:p>
      <w:pPr>
        <w:spacing w:after="0" w:line="96" w:lineRule="exact"/>
        <w:rPr>
          <w:rFonts w:ascii="Times New Roman" w:cs="Times New Roman" w:eastAsia="Times New Roman" w:hAnsi="Times New Roman"/>
          <w:sz w:val="18"/>
          <w:szCs w:val="18"/>
          <w:u w:val="single" w:color="auto"/>
          <w:color w:val="0000EE"/>
        </w:rPr>
      </w:pPr>
    </w:p>
    <w:p>
      <w:pPr>
        <w:jc w:val="both"/>
        <w:ind w:left="940" w:right="43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94">
        <w:r>
          <w:rPr>
            <w:rFonts w:ascii="Times New Roman" w:cs="Times New Roman" w:eastAsia="Times New Roman" w:hAnsi="Times New Roman"/>
            <w:sz w:val="18"/>
            <w:szCs w:val="18"/>
            <w:u w:val="single" w:color="auto"/>
            <w:color w:val="0000EE"/>
          </w:rPr>
          <w:t>Form of Deed of Indemnity between the Company and each of its directors (incorporated by reference to</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Exhibit 10.1 to Current Report on Form 8-K (File No. 001-38916), filed with the Securities and Exchange</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Commission on November 12, 2019).</w:t>
        </w:r>
      </w:hyperlink>
    </w:p>
    <w:p>
      <w:pPr>
        <w:spacing w:after="0" w:line="96" w:lineRule="exact"/>
        <w:rPr>
          <w:rFonts w:ascii="Times New Roman" w:cs="Times New Roman" w:eastAsia="Times New Roman" w:hAnsi="Times New Roman"/>
          <w:sz w:val="18"/>
          <w:szCs w:val="18"/>
          <w:u w:val="single" w:color="auto"/>
          <w:color w:val="0000EE"/>
        </w:rPr>
      </w:pPr>
    </w:p>
    <w:p>
      <w:pPr>
        <w:ind w:left="940" w:right="7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95">
        <w:r>
          <w:rPr>
            <w:rFonts w:ascii="Times New Roman" w:cs="Times New Roman" w:eastAsia="Times New Roman" w:hAnsi="Times New Roman"/>
            <w:sz w:val="18"/>
            <w:szCs w:val="18"/>
            <w:u w:val="single" w:color="auto"/>
            <w:color w:val="0000EE"/>
          </w:rPr>
          <w:t>Form of Deed of Indemnity between the registrant and each of its executive officers (incorporated by reference</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to Exhibit 10.2 to Current Report on Form 8-K (File No. 001-38916), filed with the Securities and Exchange</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Commission on November 12, 2019).</w:t>
        </w:r>
      </w:hyperlink>
    </w:p>
    <w:p>
      <w:pPr>
        <w:spacing w:after="0" w:line="96" w:lineRule="exact"/>
        <w:rPr>
          <w:rFonts w:ascii="Times New Roman" w:cs="Times New Roman" w:eastAsia="Times New Roman" w:hAnsi="Times New Roman"/>
          <w:sz w:val="18"/>
          <w:szCs w:val="18"/>
          <w:u w:val="single" w:color="auto"/>
          <w:color w:val="0000EE"/>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7"/>
          <w:szCs w:val="17"/>
          <w:u w:val="single" w:color="auto"/>
          <w:color w:val="0000EE"/>
        </w:rPr>
        <w:t>Non-Employee Director Compensation Policy, as amended as of December 11, 2025.</w:t>
      </w:r>
    </w:p>
    <w:p>
      <w:pPr>
        <w:spacing w:after="0" w:line="158" w:lineRule="exact"/>
        <w:rPr>
          <w:rFonts w:ascii="Times New Roman" w:cs="Times New Roman" w:eastAsia="Times New Roman" w:hAnsi="Times New Roman"/>
          <w:sz w:val="18"/>
          <w:szCs w:val="18"/>
          <w:u w:val="single" w:color="auto"/>
          <w:color w:val="0000EE"/>
        </w:rPr>
      </w:pPr>
    </w:p>
    <w:p>
      <w:pPr>
        <w:ind w:left="940" w:right="11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96">
        <w:r>
          <w:rPr>
            <w:rFonts w:ascii="Times New Roman" w:cs="Times New Roman" w:eastAsia="Times New Roman" w:hAnsi="Times New Roman"/>
            <w:sz w:val="18"/>
            <w:szCs w:val="18"/>
            <w:u w:val="single" w:color="auto"/>
            <w:color w:val="0000EE"/>
          </w:rPr>
          <w:t>Registration Rights Agreement, dated as of April 18, 2024, by and among Bicycle Therapeutics plc and 667</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L.P. and Baker Brothers Life Sciences L.P. (incorporated by reference to Exhibit 10.2 to the Current Report on</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Form 8-K (File No. 001-38916) filed with the Securities and Exchange Commission on April 18, 2024).</w:t>
        </w:r>
      </w:hyperlink>
    </w:p>
    <w:p>
      <w:pPr>
        <w:spacing w:after="0" w:line="96" w:lineRule="exact"/>
        <w:rPr>
          <w:rFonts w:ascii="Times New Roman" w:cs="Times New Roman" w:eastAsia="Times New Roman" w:hAnsi="Times New Roman"/>
          <w:sz w:val="18"/>
          <w:szCs w:val="18"/>
          <w:u w:val="single" w:color="auto"/>
          <w:color w:val="0000EE"/>
        </w:rPr>
      </w:pPr>
    </w:p>
    <w:p>
      <w:pPr>
        <w:ind w:left="940" w:right="21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97">
        <w:r>
          <w:rPr>
            <w:rFonts w:ascii="Times New Roman" w:cs="Times New Roman" w:eastAsia="Times New Roman" w:hAnsi="Times New Roman"/>
            <w:sz w:val="18"/>
            <w:szCs w:val="18"/>
            <w:u w:val="single" w:color="auto"/>
            <w:color w:val="0000EE"/>
          </w:rPr>
          <w:t>Securities Purchase Agreement, dated as of May 23, 2024, by and among Bicycle Therapeutics plc and</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purchasers named therein (incorporated by reference to Exhibit 10.1 to the Current Report on Form 8-K (File</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No. 001-38916), filed with the Securities and Exchange Commission on May 23, 2024).</w:t>
        </w:r>
      </w:hyperlink>
    </w:p>
    <w:p>
      <w:pPr>
        <w:spacing w:after="0" w:line="96" w:lineRule="exact"/>
        <w:rPr>
          <w:rFonts w:ascii="Times New Roman" w:cs="Times New Roman" w:eastAsia="Times New Roman" w:hAnsi="Times New Roman"/>
          <w:sz w:val="18"/>
          <w:szCs w:val="18"/>
          <w:u w:val="single" w:color="auto"/>
          <w:color w:val="0000EE"/>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EE"/>
        </w:rPr>
        <w:t>Amended and Restated Insider Trading Policy, as amended October 1, 2025.</w:t>
      </w:r>
    </w:p>
    <w:p>
      <w:pPr>
        <w:spacing w:after="0" w:line="158" w:lineRule="exact"/>
        <w:rPr>
          <w:rFonts w:ascii="Times New Roman" w:cs="Times New Roman" w:eastAsia="Times New Roman" w:hAnsi="Times New Roman"/>
          <w:sz w:val="18"/>
          <w:szCs w:val="18"/>
          <w:u w:val="single" w:color="auto"/>
          <w:color w:val="0000EE"/>
        </w:rPr>
      </w:pPr>
    </w:p>
    <w:p>
      <w:pPr>
        <w:ind w:left="940" w:right="259" w:hanging="890"/>
        <w:spacing w:after="0" w:line="28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98">
        <w:r>
          <w:rPr>
            <w:rFonts w:ascii="Times New Roman" w:cs="Times New Roman" w:eastAsia="Times New Roman" w:hAnsi="Times New Roman"/>
            <w:sz w:val="18"/>
            <w:szCs w:val="18"/>
            <w:u w:val="single" w:color="auto"/>
            <w:color w:val="0000EE"/>
          </w:rPr>
          <w:t>Subsidiaries of the Registrant (incorporated by reference to Exhibit 21.1 to the Company’s Registration</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Statement on Form S-1 (File No. 333-231076), filed with the Securities and Exchange Commission on April</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26, 2019).</w:t>
        </w:r>
      </w:hyperlink>
    </w:p>
    <w:p>
      <w:pPr>
        <w:spacing w:after="0" w:line="96" w:lineRule="exact"/>
        <w:rPr>
          <w:rFonts w:ascii="Times New Roman" w:cs="Times New Roman" w:eastAsia="Times New Roman" w:hAnsi="Times New Roman"/>
          <w:sz w:val="18"/>
          <w:szCs w:val="18"/>
          <w:u w:val="single" w:color="auto"/>
          <w:color w:val="0000EE"/>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158" w:lineRule="exact"/>
        <w:rPr>
          <w:rFonts w:ascii="Times New Roman" w:cs="Times New Roman" w:eastAsia="Times New Roman" w:hAnsi="Times New Roman"/>
          <w:sz w:val="18"/>
          <w:szCs w:val="18"/>
          <w:u w:val="single" w:color="auto"/>
          <w:color w:val="0000EE"/>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this report).</w:t>
      </w:r>
    </w:p>
    <w:p>
      <w:pPr>
        <w:spacing w:after="0" w:line="158" w:lineRule="exact"/>
        <w:rPr>
          <w:rFonts w:ascii="Times New Roman" w:cs="Times New Roman" w:eastAsia="Times New Roman" w:hAnsi="Times New Roman"/>
          <w:sz w:val="18"/>
          <w:szCs w:val="18"/>
          <w:u w:val="single" w:color="auto"/>
          <w:color w:val="0000EE"/>
        </w:rPr>
      </w:pPr>
    </w:p>
    <w:p>
      <w:pPr>
        <w:jc w:val="center"/>
        <w:ind w:left="60" w:right="359"/>
        <w:spacing w:after="0" w:line="297"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Exchange Act of 1934, as Adopted Pursuant to Section 302 of the Sarbanes-Oxley Act of 2002.</w:t>
      </w:r>
    </w:p>
    <w:p>
      <w:pPr>
        <w:spacing w:after="0" w:line="82" w:lineRule="exact"/>
        <w:rPr>
          <w:rFonts w:ascii="Times New Roman" w:cs="Times New Roman" w:eastAsia="Times New Roman" w:hAnsi="Times New Roman"/>
          <w:sz w:val="18"/>
          <w:szCs w:val="18"/>
          <w:u w:val="single" w:color="auto"/>
          <w:color w:val="0000EE"/>
        </w:rPr>
      </w:pPr>
    </w:p>
    <w:p>
      <w:pPr>
        <w:ind w:left="940" w:right="399" w:hanging="890"/>
        <w:spacing w:after="0" w:line="297" w:lineRule="auto"/>
        <w:tabs>
          <w:tab w:leader="none" w:pos="9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200" w:lineRule="exact"/>
        <w:rPr>
          <w:rFonts w:ascii="Times New Roman" w:cs="Times New Roman" w:eastAsia="Times New Roman" w:hAnsi="Times New Roman"/>
          <w:sz w:val="18"/>
          <w:szCs w:val="18"/>
          <w:u w:val="single" w:color="auto"/>
          <w:color w:val="0000EE"/>
        </w:rPr>
      </w:pPr>
    </w:p>
    <w:p>
      <w:pPr>
        <w:spacing w:after="0" w:line="314"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56489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 and Principal Financial Officer Pursuant to 18 U.S.C. Section</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EE"/>
        </w:rPr>
        <w:t>1350, as Adopted Pursuant to Section 906 of the Sarbanes-Oxley Act of 2002.</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8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Incentive Compensation Recoupment Policy (incorporated by reference to Exhibit 97.1 to the Annual Report</w:t>
              </w:r>
            </w:hyperlink>
          </w:p>
        </w:tc>
      </w:tr>
      <w:tr>
        <w:trPr>
          <w:trHeight w:val="210"/>
        </w:trPr>
        <w:tc>
          <w:tcPr>
            <w:tcW w:w="880" w:type="dxa"/>
            <w:vAlign w:val="bottom"/>
          </w:tcPr>
          <w:p>
            <w:pPr>
              <w:spacing w:after="0"/>
              <w:rPr>
                <w:sz w:val="18"/>
                <w:szCs w:val="18"/>
                <w:color w:val="auto"/>
              </w:rPr>
            </w:pPr>
          </w:p>
        </w:tc>
        <w:tc>
          <w:tcPr>
            <w:tcW w:w="7860" w:type="dxa"/>
            <w:vAlign w:val="bottom"/>
            <w:gridSpan w:val="3"/>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on Form 10-K (File No. 001-38916), filed with the Securities and Exchange Commission on February 20,</w:t>
              </w:r>
            </w:hyperlink>
          </w:p>
        </w:tc>
      </w:tr>
      <w:tr>
        <w:trPr>
          <w:trHeight w:val="209"/>
        </w:trPr>
        <w:tc>
          <w:tcPr>
            <w:tcW w:w="880" w:type="dxa"/>
            <w:vAlign w:val="bottom"/>
          </w:tcPr>
          <w:p>
            <w:pPr>
              <w:spacing w:after="0"/>
              <w:rPr>
                <w:sz w:val="18"/>
                <w:szCs w:val="18"/>
                <w:color w:val="auto"/>
              </w:rPr>
            </w:pPr>
          </w:p>
        </w:tc>
        <w:tc>
          <w:tcPr>
            <w:tcW w:w="4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2024).</w:t>
              </w:r>
            </w:hyperlink>
          </w:p>
        </w:tc>
        <w:tc>
          <w:tcPr>
            <w:tcW w:w="714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30" w:lineRule="exact"/>
        <w:rPr>
          <w:sz w:val="20"/>
          <w:szCs w:val="20"/>
          <w:color w:val="auto"/>
        </w:rPr>
      </w:pPr>
    </w:p>
    <w:p>
      <w:pPr>
        <w:ind w:left="940" w:hanging="884"/>
        <w:spacing w:after="0"/>
        <w:tabs>
          <w:tab w:leader="none" w:pos="9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380" w:right="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-628015</wp:posOffset>
            </wp:positionV>
            <wp:extent cx="14141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52" w:lineRule="exact"/>
        <w:rPr>
          <w:sz w:val="20"/>
          <w:szCs w:val="20"/>
          <w:color w:val="auto"/>
        </w:rPr>
      </w:pPr>
    </w:p>
    <w:p>
      <w:pPr>
        <w:ind w:left="380" w:hanging="330"/>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Indicates a management contract or compensatory plan.</w:t>
      </w:r>
    </w:p>
    <w:p>
      <w:pPr>
        <w:spacing w:after="0" w:line="32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tbl>
      <w:tblPr>
        <w:tblLayout w:type="fixed"/>
        <w:tblInd w:w="60" w:type="dxa"/>
        <w:tblCellMar>
          <w:top w:w="0" w:type="dxa"/>
          <w:left w:w="0" w:type="dxa"/>
          <w:bottom w:w="0" w:type="dxa"/>
          <w:right w:w="0" w:type="dxa"/>
        </w:tblCellMar>
      </w:tblPr>
      <w:tr>
        <w:trPr>
          <w:trHeight w:val="207"/>
        </w:trPr>
        <w:tc>
          <w:tcPr>
            <w:tcW w:w="84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9"/>
        </w:trPr>
        <w:tc>
          <w:tcPr>
            <w:tcW w:w="3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160" w:type="dxa"/>
            <w:vAlign w:val="bottom"/>
            <w:gridSpan w:val="7"/>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80" w:type="dxa"/>
            <w:vAlign w:val="bottom"/>
            <w:gridSpan w:val="6"/>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Bicycle Therapeutics plc</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4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876)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8420" w:type="dxa"/>
            <w:vAlign w:val="bottom"/>
            <w:gridSpan w:val="9"/>
            <w:vMerge w:val="continue"/>
          </w:tcPr>
          <w:p>
            <w:pPr>
              <w:spacing w:after="0"/>
              <w:rPr>
                <w:sz w:val="13"/>
                <w:szCs w:val="13"/>
                <w:color w:val="auto"/>
              </w:rPr>
            </w:pPr>
          </w:p>
        </w:tc>
        <w:tc>
          <w:tcPr>
            <w:tcW w:w="46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6"/>
                <w:szCs w:val="16"/>
                <w:color w:val="auto"/>
                <w:w w:val="98"/>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46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880" w:type="dxa"/>
            <w:vAlign w:val="bottom"/>
            <w:tcBorders>
              <w:top w:val="single" w:sz="8" w:color="0000EE"/>
            </w:tcBorders>
          </w:tcPr>
          <w:p>
            <w:pPr>
              <w:spacing w:after="0"/>
              <w:rPr>
                <w:sz w:val="24"/>
                <w:szCs w:val="24"/>
                <w:color w:val="auto"/>
              </w:rPr>
            </w:pPr>
          </w:p>
        </w:tc>
        <w:tc>
          <w:tcPr>
            <w:tcW w:w="2900" w:type="dxa"/>
            <w:vAlign w:val="bottom"/>
            <w:gridSpan w:val="4"/>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412"/>
        </w:trPr>
        <w:tc>
          <w:tcPr>
            <w:tcW w:w="84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2024 and</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9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412"/>
        </w:trPr>
        <w:tc>
          <w:tcPr>
            <w:tcW w:w="84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2025, 2024 and 2023</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12"/>
        </w:trPr>
        <w:tc>
          <w:tcPr>
            <w:tcW w:w="76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800" w:type="dxa"/>
            <w:vAlign w:val="bottom"/>
            <w:gridSpan w:val="2"/>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3"/>
          </w:tcPr>
          <w:p>
            <w:pPr>
              <w:spacing w:after="0"/>
              <w:rPr>
                <w:sz w:val="24"/>
                <w:szCs w:val="24"/>
                <w:color w:val="auto"/>
              </w:rPr>
            </w:pPr>
          </w:p>
        </w:tc>
        <w:tc>
          <w:tcPr>
            <w:tcW w:w="1480" w:type="dxa"/>
            <w:vAlign w:val="bottom"/>
            <w:gridSpan w:val="3"/>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F</w:t>
            </w: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right="3799"/>
        <w:spacing w:after="0" w:line="422" w:lineRule="auto"/>
        <w:rPr>
          <w:sz w:val="20"/>
          <w:szCs w:val="20"/>
          <w:color w:val="auto"/>
        </w:rPr>
      </w:pPr>
      <w:r>
        <w:rPr>
          <w:rFonts w:ascii="Times New Roman" w:cs="Times New Roman" w:eastAsia="Times New Roman" w:hAnsi="Times New Roman"/>
          <w:sz w:val="18"/>
          <w:szCs w:val="18"/>
          <w:color w:val="auto"/>
        </w:rPr>
        <w:t xml:space="preserve">To the Board of Directors and Shareholders of Bicycle Therapeutics plc </w:t>
      </w:r>
      <w:r>
        <w:rPr>
          <w:rFonts w:ascii="Times New Roman" w:cs="Times New Roman" w:eastAsia="Times New Roman" w:hAnsi="Times New Roman"/>
          <w:sz w:val="18"/>
          <w:szCs w:val="18"/>
          <w:b w:val="1"/>
          <w:bCs w:val="1"/>
          <w:i w:val="1"/>
          <w:iCs w:val="1"/>
          <w:color w:val="auto"/>
        </w:rPr>
        <w:t>Opinion on the Financial Statements</w:t>
      </w:r>
    </w:p>
    <w:p>
      <w:pPr>
        <w:spacing w:after="0" w:line="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Bicycle Therapeutics plc and its subsidiaries (the “Company”) as of December 31, 2025 and 2024, and the related consolidated statements of operations and comprehensive loss, of shareholders’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External research and development expenses</w:t>
      </w:r>
    </w:p>
    <w:p>
      <w:pPr>
        <w:spacing w:after="0" w:line="16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described in Note 2 and 5 to the consolidated financial statements, research and development expenses were $240.3 million for the year ended December 31, 2025, of which a significant portion related to external research and development expense. Accrued external research and development expenses were $20.5 million as of December 31, 2025. The Company has entered into various research and development and manufacturing contracts, including contracts with respect to preclinical studies and clinical trials. Research and development costs are expensed as incurred. Significant judgments and estimates are made by management in estimating external research and development expenses incurred and associated accrued balance at the end of the reporting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estimating accrued external research and development expenses, management analyzes the progress of the research and development and manufacturing activities, including the level of service performed and associated cost incurred, invoices received and contracted costs.</w:t>
      </w:r>
    </w:p>
    <w:p>
      <w:pPr>
        <w:spacing w:after="0" w:line="10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external research and development expenses is a critical audit matter are (i) the significant judgment by management in developing the estimate of the accrued external research and development expenses; and (ii) a high degree of auditor judgment, subjectivity and effort in performing procedures and evaluating management’s significant assumption related to the level of service performed.</w:t>
      </w:r>
    </w:p>
    <w:p>
      <w:pPr>
        <w:spacing w:after="0" w:line="11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reading significant research and development and manufacturing contracts; (ii) testing the external research and development expenses incurred, on a sample basis, by tracing information to the underlying contracts, purchase orders, invoices and information received from the research institutions or vendors, as applicable; (iii) testing management’s process for estimating the accrued external research and development expenses; (iv) testing the completeness and accuracy of underlying data used by management; and (v) evaluating the reasonableness of the significant assumption used by management in estimating of the level of service performed on a sample of contracts. Evaluating management’s assumption related to the level of service performed involved obtaining and examining a sample of third party contracts to evaluate the completeness and consistency of the costs and milestones in the contract with those used in developing the estimate, testing the associated cost incurred based on underlying contracts and other information received from research organizations and re-calculating the level of service performed for a study or research and development activity.</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for termination of Novartis Collaboration Agreement</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described in Note 9 to the consolidated financial statements, in November 2025, Novartis Pharma AG (“Novartis”) provided the Company with a notice of termination of the Novartis Collaboration Agreement in its entirety, effective in February 2026. Management exercised significant judgment in concluding that the notice of termination should be accounted for as a contract modification in the fourth quarter of 2025 as it reduces the scope of the arrangement. Management concluded that the notice of termination substantively removes all remaining performance obligations, including remaining material rights, as of the date of the notice as Novartis will not benefit from any remaining activities performed during the notice period and the likelihood of exercising any remaining options is remote. As a result, the Company recognized the remaining unrecognized transaction price of $41.9 million as revenue on the date of the notice of termination.</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the termination of Novartis Collaboration Agreement is a critical audit matter are (i) the significant judgment by management in determining the timing of accounting for the termination of collaboration agreement, and (ii) a high degree of auditor judgment, subjectivity and effort in performing procedures related to accounting for the termination of Novartis Collaboration Agreement.</w:t>
      </w:r>
    </w:p>
    <w:p>
      <w:pPr>
        <w:spacing w:after="0" w:line="10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reading the Novartis Collaboration Agreement and the notice of termination; (ii) evaluating management’s assessment of the accounting for the termination of the Novartis Collaboration Agreement; (iii) evaluating the reasonableness of significant judgment used by management related to the determination that Novartis will not benefit from any remaining activities performed during the notice period and the likelihood of exercising any remaining options is remote by evaluating its consistency with the contractual terms and considering the progress of the research as of the date of termination; and (iv) evaluating the sufficiency of the disclosures in the consolidated financial statements.</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Cambridge, United Kingdom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17,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628,110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928,605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717,597</w:t>
            </w:r>
          </w:p>
        </w:tc>
        <w:tc>
          <w:tcPr>
            <w:tcW w:w="2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956,868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6"/>
                <w:szCs w:val="16"/>
                <w:color w:val="auto"/>
              </w:rPr>
              <w:t>Other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107,620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Ordinary shares, including non-voting ordinary shares, £0.01 nominal value; 159,685,229 and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155,876,645 shares authorized at December 31, 2025 and December 31, 2024, respectively;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69,367,896 and 69,061,418 shares issued and outstanding at December 31, 2025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1,472,842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(899,751)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(680,791)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717,597</w:t>
            </w:r>
          </w:p>
        </w:tc>
        <w:tc>
          <w:tcPr>
            <w:tcW w:w="20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(247,065)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extinguishment of research and development funding liability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69,279,838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58,207,593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35,592,362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6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7"/>
                <w:szCs w:val="17"/>
                <w:color w:val="auto"/>
              </w:rPr>
            </w:pPr>
          </w:p>
        </w:tc>
        <w:tc>
          <w:tcPr>
            <w:tcW w:w="800" w:type="dxa"/>
            <w:vAlign w:val="bottom"/>
          </w:tcPr>
          <w:p>
            <w:pPr>
              <w:jc w:val="right"/>
              <w:ind w:right="14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16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280" w:type="dxa"/>
            <w:vAlign w:val="bottom"/>
          </w:tcPr>
          <w:p>
            <w:pPr>
              <w:ind w:left="3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2"/>
          </w:tcPr>
          <w:p>
            <w:pPr>
              <w:jc w:val="right"/>
              <w:ind w:right="5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29,873,893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601,105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(331,096)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270,783</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54,023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ADSs and non-voting ordinary shares, net</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 commissions and offering expenses of $16.0</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12,384,706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249,345</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million</w:t>
            </w: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ADSs upon settlement of restricted share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119,144</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32,477</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(180,664)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(180,664)</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42,431,766</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883,446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(1,304)</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(511,760)</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370,932</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554,596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7,527</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ADSs and non-voting ordinary shares, net</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commissions and offering expenses of $11.4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25,933,706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543,796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544,127</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million</w:t>
            </w: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ADSs upon settlement of restricted share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141,350</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38,081</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(169,031)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(169,031)</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69,061,418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1,472,842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(680,791)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793,060</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ADSs upon settlement of restricted share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296,362</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39,464</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(3,624)</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(218,960)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(218,960)</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69,367,896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1,512,339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(899,751)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vMerge w:val="restart"/>
          </w:tcPr>
          <w:p>
            <w:pPr>
              <w:ind w:left="5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(218,960)</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(180,664)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Non-cash interest</w:t>
            </w:r>
          </w:p>
        </w:tc>
        <w:tc>
          <w:tcPr>
            <w:tcW w:w="18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Gain on extinguishment of research and development funding liability</w:t>
            </w:r>
          </w:p>
        </w:tc>
        <w:tc>
          <w:tcPr>
            <w:tcW w:w="18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non-cash charges</w:t>
            </w:r>
          </w:p>
        </w:tc>
        <w:tc>
          <w:tcPr>
            <w:tcW w:w="18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(5,816)</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6"/>
                <w:szCs w:val="16"/>
                <w:color w:val="auto"/>
              </w:rPr>
              <w:t>Operating lease 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(6,871)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(5,456)</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(69,190)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(249,675)</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(164,724)</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investing activities: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(2,350)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ADSs and non-voting ordinary shares, net of issuance</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the exercise of share options and settlement of restricted share units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519,750</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80" w:type="dxa"/>
            <w:vAlign w:val="bottom"/>
          </w:tcPr>
          <w:p>
            <w:pPr>
              <w:spacing w:after="0"/>
              <w:rPr>
                <w:sz w:val="17"/>
                <w:szCs w:val="17"/>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(251,352)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353,097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880,067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526,970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628,715</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880,067</w:t>
            </w:r>
          </w:p>
        </w:tc>
        <w:tc>
          <w:tcPr>
            <w:tcW w:w="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628,110</w:t>
            </w:r>
          </w:p>
        </w:tc>
        <w:tc>
          <w:tcPr>
            <w:tcW w:w="1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879,520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880,067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 on debt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interest on finance lease obligations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from) paid for income taxes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(717)</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1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purchases of property and equipment in accounts payable and accrued</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impact to operating lease right-of-use assets and operating lease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12,383</w:t>
            </w:r>
          </w:p>
        </w:tc>
        <w:tc>
          <w:tcPr>
            <w:tcW w:w="1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obtained under finance leases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left="60" w:right="179" w:firstLine="648"/>
        <w:spacing w:after="0" w:line="233" w:lineRule="auto"/>
        <w:rPr>
          <w:sz w:val="20"/>
          <w:szCs w:val="20"/>
          <w:color w:val="auto"/>
        </w:rPr>
      </w:pPr>
      <w:r>
        <w:rPr>
          <w:rFonts w:ascii="Times New Roman" w:cs="Times New Roman" w:eastAsia="Times New Roman" w:hAnsi="Times New Roman"/>
          <w:sz w:val="18"/>
          <w:szCs w:val="18"/>
          <w:color w:val="auto"/>
        </w:rPr>
        <w:t>Bicycle Therapeutics plc (collectively with its subsidiaries, the “Company”) is a clinical-stage pharmaceutical company developing a novel class of medicines, which the Company refers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a unique therapeutic modality combining the pharmacology usually associated with a biologic with the manufacturing and pharmacokinetic properties of a small molecule. The Company’s internal programs are focused on oncology indications with high unmet medical need.</w:t>
      </w:r>
    </w:p>
    <w:p>
      <w:pPr>
        <w:spacing w:after="0" w:line="202"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Bicycle Therapeutics plc and its wholly owned subsidiaries, BicycleTx Limited, BicycleRD Limited and Bicycle Therapeutics Inc. All intercompany balances and transactions have been eliminated on consolidation.</w:t>
      </w:r>
    </w:p>
    <w:p>
      <w:pPr>
        <w:spacing w:after="0" w:line="1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the Company had cash and cash equivalents of $628.1 million.</w:t>
      </w:r>
    </w:p>
    <w:p>
      <w:pPr>
        <w:spacing w:after="0" w:line="22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Since inception, the Company has devoted substantially all of its efforts to business planning, research and development, recruiting management and technical staff and raising capital. The Company has funded its operations with proceeds from the sale of its equity securities, as well as proceeds received from its collaboration arrangements (Note 9) and proceeds from a loan agreement with Hercules Capital, Inc. (“Hercules”) (Note 6). The Company has incurred recurring losses since inception, including net losses of $219.0 million, $169.0 million, and $180.7 million for the years ended December 31, 2025, 2024, and 2023, respectively. As of December 31, 2025, the Company had an accumulated deficit of $899.8 million. The Company expects to continue to generate operating losses in the foreseeable future. The Company expects that its cash and cash equivalents will be sufficient to fund its operating expenses and capital expenditure requirements through at least twelve months from the issuance date of these annual consolidated financial statements.</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May 23, 2024, the Company entered into a securities purchase agreement (the “Purchase Agreement”) with purchasers named therein (the “Investors”). Pursuant to the Purchase Agreement, the Company sold 6,764,705 ADSs, representing the same number of ordinary shares, nominal value £0.01 per share, and 19,169,001 non-voting ordinary shares, nominal value £0.01 per share, each at a purchase price equal to $21.42 per share (the “Private Placement”). The Company completed the Private Placement on May 28, 2024. The transaction resulted in gross proceeds to the Company of $555.5 million, and after deducting commissions and offering expenses of $11.4 million, net proceeds to the Company of $544.1 million.</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 July 17, 2023, the Company completed an underwritten public offering of its securities, pursuant to which the Company issued and sold 6,117,648 ADSs, representing the same number of ordinary shares, nominal value £0.01 per share, which included 1,411,764 ADSs sold upon the underwriters’ full exercise of their option to purchase additional ADSs, and 4,705,882 non-voting ordinary shares, nominal value £0.01 per share, at a public offering price of $21.25 per ADS or non-voting ordinary share, respectively. The transaction resulted in gross proceeds to the Company of $230.0 million, and after deducting underwriting discounts, commissions, and offering expenses of $14.9 million, net proceeds to the Company of $215.1 million.</w:t>
      </w:r>
    </w:p>
    <w:p>
      <w:pPr>
        <w:spacing w:after="0" w:line="18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On June 5, 2020, the Company entered into a Sales Agreement (the “Sales Agreement”) with Cantor Fitzgerald &amp; Co. and Oppenheimer &amp; Co. Inc. (the “Sales Agents”) with respect to an at-the-market (“ATM”) program pursuant to which the Company may offer and sell through the Sales Agents, from time to time at the Company’s sole discretion,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ADSs, each ADS representing one ordinary share. No ADSs were issued or sold pursuant to the Sales Agreement during the years ended December 31, 2025 and 2024. During the year ended December 31, 2023, the Company issued and sold 1,561,176 ADSs, representing the same number of ordinary shares for gross proceeds of $35.3 million, resulting in net proceeds of $34.2 million after deducting sales commissions and offering expenses of $1.1 million.</w:t>
      </w:r>
    </w:p>
    <w:p>
      <w:pPr>
        <w:spacing w:after="0" w:line="18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its expenses to increase substantially in connection with ongoing activities, particularly if, and as, the Company advances its clinical trials for its product candidates in development and preclinical activities. Accordingly, the Company will need to obtain additional funding in connection with continuing operations. If the Company is unable to raise funding when needed, or on attractive terms, it could be forced to delay, reduce or eliminate its research or drug development programs or any future commercialization efforts. There is no assurance that the Company will be successful in obtaining sufficient funding on terms acceptable to the Company to fund continuing operations, if at all.</w:t>
      </w:r>
    </w:p>
    <w:p>
      <w:pPr>
        <w:spacing w:after="0" w:line="18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and pharmaceutical industries,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revenue recognition, the accrual for research and development expenses and research and development incentives receivable, share-based compensation expense, valuation of right-of-use assets and liabilities, gain on extinguishment of research and development funding liability and income taxes, including the valuation allowance for deferred tax assets. The Company bases its estimates on historical experience, known trends and other market-specific or other relevant factors that it believes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a period of economic uncertainty which has been significantly impacted by domestic and global monetary and fiscal policy, changes to global trade policies, geopolitical conflicts and war, inflation and interest rates, and fluctuations in monetary exchange rates. While the Company has experienced limited financial impacts at this time, the Company continues to monitor these factors and events and the potential effects each may have on the Company’s business, financial condition, results of operations and growth prospects.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currency translation</w:t>
      </w:r>
    </w:p>
    <w:p>
      <w:pPr>
        <w:spacing w:after="0" w:line="229"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The reporting currency of the Company is the U.S. Dollar (“USD”). The functional currency of Bicycle Therapeutics plc is the USD. The functional currency of Bicycle Therapeutics plc’s wholly owned non-U.S. subsidiaries, BicycleTx Limited and BicycleRD Limited, is the British Pound Sterling, and the functional currency of its U.S. subsidiary, Bicycle Therapeutics Inc., is the USD. The functional currency of the Company’s subsidiaries is the same as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local currency. Monetary assets and liabilities denominated in foreign currencies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 in the consolidated statements of operations and comprehensive loss as incurred. The Company recorded a foreign exchange gain of $0.7 million for the year ended December 31, 2025, and foreign exchange losses of $0.7 million and $0.6 million for the years ended December 31, 2024 and 2023, respectively.</w:t>
      </w:r>
    </w:p>
    <w:p>
      <w:pPr>
        <w:spacing w:after="0" w:line="188"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Company translates the assets and liabilities of its non-U.S. subsidiaries into USD at the exchange rate in effect on the balance sheet date. Revenues and expenses are translated at the average exchange rate in effect during the period. Unrealized translation gains and losses are recorded as a foreign currency translation adjustment, which is included in the consolidated statements of shareholders’ equity as a component of accumulated other comprehensive (loss) income.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w:t>
      </w:r>
    </w:p>
    <w:p>
      <w:pPr>
        <w:spacing w:after="0" w:line="229"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The Company deposits its cash in financial institutions in amounts that may exceed federally insured limits and has not experienced any losses on such accounts. The Company diversifies its cash and cash equivalents in multiple financial institutions and in money market funds and does not believe it is exposed to any unusual credit risk beyond the normal credit risk associated with commercial banking relationships and investments in money market funds.</w:t>
      </w:r>
    </w:p>
    <w:p>
      <w:pPr>
        <w:spacing w:after="0" w:line="16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no accounts receivable. For the years ended December 31, 2025, 2024, and 2023, the Company’s revenue has been generated from collaboration agreements with Bayer Consumer Care AG (“Bayer”), Novartis Pharma AG (“Novartis”), Ionis Pharmaceuticals, Inc. (“Ionis”), Genentech, Inc. (“Genentech”) and AstraZeneca AB (“AstraZeneca”) (Note 9).</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relies, and expects to continue to rely, on multiple vendors to manufacture clinical trial materials and raw materials for its development programs. These programs could be adversely affected by a significant interruption in these manufacturing services or the availability of raw materials.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to known amounts of cash with original maturities of three months or less at date of purchase to be cash equivalents. The Company had cash equivalents of $364.2 million and $664.9 million at December 31, 2025 and 2024, respectively.</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$0.5 million of restricted cash related to a collateralized letter of credit in connection with the Company’s lease for office and laboratory space in Cambridge, Massachusetts, which is included within prepaid expenses and other current assets, and other assets, respectively, in the Company’s consolidated balance sheet.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equity as a reduction of proceeds generated as a result of the offering. Should an in-process equity financing be abandoned, the deferred offering costs will be expensed immediately as a charge to operating expenses in the consolidated statements of operations and comprehensive loss.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the respective assets as follows: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ind w:right="215"/>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Lesser of lease term or useful life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195"/>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79"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Costs for property and equipment not yet placed into service are capitalized as construction-in-progress and depreciated in accordance with the above guidelines once placed into service. Upon retirement or sale, the cost of assets disposed of and the related accumulated depreciation are removed from the accounts and any resulting gain or loss is included in loss from operations. To date, there have been no significant asset retirements. Expenditures for repairs and maintenance are charged to expense as incurred.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may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material impairment losses on long-lived assets.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Certain of the Company’s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9" w:lineRule="exact"/>
        <w:rPr>
          <w:sz w:val="20"/>
          <w:szCs w:val="20"/>
          <w:color w:val="auto"/>
        </w:rPr>
      </w:pPr>
    </w:p>
    <w:p>
      <w:pPr>
        <w:ind w:left="1040" w:hanging="315"/>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1040" w:right="619" w:hanging="315"/>
        <w:spacing w:after="0" w:line="26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research and development incentives receivable, prepaid expenses and other current assets, accounts payable and accrued expenses and other current liabilities approximate their fair values due to the short-term nature of these assets and liabilities.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consist of certain third-party legal expenses and payments made to secure commitments under certain debt financing arrangements. These amounts are recorded as a reduction to the carrying value of the associated debt and are recognized as interest expense over the period of the financing arrangement.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business for which separate discrete financial information is available for evaluation by the chief operating decision maker in deciding how to allocate resources and assess performance. The Company operates and manages its business as a single operating segment, which is developing a unique class of chemically synthesized medicines based on its proprietary platform.</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operates in two geographic regions: the United Kingdom and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additional segment information, see Note 15, “Segments and geographic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Leases are accounted for in accordance with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or contains a lease at inception. Assets and liabilities related to operating leases are included in operating lease right of use (“ROU”) assets, accrued expenses and other current liabilities, and operating lease liabilities, net of current portion, in the Company’s consolidated balance sheets. Assets and liabilities related to finance leases are included in property and equipment, net, accrued expenses and other current liabilities, and other long-term liabilities in the consolidated balance sheet.</w:t>
      </w:r>
    </w:p>
    <w:p>
      <w:pPr>
        <w:spacing w:after="0" w:line="18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and control an underlying asset for the lease term and lease liabilities represent the Company’s obligation to make lease payments arising from the lease. ROU assets and liabilities are recognized on the lease commencement date based on the present value of lease payments over the lease term. The ROU asset also includes lease payments made before the lease commencement date and excludes any lease incentives. The Company identifies and assesses the following significant assumptions in recognizing the ROU assets and corresponding lease liabilities:</w:t>
      </w:r>
    </w:p>
    <w:p>
      <w:pPr>
        <w:spacing w:after="0" w:line="185" w:lineRule="exact"/>
        <w:rPr>
          <w:sz w:val="20"/>
          <w:szCs w:val="20"/>
          <w:color w:val="auto"/>
        </w:rPr>
      </w:pPr>
    </w:p>
    <w:p>
      <w:pPr>
        <w:ind w:left="720" w:right="139" w:hanging="319"/>
        <w:spacing w:after="0" w:line="261"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lease term </w:t>
      </w:r>
      <w:r>
        <w:rPr>
          <w:rFonts w:ascii="Times New Roman" w:cs="Times New Roman" w:eastAsia="Times New Roman" w:hAnsi="Times New Roman"/>
          <w:sz w:val="18"/>
          <w:szCs w:val="18"/>
          <w:color w:val="auto"/>
        </w:rPr>
        <w:t>– The expected lease term includes both contractual lease periods and, when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covered by an option to extend the lease when it is reasonably certain that the Company will exercise the extension option, or cancelable option periods when it is reasonably certain that the Company would not exercise such cancelation option.</w:t>
      </w:r>
    </w:p>
    <w:p>
      <w:pPr>
        <w:spacing w:after="0" w:line="179"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Incremental borrowing rate </w:t>
      </w:r>
      <w:r>
        <w:rPr>
          <w:rFonts w:ascii="Times New Roman" w:cs="Times New Roman" w:eastAsia="Times New Roman" w:hAnsi="Times New Roman"/>
          <w:sz w:val="18"/>
          <w:szCs w:val="18"/>
          <w:color w:val="auto"/>
        </w:rPr>
        <w:t>– As the Company’s leases do not provide an implicit rate, the Company uses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incremental borrowing rate based on the information available on the commencement date in determining the present value of lease payments. As the Company does not have any external borrowings for comparable terms of its leases, the Company estimates the incremental borrowing rate by comparing interest rates available in the market for similar borrowings and third-party quotations.</w:t>
      </w:r>
    </w:p>
    <w:p>
      <w:pPr>
        <w:spacing w:after="0" w:line="183"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and non-lease components </w:t>
      </w:r>
      <w:r>
        <w:rPr>
          <w:rFonts w:ascii="Times New Roman" w:cs="Times New Roman" w:eastAsia="Times New Roman" w:hAnsi="Times New Roman"/>
          <w:sz w:val="18"/>
          <w:szCs w:val="18"/>
          <w:color w:val="auto"/>
        </w:rPr>
        <w:t>– The Company’s operating leases for its facilities and finance leases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may have both lease components and non-lease components for which the Company has elected to apply the practical expedient to account for each lease component and related non-lease component as one single component. The lease component results in a ROU asset being recorded on the consolidated balance sheets.</w:t>
      </w:r>
    </w:p>
    <w:p>
      <w:pPr>
        <w:spacing w:after="0" w:line="185"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For operating leases, lease expense for lease payments is considered operating lease cost and is recognized on a straight-line basis over the lease term. Variable payments for other operating costs, which may be billed based on both usage and as a percentage of the Company’s share of total square footage, are considered variable lease cost and are recognized in the period in which the costs are incurred. For finance leases, amortization expense related to finance lease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ROU assets is recognized on a straight-line basis over the earlier of the useful life of the ROU asset or the lease term and interest expense is recognized based on the effective interest method using the Company’s incremental borrowing rate. Operating, variable and finance lease cost are recorded as a component of research and development expenses and general and administrative expenses in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Company’s revenues are generated primarily through collaborative arrangements and license agreements with pharmaceutical companies. The terms of these arrangements may include (i) performing research and development services using the Company’s bicyclic peptide screening platform with the goal of identifying and/or optimizing compounds for further development and commercialization, (ii) the transfer of intellectual property rights (licenses), or (iii) options to obtain additional research and development services or licenses for additional intellectual property, upon the payment of option fees.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terms of these arrangements typically include payment to the Company of one or more of the following: non-refundable, upfront license fees; payments for research and development services and reimbursement of certain expenses incurred;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81" w:lineRule="exact"/>
        <w:rPr>
          <w:sz w:val="20"/>
          <w:szCs w:val="20"/>
          <w:color w:val="auto"/>
        </w:rPr>
      </w:pPr>
    </w:p>
    <w:p>
      <w:pPr>
        <w:jc w:val="both"/>
        <w:ind w:left="60" w:right="239"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This standard applies to all contracts with customers, except for contracts that are within the scope of other standards, such as leases, insurance, and financial instruments.</w:t>
      </w:r>
    </w:p>
    <w:p>
      <w:pPr>
        <w:spacing w:after="0" w:line="175"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allocating the transaction price to each performance obligation based on estimated relative standalone selling prices, and measuring progress towards the satisfaction of each performance obligation.</w:t>
      </w:r>
    </w:p>
    <w:p>
      <w:pPr>
        <w:spacing w:after="0" w:line="19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 at contract inception.</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The promised goods or services in the Company’s contracts with customers primarily consist of license rights to the Company’s intellectual property, research and development services, options to acquire additional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collaboration partner to develop the intellectual property on their own and whether the required expertise is readily available. In addition, the Company considers whether the customer can benefit from a promise for its intended purpose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initial transaction price of a contract does not include amounts associated with customer option payments.</w:t>
      </w:r>
    </w:p>
    <w:p>
      <w:pPr>
        <w:spacing w:after="0" w:line="19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pacing w:after="0" w:line="188"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Company then recognizes as revenue the amount of the transaction price that is allocated to the respective performance obligation when (or as) each performance obligation is satisfied at a point in time or over time, and if over time, based on the use of an input method.</w:t>
      </w:r>
    </w:p>
    <w:p>
      <w:pPr>
        <w:spacing w:after="0" w:line="17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a license to the Company’s intellectual property is determined to be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other promises or performance obligations identified in the contract, the Company recognizes revenue from portion of the transaction price allocated to the license when the license is transferred to the customer and the customer is able to use and benefit from the license. For licenses that are combined with other promises, such as research and development services and a research license,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arrangement.</w:t>
      </w:r>
    </w:p>
    <w:p>
      <w:pPr>
        <w:spacing w:after="0" w:line="185"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promises under the Company’s collaboration agreements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services to be performed by the Company on behalf of the customer. Payments or reimbursements resulting from the Company’s research and development efforts are recognized as the services are performed and presented on a gross basis because the Company is the principal for such efforts.</w:t>
      </w:r>
    </w:p>
    <w:p>
      <w:pPr>
        <w:spacing w:after="0" w:line="180"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A customer’s right to choose, at its discretion, to make a payment for additional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is generally considered an option. If the Company is not presently obligated to provide, and does not have a right to consideration for delivering additional goods or services, the item is considered an option. The Company evaluates the customer options for material rights, such as the ability to acquire additional goods or services for free or at a discount. Optional future goods and services that reflect their standalone selling prices do not provide the customer with a material right and, therefore, are not considered performance obligations and are accounted for as separate contracts. If optional future goods and services include a material right, they are accounted for as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obligations. The Company determines an estimated standalone selling price of any material rights for the purpose of allocating the transaction price. The Company considers factors such as the identified discount and the probability that the customer will exercise the option. Amounts allocated to a material right are not recognized as revenue until, at the earliest, the option is exercised or expires.</w:t>
      </w:r>
    </w:p>
    <w:p>
      <w:pPr>
        <w:spacing w:after="0" w:line="17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The Company’s collaboration agreements may include development and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The Company evaluates whether the milestones are considered probable of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milestones and any related constraint, and if necessary, adjusts the estimate of the overall transaction price. Any such adjustments are recorded on a cumulative catch-up basis, which would affect collaboration revenue and net loss in the period of adjustment. Milestone payments that may only be achieved after the exercise of a customer option are excluded from the initial determination of the transaction price.</w:t>
      </w:r>
    </w:p>
    <w:p>
      <w:pPr>
        <w:spacing w:after="0" w:line="190"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sales-based royalties, including milestone payments based on the level of sales,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whether the sole or predominant item to which the royalties relate is a license. When the license is the sole or predominant item to which the sales-based royalty relates, the Company recognizes revenue at the later of: (i) when the related sales occur, or (ii) when the performance obligation to which some or all of the royalty has been allocated has been satisfied (or partially satisfied). To date, the Company has not recognized any sales-based royalty revenue resulting from the Company’s collaboration agreements.</w:t>
      </w:r>
    </w:p>
    <w:p>
      <w:pPr>
        <w:spacing w:after="0" w:line="184"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The Company receives payments from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 such as when the Company has a contractual right to payment per the terms of the contract.</w:t>
      </w:r>
    </w:p>
    <w:p>
      <w:pPr>
        <w:spacing w:after="0" w:line="16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 change in the scope or price (or both) of a contract is a contract modification if it is approved by the parties and creates new, or changes existing, enforceable rights and obligations of the parties to the contract. The Company accounts for a contract modification as (i) a separate contract if the modification adds distinct goods or services and the price of the contract increases by an amount that reflects the standalone selling price of those additional goods or services; (ii) a termination of the existing contract and creation of a new contract if the remaining goods or services are distinct from those transferred before the modification; (iii) a cumulative catch-up adjustment to the revenue recognized on the original contract if the remaining goods or services are not distinct from those transferred before the modification; or (iv) a combination of (ii) and (iii) if the remaining goods or services include both goods and services that are distinct from those transferred before the modification and goods and services that are not distinct.</w:t>
      </w:r>
    </w:p>
    <w:p>
      <w:pPr>
        <w:spacing w:after="0" w:line="188" w:lineRule="exact"/>
        <w:rPr>
          <w:sz w:val="20"/>
          <w:szCs w:val="20"/>
          <w:color w:val="auto"/>
        </w:rPr>
      </w:pPr>
    </w:p>
    <w:p>
      <w:pPr>
        <w:ind w:left="60" w:right="95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Company’s accounting for collaboration revenue, see Note 9, “Significant agreements.”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costs incurred in performing research and development activities, including salaries, share-based compensation and benefits, travel, facilities costs, depreciation, materials and laboratory supplies, and external costs of outside vendors engaged to conduct preclinical development and clinical development activities, as well as costs to manufacture clinical trial materials. Facilities costs primarily include the allocation of rent and utilities.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9" w:firstLine="648"/>
        <w:spacing w:after="0" w:line="266" w:lineRule="auto"/>
        <w:rPr>
          <w:sz w:val="20"/>
          <w:szCs w:val="20"/>
          <w:color w:val="auto"/>
        </w:rPr>
      </w:pPr>
      <w:r>
        <w:rPr>
          <w:rFonts w:ascii="Times New Roman" w:cs="Times New Roman" w:eastAsia="Times New Roman" w:hAnsi="Times New Roman"/>
          <w:sz w:val="18"/>
          <w:szCs w:val="18"/>
          <w:color w:val="auto"/>
        </w:rPr>
        <w:t>Non-refundable prepayments for goods or services that will be used or rendered for future research and development activities are deferred and capitalized until the related goods are delivered or the related services are performed, or until it is no longer expected that the goods will be delivered, or the services rendered.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external research and development expenses</w:t>
      </w:r>
    </w:p>
    <w:p>
      <w:pPr>
        <w:spacing w:after="0" w:line="229"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The Company has entered into various research and development and manufacturing contracts, including contracts with respect to preclinical studies and clinical trials, with companies both inside and outside of the United States. These agreements are generally cancelable with 90 days or less notice, and related costs are recorded as research and development expenses as incurred. The Company records accruals for estimated ongoing costs. When estimating accrued liabilities, the Company analyzes progress of the research and development and manufacturing activities, including the level of service performed and the associated cost incurred, invoices received and contracted costs. Significant judgments and estimates are made by management in estimating external research and development expenses incurred and associated accrued balances at the end of any reporting period. Actual results could differ from the Company’s estimates. The Company’s historical accrual estimates have not been materially different from the actual costs.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incentives and receivable</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through its subsidiaries in the U.K., receives reimbursements of certain research and development expenditures as part of a U.K. government research and development tax reliefs program. For 2023 and 2024, the Company benefitted from the Small and Medium-sized Enterprises (“SME”) R&amp;D Tax Relief program, under which the Company was able to surrender trading losses that arose from qualifying research and development expenses incurred by the Company’s subsidiaries in the U.K. for a cash rebate. The Finance Act 2024, which was enacted in February 2024, replaced the legacy research and development expenditure credit and the SME R&amp;D Tax Relief program with a merged research and development expenditure credit scheme (“RDEC”) and an enhanced research and development intensive support scheme (“ERIS”). The Finance Act 2024 also introduced certain restrictions, effective for accounting periods beginning on or after April 1, 2024, on the tax relief that can be claimed for expenditures incurred on subcontracted R&amp;D activities or externally provided workers, where such subcontracted activities are not carried out in the U.K. or such workers are not subject to UK payroll taxes. The Finance Act 2024 increased the cash rebate that may be claimed from</w:t>
      </w:r>
    </w:p>
    <w:p>
      <w:pPr>
        <w:spacing w:after="0" w:line="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18.6% to 26.97% of qualifying expenditure, retroactively applied to qualifying expenditures incurred after April 1, 2023, if the Company qualifies as “R&amp;D intensive” for an accounting period (broadly, a loss-making SME whose relevant R&amp;D expenditure represents, for accounting periods beginning on or after April 1, 2023, 40%, or, for accounting periods beginning on or after April 1, 2024, 30% of its total expenditure for that accounting period). For periods prior to April 1, 2023 the cash rebate was up to 33.35% of qualifying expenditures. The Company qualified as R&amp;D intensive for the years ended December 31, 2025, 2024 and 2023.</w:t>
      </w:r>
    </w:p>
    <w:p>
      <w:pPr>
        <w:spacing w:after="0" w:line="190"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a reduction to research and development expenses in the consolidated statements of operations and comprehensive loss, as the research and development tax credits are not dependent on the Company generating future taxable income, the Company’s ongoing tax status, or tax position. The research and development incentives receivable represent an amount due in connection with the above program. The Company recorded a reduction to research and development expense of $34.9 million, $43.1 million and $23.5 million for the years ended December 31, 2025, 2024 and 2023, respectively. As of December 31, 2025 and 2024, the Company had research and development incentives receivable of $35.6 million and $35.7 million, respectively.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preparing,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all equity awards granted to employees and directors based on the fair value on the date of grant. Compensation expense of those awards is recognized over the requisite service period, which is generally the vesting period of the respective award. The Company records the expense for awards with only service-based vesting conditions using the straight-line method. The Company accounts for forfeitures as they occur.</w:t>
      </w:r>
    </w:p>
    <w:p>
      <w:pPr>
        <w:spacing w:after="0" w:line="180"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For share-based awards granted to non-employee consultants, the measurement date is the date of grant. The compensation expense is then recognized over the requisite service period, which is the vesting period of the respective award, without subsequent changes in the fair value of the award.</w:t>
      </w:r>
    </w:p>
    <w:p>
      <w:pPr>
        <w:spacing w:after="0" w:line="17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each restricted share unit award is based on the fair value of the Company’s shares, less any applicable purchase price. The fair value of each share option is estimated using the Black-Scholes option-pricing model, which requires inputs based on certain subjective assumptions, including the fair value of shares, the expected share price volatility, the expected term of the award, the risk-free interest rate and expected dividends.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During 2025, the Company began to estimate its volatility based on the historical volatility of the price of its ordinary shares. Prior to 2025, the Company estimated its volatility by using a blend of its share price history for the length of time it had market data for its shares and the historical volatility of similar public companies for the expected term of each grant.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share-based awards. The Company uses the remaining contractual term for the expected life of non-employee awards. The expected dividend yield is assumed to be zero as the Company has never paid dividends and has no current plans to pay any dividends on ordinary shares.</w:t>
      </w:r>
    </w:p>
    <w:p>
      <w:pPr>
        <w:spacing w:after="0" w:line="188"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consolidated statements of operations and comprehensive loss in the same manner in which the award recipient’s payroll or service costs are classified.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shareholders’ equity that result from transactions and economic events other than those with shareholders. The Company records unrealized gains and losses related to foreign currency translation as a component of other comprehensive loss in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Liabilities for loss contingencies arising from claims, assessments, litigation, fines, penalties and other sources are recorded when it is probable that a liability has been incurred and the amount can be reasonably estimated. At each reporting date, the Company evaluates whether or not a potential loss amount or a potential loss range is probable and reasonably estimable under the provisions of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expenses costs as incurred in relation to such loss contingencies as general and administrative expense within the consolidated statements of operations and comprehensive 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(benefit from) income taxes. The Company assesses the likelihood that its deferred tax assets will be recovered from future taxable income and, to the extent it believes, based upon the weight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5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will more likely than not be realized upon ultimate settlement. The provision for income taxes includes the effects of any resulting tax reserves, or unrecognized tax benefits, that are considered appropriate as well as the related net interest and penalties.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ordinary shares, including non-voting ordinary shares, outstanding for the period. Diluted net loss is computed by adjusting net loss to reallocate undistributed earnings based on the potential impact of dilutive securities. Diluted net loss per share is computed by dividing the diluted net loss by the weighted average number of ordinary shares, including non-voting ordinary shares, outstanding for the period, including potential dilutive ordinary shares assuming the dilutive effect of ordinary share equivalents. In periods in which the Company reported a net loss, diluted net loss per share is the same as basic net loss per share, since dilutive ordinary shares are not assumed to have been issued if their effect is anti-dilutive.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No. 2023-09”), which prescribes standard categories for the components of the effective tax rate reconciliation and requires disclosure of additional information for reconciling items meeting certain quantitative thresholds, requires disclosure of disaggregated income taxes paid, and modifies certain other income tax-related disclosures. ASU No. 2023-09 is effective for annual periods beginning after December 15, 2024 and allows for adoption on a prospective basis, with a retrospective option. The Company adopted ASU No. 2023-09 for the year ended December 31, 2025 on a prospective basis and the required disclosures have been included in Note 10.</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w:t>
      </w:r>
      <w:r>
        <w:rPr>
          <w:rFonts w:ascii="Times New Roman" w:cs="Times New Roman" w:eastAsia="Times New Roman" w:hAnsi="Times New Roman"/>
          <w:sz w:val="18"/>
          <w:szCs w:val="18"/>
          <w:color w:val="auto"/>
        </w:rPr>
        <w:t>(“ASU No. 2024-03”), which requires more detailed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specified categories of expenses included in certain expense captions presented on the face of the consolidated statements of operations and comprehensive loss, including employee compensation, depreciation and amortization. ASU No.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the ASU or retrospectively to all prior periods presented. The Company is currently evaluating the impact of the adoption of ASU No. 2024-03 on its consolidated financial statement disclosures.</w:t>
      </w:r>
    </w:p>
    <w:p>
      <w:pPr>
        <w:spacing w:after="0" w:line="18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Targeted Improvements to the Accounting for Internal-Use Software </w:t>
      </w:r>
      <w:r>
        <w:rPr>
          <w:rFonts w:ascii="Times New Roman" w:cs="Times New Roman" w:eastAsia="Times New Roman" w:hAnsi="Times New Roman"/>
          <w:sz w:val="18"/>
          <w:szCs w:val="18"/>
          <w:color w:val="auto"/>
        </w:rPr>
        <w:t>(“ASU No.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amends certain aspects of the accounting for and disclosure of software costs under ASC Subtopic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standard is effective for fiscal years beginning after December 15, 2027 and interim periods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2027, with early adoption permitted. The amendments may be applied prospectively, retrospectively, or through a modified prospective transition method. The Company is currently evaluating the potential impact of the adoption of ASU No. 2025-06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Grants Received by Business Entities </w:t>
      </w:r>
      <w:r>
        <w:rPr>
          <w:rFonts w:ascii="Times New Roman" w:cs="Times New Roman" w:eastAsia="Times New Roman" w:hAnsi="Times New Roman"/>
          <w:sz w:val="18"/>
          <w:szCs w:val="18"/>
          <w:color w:val="auto"/>
        </w:rPr>
        <w:t>(“ASU No. 2025-10”), which establishes authoritative guidance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measurement, presentation, and disclosure of government grants. ASU No. 2025-10 is effective for fiscal years beginning after December 15, 2028, including interim periods within those fiscal years, with early adoption permitted. The Company is currently evaluating the impact of adopting ASU No. 2025-10 on its consolidated financial statements and related disclosures.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 had cash equivalents of $364.2 million and $664.9 million, respectively, consisting of money market funds, which are considered Level 1 assets. As of December 31, 2025 and 2024, there were no other assets or liabilities measured at fair value on a recurring basis.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62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$6.4 million, $7.2 million and $6.5 million for the years ended December 31, 2025, 2024 and 2023, respectively. Depreciation and amortization expense for the years ended December 31, 2025, 2024 and 2023 included amortization expense of $0.2 million, $0.1 million and zero, respectively, related to property and equipment obtained under finance leases.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5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In August 2025, the Company announced cost reduction initiatives to reduce planned operating costs, primarily through a workforce reduction. As of December 31, 2025, the workforce reduction is substantially completed and the Company recognized aggregate charges for severance and other employee termination benefits of $5.3 million during the year ended December 31, 2025, of which $4.2 million were included in research and development expenses and $1.1 million were included in general and administrative expenses in the Company’s consolidated statements of operations and comprehensive loss. Of the charges recognized during the year ended December 31, 2025, $5.0 million represented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cash expenditure for severance and other employee termination benefits paid during the period, and the remaining $0.3 million in unpaid benefits are included in accrued employee compensation and benefits within accrued expenses and other current liabilities in the Company’s consolidated balance sheet as of December 31, 2025.</w:t>
      </w:r>
    </w:p>
    <w:p>
      <w:pPr>
        <w:spacing w:after="0" w:line="1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August 2024, the Company consolidated all discovery research activities to the Company’s headquarters in Cambridge, U.K. As a result, during the year ended December 31, 2024, the Company recognized charges of $2.0 million in severance and other one-time termination benefits, which are included in research and development expenses in the Company’s consolidated statements of operations and comprehensive loss, of which $1.6 million were paid during the year ended December 31, 2024, and the Company had a remaining liability of $0.4 million related to unpaid severance and other one-time termination benefits included in accrued expenses and other current liabilities in the Company’s consolidated balance sheet as of December 31, 2024, all of which was paid during the year ended December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September 30, 2020, Bicycle Therapeutics plc and its subsidiaries (the “Borrowers”) entered into a loan and security agreement (the “Loan Agreement”) with Hercules, as amended from time to time, which provided for aggregate maximum borrowings of up to $75.0 million, of which the Company had drawn down an aggregate of $30.0 million in 2021 and 2020. Payments on borrowings under the Loan Agreement were interest-only until April 1, 2025 and interest was paid at an annual rate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plus 4.55%, with a minimum annual rate of at least 8.05%, capped at a rate no greater than 9.05%, and the Loan Agreement included a 5.0% end-of-term charge payable upon maturity or repayment. The scheduled maturity date was July 1, 2025. On July 9, 2024, the Company repaid all amounts outstanding, including the outstanding borrowings of $30.0 million, accrued and unpaid interest of $0.1 million, an end-of-term charge of $1.5 million and a prepayment charge of $0.3 million, for a total aggregate payment of $31.9 million, and terminated the Loan Agreement. The Company recognized a loss on extinguishment of debt of $1.0 million during the year ended December 31, 2024 in connection with the repayment and termination of the Loan Agreement. Interest expense associated with the Loan Agreement for the years ended December 31, 2025, 2024 and 2023 was zero, $1.6 million and $3.1 million, respectively. Upon termination of the Loan Agreement, all security interests granted to the secured parties thereunder were terminated and released.</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Ordinary shares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ordinary shares are divided into two classes: (i) ordinary shares and (ii) non-voting ordinary shares. Each holder of ordinary shares is entitled to one vote per ordinary share and to receive dividends when and if such dividends are recommended by the board of directors and declared by the shareholders. Holders of American Depositary Shares (“ADSs”) are not treated as holders of the Company’s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the Company’s ordinary shares, other than the rights that they have pursuant to the deposit agreement with the depositary.</w:t>
      </w:r>
    </w:p>
    <w:p>
      <w:pPr>
        <w:spacing w:after="0" w:line="18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non-voting ordinary shares have the same rights and restrictions as the ordinary shares and otherwise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all respects with the ordinary shares except for the following:</w:t>
      </w:r>
    </w:p>
    <w:p>
      <w:pPr>
        <w:spacing w:after="0" w:line="162" w:lineRule="exact"/>
        <w:rPr>
          <w:sz w:val="20"/>
          <w:szCs w:val="20"/>
          <w:color w:val="auto"/>
        </w:rPr>
      </w:pPr>
    </w:p>
    <w:p>
      <w:pPr>
        <w:jc w:val="both"/>
        <w:ind w:left="1040" w:right="119" w:hanging="315"/>
        <w:spacing w:after="0" w:line="26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non-voting ordinary shares shall, in relation to the non-voting ordinary shares held, have no right to receive notice of, or to attend or vote at, any general meeting of shareholders save in relation to a variation of class rights of the non-voting ordinary shares;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5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shall be re-designated as ordinary shares by the Company’s board of directors, or a duly authorized committee or representative thereof, upon receipt of a re-designation notice and otherwise subject to the terms and conditions set out in the terms of issue. A holder of non-voting ordinary shares shall not be entitled to have any non-voting ordinary shares re-designated as ordinary shares where such re-designation would result in such holder thereof beneficially owning (for purposes of section 13(d) of the Exchange Act), when aggregated with “affiliates” and “group” members with whom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40" w:right="159"/>
        <w:spacing w:after="0" w:line="261" w:lineRule="auto"/>
        <w:rPr>
          <w:sz w:val="20"/>
          <w:szCs w:val="20"/>
          <w:color w:val="auto"/>
        </w:rPr>
      </w:pPr>
      <w:r>
        <w:rPr>
          <w:rFonts w:ascii="Times New Roman" w:cs="Times New Roman" w:eastAsia="Times New Roman" w:hAnsi="Times New Roman"/>
          <w:sz w:val="18"/>
          <w:szCs w:val="18"/>
          <w:color w:val="auto"/>
        </w:rPr>
        <w:t>such holder is required to aggregate beneficial ownership for the purposes of section 13(d) of the Exchange Act, in excess of 9.99% of any class of the Company’s securities registered under the Exchange Act (which percentage may be increased or decreased on a holder-by-holder basis subject to the provisions set out in the terms of issue); and</w:t>
      </w:r>
    </w:p>
    <w:p>
      <w:pPr>
        <w:spacing w:after="0" w:line="180" w:lineRule="exact"/>
        <w:rPr>
          <w:sz w:val="20"/>
          <w:szCs w:val="20"/>
          <w:color w:val="auto"/>
        </w:rPr>
      </w:pPr>
    </w:p>
    <w:p>
      <w:pPr>
        <w:ind w:left="1040" w:right="99" w:hanging="315"/>
        <w:spacing w:after="0" w:line="258"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shall be re-designated as ordinary shares automatically upon transfer of a non-voting ordinary share by its holder to any person that is not an “affiliate” or “group” member with whom such holder is required to aggregate beneficial ownership for purposes of section 13(d) of the Exchange Act. This automatic re-designation shall only be in respect of the non-voting ordinary shares that are subject to such transfer.</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and 2024, the Company had not declared any dividends.</w:t>
      </w:r>
    </w:p>
    <w:p>
      <w:pPr>
        <w:spacing w:after="0" w:line="22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and 2024, the Company’s authorized capital share consisted of 159,685,229 and 155,876,645 ordinary shares, respectively, including ordinary shares and non-voting ordinary shares, with a nominal value of £0.01 per share. Authorized share capital, or shares authorized, comprises (i) the currently issued and outstanding ordinary shares and non-voting ordinary shares, (ii) the remaining ordinary shares available for allotment under the existing authority granted to the Board at the annual general meeting held on May 16, 2024, (iii) ordinary shares issuable on the exercise of outstanding options and settlement of vested restricted share units (“RSUs”), and (iv) ordinary shares reserved for issuance under the Bicycle Therapeutics plc 2024 Inducement Plan (the “2024 Inducement Plan”), the Bicycle Therapeutics plc 2020 Equity Incentive Plan (as amended from time to time, the “2020 Plan”), and/or the Bicycle Therapeutics plc 2019 Employee Share Purchase Plan (the “ESPP”).</w:t>
      </w:r>
    </w:p>
    <w:p>
      <w:pPr>
        <w:spacing w:after="0" w:line="18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49,929,952 ordinary shares issued and outstanding and 19,437,944 non-voting ordinary shares issued and outstanding.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incentive pool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2024 Inducement Plan</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2024, the Company’s board of directors approved the 2024 Inducement Plan. The 2024 Inducement Plan allows for the granting of nonqualified share options, RSUs, and other equity awards under the plan to persons not previously an employee or director of the Company, or following a bona fide period of non-employment, as an inducement material to such persons entering into employment with the Company. Share options granted under the 2024 Inducement Plan have a 10-year contractual life and generally vest over a four-year service period with 25% of the award vesting on the first anniversary of the vesting commencement date and the balance thereafter in 36 equal monthly installments. In the event of a Change in Control of the Company, as defined in the 2024 Inducement Plan, any outstanding awards under the 2024 Inducement Plan will vest in full immediately prior to such change of control.</w:t>
      </w:r>
    </w:p>
    <w:p>
      <w:pPr>
        <w:spacing w:after="0" w:line="192" w:lineRule="exact"/>
        <w:rPr>
          <w:sz w:val="20"/>
          <w:szCs w:val="20"/>
          <w:color w:val="auto"/>
        </w:rPr>
      </w:pPr>
    </w:p>
    <w:p>
      <w:pPr>
        <w:ind w:left="60" w:right="359" w:firstLine="693"/>
        <w:spacing w:after="0" w:line="266" w:lineRule="auto"/>
        <w:rPr>
          <w:sz w:val="20"/>
          <w:szCs w:val="20"/>
          <w:color w:val="auto"/>
        </w:rPr>
      </w:pPr>
      <w:r>
        <w:rPr>
          <w:rFonts w:ascii="Times New Roman" w:cs="Times New Roman" w:eastAsia="Times New Roman" w:hAnsi="Times New Roman"/>
          <w:sz w:val="18"/>
          <w:szCs w:val="18"/>
          <w:color w:val="auto"/>
        </w:rPr>
        <w:t>The Company initially reserved 1,500,000 of its ordinary shares, or the equivalent number of ADSs, for the issuance of awards under the 2024 Inducement Plan. As of December 31, 2025, there were 925,581 shares available for future issuance under the 2024 Inducement Plan.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there were options to purchase 574,419 shares outstanding under the 2024 Inducement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7"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In June 2020, the Company’s shareholders first approved the 2020 Plan, under which the Company may grant market value options, market value stock appreciation rights or restricted shares, RSUs, performance RSUs and other share-based awards to the Company’s employees. The Company’s non-employee directors and consultants are eligible to receive awards under the 2020 Non-Employee Sub-Plan to the 2020 Plan. All awards under the 2020 Plan, including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2020 Non-Employee Sub-Plan, will be set forth in award agreements, which will detail the terms and conditions of awards, including any applicable vesting and payment terms, change of control provisions and post-termination exercise limitations. In the event of a change of control of the Company, as defined in the 2020 Plan, any outstanding awards under the 2020 Plan will vest in full immediately prior to such change of control.</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ordinary shares reserved for future issuance under the 2020 Plan includes shares subject to options that were granted under the Company’s 2019 Share Option Plan (the “2019 Plan”) and that were granted pursuant to option contracts granted prior to the Company’s IPO, in each case that expire, terminate, are forfeited or otherwise not issued from time to time, if any. Prior to June 2025, the number of ordinary shares reserved for issuance pursuant to the 2020 Plan automatically increased on the first day of January of each year, initially commencing on January 1, 2021 and continuing up to and including January 1, 2032, in an amount equal to 5% of the total number of the Company’s voting ordinary shares outstanding on the last day of the preceding year, or a lesser number of shares determined by the Company’s board of directors (the “Evergreen Increase”). In June 2025, the Company’s shareholders approved Amendment No. 1 to the 2020 Plan which (i) amended the calculation of the Evergreen Increase to capture the Company’s total issued share capital in order to treat non-voting ordinary shares the same as voting ordinary shares, and (ii) increased the number of ordinary shares reserved for future issuance by 1,300,000. As of December 31, 2025, there were 2,178,641 shares available for issuance under the 2020 Plan. The number of shares reserved for issuance under the 2020 Plan was increased by 3,468,394 shares effective January 1, 2026.</w:t>
      </w:r>
    </w:p>
    <w:p>
      <w:pPr>
        <w:spacing w:after="0" w:line="18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Share options granted under the 2020 Plan have a 10-year contractual life, and generally vest over either a three-year service period in three equal annual installments for new non-employee director grants, or a four-year service period with 25% of the award vesting on the first anniversary of the vesting commencement date and the balance thereafter in 36 equal monthly installments for employees and consultants. Certain options granted to the Company’s non-employee directors vest over a one-year service period in four equal quarterly installments.</w:t>
      </w:r>
    </w:p>
    <w:p>
      <w:pPr>
        <w:spacing w:after="0" w:line="183"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color w:val="auto"/>
        </w:rPr>
        <w:t>The Company grants RSUs to non-employee directors, consultants and certain employees under the 2020 Plan. Each RSU represents the right to receive one of the Company’s ordinary shares upon vesting. RSUs granted to employees and consultants vest over a four-year service period with 25% of the award vesting on the first anniversary of the vesting commencement date and the remaining RSUs vesting in 12 equal quarterly installments. Certain RSUs granted to the Company’s non-employee directors either vest over a three-year service period in three equal annual installments for new non-employee director grants or over a one-year service period in four equal quarterly installments. The Company may also, in its sole discretion, provide for deferred settlement of RSUs granted to the Company’s non-employee directors.</w:t>
      </w:r>
    </w:p>
    <w:p>
      <w:pPr>
        <w:spacing w:after="0" w:line="171"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options to purchase 7,024,208 shares and RSUs for 1,644,421 shares outstanding under the 2020 Plan.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Share Option Plan</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May 2019, the Company adopted the 2019 Plan, which became effective in conjunction with the IPO. As of December 31, 2025, there were 1,699,408 options to purchase ordinary shares outstanding under the 2019 Plan. In conjunction with the adoption of the 2020 Plan, all shares available for future issuance under the 2019 Plan as of June 29, 2020 became available for issuance under the 2020 Plan and the Company ceased making awards under the 2019 Plan. The 2020 Plan is the successor of the 2019 Plan.</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Share options previously issued under the 2019 Plan have a 10-year contractual life, and generally either</w:t>
      </w:r>
    </w:p>
    <w:p>
      <w:pPr>
        <w:spacing w:after="0" w:line="27"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vest monthly over a three-year service period, or over a four-year service period with 25% of the award vesting on the first anniversary of the commencement date and the balance thereafter in 36 equal monthly installments. Certain awards granted to the Company’s non-employee directors were fully vested on the date of grant. The exercise price of share options issued under the 2019 Plan is not less than the fair value of ordinary shares as of the date of grant.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Employee Share Purchase Plan (“ESPP”)</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May 2019, the Company adopted the ESPP, which became effective in conjunction with the IPO. The Company initially reserved 215,000 ordinary shares for future issuance under this plan. The ESPP provides that the number of shares reserved and available for issuance will automatically increase each January 1, beginning on January 1, 2020 and each January 1 thereafter through January 1, 2029, by the lower of (i) 1% of the outstanding number of ordinary shares on the immediately preceding December 31; (ii) 430,000 ordinary shares or (iii) such lesser number of shares as determined by the Compensation Committee. The number of shares reserved under the ESPP is subject to adjustment in the event of a split-up, share dividend or other change in the Company’s capitalization. As of December 31, 2025, the total number of shares available for issuance under the ESPP was 2,007,671 shares. The number of shares reserved for issuance under the ESPP was increased by 430,000 shares effective January 1, 2026. As of December 31, 2025, there have been no offering periods to employees under ESPP.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expense in the following expense categories of its consolidated statements of operations and comprehensive loss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option activity since December 31,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Term</w:t>
            </w:r>
          </w:p>
        </w:tc>
        <w:tc>
          <w:tcPr>
            <w:tcW w:w="260" w:type="dxa"/>
            <w:vAlign w:val="bottom"/>
            <w:gridSpan w:val="2"/>
            <w:vMerge w:val="continue"/>
          </w:tcPr>
          <w:p>
            <w:pPr>
              <w:spacing w:after="0"/>
              <w:rPr>
                <w:sz w:val="15"/>
                <w:szCs w:val="15"/>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8,748,726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1,916,838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(852,342)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9,803,106</w:t>
            </w:r>
          </w:p>
        </w:tc>
        <w:tc>
          <w:tcPr>
            <w:tcW w:w="2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9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10"/>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9,803,106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6,640,966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share options granted during the years ended December 31, 2025, 2024 and 2023 was $8.47 per share, $13.52 per share and $19.36 per share, respectively.</w:t>
      </w:r>
    </w:p>
    <w:p>
      <w:pPr>
        <w:spacing w:after="0" w:line="162"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aggregate intrinsic value of share options is calculated as the difference between the exercise price of the share options and the fair value of the Company’s ordinary shares. The aggregate intrinsic value of share options exercised during the years ended December 31, 2025, 2024 and 2023 was $0.1 million, $5.1 million and $0.5 million, respectively.</w:t>
      </w:r>
    </w:p>
    <w:p>
      <w:pPr>
        <w:spacing w:after="0" w:line="158"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share-based compensation expense for share options granted of $28.2 million, $30.2 million and $27.0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fair value of share options granted to employees and directors: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vMerge w:val="restart"/>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76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0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the share options was $29.3 million, which is expected to be recognized over a weighted average period of 2.2 years.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under the 2020 Plan since December 31,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22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Underlying RSUs</w:t>
            </w:r>
          </w:p>
        </w:tc>
        <w:tc>
          <w:tcPr>
            <w:tcW w:w="140" w:type="dxa"/>
            <w:vAlign w:val="bottom"/>
          </w:tcPr>
          <w:p>
            <w:pPr>
              <w:spacing w:after="0"/>
              <w:rPr>
                <w:sz w:val="15"/>
                <w:szCs w:val="15"/>
                <w:color w:val="auto"/>
              </w:rPr>
            </w:pPr>
          </w:p>
        </w:tc>
        <w:tc>
          <w:tcPr>
            <w:tcW w:w="16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9"/>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(296,362)</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16"/>
        </w:trPr>
        <w:tc>
          <w:tcPr>
            <w:tcW w:w="51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Vested and deferred</w:t>
            </w:r>
            <w:r>
              <w:rPr>
                <w:rFonts w:ascii="Times New Roman" w:cs="Times New Roman" w:eastAsia="Times New Roman" w:hAnsi="Times New Roman"/>
                <w:sz w:val="25"/>
                <w:szCs w:val="25"/>
                <w:color w:val="auto"/>
                <w:vertAlign w:val="superscript"/>
              </w:rPr>
              <w:t>(1)</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(55,293)</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(228,406)</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10"/>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Unvested outstanding at December 31, 2025</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1,547,128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0"/>
        </w:trPr>
        <w:tc>
          <w:tcPr>
            <w:tcW w:w="51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Vested but subject to deferred settlement at December 31, 2024</w:t>
            </w:r>
            <w:r>
              <w:rPr>
                <w:rFonts w:ascii="Times New Roman" w:cs="Times New Roman" w:eastAsia="Times New Roman" w:hAnsi="Times New Roman"/>
                <w:sz w:val="24"/>
                <w:szCs w:val="24"/>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16"/>
        </w:trPr>
        <w:tc>
          <w:tcPr>
            <w:tcW w:w="516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Vested and deferred</w:t>
            </w:r>
            <w:r>
              <w:rPr>
                <w:rFonts w:ascii="Times New Roman" w:cs="Times New Roman" w:eastAsia="Times New Roman" w:hAnsi="Times New Roman"/>
                <w:sz w:val="25"/>
                <w:szCs w:val="25"/>
                <w:color w:val="auto"/>
                <w:vertAlign w:val="superscript"/>
              </w:rPr>
              <w:t>(1)</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0"/>
        </w:trPr>
        <w:tc>
          <w:tcPr>
            <w:tcW w:w="516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Vested but subject to deferred settlement at December 31, 2025</w:t>
            </w:r>
            <w:r>
              <w:rPr>
                <w:rFonts w:ascii="Times New Roman" w:cs="Times New Roman" w:eastAsia="Times New Roman" w:hAnsi="Times New Roman"/>
                <w:sz w:val="24"/>
                <w:szCs w:val="24"/>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0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1,644,421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0"/>
        </w:trPr>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81" w:lineRule="exact"/>
        <w:rPr>
          <w:sz w:val="20"/>
          <w:szCs w:val="20"/>
          <w:color w:val="auto"/>
        </w:rPr>
      </w:pPr>
    </w:p>
    <w:p>
      <w:pPr>
        <w:ind w:left="380" w:right="139" w:hanging="330"/>
        <w:spacing w:after="0" w:line="281" w:lineRule="auto"/>
        <w:tabs>
          <w:tab w:leader="none" w:pos="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granted certain RSUs to the Company’s non-employee directors which provided for deferred settlement of the RSUs to a specified date following the first to occur of (i) the date of the director’s separation from service, (ii) the date of the director’s disability, (iii) the date of the director’s death or (iv) the date of a change in control event.</w:t>
      </w:r>
    </w:p>
    <w:p>
      <w:pPr>
        <w:spacing w:after="0" w:line="173"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RSUs that vested during the years ended December 31, 2025, 2024 and 2023 was $3.7 million, $3.8 million and $3.0 million, respectively.</w:t>
      </w:r>
    </w:p>
    <w:p>
      <w:pPr>
        <w:spacing w:after="0" w:line="162"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Total share-based compensation expense for RSUs granted for the years ended December 31, 2025, 2024 and 2023 was $11.3 million, $7.9 million and $5.5 million, respectively. As of December 31, 2025, the total unrecognized compensation expense related to RSUs was $16.8 million, which is expected to be recognized over a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Significant agreements</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recognized from the Company’s collaboration arrangements in the consolidated statements of operations and comprehensive loss (in thousands):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74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Bayer</w:t>
            </w: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5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Ionis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Genentech</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Bayer Collaboration Agreement</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May 4, 2023, the Company and Bayer entered into a collaboration and license agreement (the “Bayer Collaboration Agreement”), pursuant to which the parties will perform research and discovery activities under a mutually agreed upon research plan during a research term up to a specified number of years per target program to generate radiopharmaceutical compounds incorporating optimized Bicycle constructs directed to two specified targets. Bayer also has a one-time right to expand the collaboration to include a third target program, and with respect to each of the up to three target programs, Bayer has an option, exercisable within a specified period of time following the effective date of the Bayer Collaboration Agreement, to generate, develop and commercialize non-radiopharmaceutical compounds directed to the applicable target, either itself or in collaboration with the Company. Bayer also has certain limited target substitution rights, in certain cases subject to specified additional payments.</w:t>
      </w:r>
    </w:p>
    <w:p>
      <w:pPr>
        <w:spacing w:after="0" w:line="18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For each collaboration program, Bayer may elect, at its sole discretion, to progress compounds arising from research activities into further preclinical development of potential products directed to the target of such collaboration program. On a target-by-target basis, if Bayer elects to progress development candidates directed to such target into further clinical development, Bayer will be responsible for all future development, manufacturing, and commercialization activities and be required to use commercially reasonable efforts to develop and seek regulatory approval in certain major markets for products directed to the applicable target.</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Bayer paid an upfront payment to the Company of $45.0 million in July 2023. All other payments under the Bayer Collaboration Agreement will be made in British Pound Sterling. If Bayer elects to expand the collaboration to include an additional target program, it will be required to make a one-time payment to the Company in the high single-digit millions. In addition, on a target-by-target basis, if Bayer elects to exercise its option to expand its rights with respect to such target to develop and commercialize non-radiopharmaceutical compounds directed to such target, Bayer will be required to pay to the Company either a one-time option fee payment or quarterly payments of specified installment amounts for a specified maximum time period during which the Company is performing research activities, with the aggregate amounts receivable by the Company ranging from the high single-digit millions in the case of the one-time option fee payment, to the low single-digit millions in the case of the quarterly installments, in each case where the Company is performing specified research activities following the exercise of the option. Additionally, for each collaboration program, Bayer will reimburse the Company for certain expenses incurred in connection with specified research and discovery activities performed by a contract research organization (“CRO”).</w:t>
      </w:r>
    </w:p>
    <w:p>
      <w:pPr>
        <w:spacing w:after="0" w:line="19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a target-by-target basis for the up to three targets, if Bayer elects to progress one or more candidate compounds into further development, Bayer will be required to pay a candidate selection fee for the first such compound progressed by Bayer directed to such target that incorporates a radionuclide, and for the first such compound directed to such target that does not incorporate a radionuclide (and for which Bayer has not paid the one-time option fee payment for non-radiopharmaceutical compounds), ranging from high single-digit millions to the mid single-digit millions. On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target-by-target basis, if Bayer successfully conducts clinical development and achieves regulatory approval for compounds arising from the collaboration directed to such target in two indications, Bayer will be required to pay to the Company development and regulatory/first commercial sale milestones of up to £178.3 million for the first product directed to the applicable target to achieve such milestones, or £534.9 million across all three potential target programs. In addition, if Bayer successfully commercializes products arising from the collaboration, Bayer will be required to pay to the Company, on a product-by-product basis, tiered royalties on net sales of products by Bayer, its affiliates or sublicensees at percentages ranging from the mid-single digits to the very low double digits, subject to standard reductions and offsets in certain circumstances, and a royalty floor. If Bayer commercializes diagnostic products directed to a target, royalties will be payable on such diagnostic products at a specified reduced percentage of the rates for therapeutic products. Royalties will be payable under the Bayer Collaboration Agreement on a product-by-product and country-by-country basis, commencing on the first commercial sale of each product, until the latest of (a) the expiration of the last valid claim of certain patents licensed by the Company to Bayer, (b) a specified number of years following first commercial sale of such product, and (c) expiration of all data and regulatory exclusivity for such product in the applicable country. On a target-by-target basis, Bayer will also owe the Company tiered sales milestones based on the achievement of specified levels of net sales of therapeutic products directed to such target totaling up to £194.5 million in the aggregate per target, or £583.5 million across all three potential target programs, and on diagnostic products directed to such target at a low double digit percentage of the therapeutic product milestones.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closing of the Bayer Collaboration Agreement was subject to the clearance of the transaction under the U.K.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National Security and Investment Act 2021, which occurred on June 22, 2023.</w:t>
      </w:r>
    </w:p>
    <w:p>
      <w:pPr>
        <w:spacing w:after="0" w:line="20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at inception of the arrangement: (i) two combined performance obligations each comprised of a license and related research and development services during the research term associated with radiopharmaceutical compounds for each of the initial targets; (ii) a material right associated with certain limited substitution rights with respect to either of the initial targets; (iii) two material rights associated with the option to progress radiopharmaceutical candidates directed to each of the initial targets into further development; (iv) two material rights associated with the options to generate, develop, and commercialize non-radiopharmaceutical compounds for each of the initial targets, for which each option includes an underlying option for research and development services and an option to progress non-radiopharmaceutical candidates directed to the first and second targets into further development; and (v) a material right related to the option to expand the collaboration to include a third target, which upon exercise includes research and development services during the research term associated with radiopharmaceutical compounds directed to the third target, as well as underlying options for certain limited substitution rights; an option to progress a radiopharmaceutical candidate directed to the third target into further development; and an option to generate, develop, and commercialize non-radiopharmaceutical compounds directed to the third target, inclusive of an underlying option for research and development services and an option to progress a non-radiopharmaceutical candidate into further development.</w:t>
      </w:r>
    </w:p>
    <w:p>
      <w:pPr>
        <w:spacing w:after="0" w:line="19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concluded that the licenses granted at contract inception are not distinct from the research and development services as Bayer cannot obtain the benefit of the licenses without the Company performing the research and development services. The services incorporate proprietary technology and unique skills and specialized expertise, particularly as they relate to constrained peptide technology that is not available in the marketplace. As a result, for each target, the license has been combined with the research and development services into a single performance obligation. In assessing whether the various options under the arrangement represent material rights, the Company considered the additional consideration the Company would be entitled to upon option exercise and the standalone selling price of the underlying goods and services. For the material rights identified above, the Company concluded that each of the options provided Bayer with a discount that it otherwise would not have received. The Company exercised judgment in concluding that certain development and commercialization rights associated with progressing product candidates into further development and commercialization represent options that are material rights, as Bayer cannot benefit from the development and commercialization rights until Bayer, in its sole discretion, elects to progress candidates into further development and pays the associated candidate selection fees.</w:t>
      </w:r>
    </w:p>
    <w:p>
      <w:pPr>
        <w:spacing w:after="0" w:line="187"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transaction price was initially determined to be $47.5 million, consisting of the $45.0 million upfront fee and an estimated $2.5 million for the reimbursement of certain external CRO costs. Additional payments to the Company upon Bayer’s exercise of options are excluded from the transaction price as they relate to option fees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spacing w:after="0" w:line="272" w:lineRule="auto"/>
        <w:rPr>
          <w:sz w:val="20"/>
          <w:szCs w:val="20"/>
          <w:color w:val="auto"/>
        </w:rPr>
      </w:pPr>
      <w:r>
        <w:rPr>
          <w:rFonts w:ascii="Times New Roman" w:cs="Times New Roman" w:eastAsia="Times New Roman" w:hAnsi="Times New Roman"/>
          <w:sz w:val="17"/>
          <w:szCs w:val="17"/>
          <w:color w:val="auto"/>
        </w:rPr>
        <w:t>milestones that can only be achieved subsequent to the exercise of an option. The estimated $2.5 million in variable consideration was first allocated entirely to the first and second target combined performance obligations and the remaining transaction price was allocated to the performance obligations based on the relative estimated standalone selling prices of each performance obligation. The estimated standalone selling prices for the combined performance obligations for the initial targets were based on the nature of the services to be performed and estimates of the associated effort and costs of the services, adjusted for a reasonable profit margin. The estimated standalone selling prices for the material rights were determined based on the fees that Bayer would pay to exercise the options, the estimated value of the underlying goods and services, and the probability that Bayer would exercise the options, inclusive of the probability of technical success.</w:t>
      </w:r>
    </w:p>
    <w:p>
      <w:pPr>
        <w:spacing w:after="0" w:line="17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related to amounts allocated to the initial target combined performance obligations as the underlying services are performed using a proportional performance model over the period of service using input-based measurements of full-time equivalent efforts and external costs incurred to date as a percentage of total estimated full-time equivalent efforts and external costs, which best reflects the progress towards satisfaction of the performance obligations. The amounts allocated to the material rights are recorded as deferred revenue and the Company will commence revenue recognition upon exercise of or upon expiry of the respective option.</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2025, Bayer provided the Company with a notice of termination of one of the initial target programs, effective in January 2026. The Company accounted for the notice of termination as a contract modification in the fourth quarter of 2025 as the notice of termination reduced the scope of the arrangement. As a result, the Company allocated the remaining unrecognized transaction price as of the modification date to the remaining unsatisfied and partially satisfied performance obligations and updated the measure of progress as of the modification date, resulting in the recognition of revenue of $5.5 million. The following table summarizes the allocation of the remaining unrecognized transaction price to the remaining unsatisfied and partially satisfied performance obligations as of the modification date (in thousands):</w:t>
      </w:r>
    </w:p>
    <w:p>
      <w:pPr>
        <w:sectPr>
          <w:pgSz w:w="11900" w:h="16838" w:orient="portrait"/>
          <w:cols w:equalWidth="0" w:num="1">
            <w:col w:w="9019"/>
          </w:cols>
          <w:pgMar w:left="1440" w:top="513" w:right="1440" w:bottom="1440" w:gutter="0" w:footer="0" w:header="0"/>
        </w:sectPr>
      </w:pP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2825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5648960" cy="282575"/>
                    </a:xfrm>
                    <a:prstGeom prst="rect">
                      <a:avLst/>
                    </a:prstGeom>
                    <a:noFill/>
                  </pic:spPr>
                </pic:pic>
              </a:graphicData>
            </a:graphic>
          </wp:anchor>
        </w:drawing>
      </w:r>
    </w:p>
    <w:p>
      <w:pPr>
        <w:spacing w:after="0" w:line="7" w:lineRule="exact"/>
        <w:rPr>
          <w:sz w:val="20"/>
          <w:szCs w:val="20"/>
          <w:color w:val="auto"/>
        </w:rPr>
      </w:pPr>
    </w:p>
    <w:p>
      <w:pPr>
        <w:ind w:left="60" w:right="220"/>
        <w:spacing w:after="0" w:line="249" w:lineRule="auto"/>
        <w:rPr>
          <w:sz w:val="20"/>
          <w:szCs w:val="20"/>
          <w:color w:val="auto"/>
        </w:rPr>
      </w:pPr>
      <w:r>
        <w:rPr>
          <w:rFonts w:ascii="Times New Roman" w:cs="Times New Roman" w:eastAsia="Times New Roman" w:hAnsi="Times New Roman"/>
          <w:sz w:val="18"/>
          <w:szCs w:val="18"/>
          <w:color w:val="auto"/>
        </w:rPr>
        <w:t>Combined performance obligation related to the licenses and research and development services associated with radiopharmaceutical compounds directed to the remaining initial target Material right associated with limited substitution rights for the remaining initial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27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spacing w:after="0" w:line="250" w:lineRule="auto"/>
        <w:rPr>
          <w:sz w:val="20"/>
          <w:szCs w:val="20"/>
          <w:color w:val="auto"/>
        </w:rPr>
      </w:pPr>
      <w:r>
        <w:rPr>
          <w:rFonts w:ascii="Times New Roman" w:cs="Times New Roman" w:eastAsia="Times New Roman" w:hAnsi="Times New Roman"/>
          <w:sz w:val="18"/>
          <w:szCs w:val="18"/>
          <w:color w:val="auto"/>
        </w:rPr>
        <w:t>Material right associated with the option to progress radiopharmaceutical candidates directed to the remaining initial target into further development</w:t>
      </w:r>
    </w:p>
    <w:p>
      <w:pPr>
        <w:spacing w:after="0" w:line="1"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8"/>
          <w:szCs w:val="18"/>
          <w:color w:val="auto"/>
        </w:rPr>
        <w:t>Material right associated with the option to progress a non-radiopharmaceutical compound directed to the remaining initial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74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right="360"/>
        <w:spacing w:after="0" w:line="260" w:lineRule="auto"/>
        <w:rPr>
          <w:sz w:val="20"/>
          <w:szCs w:val="20"/>
          <w:color w:val="auto"/>
        </w:rPr>
      </w:pPr>
      <w:r>
        <w:rPr>
          <w:rFonts w:ascii="Times New Roman" w:cs="Times New Roman" w:eastAsia="Times New Roman" w:hAnsi="Times New Roman"/>
          <w:sz w:val="18"/>
          <w:szCs w:val="18"/>
          <w:color w:val="auto"/>
        </w:rPr>
        <w:t>Material right for the option to expand the collaboration to include an additional target and the underlying additional option rights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Allocation</w:t>
      </w:r>
    </w:p>
    <w:p>
      <w:pPr>
        <w:spacing w:after="0" w:line="223" w:lineRule="exact"/>
        <w:rPr>
          <w:sz w:val="20"/>
          <w:szCs w:val="20"/>
          <w:color w:val="auto"/>
        </w:rPr>
      </w:pPr>
    </w:p>
    <w:p>
      <w:pPr>
        <w:ind w:left="920" w:hanging="918"/>
        <w:spacing w:after="0"/>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10,125</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2,206</w:t>
      </w:r>
    </w:p>
    <w:p>
      <w:pPr>
        <w:spacing w:after="0" w:line="218"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10,614</w:t>
      </w:r>
    </w:p>
    <w:p>
      <w:pPr>
        <w:spacing w:after="0" w:line="22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6,288</w:t>
      </w:r>
    </w:p>
    <w:p>
      <w:pPr>
        <w:spacing w:after="0" w:line="22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10,986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429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7" w:lineRule="exact"/>
        <w:rPr>
          <w:sz w:val="20"/>
          <w:szCs w:val="20"/>
          <w:color w:val="auto"/>
        </w:rPr>
      </w:pPr>
    </w:p>
    <w:p>
      <w:pPr>
        <w:ind w:left="920" w:hanging="918"/>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429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429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260"/>
            <w:col w:w="1559"/>
          </w:cols>
          <w:pgMar w:left="1440" w:top="513" w:right="1440" w:bottom="1440" w:gutter="0" w:footer="0" w:header="0"/>
          <w:type w:val="continuous"/>
        </w:sectPr>
      </w:pPr>
    </w:p>
    <w:p>
      <w:pPr>
        <w:spacing w:after="0" w:line="61"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combined performance obligation is expected to be satisfied over approximately the next two years and the remaining material rights are expected to be exercised or expire within approximately seven years from contract inception.</w:t>
      </w:r>
    </w:p>
    <w:p>
      <w:pPr>
        <w:spacing w:after="0" w:line="140" w:lineRule="exact"/>
        <w:rPr>
          <w:sz w:val="20"/>
          <w:szCs w:val="20"/>
          <w:color w:val="auto"/>
        </w:rPr>
      </w:pPr>
    </w:p>
    <w:p>
      <w:pPr>
        <w:jc w:val="both"/>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revenue of $8.9 million, $3.4 million and $1.2 million, respectively, in connection with the Bayer Collaboration Agreement. As of December 31, 2025 and 2024, the Company recorded deferred revenue of $34.6 million and $40.0 million, respectively, in connection with the Bayer Collaboration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Novartis Collaboration Agreement</w:t>
      </w:r>
    </w:p>
    <w:p>
      <w:pPr>
        <w:spacing w:after="0" w:line="229"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color w:val="auto"/>
        </w:rPr>
        <w:t>On March 27, 2023, the Company and Novartis entered into a collaboration and license agreement (the “Novartis Collaboration Agreement”), pursuant to which the parties agreed to perform research and discovery activities during a research term of up to a specified number of years per target program to generate compounds incorporating</w:t>
      </w:r>
    </w:p>
    <w:p>
      <w:pPr>
        <w:spacing w:after="0" w:line="1"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optimized Bicycle constructs directed to two specified targets. The Company granted Novartis a non-exclusive, worldwide, royalty-free, sublicensable (subject to certain restrictions) license under the Company’s intellectual property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solely for Novartis to perform its research activities for each collaboration program during the research term (the “Novartis Research License”). For each collaboration program, Novartis could elect to progress compounds arising from activities under the research programs (“Licensed Compounds”) into further preclinical development and at a specified point the Company would grant Novartis an exclusive, royalty-bearing, sublicensable, license under certain of the Company’s intellectual property to develop, manufacture, and commercialize such Licensed Compound, subject to certain limitations. Novartis also had certain limited substitution rights for each target. On a target-by-target basis, if Novartis elected to progress development candidates directed to such target into further development, Novartis would have been responsible for all future development, manufacturing and commercialization activities and be required to use commercially reasonable efforts to develop and seek regulatory approval in certain major markets for products containing Licensed Compounds directed to the applicable target.</w:t>
      </w:r>
    </w:p>
    <w:p>
      <w:pPr>
        <w:spacing w:after="0" w:line="194"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Novartis paid a nonrefundable upfront payment to the Company of $50.0 million in April 2023. During the research term, upon achievement of a specified discovery milestone for the first target program, Novartis was required to make a one-time payment to the Company in the low single digit millions. On a target-by-target basis, if Novartis elected to progress one or more candidate compounds into further development and obtain an exclusive license for commercialization, Novartis would be required to pay a candidate selection fee for the first such Licensed Compound progressed by Novartis that incorporates a radionuclide, and for the first such Licensed Compound that does not incorporate a radionuclide, in each case in the mid-teen millions.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at the inception of the arrangement: (i) two combined performance obligations each comprised of the Novartis Research License and the related research and development services during the research term for each target; (ii) two material rights associated with limited substitution rights with respect to each target; (iii) two material rights associated with the options to progress development candidates that incorporate a radionuclide with respect to each target; and (iv) two material rights associated with the option to progress development candidates that do not incorporate a radionuclide with respect to each target. The Company concluded that the Novartis Research License was not distinct from the research and development services as Novartis could not obtain the benefit of the licenses without the Company performing the research and development services. The services incorporate proprietary technology and unique skills and specialized expertise, particularly as they relate to constrained peptide technology that is not available in the marketplace. As a result, for each target, the Novartis Research License was combined with the research and development services into a single performance obligation. In assessing whether the various options under the agreement represent material rights, the Company considered the additional consideration the Company would have been entitled to upon option exercise and the standalone selling price of the underlying goods and services. For the material rights identified above the Company concluded that each of the options provided Novartis with a discount that it otherwise would not have received.</w:t>
      </w:r>
    </w:p>
    <w:p>
      <w:pPr>
        <w:spacing w:after="0" w:line="19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total transaction price was initially determined to be $50.0 million, consisting of the $50.0 million upfront fee. Variable consideration for certain development milestones not subject to option exercises was fully constrained at inception as a result of the uncertainty regarding whether any of the milestones would be achieved. Additional consideration to be paid to the Company upon the exercise of options by Novartis was excluded from the transaction price as they relate to certain option fees, milestones and royalties that can only be achieved subsequent to the exercise options. In November 2024, the Company achieved the specified discovery milestone for the first target program and updated its estimate of the variable consideration to include an additional $3.0 million that was no longer constrained. As a result, the transaction price increased to $53.0 million.</w:t>
      </w:r>
    </w:p>
    <w:p>
      <w:pPr>
        <w:spacing w:after="0" w:line="192"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transaction price was allocated to the performance obligations based on the relative estimated standalone selling prices of each performance obligation. The estimated standalone selling prices for the combined performance obligations for each of the targets were based on the nature of the services to be performed and estimates of the associated effort and costs of the services, adjusted for a reasonable profit margin for what would be expected to be realized under similar contracts. The estimated standalone selling prices for the material rights were determined based on the fees Novartis would pay to exercise the options, the estimated value of the underlying goods and services, and the probability that Novartis would exercise the options, inclusive of the probability of technical success.</w:t>
      </w:r>
    </w:p>
    <w:p>
      <w:pPr>
        <w:spacing w:after="0" w:line="18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revenue related to amounts allocated to the combined performance obligations as the underlying services were performed using a proportional performance model over the period of service using input-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based measurements of total full-time equivalent efforts and external costs incurred to date as a percentage of total estimated full-time equivalent efforts and external costs, which best reflected the progress towards satisfaction of the performance obligations. The amounts allocated to the material rights were recorded as deferred revenue and the Company would commence revenue recognition upon exercise of or upon expiry of the respective option. During the year ended December 31, 2024, the Company recognized revenue of $2.5 million upon the expiration of Novartis’ material rights for limited substitution rights for each target.</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November 2025, Novartis provided the Company with a notice of termination of the Novartis Collaboration Agreement in its entirety, effective in February 2026 after a contractual 90-day notice period. Management exercised significant judgment in concluding that the notice of termination should be accounted for as a contract modification in the fourth quarter of 2025, as the notice of termination reduces the scope of the arrangement. Management concluded that the notice of termination substantively removes all remaining performance obligations, including remaining material rights, as of the date of the notice as Novartis will not benefit from any remaining activities performed during the notice period and the likelihood of exercising any remaining options is remote. As a result, the Company recognized the remaining unrecognized transaction price of $41.9 million as revenue on the date of the notice of termination.</w:t>
      </w:r>
    </w:p>
    <w:p>
      <w:pPr>
        <w:spacing w:after="0" w:line="19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revenue of $47.0 million, $8.2 million and $1.9 million in connection with the Novartis Collaboration Agreement. As of December 31, 2025 and 2024, the Company recorded deferred revenue of zero and $44.1 million, respectively, in connection with the Novartis Collaboration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Ionis Agreements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 July 9, 2021, following the exercise by Ionis of an option granted pursuant to an evaluation and option agreement, the Company and Ionis entered into a collaboration and license agreement (as amended, the “Ionis Collaboration Agreement”). Pursuant to the Ionis Collaboration Agreement, the Company granted to Ionis a worldwide exclusive license under the Company’s relevant technology to research, develop, manufacture and commercialize products incorporating Bicycle peptides directed to the protein coded by the gene TFRC1 (transferrin receptor) (“TfR1 Bicycle” molecules) intended for the delivery of oligonucleotide compounds directed to targets selected by Ionis for diagnostic, therapeutic, prophylactic and preventative uses in humans. Ionis will maintain exclusivity to all available targets unless it fails to achieve specified development diligence milestone deadlines. If Ionis fails to achieve one or more development diligence milestone deadlines, the Company has the right to limit exclusivity to certain specific collaboration targets, subject to the payment by Ionis of a low single-digit million dollar amount per target as specified in the Ionis Collaboration Agreement. Each party was responsible for optimization of such TfR1 Bicycle molecules and other research and discovery activities related to TfR1 Bicycle molecules, as specified by a research plan, under which the Company performed research and discovery activities including a baseline level of effort for a period of three years. The research plan substantially completed in the second quarter of 2024. Ionis is responsible for all future research, development, manufacture and commercialization activities. The Company has retained certain rights, including the right to use TfR1 Bicycle molecules for all non-oligonucleotide therapeutic purposes.</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the Ionis Collaboration Agreement, Ionis made a non-refundable upfront payment of $31.0 million in addition to $3.0 million already paid under an evaluation and option agreement, and reimbursed the Company for certain pass-through costs incurred. If Ionis is at risk of failing to achieve a specified development diligence milestone deadline, it can make up to three separate payments of a mid-single-digit million dollar amount to extend the development diligence milestone deadlines. On a collaboration target-by-collaboration target basis, Ionis will be required to make a low single-digit million dollar payment upon acceptance of an investigational new drug application (“IND”) for the first product directed to such collaboration target (provided that Ionis will have a high single-digit million dollar credit to be applied towards the IND acceptance fee for four collaboration targets, or for exclusivity payments for certain targets if specified development diligence milestones deadlines are not achieved), and Ionis will be required to make milestone payments upon the achievement of specified development and regulatory milestones of up to a low double-digit million dollar amount per collaboration target. In addition, the Company is eligible to receive up to a low double-digit million dollar amount in cumulative sales milestone payments. The Company is also entitled to receive tiered royalty payments on net sales at percentages in the low single-digits, subject to certain standard reductions and offsets. Royalties will be payable, on a product-by-product and country-by-country basis, until the latest of the expiration of specified licensed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patents covering such product in such country, ten years from first commercial sale of such product in such country, or expiration of marketing exclusivity for such product in such country.</w:t>
      </w:r>
    </w:p>
    <w:p>
      <w:pPr>
        <w:spacing w:after="0" w:line="162" w:lineRule="exact"/>
        <w:rPr>
          <w:sz w:val="20"/>
          <w:szCs w:val="20"/>
          <w:color w:val="auto"/>
        </w:rPr>
      </w:pPr>
    </w:p>
    <w:p>
      <w:pPr>
        <w:jc w:val="both"/>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Either party may terminate the Ionis Collaboration Agreement for the uncured material breach of the other party or in the case of insolvency. Ionis may terminate the Ionis Collaboration Agreement for convenience on specified notice periods depending on the development stage of the applicable target, either in its entirety or on a target-by-target basis.</w:t>
      </w:r>
    </w:p>
    <w:p>
      <w:pPr>
        <w:spacing w:after="0" w:line="15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Ionis Collaboration Agreement on July 9, 2021, the Company entered into a share purchase agreement (the “Ionis Share Purchase Agreement”) with Ionis, pursuant to which Ionis purchased 282,485 of the Company’s ordinary shares (the “Ionis Shares”) at a price per share of $38.94, for an aggregate purchase price of approximately $11.0 million. The Company determined the fair value of the Ionis Shares to be $7.6 million, based on the closing price of the Company’s ADSs of $31.11 per ADS on the date of the Ionis Share Purchase Agreement, less a discount for lack of marketability associated with certain resale restrictions applicable to the Ionis Shares. The Company concluded that the premium paid by Ionis under the Ionis Share Purchase Agreement represents additional consideration for the goods and services to be provided under the Ionis Collaboration Agreement and as such, the total premium of $3.4 million was included in the transaction price under the Ionis Collaboration Agreement.</w:t>
      </w:r>
    </w:p>
    <w:p>
      <w:pPr>
        <w:spacing w:after="0" w:line="188"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The Company identified the following performance obligations at the inception of the arrangement: (i) a combined performance obligation comprised of the worldwide exclusive license to research, develop, manufacture and commercialize products incorporating TfR1 Bicycle molecules under the arrangement and the research and discovery activities to customize and optimize such TfR1 Bicycle molecules; and (ii) four material rights associated with options to obtain credits to be applied towards the IND acceptance fee for four collaboration targets. The Company concluded that the exclusive license to research, develop, manufacture and commercialize products was not distinct from the research and discovery services as Ionis could not benefit from the license without the Company performing the research and discovery services. The services incorporated proprietary technology, unique skills and specialized expertise to optimize Bicycle molecules that were not available in the marketplace, and therefore the license was combined with the research and discovery activities into a single performance obligation. The Company concluded that the low-single-digit million dollar payments upon acceptance of an IND is a customer option, as Ionis has the contractual right to choose to make the payment in exchange for the continued exclusive right to research, develop, manufacture and commercialize the product candidate, and the Company is not presently obligated to provide, and does not have a right to consideration, for the additional goods or services prior to Ionis’s exercise of the option. In assessing whether the options under the Ionis Collaboration Agreement represent material rights, the Company considered the additional consideration the Company would be entitled to upon the option exercise and the standalone selling price of the underlying goods and services. For the material rights identified as performance obligations above, the Company concluded that each of the options to obtain credits provided Ionis with a discount that it otherwise would not have received without entering into the Ionis Collaboration Agreement.</w:t>
      </w:r>
    </w:p>
    <w:p>
      <w:pPr>
        <w:spacing w:after="0" w:line="393"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total transaction price was initially determined to be $38.0 million, consisting of the $31.0 million up front payment, the $3.0 million payment under the evaluation and option agreement, the $3.4 million premium paid under the Ionis Share Purchase Agreement, and an estimated $0.6 million for the reimbursement of CRO costs. Additional variable consideration including development diligence milestone deadline extension payments, development and regulatory milestone payments, sales milestone payments and royalty payments was fully constrained as a result of the uncertainty regarding whether any of the milestones will be achieved. During the year ended December 31, 2024, the Company updated its estimate of variable consideration for the reimbursement of CRO costs from $0.6 million to $0.4 million, and the transaction price decreased to $37.8 million.</w:t>
      </w:r>
    </w:p>
    <w:p>
      <w:pPr>
        <w:spacing w:after="0" w:line="19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transaction price was allocated to the performance obligations based on the relative estimated standalone selling prices of each performance obligation. The estimated standalone selling price of the combined licenses and research and discovery performance obligation was based on the nature of the licenses to be delivered, as well as the services to be performed and estimates of the associated effort and costs of the services, adjusted for a reasonable profit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margin. The estimated standalone selling price for the material rights was determined based on the estimated value of the underlying goods and services, and the probability that Ionis would exercise the option.</w:t>
      </w:r>
    </w:p>
    <w:p>
      <w:pPr>
        <w:spacing w:after="0" w:line="16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recognized revenue related to amounts allocated to the combined licenses and research and discovery performance obligation using a proportional performance model over the period of service using input-based measurements including total full-time equivalent effort and CRO costs incurred to date as a percentage of total estimated full-time equivalent effort and CRO costs, which best reflects the progress towards satisfaction of the performance obligation. The combined licenses and research and discovery performance obligation was fully satisfied in the second quarter of 2024. In July 2025, an investigational medicine incorporating a TfR1 Bicycle molecule under the Ionis Collaboration Agreement achieved acceptance of an investigational new drug application (“IND”) upon which Ionis paid the Company $2.0 million. As a result, the transaction price increased from $37.8 million to $39.8 million, and the Company recognized revenue of $2.0 million during the year ended December 31, 2025.</w:t>
      </w:r>
    </w:p>
    <w:p>
      <w:pPr>
        <w:spacing w:after="0" w:line="188"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remaining amount of the transaction price allocated to material rights is recorded as deferred revenue and the Company will commence revenue recognition upon exercise of or upon expiry of the respective option. The Company anticipates the material rights may be exercisable or may expire within seven years from contract execution.</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December 2021 and April 2023, the Company entered into amendments to the Ionis Collaboration Agreement to perform additional research services and Ionis paid the Company $1.6 million and $0.8 million, respectively. The Company concluded that the December 2021 amendment was a separate contract, which was modified by the April 2023 amendment. Revenue was recognized using a proportional performance model over the period of service using input-based measurements of total full time equivalent efforts and external costs incurred to date as a percentage of total expected full time equivalent efforts and expected external costs, which best reflects the progress towards satisfaction of the performance obligation. All revenue from the amendments has been recognized as of December 31, 2025.</w:t>
      </w:r>
    </w:p>
    <w:p>
      <w:pPr>
        <w:spacing w:after="0" w:line="18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$2.0 million, $8.9 million and $10.7 million in revenue, respectively, and as of December 31, 2025 and 2024, the Company recorded deferred revenue of $3.8 million and $3.6 million, respectively, in connection with the Ionis Collaboration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Genentech Collaboration Agreement</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 February 21, 2020, the Company entered into a Discovery Collaboration and License Agreement, as amended from time to time (as amended, the “Genentech Collaboration Agreement”), with Genentech. The collaboration was focused on the discovery and development of Bicycle peptides directed to biological targets selected by Genentech and aimed at developing up to four potential development candidates against multiple immuno-oncology targets (each a “Genentech Collaboration Program”) suitable for Genentech to advance into further development and commercialization.</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Genentech Collaboration Agreement, the Company received a $30.0 million upfront, non-refundable payment. The initial discovery and optimization activities were focused on utilizing the Company’s phage screening technology to identify product candidates aimed at two immuno-oncology targets (“Genentech Collaboration Programs #1 and #2”), which may have also included additional discovery and optimization of Bicycle molecules as a targeting element for each Genentech Collaboration Program (each a “Targeting Arm”). Genentech also had the option to nominate up to two additional immuno-oncology targets (each, an “Expansion Option”) as additional Genentech Collaboration Programs, which may have also included an additional Targeting Arm for each Expansion Option. Genentech exercised the Expansion Options in October 2021 and June 2022 (“Genentech Collaboration Programs #3 and #4”), respectively and paid to the Company an expansion fee of $10.0 million for each Expansion Option.</w:t>
      </w:r>
    </w:p>
    <w:p>
      <w:pPr>
        <w:spacing w:after="0" w:line="18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granted to Genentech a non-exclusive research license under the Company’s intellectual property solely to enable Genentech to perform any activities under the agreement. If the Company performed the initial discovery and optimization activities in accordance with an agreed upon research plan and achieved specified criteria, Genentech had the option to have the Company perform initial pre-clinical development and optimization activities 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exchange for an additional specified milestone payment in the mid-single digit millions for each Genentech Collaboration Program (the “LSR Go Option”). Upon completion of such initial pre-clinical development and optimization activities for each Genentech Collaboration Program, Genentech had the option to obtain an exclusive license to exploit any compound developed under such Genentech Collaboration Program in exchange for an additional specified payment in the mid to high single digit millions for each of Genentech Collaboration Programs #1 through #4 (the “Dev Go Option”).</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at inception of the arrangement: (i) a combined performance obligation comprised of the research license and the related research and development services through LSR Go for Genentech Collaboration Program #1; (ii) a combined performance obligation comprised of the research license and the related research and development services through LSR Go for Genentech Collaboration Program #2; (iii) a material right associated with an option to a specified Targeting Arm for Genentech Collaboration Program #1; (iv) two material rights associated with the LSR Go Option for Genentech Collaboration Program #1 and Genentech Collaboration Program #2, which includes research services to be provided through the Dev Go Option; (v) material rights associated with certain limited substitution rights with respect to a limited number of collaboration targets; and (vi) two material rights related to each Genentech Expansion Option, which upon exercise included the services for an additional immuno-oncology target through LSR Go, an LSR Go Option which includes the services to be provided through the Dev Go Option, limited substitution rights, and an option to select a specified Targeting Arm.</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concluded that the research license was not distinct from the research and development services as Genentech could not obtain the benefit of the research license without the Company performing the research and development services. The services incorporate proprietary technology and unique skills and specialized expertise, particularly as it relates to constrained peptide technology that is not available in the marketplace. As a result, for each program, the research license was combined with the research and development services into a single performance obligation. In addition, the Company concluded that the Dev Go Option was not distinct or separately exercisable from the LSR Go Option, as the customer could not benefit from the Dev Go Option unless and until the LSR Go Option was exercised.</w:t>
      </w:r>
    </w:p>
    <w:p>
      <w:pPr>
        <w:spacing w:after="0" w:line="192"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In assessing whether the various options under the Genentech Collaboration Agreement represented material rights, the Company considered the additional consideration the Company would be entitled to upon the option exercise, the standalone selling price of the underlying goods, services, and additional options. For the material rights identified above the Company concluded that each of the options provided Genentech with a discount that it otherwise would not have received.</w:t>
      </w:r>
    </w:p>
    <w:p>
      <w:pPr>
        <w:spacing w:after="0" w:line="183"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total transaction price was initially determined to be $31.0 million, consisting of the $30.0 million upfront fee and an additional $1.0 million for Genentech’s selection of a new Targeting Arm associated with Genentech Collaboration Program #2 at inception. Additional consideration to be paid to the Company upon the exercise of options by Genentech and subsequent milestones were excluded from the transaction price as they relate to option fees and milestones that could only be achieved subsequent to the exercise of an option. In addition, other variable consideration for development milestones not subject to option exercises was fully constrained, as a result of the uncertainty regarding whether any of the milestones would be achieved. In March 2021, the transaction price was increased to $33.0 million as a result of the Company’s achievement of specified criteria for the Targeting Arm associated with Genentech Collaboration #2.</w:t>
      </w:r>
    </w:p>
    <w:p>
      <w:pPr>
        <w:spacing w:after="0" w:line="17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transaction price was allocated to the performance obligations based on the relative estimated standalone selling prices of each performance obligation. The estimated standalone selling prices for the Genentech Collaboration Programs was based on the nature of the services to be performed and estimates of the associated effort and costs of the services, adjusted for a reasonable profit margin. The estimated standalone selling price for the material rights was determined based on the fees Genentech would pay to exercise the options, the estimated value of the underlying goods and services, and the probability that Genentech would exercise the option and any underlying options.</w:t>
      </w:r>
    </w:p>
    <w:p>
      <w:pPr>
        <w:spacing w:after="0" w:line="18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October 2021 and June 2022, respectively, Genentech exercised the first and second Expansion Options to add Genentech Collaboration Programs #3 and #4 and paid to the Company an expansion fee of $10.0 million each. For Genentech Collaboration Program #3, Genentech also elected for the Company to perform discovery and optimization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services for a Targeting Arm, and the Company received an additional payment of $1.0 million. The Company concluded that the exercise of each Expansion Option, including the option to a specified Targeting Arm for Genentech Collaboration Program #3, is accounted for as a continuation of the existing contract as the customer decided to purchase additional goods and services contemplated in the original contract. The additional arrangement consideration for each Expansion Option as well as the amounts originally allocated to each Expansion Option were allocated to the underlying goods and services associated with each Expansion Option on the same basis as the initial allocation of the Genentech Collaboration Agreement. In December 2022 upon achievement of specified criteria for the Targeting Arm associated with Genentech Collaboration Program #3, the Company allocated the additional consideration received of $2.0 million entirely to the Genentech Collaboration Program #3 and Targeting Arm services as the terms of the variable consideration relate specifically to the Company’s efforts in satisfying the performance obligation and allocating the variable consideration entirely to the performance obligation is consistent with the allocation objective in ASC 606. Other variable consideration for development milestones not subject to option exercises was fully constrained as a result of the uncertainty regarding whether any of the milestones will be achieved.</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revenue related to amounts allocated to the Genentech Collaboration Program #1 through #4 Performance Obligations as the underlying services were performed using a proportional performance model over the period of service using input-based measurements of total full-time equivalent efforts and external costs incurred to date as a percentage of total full-time equivalent efforts and expected external costs, which best reflects the progress towards satisfaction of the performance obligation. The amounts allocated to the material rights were recorded as deferred revenue and the Company would commence revenue recognition upon exercise of or upon expiry of each respective option.</w:t>
      </w:r>
    </w:p>
    <w:p>
      <w:pPr>
        <w:spacing w:after="0" w:line="189"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In June 2023, Genentech terminated Genentech Collaboration Program #2 and revenue of $6.0 million was recognized during the year ended December 31, 2023. In January 2024, the JRC decided to discontinue research activities associated with Genentech Collaboration Program #3 and, as a result, the Company recognized revenue of $10.4 million during the year ended December 31, 2024. In January 2025, Genentech provided the Company with a notice of termination for Genentech Collaboration Program #4, effective in March 2025, and the Company recognized revenue of $7.5 million during the year ended December 31, 2025. In July 2025, Genentech provided the Company with a notice of termination of the Genentech Collaboration Agreement, effective in August 2025, and as a result, the Company recognized the remaining deferred revenue under the arrangement of $6.5 million during the year ended December 31, 2025.</w:t>
      </w:r>
    </w:p>
    <w:p>
      <w:pPr>
        <w:spacing w:after="0" w:line="17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revenue of $14.7 million, $14.8 million and $12.0 million, respectively, and as of December 31, 2025 and 2024, the Company recorded deferred revenue of zero and $14.0 million, respectively, in connection with the Genentech Collaboration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 Assets and Liabilities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liabilities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6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Deductions</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 collaboration deferred revenue</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Novartis collaboration deferred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Ionis collaboration deferred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Genentech collaboration deferred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6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3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Deductions</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0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 collaboration deferred revenue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Novartis collaboration deferred 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Ionis collaboration deferred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Genentech collaboration deferred revenue</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Contract assets represent research and development services which have been performed but have not yet been billed, and are reduced when they are subsequently billed. There were no contract assets at December 31, 2025 or 2024.</w:t>
      </w:r>
    </w:p>
    <w:p>
      <w:pPr>
        <w:spacing w:after="0" w:line="14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Bayer and Ionis deferred revenue balances include $31.6 million and $3.8 million, respectively, allocated to material rights that will commence revenue recognition when the respective underlying options are exercised or when they expire.</w:t>
      </w:r>
    </w:p>
    <w:p>
      <w:pPr>
        <w:spacing w:after="0" w:line="1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revenues as a result of the following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based on proportional performance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$ 24,266</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$ 19,160</w:t>
            </w: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based on contract modifications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material rights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based on changes in transaction price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$ 35,275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$ 26,976</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Cancer Research UK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BT1718</w:t>
      </w:r>
    </w:p>
    <w:p>
      <w:pPr>
        <w:spacing w:after="0" w:line="22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On December 13, 2016, the Company entered into a Clinical Trial and License Agreement with Cancer Research Technology Limited (“CRTL”), a wholly owned subsidiary of Cancer Research UK that Cancer Research UK’s commercial activities operate through, and Cancer Research UK (the “BT1718 Cancer Research UK Agreement”). Pursuant to the BT1718 Cancer Research UK Agreement, as amended in March 2017 and June 2018, Cancer Research UK’s Centre for Drug Development sponsored and funded a Phase I/IIa clinical trial for BT1718, a BDC molecule, in patients with advanced solid tumors. Upon the completion of the Phase I/IIa clinical trial, the Company had the right to obtain a license to the results of the clinical trial upon the payment of a milestone, in cash and ordinary shares. The Company was required to reimburse Cancer Research UK for certain costs upon specified termination events.</w:t>
      </w:r>
    </w:p>
    <w:p>
      <w:pPr>
        <w:spacing w:after="0" w:line="19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concluded that the costs incurred by Cancer Research UK was a research and development funding liability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as certain payments were not based solely on the results of the research and development having future economic benefit.</w:t>
      </w:r>
    </w:p>
    <w:p>
      <w:pPr>
        <w:spacing w:after="0" w:line="1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December 4, 2024, the Company, CRTL and Cancer Research UK entered into an Expiry and Revenue Sharing Agreement (the “BT1718 Expiration Agreement”) pursuant to which (i) the Company did not exercise its option to obtain a license to the results of the clinical trial, (ii) CRTL did not elect to receive an assignment and exclusive license to develop and commercialize the product, and (iii) the BT1718 Cancer Research UK Agreement and all rights and obligations (other than certain surviving provisions as outlined in the agreement) under the BT1718 Cancer Research UK Agreement expired and terminated as of December 4, 2024. Under the terms of the BT1718 Expiration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Agreement, the Company agreed to pay to CRTL an upfront payment of $0.1 million. The Company will also pay to CRTL specified royalty and other payments at percentages in the very low to low single digits related to specified products targeting the MT1 target antigen.</w:t>
      </w:r>
    </w:p>
    <w:p>
      <w:pPr>
        <w:spacing w:after="0" w:line="17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BT1718 Expiration Agreement by applying the concepts of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 all rights and obligations, including the Company’s payment obligations, under the BT1718 Cancer Research UK Agreement expired and terminated, the Company concluded that the liability recorded under the BT1718 Cancer Research UK Agreement is extinguished as the Company has been legally released from being the primary obligor under the BT1718 Cancer Research UK Agreement. As such, the Company recognized a gain on extinguishment of the research and development funding liability of $4.5 million during the year ended December 31, 2024, which is recorded within other income, net, in the consolidated statements of operations and comprehensive loss.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net loss before income tax provision are as follows (in thousands):</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40" w:type="dxa"/>
            <w:vAlign w:val="bottom"/>
            <w:gridSpan w:val="4"/>
          </w:tcPr>
          <w:p>
            <w:pPr>
              <w:ind w:left="4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3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2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(225,456)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(179,610)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(182,980)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(218,808)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(173,796)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(179,207)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tc>
        <w:tc>
          <w:tcPr>
            <w:tcW w:w="0" w:type="dxa"/>
            <w:vAlign w:val="bottom"/>
          </w:tcPr>
          <w:p>
            <w:pPr>
              <w:spacing w:after="0"/>
              <w:rPr>
                <w:sz w:val="1"/>
                <w:szCs w:val="1"/>
                <w:color w:val="auto"/>
              </w:rPr>
            </w:pPr>
          </w:p>
        </w:tc>
      </w:tr>
      <w:tr>
        <w:trPr>
          <w:trHeight w:val="353"/>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20" w:type="dxa"/>
            <w:vAlign w:val="bottom"/>
            <w:gridSpan w:val="5"/>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 United States</w:t>
            </w:r>
          </w:p>
        </w:tc>
        <w:tc>
          <w:tcPr>
            <w:tcW w:w="132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690</w:t>
            </w:r>
          </w:p>
        </w:tc>
        <w:tc>
          <w:tcPr>
            <w:tcW w:w="40" w:type="dxa"/>
            <w:vAlign w:val="bottom"/>
          </w:tcPr>
          <w:p>
            <w:pPr>
              <w:spacing w:after="0"/>
              <w:rPr>
                <w:sz w:val="18"/>
                <w:szCs w:val="18"/>
                <w:color w:val="auto"/>
              </w:rPr>
            </w:pPr>
          </w:p>
        </w:tc>
        <w:tc>
          <w:tcPr>
            <w:tcW w:w="220" w:type="dxa"/>
            <w:vAlign w:val="bottom"/>
            <w:gridSpan w:val="2"/>
          </w:tcPr>
          <w:p>
            <w:pPr>
              <w:jc w:val="center"/>
              <w:ind w:left="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 United States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provision (benefit)</w:t>
            </w:r>
          </w:p>
        </w:tc>
        <w:tc>
          <w:tcPr>
            <w:tcW w:w="1000" w:type="dxa"/>
            <w:vAlign w:val="bottom"/>
            <w:gridSpan w:val="2"/>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 United States</w:t>
            </w:r>
          </w:p>
        </w:tc>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 United States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income tax (benefit) provision</w:t>
            </w:r>
          </w:p>
        </w:tc>
        <w:tc>
          <w:tcPr>
            <w:tcW w:w="1000" w:type="dxa"/>
            <w:vAlign w:val="bottom"/>
            <w:tcBorders>
              <w:bottom w:val="single" w:sz="8" w:color="CCEEFF"/>
            </w:tcBorders>
            <w:gridSpan w:val="2"/>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(benefit from) income taxes computed at the statutory income tax rate to the provision for (benefit from) income taxes as reflected in the financial statement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4"/>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 ($)</w:t>
            </w:r>
          </w:p>
        </w:tc>
        <w:tc>
          <w:tcPr>
            <w:tcW w:w="3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Percent (%)</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 at U.K. federal statutory rate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(54,702)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losses surrendered for research credit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4300"/>
              <w:spacing w:after="0"/>
              <w:rPr>
                <w:sz w:val="20"/>
                <w:szCs w:val="20"/>
                <w:color w:val="auto"/>
              </w:rPr>
            </w:pPr>
            <w:r>
              <w:rPr>
                <w:rFonts w:ascii="Times New Roman" w:cs="Times New Roman" w:eastAsia="Times New Roman" w:hAnsi="Times New Roman"/>
                <w:sz w:val="18"/>
                <w:szCs w:val="18"/>
                <w:color w:val="auto"/>
              </w:rPr>
              <w:t>F-35</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64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00" w:type="dxa"/>
            <w:vAlign w:val="bottom"/>
            <w:vMerge w:val="restart"/>
          </w:tcPr>
          <w:p>
            <w:pPr>
              <w:ind w:left="696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 at statutory rate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 resulting from:</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losses surrendered for research credit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statutory rate change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(in thousands):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81,492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credit carryforwards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111,990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(126,761)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(99,672)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Cash paid for income taxes, net of refunds received, are as follows:</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an income tax provision of $0.2 million, an income tax benefit of $4.8 million and an income tax provision of $1.5 million, respectively. The Company is subject to U.K. corporate taxation. Due to the nature of its business, the Company has generated losses since inception and therefore not paid U.K. corporation tax. The provision for (benefit from) income taxes included in the consolidated statements of operations and comprehensive loss represents the tax impact from operating activities in the United States, which has generated taxable income based on intercompany service arrangements. Deferred tax assets benefitted in the United States do not have a valuation allowance against them because of profits that will be generated by an intercompany service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income tax provision recognized during the year ended December 31, 2025 is mainly the result of discrete items resulting from the workforce reduction in August 2025. The Company’s income tax benefit recognized during the year ended December 31, 2024 is mainly the result of deferred tax assets in the United States that do not have a valuation allowance against them because of profits that will be generated by an intercompany service agreement, including incremental income tax benefits of approximately $3.5 million recognized during the year ended December 31, 2024 related to the completion of a U.S. research and development tax credit study. The Company’s income tax provision recognized during the year ended December 31, 2023 is primarily related to the completion of an assessment, inclusive of an external tax analysis, during the year ended December 31, 2023, whereby the Company concluded that it is not required to capitalize certain research and development expenses incurred by its U.S. subsidiary associated with contractual research services performed on behalf of its U.K. subsidiary pursuant to an intercompany service arrangement because its U.S. subsidiary does not retain any ownership or rights in the underlying intellectual property resulting from the research services. The change in estimate upon the completion of this analysis resulted in the recognition of an income tax provision of $2.4 million during the year ended December 31, 2023.</w:t>
      </w:r>
    </w:p>
    <w:p>
      <w:pPr>
        <w:spacing w:after="0" w:line="187" w:lineRule="exact"/>
        <w:rPr>
          <w:sz w:val="20"/>
          <w:szCs w:val="20"/>
          <w:color w:val="auto"/>
        </w:rPr>
      </w:pPr>
    </w:p>
    <w:p>
      <w:pPr>
        <w:jc w:val="both"/>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w:t>
      </w:r>
    </w:p>
    <w:p>
      <w:pPr>
        <w:spacing w:after="0" w:line="2"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After consideration of the evidence, including the Company’s history of cumulative net losses in the U.K., the Company has concluded that it is more likely than not that the Company will not realize the benefits of its U.K. deferred tax assets and accordingly the Company has provided a valuation allowance for the full amount of the net deferred tax assets in the U.K. The Company has considered its history of cumulative net profits in the United States and estimated future taxable income and has concluded that it is more likely than not that the Company will realize the benefits of its United States deferred tax assets and has not provided a valuation allowance against the net deferred tax assets in the United States. The valuation allowance increased by $27.1 million and $19.4 million in the years ended December 31, 2025 and 2024, respectively, due to the corresponding increases in U.K. deferred tax assets, primarily due to operating loss carryforwards generated during each year that were not surrendered for research credit utilization. The Company recorded a valuation allowance against all of its U.K. deferred tax assets as of December 31, 2025 and 2024.</w:t>
      </w:r>
    </w:p>
    <w:p>
      <w:pPr>
        <w:spacing w:after="0" w:line="19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intends to continue to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for income taxes for the period the release is recorded. However, the exact timing and amount of the valuation allowance release are subject to change on the basis of the level of profitability that the Company is able to actually achieve.</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(benefit from) income taxes shown on the consolidated statements of operations differs from amounts that would result from applying the statutory tax rates to income before taxes primarily because of certain permanent expenses that were not deductible and U.K., U.S. federal and state research and development credits, as well as the application of valuation allowances against the U.K. deferred tax assets.</w:t>
      </w:r>
    </w:p>
    <w:p>
      <w:pPr>
        <w:spacing w:after="0" w:line="18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$405.3 million of U.K. operating loss carryforwards that have an indefinite life.</w:t>
      </w:r>
    </w:p>
    <w:p>
      <w:pPr>
        <w:spacing w:after="0" w:line="162"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The Company recognizes, in its consolidated financial statements, the effect of a tax position when it is more likely than not, based on the technical merits, that the position will be sustained upon examination. The Company had no uncertain tax positions during the years ended December 31, 2025 and 2024. There are no amounts of interest or penalties recognized in the consolidated statement of operations or accrued on the consolidated balance sheet for any period presented. The Company does not expect any material changes in these uncertain tax benefits within the next 12 months.</w:t>
      </w:r>
    </w:p>
    <w:p>
      <w:pPr>
        <w:spacing w:after="0" w:line="16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Kingdom, and in the United States for federal income taxes and in 11 jurisdictions for state income taxes. In the normal course of business, the Company is subject to examination by tax authorities in these jurisdictions. The 2024 and 2023 tax years remain open to examination by the HM Revenue &amp; Customs. The statute of limitations for assessment with the Internal Revenue Service is generally three years from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tax return. As such, all years since 2022 in the U.S. remain open to examination. The Company is currently not under examination by jurisdictions for any tax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a lease agreement for office and laboratory space in Cambridge, Massachusetts. The lease has a contractual period of approximately three years and the Company concluded that the lease term is three years, representing the non-cancelable lease period.</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December 6, 2021 the Company entered into a lease of new office and laboratory space, in Cambridge, United Kingdom. The lease has a contractual period of 10 years, but could be cancelled by the Company on the fifth anniversary of the lease commencement date. The Company concluded that the initial lease term was five years, representing the non-cancelable lease period. In December 2025, the Company entered into a deed of variation to the lease, pursuant to which (i) the Company elected not to cancel the lease on the fifth anniversary of the lease commencement date and (ii) the annual rent was increased effective in December 2026, payable quarterly in advance following a nine-month rent-free period from December 2026 to September 2027. The Company accounted for the deed of variation as a modification to the existing lease and remeasured the ROU asset and lease liability based on the present value of remaining lease payments, discounted at the Company’s incremental borrowing rate on the modification date, and recognized an additional right-of-use asset and lease liability of $12.4 million during the year ended December 31, 2025. The Company has a contractual right to renew the lease for a further ten-year period, which also may be cancelled after five years.</w:t>
      </w:r>
    </w:p>
    <w:p>
      <w:pPr>
        <w:spacing w:after="0" w:line="192"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In October 2017, the Company entered into a lease agreement for office and laboratory space in Building 900, Babraham Research Campus, Cambridge, U.K., which was renewed in December 2021 for five years through December 2026. In April 2023, the Company entered into a deed of surrender related to the lease, pursuant to which the lease was terminated effective immediately. As a result of the deed, the Company derecognized the lease liability and right of use asset associated with the lease. The Company also paid termination-related fees of $0.3 million in connection with the deed, which were recorded as a loss on lease termination and are included in operating expenses in the consolidated statements of operations and comprehensive loss for the year ended December 31, 2023.</w:t>
      </w:r>
    </w:p>
    <w:p>
      <w:pPr>
        <w:spacing w:after="0" w:line="18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September 2017, Bicycle Therapeutics Inc. entered into a lease agreement for office and laboratory space in Lexington, Massachusetts, which commenced on January 1, 2018. In March 2022, Bicycle Therapeutics Inc. notified the landlord of its intent to exercise its option to extend the lease, originally set to expire on December 31, 2022, for a successive period through December 31, 2027. In May 2022, the lease was extended.</w:t>
      </w:r>
    </w:p>
    <w:p>
      <w:pPr>
        <w:spacing w:after="0" w:line="180"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enter into finance lease agreements for property and equipment. As of December 31, 2025 and 2024, the Company recorded finance lease right-of-use assets of $0.8 million and $1.0 million, respectively, which are included in property and equipment, net, in the consolidated balance sheets. As of December 31, 2025 and 2024, the Company recorded finance lease liabilities of $0.9 million and $1.0 million, respectively, which are included in accrued expenses and other current liabilities and other long-term liabilities, as applicable,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Company’s lease expense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3"/>
        </w:trPr>
        <w:tc>
          <w:tcPr>
            <w:tcW w:w="6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remaining operating lease term was 5.4 years and 2.0 years as of December 31, 2025 and 2024, respectively, and the weighted average operating lease discount rate was 6.4% and 7.8% as of December 31, 2025 and 2024, respectively. The weighted average remaining finance lease term was 3.7 years and 4.7 years as of December 31, 2025 and 2024, respectively, and the weighted average finance lease discount rate was 9.5% and 9.5% as of December 31, 2025 and 2024, respectively.</w:t>
      </w:r>
    </w:p>
    <w:p>
      <w:pPr>
        <w:spacing w:after="0" w:line="183"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maturities of the Company’s lease liabilities as of December 31, 2025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32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Operating Leases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Finance Leases</w:t>
            </w:r>
          </w:p>
        </w:tc>
      </w:tr>
      <w:tr>
        <w:trPr>
          <w:trHeight w:val="209"/>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Long term lease liabilities</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agreements with contract research organizations to provide clinical trial services, contract manufacturing organizations to provide clinical trial materials and with vendors for preclinical research studies, synthetic chemistry and other services for operating purposes. These contracts are generally cancelable at any time upon less than 90 days’ prior written notice. The Company is not contractually able to terminate for convenience and avoid any and all future obligations to these vendors. In some cases, the Company is contractually obligated to make certain minimum payments to the vendors, based on the timing of the termination notification and the exact terms of the agreement.</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 These additional milestone payments are contingent upon future events that are not considered probable of achievement as of December 31, 2025. As of December 31, 2025, the Company was unable to estimate the timing or likelihood of achieving these milestones.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or its subsidiaries may become involved in various legal proceedings and claims, either asserted or unasserted, which arise in the ordinary course of business. The Company is not currently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 xml:space="preserve">subject to any material legal proceedings. At each reporting date, the Company evaluates whether or not a potential loss amount or a potential range of loss is probable and reasonably estimable under the provisions of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indemnification obligations towards members of its board of directors and officers that will require the Company, among other things, to indemnify them against certain liabilities that may arise by reason of their status or service as directors or officers. In addition, the Company has agreed to indemnify certain investors in limited circumstances.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 arrangements, and therefore it has not accrued any liabilities related to such obligations in its consolidated financial statements as of December 31, 2025 and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5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69,279,838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58,207,593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35,592,362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ordinary shares and restricted share units for ordinary shares, have been excluded from the computation of diluted net loss per share as the effect would be to reduce the net loss per share. Therefore, the weighted average number of ordinary shares outstanding, which includes both ordinary shares and non-voting ordinary shares, used to calculate both basic and diluted net loss per share is the same. The Company excluded the following potentially dilutive ordinary shares, presented based on amounts outstanding at each period end, from the computation of diluted net loss per share for the periods indicated because including them would have had an anti-dilutive effect: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6060" w:type="dxa"/>
            <w:vAlign w:val="bottom"/>
            <w:gridSpan w:val="2"/>
          </w:tcPr>
          <w:p>
            <w:pPr>
              <w:ind w:left="59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9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ordinary shares</w:t>
            </w: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1,644,421</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716,262</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326,848</w:t>
            </w: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8,748,726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7,469,527</w:t>
            </w:r>
          </w:p>
        </w:tc>
      </w:tr>
      <w:tr>
        <w:trPr>
          <w:trHeight w:val="209"/>
        </w:trPr>
        <w:tc>
          <w:tcPr>
            <w:tcW w:w="60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11,447,527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9,464,988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7,796,375</w:t>
            </w:r>
          </w:p>
        </w:tc>
      </w:tr>
      <w:tr>
        <w:trPr>
          <w:trHeight w:val="20"/>
        </w:trPr>
        <w:tc>
          <w:tcPr>
            <w:tcW w:w="6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Benefit plans</w:t>
      </w:r>
    </w:p>
    <w:p>
      <w:pPr>
        <w:spacing w:after="0" w:line="229" w:lineRule="exact"/>
        <w:rPr>
          <w:sz w:val="20"/>
          <w:szCs w:val="20"/>
          <w:color w:val="auto"/>
        </w:rPr>
      </w:pPr>
    </w:p>
    <w:p>
      <w:pPr>
        <w:ind w:left="60" w:right="639" w:firstLine="648"/>
        <w:spacing w:after="0" w:line="258" w:lineRule="auto"/>
        <w:rPr>
          <w:sz w:val="20"/>
          <w:szCs w:val="20"/>
          <w:color w:val="auto"/>
        </w:rPr>
      </w:pPr>
      <w:r>
        <w:rPr>
          <w:rFonts w:ascii="Times New Roman" w:cs="Times New Roman" w:eastAsia="Times New Roman" w:hAnsi="Times New Roman"/>
          <w:sz w:val="18"/>
          <w:szCs w:val="18"/>
          <w:color w:val="auto"/>
        </w:rPr>
        <w:t>The Company established a defined-contribution savings plan under Section 401(k) of the Code (the “401(k) Plan”). The 401(k) Plan covers all U.S. employees and allows participants to defer a portion of their annual compensation on a pre-tax basis. Matching contributions to the 401(k) Plan may be made at the discretion of the Company’s board of directors. During the years ended December 31, 2025, 2024 and 2023, the Company made contributions totaling $1.2 million, $1.1 million and $0.8 million, respectively, to the 401(k)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provides a pension contribution plan for its employees in the United Kingdom, pursuant to which the Company may make contributions each year (“U.K Plan”). During the years ended December 31, 2025, 2024 and 2023, the Company made contributions totaling $3.9 million, $2.9 million and $2.2 million, respectively, to the U.K.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to Consulting Agreement with Stone Atlanta Estates LLC</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Pierre Legault, former Chairman of the Company’s board of directors, is associated with Stone Atlanta Estates LLC, which provided consultancy services to the Company totaling $0.1 million during the year ended December 31, 2025 prior to Mr. Legault’s retirement as Chairman of the Company’s board of directors. Stone Atlanta Estates LLC provided consultancy services to the Company totaling $0.3 million and $0.2 million during the years ended December 31, 2024 and 2023, respectively. In March 2025, the Company and Mr. Legault entered into an amendment to the consulting agreement, effective as of June 17, 2025, the date of Mr. Legault’s retirement as Chairman. The amendment modified the compensation payable under the agreement and provides for expiration of the agreement to be no later than June 30, 2028.</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Participation in Private Placement</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Investors in the Private Placement included certain entities affiliated with Baker Bros. Advisors LP (the “Baker Entities”), an entity which may be deemed a beneficial owner of greater than 10% of the Company’s voting securities. Felix J. Baker, the current Chairman of the Company’s board of directors, is a managing member of Baker Bros. Advisors (GP) LLC, the sole general partner of Baker Bros. Advisors LP. In the Private Placement, the Baker Entities purchased an aggregate of 17,114,846 non-voting ordinary shares, nominal value £0.01 per share, for an aggregate purchase price of $366.6 million. The Private Placement was approved in accordance with the Company’s related person transaction policy by the Company’s Related Parties Committee. See Note 11. “Commitments and contingencies” for additional information on indemnities provided to certain investors.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Segments and geographic information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and manages its business as a single operating segment, which is developing a unique class of chemically synthesized medicines based on its proprietary platform. The Company’s chief operating decision maker (“CODM”) is the Company’s Chief Executive Officer (“CEO”). The CODM reviews consolidated operating results, manages the business on a consolidated basis and utilizes consolidated net loss from the consolidated statements of operations and comprehensive loss as the primary measure of segment profit or loss in making decisions surrounding allocating resources and assessing performance of the Company. The CODM is regularly provided detailed expense information, including expenses by program and expense category, and the CODM makes decisions surrounding capital and personnel allocation using this information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single operating segment, including significant segment expenses, for the years ended December 31, 2025, 2024 and 2023 (in thousands):</w:t>
      </w:r>
    </w:p>
    <w:p>
      <w:pPr>
        <w:spacing w:after="0" w:line="16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Zelenectide pevedotin (Nectin-4)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44,135</w:t>
            </w: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Nuzefatide pevedotin (EphA2)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18,878</w:t>
            </w: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w:t>
            </w: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46,506</w:t>
            </w: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r>
      <w:tr>
        <w:trPr>
          <w:trHeight w:val="198"/>
        </w:trPr>
        <w:tc>
          <w:tcPr>
            <w:tcW w:w="46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Research and development incentives and government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grants</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(34,920)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(43,207)</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(24,459)</w:t>
            </w:r>
          </w:p>
        </w:tc>
      </w:tr>
      <w:tr>
        <w:trPr>
          <w:trHeight w:val="209"/>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240,283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156,496</w:t>
            </w:r>
          </w:p>
        </w:tc>
      </w:tr>
      <w:tr>
        <w:trPr>
          <w:trHeight w:val="21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Personnel-related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18,985</w:t>
            </w: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0"/>
        </w:trPr>
        <w:tc>
          <w:tcPr>
            <w:tcW w:w="4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60,426</w:t>
            </w:r>
          </w:p>
        </w:tc>
      </w:tr>
      <w:tr>
        <w:trPr>
          <w:trHeight w:val="21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319,651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216,922</w:t>
            </w:r>
          </w:p>
        </w:tc>
      </w:tr>
      <w:tr>
        <w:trPr>
          <w:trHeight w:val="210"/>
        </w:trPr>
        <w:tc>
          <w:tcPr>
            <w:tcW w:w="46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0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(180,664)</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right="139" w:hanging="330"/>
        <w:spacing w:after="0" w:line="298" w:lineRule="auto"/>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interest and other income, interest expense, loss on extinguishment of debt, gain on extinguishment of research and development funding liability and provision for (benefit from) income taxes.</w:t>
      </w:r>
    </w:p>
    <w:p>
      <w:pPr>
        <w:spacing w:after="0" w:line="160"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regularly provide the CODM with detailed segment asset information other than what is included in the consolidated balance sheets. Please refer to the consolidated financial statements and the accompanying notes to the consolidated financial statements for segment asset information.</w:t>
      </w:r>
    </w:p>
    <w:p>
      <w:pPr>
        <w:spacing w:after="0" w:line="1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two geographic regions: the United States and the United Kingdom. Information about the Company’s long-lived assets, including operating lease ROU assets, held in different geographic regions is presented in the table below (in thousands):</w:t>
      </w:r>
    </w:p>
    <w:p>
      <w:pPr>
        <w:spacing w:after="0" w:line="7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2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10"/>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collaboration revenue is attributed to the operations of the Company in the United Kingdom.</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left="60" w:right="359" w:firstLine="648"/>
        <w:spacing w:after="0" w:line="277" w:lineRule="auto"/>
        <w:rPr>
          <w:sz w:val="20"/>
          <w:szCs w:val="20"/>
          <w:color w:val="auto"/>
        </w:rPr>
      </w:pPr>
      <w:r>
        <w:rPr>
          <w:rFonts w:ascii="Times New Roman" w:cs="Times New Roman" w:eastAsia="Times New Roman" w:hAnsi="Times New Roman"/>
          <w:sz w:val="17"/>
          <w:szCs w:val="17"/>
          <w:color w:val="auto"/>
        </w:rPr>
        <w:t>In March 2026, the Company announced the strategic reprioritization of its clinical portfolio to focus on its promising pipeline of next-generation therapeutics, including nuzefatide pevedotin as well as next-generation Bicycle conjugates, including BRC molecules. In conjunction with its strategic reprioritization, the Company is implementing a proposed workforce reduction of approximately 30% of its workforce. Together, the workforce reduction and strategic reprioritization are expected to reduce the Company’s annual operating expenses by approximately 50% based on the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Company’s current plans. The Company expects the workforce reduction to be substantially completed by the end of 2026 and to recognize aggregate charges for severance and other employee termination benefits of approximately $8.0 million.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62"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588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​​Bicycle Therapeutics plc</w:t>
            </w:r>
          </w:p>
        </w:tc>
      </w:tr>
      <w:tr>
        <w:trPr>
          <w:trHeight w:val="238"/>
        </w:trPr>
        <w:tc>
          <w:tcPr>
            <w:tcW w:w="3040" w:type="dxa"/>
            <w:vAlign w:val="bottom"/>
          </w:tcPr>
          <w:p>
            <w:pPr>
              <w:spacing w:after="0"/>
              <w:rPr>
                <w:sz w:val="20"/>
                <w:szCs w:val="20"/>
                <w:color w:val="auto"/>
              </w:rPr>
            </w:pPr>
          </w:p>
        </w:tc>
        <w:tc>
          <w:tcPr>
            <w:tcW w:w="588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17, 2026</w:t>
            </w:r>
          </w:p>
        </w:tc>
        <w:tc>
          <w:tcPr>
            <w:tcW w:w="15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Kevin Lee</w:t>
            </w:r>
          </w:p>
        </w:tc>
      </w:tr>
      <w:tr>
        <w:trPr>
          <w:trHeight w:val="191"/>
        </w:trPr>
        <w:tc>
          <w:tcPr>
            <w:tcW w:w="3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Lee, Ph.D., MBA</w:t>
            </w:r>
          </w:p>
        </w:tc>
        <w:tc>
          <w:tcPr>
            <w:tcW w:w="20" w:type="dxa"/>
            <w:vAlign w:val="bottom"/>
          </w:tcPr>
          <w:p>
            <w:pPr>
              <w:spacing w:after="0"/>
              <w:rPr>
                <w:sz w:val="16"/>
                <w:szCs w:val="16"/>
                <w:color w:val="auto"/>
              </w:rPr>
            </w:pPr>
          </w:p>
        </w:tc>
      </w:tr>
      <w:tr>
        <w:trPr>
          <w:trHeight w:val="234"/>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432"/>
        </w:trPr>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Travis Thompson</w:t>
            </w:r>
          </w:p>
        </w:tc>
      </w:tr>
      <w:tr>
        <w:trPr>
          <w:trHeight w:val="191"/>
        </w:trPr>
        <w:tc>
          <w:tcPr>
            <w:tcW w:w="3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Thompson</w:t>
            </w:r>
          </w:p>
        </w:tc>
        <w:tc>
          <w:tcPr>
            <w:tcW w:w="2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r>
      <w:tr>
        <w:trPr>
          <w:trHeight w:val="234"/>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195"/>
        </w:trPr>
        <w:tc>
          <w:tcPr>
            <w:tcW w:w="3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Kevin Lee and Travis Thompson,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24"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on Form 10-K has been signed below by the following persons on behalf of the Registrant in the capacities and on the dates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00" w:type="dxa"/>
            <w:vAlign w:val="bottom"/>
          </w:tcPr>
          <w:p>
            <w:pPr>
              <w:spacing w:after="0"/>
              <w:rPr>
                <w:sz w:val="20"/>
                <w:szCs w:val="20"/>
                <w:color w:val="auto"/>
              </w:rPr>
            </w:pPr>
          </w:p>
        </w:tc>
        <w:tc>
          <w:tcPr>
            <w:tcW w:w="34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65"/>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Lee</w:t>
            </w:r>
          </w:p>
        </w:tc>
        <w:tc>
          <w:tcPr>
            <w:tcW w:w="3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Lee, Ph.D., MBA</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Travis Thompson</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Travis Thompson</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Felix J. Baker</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Felix J. Baker, Ph.D</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Janice Bourque</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Janice Bourque, MBA</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Roger Dansey</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Roger Dansey, M.D.</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Jose-Carlos Gutierrez-Ramos</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Jose-Carlos Gutierrez-Ramos, Ph.D</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Hervé Hoppenot</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Hervé Hoppenot</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Alessandro Riva</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Alessandro Riva, M.D.</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Sands</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Stephen Sands, MBA</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Swanton</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11"/>
        </w:trPr>
        <w:tc>
          <w:tcPr>
            <w:tcW w:w="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Swanton, M.D., Ph.D., FRS,</w:t>
            </w:r>
          </w:p>
        </w:tc>
        <w:tc>
          <w:tcPr>
            <w:tcW w:w="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FMedSci, FRCP</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Sir Gregory Winter</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34"/>
        </w:trPr>
        <w:tc>
          <w:tcPr>
            <w:tcW w:w="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Sir Gregory Winter, FRS</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100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2" w:name="page183"/>
    <w:bookmarkEnd w:id="18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icycle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 plc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 amended through</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11, 2025</w:t>
      </w:r>
    </w:p>
    <w:p>
      <w:pPr>
        <w:spacing w:after="0" w:line="312" w:lineRule="exact"/>
        <w:rPr>
          <w:sz w:val="20"/>
          <w:szCs w:val="20"/>
          <w:color w:val="auto"/>
        </w:rPr>
      </w:pPr>
    </w:p>
    <w:p>
      <w:pPr>
        <w:jc w:val="both"/>
        <w:ind w:left="200" w:right="219"/>
        <w:spacing w:after="0" w:line="299" w:lineRule="auto"/>
        <w:rPr>
          <w:sz w:val="20"/>
          <w:szCs w:val="20"/>
          <w:color w:val="auto"/>
        </w:rPr>
      </w:pPr>
      <w:r>
        <w:rPr>
          <w:rFonts w:ascii="Times New Roman" w:cs="Times New Roman" w:eastAsia="Times New Roman" w:hAnsi="Times New Roman"/>
          <w:sz w:val="22"/>
          <w:szCs w:val="22"/>
          <w:color w:val="auto"/>
        </w:rPr>
        <w:t>This Non-Employee Director Compensation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has been established in order to attract and retain non-employee directors who have the knowledge, skills and experience to serve as a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Bicycle Therapeutics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Directors who are employees of the Company or any of its subsidiaries will receive no additional compensation for their service as directors.</w:t>
      </w:r>
    </w:p>
    <w:p>
      <w:pPr>
        <w:spacing w:after="0" w:line="226" w:lineRule="exact"/>
        <w:rPr>
          <w:sz w:val="20"/>
          <w:szCs w:val="20"/>
          <w:color w:val="auto"/>
        </w:rPr>
      </w:pPr>
    </w:p>
    <w:p>
      <w:pPr>
        <w:jc w:val="both"/>
        <w:ind w:left="200" w:right="219"/>
        <w:spacing w:after="0" w:line="322" w:lineRule="auto"/>
        <w:rPr>
          <w:sz w:val="20"/>
          <w:szCs w:val="20"/>
          <w:color w:val="auto"/>
        </w:rPr>
      </w:pPr>
      <w:r>
        <w:rPr>
          <w:rFonts w:ascii="Times New Roman" w:cs="Times New Roman" w:eastAsia="Times New Roman" w:hAnsi="Times New Roman"/>
          <w:sz w:val="22"/>
          <w:szCs w:val="22"/>
          <w:color w:val="auto"/>
        </w:rPr>
        <w:t>All equity awards granted in accordance with this Policy shall be granted under the Company’s then-current equity incentive plan (or director equity incentive plan, if any).</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318" w:lineRule="exact"/>
        <w:rPr>
          <w:sz w:val="20"/>
          <w:szCs w:val="20"/>
          <w:color w:val="auto"/>
        </w:rPr>
      </w:pPr>
    </w:p>
    <w:p>
      <w:pPr>
        <w:jc w:val="both"/>
        <w:ind w:left="200" w:right="219"/>
        <w:spacing w:after="0" w:line="296" w:lineRule="auto"/>
        <w:rPr>
          <w:sz w:val="20"/>
          <w:szCs w:val="20"/>
          <w:color w:val="auto"/>
        </w:rPr>
      </w:pPr>
      <w:r>
        <w:rPr>
          <w:rFonts w:ascii="Times New Roman" w:cs="Times New Roman" w:eastAsia="Times New Roman" w:hAnsi="Times New Roman"/>
          <w:sz w:val="22"/>
          <w:szCs w:val="22"/>
          <w:color w:val="auto"/>
        </w:rPr>
        <w:t>Either by unanimous written resolutions or by resolutions adopted at the next scheduled meeting of the Board or the Compensation Committee, as applicable, in each case following a non-employee director’s initial election to the Company’s Board, the Board or the Compensation Committee of the Board shall grant such non-employee director an option to purchase 38,000 of the Company’s ordinary shares and a restricted stock unit award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for 19,000 ordinary shares (collectively, the “</w:t>
      </w:r>
      <w:r>
        <w:rPr>
          <w:rFonts w:ascii="Times New Roman" w:cs="Times New Roman" w:eastAsia="Times New Roman" w:hAnsi="Times New Roman"/>
          <w:sz w:val="22"/>
          <w:szCs w:val="22"/>
          <w:b w:val="1"/>
          <w:bCs w:val="1"/>
          <w:i w:val="1"/>
          <w:iCs w:val="1"/>
          <w:color w:val="auto"/>
        </w:rPr>
        <w:t>Initial Grant</w:t>
      </w:r>
      <w:r>
        <w:rPr>
          <w:rFonts w:ascii="Times New Roman" w:cs="Times New Roman" w:eastAsia="Times New Roman" w:hAnsi="Times New Roman"/>
          <w:sz w:val="22"/>
          <w:szCs w:val="22"/>
          <w:color w:val="auto"/>
        </w:rPr>
        <w:t>”). The options and RSUs comprising the Initial Grant will vest in three equal installments on the first, second and third anniversaries of the date of grant, subject to continued service by the director as of such vesting date.</w:t>
      </w:r>
    </w:p>
    <w:p>
      <w:pPr>
        <w:spacing w:after="0" w:line="231"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22"/>
          <w:szCs w:val="22"/>
          <w:color w:val="auto"/>
        </w:rPr>
        <w:t>In addition, in January of each year, the Board or the Compensation Committee of the Board will grant to each non-employee director (other than the Chair) an option to purchase 19,000 ordinary shares and an RSU award for 9,500 ordinary shares, and the Chair will be granted an option to purchase 38,000 ordinary shares and an RSU award for 19,000 ordinary shares (collectively, the “</w:t>
      </w:r>
      <w:r>
        <w:rPr>
          <w:rFonts w:ascii="Times New Roman" w:cs="Times New Roman" w:eastAsia="Times New Roman" w:hAnsi="Times New Roman"/>
          <w:sz w:val="22"/>
          <w:szCs w:val="22"/>
          <w:b w:val="1"/>
          <w:bCs w:val="1"/>
          <w:i w:val="1"/>
          <w:iCs w:val="1"/>
          <w:color w:val="auto"/>
        </w:rPr>
        <w:t>Annual Grant</w:t>
      </w:r>
      <w:r>
        <w:rPr>
          <w:rFonts w:ascii="Times New Roman" w:cs="Times New Roman" w:eastAsia="Times New Roman" w:hAnsi="Times New Roman"/>
          <w:sz w:val="22"/>
          <w:szCs w:val="22"/>
          <w:color w:val="auto"/>
        </w:rPr>
        <w:t>”). If a new non-employee director joins the Board following the date of grant of the Annual Grant in any calendar year, such non-employee director will be granted a pro-rata portion of the next Annual Grant, based on the time between his or her appointment and the date of such Annual Grant. Annual Grants shall vest in four substantially equal installments on the 15</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day of the last month of each fiscal quarter in the year in which the Annual Grant is made, in each case, subject to continued service by the director as of each applicable vesting date.</w:t>
      </w:r>
    </w:p>
    <w:p>
      <w:pPr>
        <w:spacing w:after="0" w:line="218" w:lineRule="exact"/>
        <w:rPr>
          <w:sz w:val="20"/>
          <w:szCs w:val="20"/>
          <w:color w:val="auto"/>
        </w:rPr>
      </w:pPr>
    </w:p>
    <w:p>
      <w:pPr>
        <w:jc w:val="both"/>
        <w:ind w:left="200" w:right="219"/>
        <w:spacing w:after="0" w:line="302" w:lineRule="auto"/>
        <w:rPr>
          <w:sz w:val="20"/>
          <w:szCs w:val="20"/>
          <w:color w:val="auto"/>
        </w:rPr>
      </w:pPr>
      <w:r>
        <w:rPr>
          <w:rFonts w:ascii="Times New Roman" w:cs="Times New Roman" w:eastAsia="Times New Roman" w:hAnsi="Times New Roman"/>
          <w:sz w:val="22"/>
          <w:szCs w:val="22"/>
          <w:color w:val="auto"/>
        </w:rPr>
        <w:t>Notwithstanding anything herein to the contrary, the Compensation Committee may, in its sole discretion, provide for deferred settlement of RSUs awarded to a non-employee director as part of the Initial Grant and/or the Annual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3" w:name="page184"/>
    <w:bookmarkEnd w:id="183"/>
    <w:p>
      <w:pPr>
        <w:ind w:left="680" w:hanging="471"/>
        <w:spacing w:after="0"/>
        <w:tabs>
          <w:tab w:leader="none" w:pos="6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ees</w:t>
      </w:r>
    </w:p>
    <w:p>
      <w:pPr>
        <w:spacing w:after="0" w:line="318" w:lineRule="exact"/>
        <w:rPr>
          <w:sz w:val="20"/>
          <w:szCs w:val="20"/>
          <w:color w:val="auto"/>
        </w:rPr>
      </w:pPr>
    </w:p>
    <w:p>
      <w:pPr>
        <w:jc w:val="both"/>
        <w:ind w:left="200" w:right="219"/>
        <w:spacing w:after="0" w:line="298" w:lineRule="auto"/>
        <w:rPr>
          <w:sz w:val="20"/>
          <w:szCs w:val="20"/>
          <w:color w:val="auto"/>
        </w:rPr>
      </w:pPr>
      <w:r>
        <w:rPr>
          <w:rFonts w:ascii="Times New Roman" w:cs="Times New Roman" w:eastAsia="Times New Roman" w:hAnsi="Times New Roman"/>
          <w:sz w:val="22"/>
          <w:szCs w:val="22"/>
          <w:color w:val="auto"/>
        </w:rPr>
        <w:t>Each non-employee director will receive an annual cash fee for service on the Board and for service on each committee of which the director is a member. The chairs of the Board and of each committee will receive higher fees for such service. The amounts of the fees paid to each non-employee director for service on the Board and for service on each committee of the board of directors on which the director is a member are as follows: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4"/>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Member</w:t>
            </w:r>
          </w:p>
        </w:tc>
        <w:tc>
          <w:tcPr>
            <w:tcW w:w="200" w:type="dxa"/>
            <w:vAlign w:val="bottom"/>
          </w:tcPr>
          <w:p>
            <w:pPr>
              <w:spacing w:after="0"/>
              <w:rPr>
                <w:sz w:val="22"/>
                <w:szCs w:val="22"/>
                <w:color w:val="auto"/>
              </w:rPr>
            </w:pPr>
          </w:p>
        </w:tc>
        <w:tc>
          <w:tcPr>
            <w:tcW w:w="1180" w:type="dxa"/>
            <w:vAlign w:val="bottom"/>
            <w:gridSpan w:val="3"/>
          </w:tcPr>
          <w:p>
            <w:pPr>
              <w:jc w:val="center"/>
              <w:ind w:right="520"/>
              <w:spacing w:after="0"/>
              <w:rPr>
                <w:sz w:val="20"/>
                <w:szCs w:val="20"/>
                <w:color w:val="auto"/>
              </w:rPr>
            </w:pPr>
            <w:r>
              <w:rPr>
                <w:rFonts w:ascii="Times New Roman" w:cs="Times New Roman" w:eastAsia="Times New Roman" w:hAnsi="Times New Roman"/>
                <w:sz w:val="22"/>
                <w:szCs w:val="22"/>
                <w:b w:val="1"/>
                <w:bCs w:val="1"/>
                <w:color w:val="auto"/>
                <w:w w:val="98"/>
              </w:rPr>
              <w:t>Chair</w:t>
            </w:r>
          </w:p>
        </w:tc>
      </w:tr>
      <w:tr>
        <w:trPr>
          <w:trHeight w:val="257"/>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7"/>
              </w:rPr>
              <w:t>Annual</w:t>
            </w:r>
          </w:p>
        </w:tc>
        <w:tc>
          <w:tcPr>
            <w:tcW w:w="200" w:type="dxa"/>
            <w:vAlign w:val="bottom"/>
          </w:tcPr>
          <w:p>
            <w:pPr>
              <w:spacing w:after="0"/>
              <w:rPr>
                <w:sz w:val="22"/>
                <w:szCs w:val="22"/>
                <w:color w:val="auto"/>
              </w:rPr>
            </w:pPr>
          </w:p>
        </w:tc>
        <w:tc>
          <w:tcPr>
            <w:tcW w:w="118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7"/>
              </w:rPr>
              <w:t>Annual</w:t>
            </w:r>
          </w:p>
        </w:tc>
      </w:tr>
      <w:tr>
        <w:trPr>
          <w:trHeight w:val="281"/>
        </w:trPr>
        <w:tc>
          <w:tcPr>
            <w:tcW w:w="4480" w:type="dxa"/>
            <w:vAlign w:val="bottom"/>
            <w:tcBorders>
              <w:bottom w:val="single" w:sz="8" w:color="95B3D7"/>
            </w:tcBorders>
          </w:tcPr>
          <w:p>
            <w:pPr>
              <w:spacing w:after="0"/>
              <w:rPr>
                <w:sz w:val="24"/>
                <w:szCs w:val="24"/>
                <w:color w:val="auto"/>
              </w:rPr>
            </w:pPr>
          </w:p>
        </w:tc>
        <w:tc>
          <w:tcPr>
            <w:tcW w:w="260" w:type="dxa"/>
            <w:vAlign w:val="bottom"/>
            <w:tcBorders>
              <w:bottom w:val="single" w:sz="8" w:color="95B3D7"/>
            </w:tcBorders>
          </w:tcPr>
          <w:p>
            <w:pPr>
              <w:spacing w:after="0"/>
              <w:rPr>
                <w:sz w:val="24"/>
                <w:szCs w:val="24"/>
                <w:color w:val="auto"/>
              </w:rPr>
            </w:pPr>
          </w:p>
        </w:tc>
        <w:tc>
          <w:tcPr>
            <w:tcW w:w="200" w:type="dxa"/>
            <w:vAlign w:val="bottom"/>
            <w:tcBorders>
              <w:bottom w:val="single" w:sz="8" w:color="95B3D7"/>
            </w:tcBorders>
          </w:tcPr>
          <w:p>
            <w:pPr>
              <w:spacing w:after="0"/>
              <w:rPr>
                <w:sz w:val="24"/>
                <w:szCs w:val="24"/>
                <w:color w:val="auto"/>
              </w:rPr>
            </w:pPr>
          </w:p>
        </w:tc>
        <w:tc>
          <w:tcPr>
            <w:tcW w:w="140" w:type="dxa"/>
            <w:vAlign w:val="bottom"/>
            <w:tcBorders>
              <w:bottom w:val="single" w:sz="8" w:color="95B3D7"/>
            </w:tcBorders>
          </w:tcPr>
          <w:p>
            <w:pPr>
              <w:spacing w:after="0"/>
              <w:rPr>
                <w:sz w:val="24"/>
                <w:szCs w:val="24"/>
                <w:color w:val="auto"/>
              </w:rPr>
            </w:pPr>
          </w:p>
        </w:tc>
        <w:tc>
          <w:tcPr>
            <w:tcW w:w="1080" w:type="dxa"/>
            <w:vAlign w:val="bottom"/>
            <w:tcBorders>
              <w:bottom w:val="single" w:sz="8" w:color="95B3D7"/>
            </w:tcBorders>
            <w:gridSpan w:val="2"/>
          </w:tcPr>
          <w:p>
            <w:pPr>
              <w:jc w:val="center"/>
              <w:ind w:right="640"/>
              <w:spacing w:after="0"/>
              <w:rPr>
                <w:sz w:val="20"/>
                <w:szCs w:val="20"/>
                <w:color w:val="auto"/>
              </w:rPr>
            </w:pPr>
            <w:r>
              <w:rPr>
                <w:rFonts w:ascii="Times New Roman" w:cs="Times New Roman" w:eastAsia="Times New Roman" w:hAnsi="Times New Roman"/>
                <w:sz w:val="22"/>
                <w:szCs w:val="22"/>
                <w:b w:val="1"/>
                <w:bCs w:val="1"/>
                <w:color w:val="auto"/>
                <w:w w:val="96"/>
              </w:rPr>
              <w:t>Fee</w:t>
            </w:r>
          </w:p>
        </w:tc>
        <w:tc>
          <w:tcPr>
            <w:tcW w:w="200" w:type="dxa"/>
            <w:vAlign w:val="bottom"/>
            <w:tcBorders>
              <w:bottom w:val="single" w:sz="8" w:color="95B3D7"/>
            </w:tcBorders>
          </w:tcPr>
          <w:p>
            <w:pPr>
              <w:spacing w:after="0"/>
              <w:rPr>
                <w:sz w:val="24"/>
                <w:szCs w:val="24"/>
                <w:color w:val="auto"/>
              </w:rPr>
            </w:pPr>
          </w:p>
        </w:tc>
        <w:tc>
          <w:tcPr>
            <w:tcW w:w="120" w:type="dxa"/>
            <w:vAlign w:val="bottom"/>
            <w:tcBorders>
              <w:bottom w:val="single" w:sz="8" w:color="95B3D7"/>
            </w:tcBorders>
          </w:tcPr>
          <w:p>
            <w:pPr>
              <w:spacing w:after="0"/>
              <w:rPr>
                <w:sz w:val="24"/>
                <w:szCs w:val="24"/>
                <w:color w:val="auto"/>
              </w:rPr>
            </w:pPr>
          </w:p>
        </w:tc>
        <w:tc>
          <w:tcPr>
            <w:tcW w:w="1060" w:type="dxa"/>
            <w:vAlign w:val="bottom"/>
            <w:tcBorders>
              <w:bottom w:val="single" w:sz="8" w:color="95B3D7"/>
            </w:tcBorders>
            <w:gridSpan w:val="2"/>
          </w:tcPr>
          <w:p>
            <w:pPr>
              <w:jc w:val="center"/>
              <w:ind w:right="620"/>
              <w:spacing w:after="0"/>
              <w:rPr>
                <w:sz w:val="20"/>
                <w:szCs w:val="20"/>
                <w:color w:val="auto"/>
              </w:rPr>
            </w:pPr>
            <w:r>
              <w:rPr>
                <w:rFonts w:ascii="Times New Roman" w:cs="Times New Roman" w:eastAsia="Times New Roman" w:hAnsi="Times New Roman"/>
                <w:sz w:val="22"/>
                <w:szCs w:val="22"/>
                <w:b w:val="1"/>
                <w:bCs w:val="1"/>
                <w:color w:val="auto"/>
                <w:w w:val="96"/>
              </w:rPr>
              <w:t>Fee</w:t>
            </w:r>
          </w:p>
        </w:tc>
      </w:tr>
      <w:tr>
        <w:trPr>
          <w:trHeight w:val="256"/>
        </w:trPr>
        <w:tc>
          <w:tcPr>
            <w:tcW w:w="4480" w:type="dxa"/>
            <w:vAlign w:val="bottom"/>
            <w:tcBorders>
              <w:bottom w:val="single" w:sz="8" w:color="95B3D7"/>
              <w:right w:val="single" w:sz="8" w:color="95B3D7"/>
            </w:tcBorders>
            <w:shd w:val="clear" w:color="auto" w:fill="DCE6F2"/>
          </w:tcPr>
          <w:p>
            <w:pPr>
              <w:ind w:left="80"/>
              <w:spacing w:after="0"/>
              <w:rPr>
                <w:sz w:val="20"/>
                <w:szCs w:val="20"/>
                <w:color w:val="auto"/>
              </w:rPr>
            </w:pPr>
            <w:r>
              <w:rPr>
                <w:rFonts w:ascii="Times New Roman" w:cs="Times New Roman" w:eastAsia="Times New Roman" w:hAnsi="Times New Roman"/>
                <w:sz w:val="22"/>
                <w:szCs w:val="22"/>
                <w:b w:val="1"/>
                <w:bCs w:val="1"/>
                <w:color w:val="auto"/>
              </w:rPr>
              <w:t>Board of Directors</w:t>
            </w:r>
          </w:p>
        </w:tc>
        <w:tc>
          <w:tcPr>
            <w:tcW w:w="260" w:type="dxa"/>
            <w:vAlign w:val="bottom"/>
            <w:tcBorders>
              <w:bottom w:val="single" w:sz="8" w:color="95B3D7"/>
              <w:right w:val="single" w:sz="8" w:color="95B3D7"/>
            </w:tcBorders>
            <w:shd w:val="clear" w:color="auto" w:fill="DCE6F2"/>
          </w:tcPr>
          <w:p>
            <w:pPr>
              <w:spacing w:after="0"/>
              <w:rPr>
                <w:sz w:val="22"/>
                <w:szCs w:val="22"/>
                <w:color w:val="auto"/>
              </w:rPr>
            </w:pPr>
          </w:p>
        </w:tc>
        <w:tc>
          <w:tcPr>
            <w:tcW w:w="200" w:type="dxa"/>
            <w:vAlign w:val="bottom"/>
            <w:tcBorders>
              <w:bottom w:val="single" w:sz="8" w:color="95B3D7"/>
            </w:tcBorders>
            <w:shd w:val="clear" w:color="auto" w:fill="DCE6F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95B3D7"/>
              <w:right w:val="single" w:sz="8" w:color="95B3D7"/>
            </w:tcBorders>
            <w:shd w:val="clear" w:color="auto" w:fill="DCE6F2"/>
          </w:tcPr>
          <w:p>
            <w:pPr>
              <w:spacing w:after="0"/>
              <w:rPr>
                <w:sz w:val="22"/>
                <w:szCs w:val="22"/>
                <w:color w:val="auto"/>
              </w:rPr>
            </w:pPr>
          </w:p>
        </w:tc>
        <w:tc>
          <w:tcPr>
            <w:tcW w:w="800" w:type="dxa"/>
            <w:vAlign w:val="bottom"/>
            <w:tcBorders>
              <w:bottom w:val="single" w:sz="8" w:color="95B3D7"/>
              <w:right w:val="single" w:sz="8" w:color="95B3D7"/>
            </w:tcBorders>
            <w:shd w:val="clear" w:color="auto" w:fill="DCE6F2"/>
          </w:tcPr>
          <w:p>
            <w:pPr>
              <w:jc w:val="right"/>
              <w:ind w:right="12"/>
              <w:spacing w:after="0"/>
              <w:rPr>
                <w:sz w:val="20"/>
                <w:szCs w:val="20"/>
                <w:color w:val="auto"/>
              </w:rPr>
            </w:pPr>
            <w:r>
              <w:rPr>
                <w:rFonts w:ascii="Times New Roman" w:cs="Times New Roman" w:eastAsia="Times New Roman" w:hAnsi="Times New Roman"/>
                <w:sz w:val="22"/>
                <w:szCs w:val="22"/>
                <w:color w:val="auto"/>
              </w:rPr>
              <w:t>45,000</w:t>
            </w:r>
          </w:p>
        </w:tc>
        <w:tc>
          <w:tcPr>
            <w:tcW w:w="280" w:type="dxa"/>
            <w:vAlign w:val="bottom"/>
            <w:tcBorders>
              <w:bottom w:val="single" w:sz="8" w:color="95B3D7"/>
              <w:right w:val="single" w:sz="8" w:color="95B3D7"/>
            </w:tcBorders>
            <w:shd w:val="clear" w:color="auto" w:fill="DCE6F2"/>
          </w:tcPr>
          <w:p>
            <w:pPr>
              <w:spacing w:after="0"/>
              <w:rPr>
                <w:sz w:val="22"/>
                <w:szCs w:val="22"/>
                <w:color w:val="auto"/>
              </w:rPr>
            </w:pPr>
          </w:p>
        </w:tc>
        <w:tc>
          <w:tcPr>
            <w:tcW w:w="200" w:type="dxa"/>
            <w:vAlign w:val="bottom"/>
            <w:tcBorders>
              <w:bottom w:val="single" w:sz="8" w:color="95B3D7"/>
            </w:tcBorders>
            <w:shd w:val="clear" w:color="auto" w:fill="DCE6F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bottom w:val="single" w:sz="8" w:color="95B3D7"/>
              <w:right w:val="single" w:sz="8" w:color="95B3D7"/>
            </w:tcBorders>
            <w:shd w:val="clear" w:color="auto" w:fill="DCE6F2"/>
          </w:tcPr>
          <w:p>
            <w:pPr>
              <w:spacing w:after="0"/>
              <w:rPr>
                <w:sz w:val="22"/>
                <w:szCs w:val="22"/>
                <w:color w:val="auto"/>
              </w:rPr>
            </w:pPr>
          </w:p>
        </w:tc>
        <w:tc>
          <w:tcPr>
            <w:tcW w:w="800" w:type="dxa"/>
            <w:vAlign w:val="bottom"/>
            <w:tcBorders>
              <w:bottom w:val="single" w:sz="8" w:color="95B3D7"/>
              <w:right w:val="single" w:sz="8" w:color="95B3D7"/>
            </w:tcBorders>
            <w:shd w:val="clear" w:color="auto" w:fill="DCE6F2"/>
          </w:tcPr>
          <w:p>
            <w:pPr>
              <w:jc w:val="right"/>
              <w:spacing w:after="0"/>
              <w:rPr>
                <w:sz w:val="20"/>
                <w:szCs w:val="20"/>
                <w:color w:val="auto"/>
              </w:rPr>
            </w:pPr>
            <w:r>
              <w:rPr>
                <w:rFonts w:ascii="Times New Roman" w:cs="Times New Roman" w:eastAsia="Times New Roman" w:hAnsi="Times New Roman"/>
                <w:sz w:val="22"/>
                <w:szCs w:val="22"/>
                <w:color w:val="auto"/>
              </w:rPr>
              <w:t>80,000</w:t>
            </w:r>
          </w:p>
        </w:tc>
        <w:tc>
          <w:tcPr>
            <w:tcW w:w="260" w:type="dxa"/>
            <w:vAlign w:val="bottom"/>
            <w:tcBorders>
              <w:bottom w:val="single" w:sz="8" w:color="95B3D7"/>
            </w:tcBorders>
            <w:shd w:val="clear" w:color="auto" w:fill="DCE6F2"/>
          </w:tcPr>
          <w:p>
            <w:pPr>
              <w:spacing w:after="0"/>
              <w:rPr>
                <w:sz w:val="22"/>
                <w:szCs w:val="22"/>
                <w:color w:val="auto"/>
              </w:rPr>
            </w:pPr>
          </w:p>
        </w:tc>
      </w:tr>
      <w:tr>
        <w:trPr>
          <w:trHeight w:val="250"/>
        </w:trPr>
        <w:tc>
          <w:tcPr>
            <w:tcW w:w="4480" w:type="dxa"/>
            <w:vAlign w:val="bottom"/>
            <w:tcBorders>
              <w:bottom w:val="single" w:sz="8" w:color="95B3D7"/>
              <w:right w:val="single" w:sz="8" w:color="95B3D7"/>
            </w:tcBorders>
          </w:tcPr>
          <w:p>
            <w:pPr>
              <w:ind w:left="80"/>
              <w:spacing w:after="0" w:line="250" w:lineRule="exact"/>
              <w:rPr>
                <w:sz w:val="20"/>
                <w:szCs w:val="20"/>
                <w:color w:val="auto"/>
              </w:rPr>
            </w:pPr>
            <w:r>
              <w:rPr>
                <w:rFonts w:ascii="Times New Roman" w:cs="Times New Roman" w:eastAsia="Times New Roman" w:hAnsi="Times New Roman"/>
                <w:sz w:val="22"/>
                <w:szCs w:val="22"/>
                <w:b w:val="1"/>
                <w:bCs w:val="1"/>
                <w:color w:val="auto"/>
              </w:rPr>
              <w:t>Audit Committee</w:t>
            </w:r>
          </w:p>
        </w:tc>
        <w:tc>
          <w:tcPr>
            <w:tcW w:w="260" w:type="dxa"/>
            <w:vAlign w:val="bottom"/>
            <w:tcBorders>
              <w:bottom w:val="single" w:sz="8" w:color="95B3D7"/>
              <w:right w:val="single" w:sz="8" w:color="95B3D7"/>
            </w:tcBorders>
          </w:tcPr>
          <w:p>
            <w:pPr>
              <w:spacing w:after="0"/>
              <w:rPr>
                <w:sz w:val="21"/>
                <w:szCs w:val="21"/>
                <w:color w:val="auto"/>
              </w:rPr>
            </w:pPr>
          </w:p>
        </w:tc>
        <w:tc>
          <w:tcPr>
            <w:tcW w:w="200" w:type="dxa"/>
            <w:vAlign w:val="bottom"/>
            <w:tcBorders>
              <w:bottom w:val="single" w:sz="8" w:color="95B3D7"/>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95B3D7"/>
              <w:right w:val="single" w:sz="8" w:color="95B3D7"/>
            </w:tcBorders>
          </w:tcPr>
          <w:p>
            <w:pPr>
              <w:spacing w:after="0"/>
              <w:rPr>
                <w:sz w:val="21"/>
                <w:szCs w:val="21"/>
                <w:color w:val="auto"/>
              </w:rPr>
            </w:pPr>
          </w:p>
        </w:tc>
        <w:tc>
          <w:tcPr>
            <w:tcW w:w="800" w:type="dxa"/>
            <w:vAlign w:val="bottom"/>
            <w:tcBorders>
              <w:bottom w:val="single" w:sz="8" w:color="95B3D7"/>
              <w:right w:val="single" w:sz="8" w:color="95B3D7"/>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10,000</w:t>
            </w:r>
          </w:p>
        </w:tc>
        <w:tc>
          <w:tcPr>
            <w:tcW w:w="280" w:type="dxa"/>
            <w:vAlign w:val="bottom"/>
            <w:tcBorders>
              <w:bottom w:val="single" w:sz="8" w:color="95B3D7"/>
              <w:right w:val="single" w:sz="8" w:color="95B3D7"/>
            </w:tcBorders>
          </w:tcPr>
          <w:p>
            <w:pPr>
              <w:spacing w:after="0"/>
              <w:rPr>
                <w:sz w:val="21"/>
                <w:szCs w:val="21"/>
                <w:color w:val="auto"/>
              </w:rPr>
            </w:pPr>
          </w:p>
        </w:tc>
        <w:tc>
          <w:tcPr>
            <w:tcW w:w="200" w:type="dxa"/>
            <w:vAlign w:val="bottom"/>
            <w:tcBorders>
              <w:bottom w:val="single" w:sz="8" w:color="95B3D7"/>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bottom w:val="single" w:sz="8" w:color="95B3D7"/>
              <w:right w:val="single" w:sz="8" w:color="95B3D7"/>
            </w:tcBorders>
          </w:tcPr>
          <w:p>
            <w:pPr>
              <w:spacing w:after="0"/>
              <w:rPr>
                <w:sz w:val="21"/>
                <w:szCs w:val="21"/>
                <w:color w:val="auto"/>
              </w:rPr>
            </w:pPr>
          </w:p>
        </w:tc>
        <w:tc>
          <w:tcPr>
            <w:tcW w:w="800" w:type="dxa"/>
            <w:vAlign w:val="bottom"/>
            <w:tcBorders>
              <w:bottom w:val="single" w:sz="8" w:color="95B3D7"/>
              <w:right w:val="single" w:sz="8" w:color="95B3D7"/>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20,000</w:t>
            </w:r>
          </w:p>
        </w:tc>
        <w:tc>
          <w:tcPr>
            <w:tcW w:w="260" w:type="dxa"/>
            <w:vAlign w:val="bottom"/>
            <w:tcBorders>
              <w:bottom w:val="single" w:sz="8" w:color="95B3D7"/>
            </w:tcBorders>
          </w:tcPr>
          <w:p>
            <w:pPr>
              <w:spacing w:after="0"/>
              <w:rPr>
                <w:sz w:val="21"/>
                <w:szCs w:val="21"/>
                <w:color w:val="auto"/>
              </w:rPr>
            </w:pPr>
          </w:p>
        </w:tc>
      </w:tr>
      <w:tr>
        <w:trPr>
          <w:trHeight w:val="250"/>
        </w:trPr>
        <w:tc>
          <w:tcPr>
            <w:tcW w:w="4480" w:type="dxa"/>
            <w:vAlign w:val="bottom"/>
            <w:tcBorders>
              <w:bottom w:val="single" w:sz="8" w:color="95B3D7"/>
              <w:right w:val="single" w:sz="8" w:color="95B3D7"/>
            </w:tcBorders>
            <w:shd w:val="clear" w:color="auto" w:fill="DCE6F2"/>
          </w:tcPr>
          <w:p>
            <w:pPr>
              <w:ind w:left="80"/>
              <w:spacing w:after="0" w:line="250" w:lineRule="exact"/>
              <w:rPr>
                <w:sz w:val="20"/>
                <w:szCs w:val="20"/>
                <w:color w:val="auto"/>
              </w:rPr>
            </w:pPr>
            <w:r>
              <w:rPr>
                <w:rFonts w:ascii="Times New Roman" w:cs="Times New Roman" w:eastAsia="Times New Roman" w:hAnsi="Times New Roman"/>
                <w:sz w:val="22"/>
                <w:szCs w:val="22"/>
                <w:b w:val="1"/>
                <w:bCs w:val="1"/>
                <w:color w:val="auto"/>
              </w:rPr>
              <w:t>Compensation Committee</w:t>
            </w:r>
          </w:p>
        </w:tc>
        <w:tc>
          <w:tcPr>
            <w:tcW w:w="260" w:type="dxa"/>
            <w:vAlign w:val="bottom"/>
            <w:tcBorders>
              <w:bottom w:val="single" w:sz="8" w:color="95B3D7"/>
              <w:right w:val="single" w:sz="8" w:color="95B3D7"/>
            </w:tcBorders>
            <w:shd w:val="clear" w:color="auto" w:fill="DCE6F2"/>
          </w:tcPr>
          <w:p>
            <w:pPr>
              <w:spacing w:after="0"/>
              <w:rPr>
                <w:sz w:val="21"/>
                <w:szCs w:val="21"/>
                <w:color w:val="auto"/>
              </w:rPr>
            </w:pPr>
          </w:p>
        </w:tc>
        <w:tc>
          <w:tcPr>
            <w:tcW w:w="200" w:type="dxa"/>
            <w:vAlign w:val="bottom"/>
            <w:tcBorders>
              <w:bottom w:val="single" w:sz="8" w:color="95B3D7"/>
            </w:tcBorders>
            <w:shd w:val="clear" w:color="auto" w:fill="DCE6F2"/>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95B3D7"/>
              <w:right w:val="single" w:sz="8" w:color="95B3D7"/>
            </w:tcBorders>
            <w:shd w:val="clear" w:color="auto" w:fill="DCE6F2"/>
          </w:tcPr>
          <w:p>
            <w:pPr>
              <w:spacing w:after="0"/>
              <w:rPr>
                <w:sz w:val="21"/>
                <w:szCs w:val="21"/>
                <w:color w:val="auto"/>
              </w:rPr>
            </w:pPr>
          </w:p>
        </w:tc>
        <w:tc>
          <w:tcPr>
            <w:tcW w:w="800" w:type="dxa"/>
            <w:vAlign w:val="bottom"/>
            <w:tcBorders>
              <w:bottom w:val="single" w:sz="8" w:color="95B3D7"/>
              <w:right w:val="single" w:sz="8" w:color="95B3D7"/>
            </w:tcBorders>
            <w:shd w:val="clear" w:color="auto" w:fill="DCE6F2"/>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7,500</w:t>
            </w:r>
          </w:p>
        </w:tc>
        <w:tc>
          <w:tcPr>
            <w:tcW w:w="280" w:type="dxa"/>
            <w:vAlign w:val="bottom"/>
            <w:tcBorders>
              <w:bottom w:val="single" w:sz="8" w:color="95B3D7"/>
              <w:right w:val="single" w:sz="8" w:color="95B3D7"/>
            </w:tcBorders>
            <w:shd w:val="clear" w:color="auto" w:fill="DCE6F2"/>
          </w:tcPr>
          <w:p>
            <w:pPr>
              <w:spacing w:after="0"/>
              <w:rPr>
                <w:sz w:val="21"/>
                <w:szCs w:val="21"/>
                <w:color w:val="auto"/>
              </w:rPr>
            </w:pPr>
          </w:p>
        </w:tc>
        <w:tc>
          <w:tcPr>
            <w:tcW w:w="200" w:type="dxa"/>
            <w:vAlign w:val="bottom"/>
            <w:tcBorders>
              <w:bottom w:val="single" w:sz="8" w:color="95B3D7"/>
            </w:tcBorders>
            <w:shd w:val="clear" w:color="auto" w:fill="DCE6F2"/>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bottom w:val="single" w:sz="8" w:color="95B3D7"/>
              <w:right w:val="single" w:sz="8" w:color="95B3D7"/>
            </w:tcBorders>
            <w:shd w:val="clear" w:color="auto" w:fill="DCE6F2"/>
          </w:tcPr>
          <w:p>
            <w:pPr>
              <w:spacing w:after="0"/>
              <w:rPr>
                <w:sz w:val="21"/>
                <w:szCs w:val="21"/>
                <w:color w:val="auto"/>
              </w:rPr>
            </w:pPr>
          </w:p>
        </w:tc>
        <w:tc>
          <w:tcPr>
            <w:tcW w:w="800" w:type="dxa"/>
            <w:vAlign w:val="bottom"/>
            <w:tcBorders>
              <w:bottom w:val="single" w:sz="8" w:color="95B3D7"/>
              <w:right w:val="single" w:sz="8" w:color="95B3D7"/>
            </w:tcBorders>
            <w:shd w:val="clear" w:color="auto" w:fill="DCE6F2"/>
          </w:tcPr>
          <w:p>
            <w:pPr>
              <w:jc w:val="right"/>
              <w:spacing w:after="0" w:line="250" w:lineRule="exact"/>
              <w:rPr>
                <w:sz w:val="20"/>
                <w:szCs w:val="20"/>
                <w:color w:val="auto"/>
              </w:rPr>
            </w:pPr>
            <w:r>
              <w:rPr>
                <w:rFonts w:ascii="Times New Roman" w:cs="Times New Roman" w:eastAsia="Times New Roman" w:hAnsi="Times New Roman"/>
                <w:sz w:val="22"/>
                <w:szCs w:val="22"/>
                <w:color w:val="auto"/>
              </w:rPr>
              <w:t>15,000</w:t>
            </w:r>
          </w:p>
        </w:tc>
        <w:tc>
          <w:tcPr>
            <w:tcW w:w="260" w:type="dxa"/>
            <w:vAlign w:val="bottom"/>
            <w:tcBorders>
              <w:bottom w:val="single" w:sz="8" w:color="95B3D7"/>
            </w:tcBorders>
            <w:shd w:val="clear" w:color="auto" w:fill="DCE6F2"/>
          </w:tcPr>
          <w:p>
            <w:pPr>
              <w:spacing w:after="0"/>
              <w:rPr>
                <w:sz w:val="21"/>
                <w:szCs w:val="21"/>
                <w:color w:val="auto"/>
              </w:rPr>
            </w:pPr>
          </w:p>
        </w:tc>
      </w:tr>
      <w:tr>
        <w:trPr>
          <w:trHeight w:val="232"/>
        </w:trPr>
        <w:tc>
          <w:tcPr>
            <w:tcW w:w="4480" w:type="dxa"/>
            <w:vAlign w:val="bottom"/>
            <w:tcBorders>
              <w:right w:val="single" w:sz="8" w:color="95B3D7"/>
            </w:tcBorders>
          </w:tcPr>
          <w:p>
            <w:pPr>
              <w:ind w:left="80"/>
              <w:spacing w:after="0" w:line="232" w:lineRule="exact"/>
              <w:rPr>
                <w:sz w:val="20"/>
                <w:szCs w:val="20"/>
                <w:color w:val="auto"/>
              </w:rPr>
            </w:pPr>
            <w:r>
              <w:rPr>
                <w:rFonts w:ascii="Times New Roman" w:cs="Times New Roman" w:eastAsia="Times New Roman" w:hAnsi="Times New Roman"/>
                <w:sz w:val="22"/>
                <w:szCs w:val="22"/>
                <w:b w:val="1"/>
                <w:bCs w:val="1"/>
                <w:color w:val="auto"/>
              </w:rPr>
              <w:t>Nominating and Corporate Governance</w:t>
            </w:r>
          </w:p>
        </w:tc>
        <w:tc>
          <w:tcPr>
            <w:tcW w:w="260" w:type="dxa"/>
            <w:vAlign w:val="bottom"/>
            <w:tcBorders>
              <w:right w:val="single" w:sz="8" w:color="95B3D7"/>
            </w:tcBorders>
          </w:tcPr>
          <w:p>
            <w:pPr>
              <w:spacing w:after="0"/>
              <w:rPr>
                <w:sz w:val="20"/>
                <w:szCs w:val="20"/>
                <w:color w:val="auto"/>
              </w:rPr>
            </w:pPr>
          </w:p>
        </w:tc>
        <w:tc>
          <w:tcPr>
            <w:tcW w:w="200" w:type="dxa"/>
            <w:vAlign w:val="bottom"/>
          </w:tcPr>
          <w:p>
            <w:pPr>
              <w:jc w:val="right"/>
              <w:spacing w:after="0" w:line="232"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right w:val="single" w:sz="8" w:color="95B3D7"/>
            </w:tcBorders>
          </w:tcPr>
          <w:p>
            <w:pPr>
              <w:spacing w:after="0"/>
              <w:rPr>
                <w:sz w:val="20"/>
                <w:szCs w:val="20"/>
                <w:color w:val="auto"/>
              </w:rPr>
            </w:pPr>
          </w:p>
        </w:tc>
        <w:tc>
          <w:tcPr>
            <w:tcW w:w="800" w:type="dxa"/>
            <w:vAlign w:val="bottom"/>
            <w:tcBorders>
              <w:right w:val="single" w:sz="8" w:color="95B3D7"/>
            </w:tcBorders>
          </w:tcPr>
          <w:p>
            <w:pPr>
              <w:jc w:val="right"/>
              <w:ind w:right="12"/>
              <w:spacing w:after="0" w:line="232" w:lineRule="exact"/>
              <w:rPr>
                <w:sz w:val="20"/>
                <w:szCs w:val="20"/>
                <w:color w:val="auto"/>
              </w:rPr>
            </w:pPr>
            <w:r>
              <w:rPr>
                <w:rFonts w:ascii="Times New Roman" w:cs="Times New Roman" w:eastAsia="Times New Roman" w:hAnsi="Times New Roman"/>
                <w:sz w:val="22"/>
                <w:szCs w:val="22"/>
                <w:color w:val="auto"/>
              </w:rPr>
              <w:t>5,000</w:t>
            </w:r>
          </w:p>
        </w:tc>
        <w:tc>
          <w:tcPr>
            <w:tcW w:w="280" w:type="dxa"/>
            <w:vAlign w:val="bottom"/>
            <w:tcBorders>
              <w:right w:val="single" w:sz="8" w:color="95B3D7"/>
            </w:tcBorders>
          </w:tcPr>
          <w:p>
            <w:pPr>
              <w:spacing w:after="0"/>
              <w:rPr>
                <w:sz w:val="20"/>
                <w:szCs w:val="20"/>
                <w:color w:val="auto"/>
              </w:rPr>
            </w:pPr>
          </w:p>
        </w:tc>
        <w:tc>
          <w:tcPr>
            <w:tcW w:w="200" w:type="dxa"/>
            <w:vAlign w:val="bottom"/>
          </w:tcPr>
          <w:p>
            <w:pPr>
              <w:jc w:val="right"/>
              <w:spacing w:after="0" w:line="232"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right w:val="single" w:sz="8" w:color="95B3D7"/>
            </w:tcBorders>
          </w:tcPr>
          <w:p>
            <w:pPr>
              <w:spacing w:after="0"/>
              <w:rPr>
                <w:sz w:val="20"/>
                <w:szCs w:val="20"/>
                <w:color w:val="auto"/>
              </w:rPr>
            </w:pPr>
          </w:p>
        </w:tc>
        <w:tc>
          <w:tcPr>
            <w:tcW w:w="800" w:type="dxa"/>
            <w:vAlign w:val="bottom"/>
            <w:tcBorders>
              <w:right w:val="single" w:sz="8" w:color="95B3D7"/>
            </w:tcBorders>
          </w:tcPr>
          <w:p>
            <w:pPr>
              <w:jc w:val="right"/>
              <w:spacing w:after="0" w:line="232" w:lineRule="exact"/>
              <w:rPr>
                <w:sz w:val="20"/>
                <w:szCs w:val="20"/>
                <w:color w:val="auto"/>
              </w:rPr>
            </w:pPr>
            <w:r>
              <w:rPr>
                <w:rFonts w:ascii="Times New Roman" w:cs="Times New Roman" w:eastAsia="Times New Roman" w:hAnsi="Times New Roman"/>
                <w:sz w:val="22"/>
                <w:szCs w:val="22"/>
                <w:color w:val="auto"/>
              </w:rPr>
              <w:t>10,000</w:t>
            </w:r>
          </w:p>
        </w:tc>
        <w:tc>
          <w:tcPr>
            <w:tcW w:w="260" w:type="dxa"/>
            <w:vAlign w:val="bottom"/>
          </w:tcPr>
          <w:p>
            <w:pPr>
              <w:spacing w:after="0"/>
              <w:rPr>
                <w:sz w:val="20"/>
                <w:szCs w:val="20"/>
                <w:color w:val="auto"/>
              </w:rPr>
            </w:pPr>
          </w:p>
        </w:tc>
      </w:tr>
      <w:tr>
        <w:trPr>
          <w:trHeight w:val="274"/>
        </w:trPr>
        <w:tc>
          <w:tcPr>
            <w:tcW w:w="4480" w:type="dxa"/>
            <w:vAlign w:val="bottom"/>
            <w:tcBorders>
              <w:bottom w:val="single" w:sz="8" w:color="95B3D7"/>
              <w:right w:val="single" w:sz="8" w:color="95B3D7"/>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Committee</w:t>
            </w:r>
          </w:p>
        </w:tc>
        <w:tc>
          <w:tcPr>
            <w:tcW w:w="260" w:type="dxa"/>
            <w:vAlign w:val="bottom"/>
            <w:tcBorders>
              <w:bottom w:val="single" w:sz="8" w:color="95B3D7"/>
              <w:right w:val="single" w:sz="8" w:color="95B3D7"/>
            </w:tcBorders>
          </w:tcPr>
          <w:p>
            <w:pPr>
              <w:spacing w:after="0"/>
              <w:rPr>
                <w:sz w:val="23"/>
                <w:szCs w:val="23"/>
                <w:color w:val="auto"/>
              </w:rPr>
            </w:pPr>
          </w:p>
        </w:tc>
        <w:tc>
          <w:tcPr>
            <w:tcW w:w="200" w:type="dxa"/>
            <w:vAlign w:val="bottom"/>
            <w:tcBorders>
              <w:bottom w:val="single" w:sz="8" w:color="95B3D7"/>
            </w:tcBorders>
          </w:tcPr>
          <w:p>
            <w:pPr>
              <w:spacing w:after="0"/>
              <w:rPr>
                <w:sz w:val="23"/>
                <w:szCs w:val="23"/>
                <w:color w:val="auto"/>
              </w:rPr>
            </w:pPr>
          </w:p>
        </w:tc>
        <w:tc>
          <w:tcPr>
            <w:tcW w:w="140" w:type="dxa"/>
            <w:vAlign w:val="bottom"/>
            <w:tcBorders>
              <w:bottom w:val="single" w:sz="8" w:color="95B3D7"/>
              <w:right w:val="single" w:sz="8" w:color="95B3D7"/>
            </w:tcBorders>
          </w:tcPr>
          <w:p>
            <w:pPr>
              <w:spacing w:after="0"/>
              <w:rPr>
                <w:sz w:val="23"/>
                <w:szCs w:val="23"/>
                <w:color w:val="auto"/>
              </w:rPr>
            </w:pPr>
          </w:p>
        </w:tc>
        <w:tc>
          <w:tcPr>
            <w:tcW w:w="800" w:type="dxa"/>
            <w:vAlign w:val="bottom"/>
            <w:tcBorders>
              <w:bottom w:val="single" w:sz="8" w:color="95B3D7"/>
              <w:right w:val="single" w:sz="8" w:color="95B3D7"/>
            </w:tcBorders>
          </w:tcPr>
          <w:p>
            <w:pPr>
              <w:spacing w:after="0"/>
              <w:rPr>
                <w:sz w:val="23"/>
                <w:szCs w:val="23"/>
                <w:color w:val="auto"/>
              </w:rPr>
            </w:pPr>
          </w:p>
        </w:tc>
        <w:tc>
          <w:tcPr>
            <w:tcW w:w="280" w:type="dxa"/>
            <w:vAlign w:val="bottom"/>
            <w:tcBorders>
              <w:bottom w:val="single" w:sz="8" w:color="95B3D7"/>
              <w:right w:val="single" w:sz="8" w:color="95B3D7"/>
            </w:tcBorders>
          </w:tcPr>
          <w:p>
            <w:pPr>
              <w:spacing w:after="0"/>
              <w:rPr>
                <w:sz w:val="23"/>
                <w:szCs w:val="23"/>
                <w:color w:val="auto"/>
              </w:rPr>
            </w:pPr>
          </w:p>
        </w:tc>
        <w:tc>
          <w:tcPr>
            <w:tcW w:w="200" w:type="dxa"/>
            <w:vAlign w:val="bottom"/>
            <w:tcBorders>
              <w:bottom w:val="single" w:sz="8" w:color="95B3D7"/>
            </w:tcBorders>
          </w:tcPr>
          <w:p>
            <w:pPr>
              <w:spacing w:after="0"/>
              <w:rPr>
                <w:sz w:val="23"/>
                <w:szCs w:val="23"/>
                <w:color w:val="auto"/>
              </w:rPr>
            </w:pPr>
          </w:p>
        </w:tc>
        <w:tc>
          <w:tcPr>
            <w:tcW w:w="120" w:type="dxa"/>
            <w:vAlign w:val="bottom"/>
            <w:tcBorders>
              <w:bottom w:val="single" w:sz="8" w:color="95B3D7"/>
              <w:right w:val="single" w:sz="8" w:color="95B3D7"/>
            </w:tcBorders>
          </w:tcPr>
          <w:p>
            <w:pPr>
              <w:spacing w:after="0"/>
              <w:rPr>
                <w:sz w:val="23"/>
                <w:szCs w:val="23"/>
                <w:color w:val="auto"/>
              </w:rPr>
            </w:pPr>
          </w:p>
        </w:tc>
        <w:tc>
          <w:tcPr>
            <w:tcW w:w="800" w:type="dxa"/>
            <w:vAlign w:val="bottom"/>
            <w:tcBorders>
              <w:bottom w:val="single" w:sz="8" w:color="95B3D7"/>
              <w:right w:val="single" w:sz="8" w:color="95B3D7"/>
            </w:tcBorders>
          </w:tcPr>
          <w:p>
            <w:pPr>
              <w:spacing w:after="0"/>
              <w:rPr>
                <w:sz w:val="23"/>
                <w:szCs w:val="23"/>
                <w:color w:val="auto"/>
              </w:rPr>
            </w:pPr>
          </w:p>
        </w:tc>
        <w:tc>
          <w:tcPr>
            <w:tcW w:w="260" w:type="dxa"/>
            <w:vAlign w:val="bottom"/>
            <w:tcBorders>
              <w:bottom w:val="single" w:sz="8" w:color="95B3D7"/>
            </w:tcBorders>
          </w:tcPr>
          <w:p>
            <w:pPr>
              <w:spacing w:after="0"/>
              <w:rPr>
                <w:sz w:val="23"/>
                <w:szCs w:val="23"/>
                <w:color w:val="auto"/>
              </w:rPr>
            </w:pPr>
          </w:p>
        </w:tc>
      </w:tr>
      <w:tr>
        <w:trPr>
          <w:trHeight w:val="250"/>
        </w:trPr>
        <w:tc>
          <w:tcPr>
            <w:tcW w:w="4480" w:type="dxa"/>
            <w:vAlign w:val="bottom"/>
            <w:tcBorders>
              <w:bottom w:val="single" w:sz="8" w:color="95B3D7"/>
              <w:right w:val="single" w:sz="8" w:color="95B3D7"/>
            </w:tcBorders>
            <w:shd w:val="clear" w:color="auto" w:fill="DCE6F2"/>
          </w:tcPr>
          <w:p>
            <w:pPr>
              <w:ind w:left="80"/>
              <w:spacing w:after="0" w:line="250" w:lineRule="exact"/>
              <w:rPr>
                <w:sz w:val="20"/>
                <w:szCs w:val="20"/>
                <w:color w:val="auto"/>
              </w:rPr>
            </w:pPr>
            <w:r>
              <w:rPr>
                <w:rFonts w:ascii="Times New Roman" w:cs="Times New Roman" w:eastAsia="Times New Roman" w:hAnsi="Times New Roman"/>
                <w:sz w:val="22"/>
                <w:szCs w:val="22"/>
                <w:b w:val="1"/>
                <w:bCs w:val="1"/>
                <w:color w:val="auto"/>
              </w:rPr>
              <w:t>Scientific Committee</w:t>
            </w:r>
          </w:p>
        </w:tc>
        <w:tc>
          <w:tcPr>
            <w:tcW w:w="260" w:type="dxa"/>
            <w:vAlign w:val="bottom"/>
            <w:tcBorders>
              <w:bottom w:val="single" w:sz="8" w:color="95B3D7"/>
              <w:right w:val="single" w:sz="8" w:color="95B3D7"/>
            </w:tcBorders>
            <w:shd w:val="clear" w:color="auto" w:fill="DCE6F2"/>
          </w:tcPr>
          <w:p>
            <w:pPr>
              <w:spacing w:after="0"/>
              <w:rPr>
                <w:sz w:val="21"/>
                <w:szCs w:val="21"/>
                <w:color w:val="auto"/>
              </w:rPr>
            </w:pPr>
          </w:p>
        </w:tc>
        <w:tc>
          <w:tcPr>
            <w:tcW w:w="200" w:type="dxa"/>
            <w:vAlign w:val="bottom"/>
            <w:tcBorders>
              <w:bottom w:val="single" w:sz="8" w:color="95B3D7"/>
            </w:tcBorders>
            <w:shd w:val="clear" w:color="auto" w:fill="DCE6F2"/>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95B3D7"/>
              <w:right w:val="single" w:sz="8" w:color="95B3D7"/>
            </w:tcBorders>
            <w:shd w:val="clear" w:color="auto" w:fill="DCE6F2"/>
          </w:tcPr>
          <w:p>
            <w:pPr>
              <w:spacing w:after="0"/>
              <w:rPr>
                <w:sz w:val="21"/>
                <w:szCs w:val="21"/>
                <w:color w:val="auto"/>
              </w:rPr>
            </w:pPr>
          </w:p>
        </w:tc>
        <w:tc>
          <w:tcPr>
            <w:tcW w:w="800" w:type="dxa"/>
            <w:vAlign w:val="bottom"/>
            <w:tcBorders>
              <w:bottom w:val="single" w:sz="8" w:color="95B3D7"/>
              <w:right w:val="single" w:sz="8" w:color="95B3D7"/>
            </w:tcBorders>
            <w:shd w:val="clear" w:color="auto" w:fill="DCE6F2"/>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7,500</w:t>
            </w:r>
          </w:p>
        </w:tc>
        <w:tc>
          <w:tcPr>
            <w:tcW w:w="280" w:type="dxa"/>
            <w:vAlign w:val="bottom"/>
            <w:tcBorders>
              <w:bottom w:val="single" w:sz="8" w:color="95B3D7"/>
              <w:right w:val="single" w:sz="8" w:color="95B3D7"/>
            </w:tcBorders>
            <w:shd w:val="clear" w:color="auto" w:fill="DCE6F2"/>
          </w:tcPr>
          <w:p>
            <w:pPr>
              <w:spacing w:after="0"/>
              <w:rPr>
                <w:sz w:val="21"/>
                <w:szCs w:val="21"/>
                <w:color w:val="auto"/>
              </w:rPr>
            </w:pPr>
          </w:p>
        </w:tc>
        <w:tc>
          <w:tcPr>
            <w:tcW w:w="200" w:type="dxa"/>
            <w:vAlign w:val="bottom"/>
            <w:tcBorders>
              <w:bottom w:val="single" w:sz="8" w:color="95B3D7"/>
            </w:tcBorders>
            <w:shd w:val="clear" w:color="auto" w:fill="DCE6F2"/>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bottom w:val="single" w:sz="8" w:color="95B3D7"/>
              <w:right w:val="single" w:sz="8" w:color="95B3D7"/>
            </w:tcBorders>
            <w:shd w:val="clear" w:color="auto" w:fill="DCE6F2"/>
          </w:tcPr>
          <w:p>
            <w:pPr>
              <w:spacing w:after="0"/>
              <w:rPr>
                <w:sz w:val="21"/>
                <w:szCs w:val="21"/>
                <w:color w:val="auto"/>
              </w:rPr>
            </w:pPr>
          </w:p>
        </w:tc>
        <w:tc>
          <w:tcPr>
            <w:tcW w:w="800" w:type="dxa"/>
            <w:vAlign w:val="bottom"/>
            <w:tcBorders>
              <w:bottom w:val="single" w:sz="8" w:color="95B3D7"/>
              <w:right w:val="single" w:sz="8" w:color="95B3D7"/>
            </w:tcBorders>
            <w:shd w:val="clear" w:color="auto" w:fill="DCE6F2"/>
          </w:tcPr>
          <w:p>
            <w:pPr>
              <w:jc w:val="right"/>
              <w:spacing w:after="0" w:line="250" w:lineRule="exact"/>
              <w:rPr>
                <w:sz w:val="20"/>
                <w:szCs w:val="20"/>
                <w:color w:val="auto"/>
              </w:rPr>
            </w:pPr>
            <w:r>
              <w:rPr>
                <w:rFonts w:ascii="Times New Roman" w:cs="Times New Roman" w:eastAsia="Times New Roman" w:hAnsi="Times New Roman"/>
                <w:sz w:val="22"/>
                <w:szCs w:val="22"/>
                <w:color w:val="auto"/>
              </w:rPr>
              <w:t>15,000</w:t>
            </w:r>
          </w:p>
        </w:tc>
        <w:tc>
          <w:tcPr>
            <w:tcW w:w="260" w:type="dxa"/>
            <w:vAlign w:val="bottom"/>
            <w:tcBorders>
              <w:bottom w:val="single" w:sz="8" w:color="95B3D7"/>
            </w:tcBorders>
            <w:shd w:val="clear" w:color="auto" w:fill="DCE6F2"/>
          </w:tcPr>
          <w:p>
            <w:pPr>
              <w:spacing w:after="0"/>
              <w:rPr>
                <w:sz w:val="21"/>
                <w:szCs w:val="21"/>
                <w:color w:val="auto"/>
              </w:rPr>
            </w:pPr>
          </w:p>
        </w:tc>
      </w:tr>
      <w:tr>
        <w:trPr>
          <w:trHeight w:val="250"/>
        </w:trPr>
        <w:tc>
          <w:tcPr>
            <w:tcW w:w="4480" w:type="dxa"/>
            <w:vAlign w:val="bottom"/>
            <w:tcBorders>
              <w:bottom w:val="single" w:sz="8" w:color="95B3D7"/>
              <w:right w:val="single" w:sz="8" w:color="95B3D7"/>
            </w:tcBorders>
          </w:tcPr>
          <w:p>
            <w:pPr>
              <w:ind w:left="80"/>
              <w:spacing w:after="0" w:line="250" w:lineRule="exact"/>
              <w:rPr>
                <w:sz w:val="20"/>
                <w:szCs w:val="20"/>
                <w:color w:val="auto"/>
              </w:rPr>
            </w:pPr>
            <w:r>
              <w:rPr>
                <w:rFonts w:ascii="Times New Roman" w:cs="Times New Roman" w:eastAsia="Times New Roman" w:hAnsi="Times New Roman"/>
                <w:sz w:val="22"/>
                <w:szCs w:val="22"/>
                <w:b w:val="1"/>
                <w:bCs w:val="1"/>
                <w:color w:val="auto"/>
              </w:rPr>
              <w:t>Clinical Strategy Committee</w:t>
            </w:r>
          </w:p>
        </w:tc>
        <w:tc>
          <w:tcPr>
            <w:tcW w:w="260" w:type="dxa"/>
            <w:vAlign w:val="bottom"/>
            <w:tcBorders>
              <w:bottom w:val="single" w:sz="8" w:color="95B3D7"/>
              <w:right w:val="single" w:sz="8" w:color="95B3D7"/>
            </w:tcBorders>
          </w:tcPr>
          <w:p>
            <w:pPr>
              <w:spacing w:after="0"/>
              <w:rPr>
                <w:sz w:val="21"/>
                <w:szCs w:val="21"/>
                <w:color w:val="auto"/>
              </w:rPr>
            </w:pPr>
          </w:p>
        </w:tc>
        <w:tc>
          <w:tcPr>
            <w:tcW w:w="200" w:type="dxa"/>
            <w:vAlign w:val="bottom"/>
            <w:tcBorders>
              <w:bottom w:val="single" w:sz="8" w:color="95B3D7"/>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95B3D7"/>
              <w:right w:val="single" w:sz="8" w:color="95B3D7"/>
            </w:tcBorders>
          </w:tcPr>
          <w:p>
            <w:pPr>
              <w:spacing w:after="0"/>
              <w:rPr>
                <w:sz w:val="21"/>
                <w:szCs w:val="21"/>
                <w:color w:val="auto"/>
              </w:rPr>
            </w:pPr>
          </w:p>
        </w:tc>
        <w:tc>
          <w:tcPr>
            <w:tcW w:w="800" w:type="dxa"/>
            <w:vAlign w:val="bottom"/>
            <w:tcBorders>
              <w:bottom w:val="single" w:sz="8" w:color="95B3D7"/>
              <w:right w:val="single" w:sz="8" w:color="95B3D7"/>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7,500</w:t>
            </w:r>
          </w:p>
        </w:tc>
        <w:tc>
          <w:tcPr>
            <w:tcW w:w="280" w:type="dxa"/>
            <w:vAlign w:val="bottom"/>
            <w:tcBorders>
              <w:bottom w:val="single" w:sz="8" w:color="95B3D7"/>
              <w:right w:val="single" w:sz="8" w:color="95B3D7"/>
            </w:tcBorders>
          </w:tcPr>
          <w:p>
            <w:pPr>
              <w:spacing w:after="0"/>
              <w:rPr>
                <w:sz w:val="21"/>
                <w:szCs w:val="21"/>
                <w:color w:val="auto"/>
              </w:rPr>
            </w:pPr>
          </w:p>
        </w:tc>
        <w:tc>
          <w:tcPr>
            <w:tcW w:w="200" w:type="dxa"/>
            <w:vAlign w:val="bottom"/>
            <w:tcBorders>
              <w:bottom w:val="single" w:sz="8" w:color="95B3D7"/>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bottom w:val="single" w:sz="8" w:color="95B3D7"/>
              <w:right w:val="single" w:sz="8" w:color="95B3D7"/>
            </w:tcBorders>
          </w:tcPr>
          <w:p>
            <w:pPr>
              <w:spacing w:after="0"/>
              <w:rPr>
                <w:sz w:val="21"/>
                <w:szCs w:val="21"/>
                <w:color w:val="auto"/>
              </w:rPr>
            </w:pPr>
          </w:p>
        </w:tc>
        <w:tc>
          <w:tcPr>
            <w:tcW w:w="800" w:type="dxa"/>
            <w:vAlign w:val="bottom"/>
            <w:tcBorders>
              <w:bottom w:val="single" w:sz="8" w:color="95B3D7"/>
              <w:right w:val="single" w:sz="8" w:color="95B3D7"/>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15,000</w:t>
            </w:r>
          </w:p>
        </w:tc>
        <w:tc>
          <w:tcPr>
            <w:tcW w:w="260" w:type="dxa"/>
            <w:vAlign w:val="bottom"/>
            <w:tcBorders>
              <w:bottom w:val="single" w:sz="8" w:color="95B3D7"/>
            </w:tcBorders>
          </w:tcPr>
          <w:p>
            <w:pPr>
              <w:spacing w:after="0"/>
              <w:rPr>
                <w:sz w:val="21"/>
                <w:szCs w:val="21"/>
                <w:color w:val="auto"/>
              </w:rPr>
            </w:pPr>
          </w:p>
        </w:tc>
      </w:tr>
    </w:tbl>
    <w:p>
      <w:pPr>
        <w:spacing w:after="0" w:line="256" w:lineRule="exact"/>
        <w:rPr>
          <w:sz w:val="20"/>
          <w:szCs w:val="20"/>
          <w:color w:val="auto"/>
        </w:rPr>
      </w:pPr>
    </w:p>
    <w:p>
      <w:pPr>
        <w:jc w:val="both"/>
        <w:ind w:left="200" w:right="219"/>
        <w:spacing w:after="0" w:line="303" w:lineRule="auto"/>
        <w:rPr>
          <w:sz w:val="20"/>
          <w:szCs w:val="20"/>
          <w:color w:val="auto"/>
        </w:rPr>
      </w:pPr>
      <w:r>
        <w:rPr>
          <w:rFonts w:ascii="Times New Roman" w:cs="Times New Roman" w:eastAsia="Times New Roman" w:hAnsi="Times New Roman"/>
          <w:sz w:val="22"/>
          <w:szCs w:val="22"/>
          <w:color w:val="auto"/>
        </w:rPr>
        <w:t>These fees are payable in arrears in twelve equal monthly installments, subject to deduction of applicable income tax or national insurance which the Company is required by law to deduct and any other statutory deductions, provided that the amount of such payment shall be prorated for any portion of such month during which the director was not serving.</w:t>
      </w:r>
    </w:p>
    <w:p>
      <w:pPr>
        <w:spacing w:after="0" w:line="217" w:lineRule="exact"/>
        <w:rPr>
          <w:sz w:val="20"/>
          <w:szCs w:val="20"/>
          <w:color w:val="auto"/>
        </w:rPr>
      </w:pPr>
    </w:p>
    <w:p>
      <w:pPr>
        <w:ind w:left="860" w:hanging="651"/>
        <w:spacing w:after="0"/>
        <w:tabs>
          <w:tab w:leader="none" w:pos="8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xpenses</w:t>
      </w:r>
    </w:p>
    <w:p>
      <w:pPr>
        <w:spacing w:after="0" w:line="318" w:lineRule="exact"/>
        <w:rPr>
          <w:sz w:val="20"/>
          <w:szCs w:val="20"/>
          <w:color w:val="auto"/>
        </w:rPr>
      </w:pPr>
    </w:p>
    <w:p>
      <w:pPr>
        <w:jc w:val="both"/>
        <w:ind w:left="200" w:right="219"/>
        <w:spacing w:after="0" w:line="302" w:lineRule="auto"/>
        <w:rPr>
          <w:sz w:val="20"/>
          <w:szCs w:val="20"/>
          <w:color w:val="auto"/>
        </w:rPr>
      </w:pPr>
      <w:r>
        <w:rPr>
          <w:rFonts w:ascii="Times New Roman" w:cs="Times New Roman" w:eastAsia="Times New Roman" w:hAnsi="Times New Roman"/>
          <w:sz w:val="22"/>
          <w:szCs w:val="22"/>
          <w:color w:val="auto"/>
        </w:rPr>
        <w:t>The reasonable expenses incurred by non-employee directors in connection with attendance at Board or committee meetings or other Company-related activities will be reimbursed upon submission of appropriate documentation.</w:t>
      </w:r>
    </w:p>
    <w:p>
      <w:pPr>
        <w:spacing w:after="0" w:line="216" w:lineRule="exact"/>
        <w:rPr>
          <w:sz w:val="20"/>
          <w:szCs w:val="20"/>
          <w:color w:val="auto"/>
        </w:rPr>
      </w:pPr>
    </w:p>
    <w:p>
      <w:pPr>
        <w:ind w:left="860" w:hanging="651"/>
        <w:spacing w:after="0"/>
        <w:tabs>
          <w:tab w:leader="none" w:pos="8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p>
    <w:p>
      <w:pPr>
        <w:spacing w:after="0" w:line="318" w:lineRule="exact"/>
        <w:rPr>
          <w:sz w:val="20"/>
          <w:szCs w:val="20"/>
          <w:color w:val="auto"/>
        </w:rPr>
      </w:pPr>
    </w:p>
    <w:p>
      <w:pPr>
        <w:ind w:left="200" w:right="219"/>
        <w:spacing w:after="0" w:line="349" w:lineRule="auto"/>
        <w:rPr>
          <w:sz w:val="20"/>
          <w:szCs w:val="20"/>
          <w:color w:val="auto"/>
        </w:rPr>
      </w:pPr>
      <w:r>
        <w:rPr>
          <w:rFonts w:ascii="Times New Roman" w:cs="Times New Roman" w:eastAsia="Times New Roman" w:hAnsi="Times New Roman"/>
          <w:sz w:val="21"/>
          <w:szCs w:val="21"/>
          <w:color w:val="auto"/>
        </w:rPr>
        <w:t>This Program shall be administered by the Compensation Committee, which shall have the power to interpret these provisions and approve changes from time to time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428625</wp:posOffset>
            </wp:positionV>
            <wp:extent cx="54521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4" w:name="page185"/>
    <w:bookmarkEnd w:id="184"/>
    <w:p>
      <w:pPr>
        <w:jc w:val="right"/>
        <w:ind w:right="219"/>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icycle</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herapeutics plc</w:t>
      </w:r>
    </w:p>
    <w:p>
      <w:pPr>
        <w:jc w:val="center"/>
        <w:ind w:right="19"/>
        <w:spacing w:after="0" w:line="231" w:lineRule="auto"/>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mended and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as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mended</w:t>
      </w:r>
    </w:p>
    <w:p>
      <w:pPr>
        <w:jc w:val="center"/>
        <w:ind w:right="19"/>
        <w:spacing w:after="0" w:line="22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13"/>
          <w:szCs w:val="13"/>
          <w:b w:val="1"/>
          <w:bCs w:val="1"/>
          <w:color w:val="auto"/>
        </w:rPr>
        <w:t>adopted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26, 2019</w:t>
      </w:r>
    </w:p>
    <w:p>
      <w:pPr>
        <w:jc w:val="center"/>
        <w:ind w:right="19"/>
        <w:spacing w:after="0"/>
        <w:rPr>
          <w:sz w:val="20"/>
          <w:szCs w:val="20"/>
          <w:color w:val="auto"/>
        </w:rPr>
      </w:pPr>
      <w:r>
        <w:rPr>
          <w:rFonts w:ascii="Arial" w:cs="Arial" w:eastAsia="Arial" w:hAnsi="Arial"/>
          <w:sz w:val="13"/>
          <w:szCs w:val="13"/>
          <w:b w:val="1"/>
          <w:bCs w:val="1"/>
          <w:color w:val="auto"/>
        </w:rPr>
        <w:t xml:space="preserve">and </w:t>
      </w:r>
      <w:r>
        <w:rPr>
          <w:rFonts w:ascii="Arial" w:cs="Arial" w:eastAsia="Arial" w:hAnsi="Arial"/>
          <w:sz w:val="19"/>
          <w:szCs w:val="19"/>
          <w:b w:val="1"/>
          <w:bCs w:val="1"/>
          <w:color w:val="auto"/>
        </w:rPr>
        <w:t>A</w:t>
      </w:r>
      <w:r>
        <w:rPr>
          <w:rFonts w:ascii="Arial" w:cs="Arial" w:eastAsia="Arial" w:hAnsi="Arial"/>
          <w:sz w:val="13"/>
          <w:szCs w:val="13"/>
          <w:b w:val="1"/>
          <w:bCs w:val="1"/>
          <w:color w:val="auto"/>
        </w:rPr>
        <w:t xml:space="preserve">mended </w:t>
      </w:r>
      <w:r>
        <w:rPr>
          <w:rFonts w:ascii="Arial" w:cs="Arial" w:eastAsia="Arial" w:hAnsi="Arial"/>
          <w:sz w:val="19"/>
          <w:szCs w:val="19"/>
          <w:b w:val="1"/>
          <w:bCs w:val="1"/>
          <w:color w:val="auto"/>
        </w:rPr>
        <w:t>S</w:t>
      </w:r>
      <w:r>
        <w:rPr>
          <w:rFonts w:ascii="Arial" w:cs="Arial" w:eastAsia="Arial" w:hAnsi="Arial"/>
          <w:sz w:val="13"/>
          <w:szCs w:val="13"/>
          <w:b w:val="1"/>
          <w:bCs w:val="1"/>
          <w:color w:val="auto"/>
        </w:rPr>
        <w:t xml:space="preserve">eptember </w:t>
      </w:r>
      <w:r>
        <w:rPr>
          <w:rFonts w:ascii="Arial" w:cs="Arial" w:eastAsia="Arial" w:hAnsi="Arial"/>
          <w:sz w:val="19"/>
          <w:szCs w:val="19"/>
          <w:b w:val="1"/>
          <w:bCs w:val="1"/>
          <w:color w:val="auto"/>
        </w:rPr>
        <w:t>27, 2023</w:t>
      </w:r>
      <w:r>
        <w:rPr>
          <w:rFonts w:ascii="Arial" w:cs="Arial" w:eastAsia="Arial" w:hAnsi="Arial"/>
          <w:sz w:val="13"/>
          <w:szCs w:val="13"/>
          <w:b w:val="1"/>
          <w:bCs w:val="1"/>
          <w:color w:val="auto"/>
        </w:rPr>
        <w:t xml:space="preserve"> and </w:t>
      </w:r>
      <w:r>
        <w:rPr>
          <w:rFonts w:ascii="Arial" w:cs="Arial" w:eastAsia="Arial" w:hAnsi="Arial"/>
          <w:sz w:val="19"/>
          <w:szCs w:val="19"/>
          <w:b w:val="1"/>
          <w:bCs w:val="1"/>
          <w:color w:val="auto"/>
        </w:rPr>
        <w:t>O</w:t>
      </w:r>
      <w:r>
        <w:rPr>
          <w:rFonts w:ascii="Arial" w:cs="Arial" w:eastAsia="Arial" w:hAnsi="Arial"/>
          <w:sz w:val="13"/>
          <w:szCs w:val="13"/>
          <w:b w:val="1"/>
          <w:bCs w:val="1"/>
          <w:color w:val="auto"/>
        </w:rPr>
        <w:t xml:space="preserve">ctober </w:t>
      </w:r>
      <w:r>
        <w:rPr>
          <w:rFonts w:ascii="Arial" w:cs="Arial" w:eastAsia="Arial" w:hAnsi="Arial"/>
          <w:sz w:val="19"/>
          <w:szCs w:val="19"/>
          <w:b w:val="1"/>
          <w:bCs w:val="1"/>
          <w:color w:val="auto"/>
        </w:rPr>
        <w:t>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53397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5339715" cy="8255"/>
                    </a:xfrm>
                    <a:prstGeom prst="rect">
                      <a:avLst/>
                    </a:prstGeom>
                    <a:noFill/>
                  </pic:spPr>
                </pic:pic>
              </a:graphicData>
            </a:graphic>
          </wp:anchor>
        </w:drawing>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ntroduction</w:t>
      </w:r>
    </w:p>
    <w:p>
      <w:pPr>
        <w:spacing w:after="0" w:line="204" w:lineRule="exact"/>
        <w:rPr>
          <w:sz w:val="20"/>
          <w:szCs w:val="20"/>
          <w:color w:val="auto"/>
        </w:rPr>
      </w:pPr>
    </w:p>
    <w:p>
      <w:pPr>
        <w:jc w:val="both"/>
        <w:ind w:left="200" w:right="219" w:firstLine="324"/>
        <w:spacing w:after="0" w:line="229" w:lineRule="auto"/>
        <w:rPr>
          <w:sz w:val="20"/>
          <w:szCs w:val="20"/>
          <w:color w:val="auto"/>
        </w:rPr>
      </w:pPr>
      <w:r>
        <w:rPr>
          <w:rFonts w:ascii="Arial" w:cs="Arial" w:eastAsia="Arial" w:hAnsi="Arial"/>
          <w:sz w:val="20"/>
          <w:szCs w:val="20"/>
          <w:color w:val="auto"/>
        </w:rPr>
        <w:t>During the course of your relationship with Bicycle Therapeutics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you may receive material information that is not yet publicly available (“</w:t>
      </w:r>
      <w:r>
        <w:rPr>
          <w:rFonts w:ascii="Arial" w:cs="Arial" w:eastAsia="Arial" w:hAnsi="Arial"/>
          <w:sz w:val="20"/>
          <w:szCs w:val="20"/>
          <w:b w:val="1"/>
          <w:bCs w:val="1"/>
          <w:i w:val="1"/>
          <w:iCs w:val="1"/>
          <w:color w:val="auto"/>
        </w:rPr>
        <w:t>material nonpublic</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about the Company or other publicly traded companies with which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has business relationships. Material nonpublic information may give you, or someone you pass that information on to, a leg up over others when deciding whether to buy, sell or otherwise transact in the Company’s securities or the securities of another publicly traded company. This Amended &amp; Restated Insider Trading Policy, as amended from time to time (the “</w:t>
      </w:r>
      <w:r>
        <w:rPr>
          <w:rFonts w:ascii="Arial" w:cs="Arial" w:eastAsia="Arial" w:hAnsi="Arial"/>
          <w:sz w:val="20"/>
          <w:szCs w:val="20"/>
          <w:b w:val="1"/>
          <w:bCs w:val="1"/>
          <w:i w:val="1"/>
          <w:iCs w:val="1"/>
          <w:color w:val="auto"/>
        </w:rPr>
        <w:t>Insider Trading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or this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sets forth guidelines with respect to transactions in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and in the securities of other applicable publicly traded companies, in each case by our employees, directors and consultants who may become aware of material nonpublic information and the other persons subject to this Policy as described below.</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tatement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20"/>
          <w:szCs w:val="20"/>
          <w:color w:val="auto"/>
        </w:rPr>
        <w:t xml:space="preserve">It is the policy of the Company that an employee, director or consultant of the Company (or any other person subject to this Policy) who is aware of material nonpublic information relating to the Company </w:t>
      </w:r>
      <w:r>
        <w:rPr>
          <w:rFonts w:ascii="Arial" w:cs="Arial" w:eastAsia="Arial" w:hAnsi="Arial"/>
          <w:sz w:val="20"/>
          <w:szCs w:val="20"/>
          <w:b w:val="1"/>
          <w:bCs w:val="1"/>
          <w:color w:val="auto"/>
        </w:rPr>
        <w:t>may not</w:t>
      </w:r>
      <w:r>
        <w:rPr>
          <w:rFonts w:ascii="Arial" w:cs="Arial" w:eastAsia="Arial" w:hAnsi="Arial"/>
          <w:sz w:val="20"/>
          <w:szCs w:val="20"/>
          <w:color w:val="auto"/>
        </w:rPr>
        <w:t>, directly or indirectly:</w:t>
      </w:r>
    </w:p>
    <w:p>
      <w:pPr>
        <w:spacing w:after="0" w:line="157" w:lineRule="exact"/>
        <w:rPr>
          <w:sz w:val="20"/>
          <w:szCs w:val="20"/>
          <w:color w:val="auto"/>
        </w:rPr>
      </w:pPr>
    </w:p>
    <w:p>
      <w:pPr>
        <w:ind w:left="1260" w:right="219" w:hanging="322"/>
        <w:spacing w:after="0" w:line="257" w:lineRule="auto"/>
        <w:tabs>
          <w:tab w:leader="none" w:pos="12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engage in any transactions in the Company’s securities, except as otherwise specified under the heading “Exceptions to this Policy” below;</w:t>
      </w:r>
    </w:p>
    <w:p>
      <w:pPr>
        <w:spacing w:after="0" w:line="47" w:lineRule="exact"/>
        <w:rPr>
          <w:rFonts w:ascii="Arial" w:cs="Arial" w:eastAsia="Arial" w:hAnsi="Arial"/>
          <w:sz w:val="20"/>
          <w:szCs w:val="20"/>
          <w:color w:val="auto"/>
        </w:rPr>
      </w:pPr>
    </w:p>
    <w:p>
      <w:pPr>
        <w:ind w:left="1260" w:hanging="322"/>
        <w:spacing w:after="0"/>
        <w:tabs>
          <w:tab w:leader="none" w:pos="12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recommend the purchase or sale of any the Company’s securities;</w:t>
      </w:r>
    </w:p>
    <w:p>
      <w:pPr>
        <w:spacing w:after="0" w:line="94" w:lineRule="exact"/>
        <w:rPr>
          <w:rFonts w:ascii="Arial" w:cs="Arial" w:eastAsia="Arial" w:hAnsi="Arial"/>
          <w:sz w:val="20"/>
          <w:szCs w:val="20"/>
          <w:color w:val="auto"/>
        </w:rPr>
      </w:pPr>
    </w:p>
    <w:p>
      <w:pPr>
        <w:jc w:val="both"/>
        <w:ind w:left="1260" w:right="219" w:hanging="322"/>
        <w:spacing w:after="0" w:line="234" w:lineRule="auto"/>
        <w:tabs>
          <w:tab w:leader="none" w:pos="12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disclose material nonpublic information to persons within the Company whose jobs do not require them to have that information, or outside of the Company to other persons, such as family, friends, business associates and investors, unless the disclosure is made in accordance with the Company’s policies regarding the protection or authorized external disclosure of information regarding the Company; or</w:t>
      </w:r>
    </w:p>
    <w:p>
      <w:pPr>
        <w:spacing w:after="0" w:line="66" w:lineRule="exact"/>
        <w:rPr>
          <w:rFonts w:ascii="Arial" w:cs="Arial" w:eastAsia="Arial" w:hAnsi="Arial"/>
          <w:sz w:val="20"/>
          <w:szCs w:val="20"/>
          <w:color w:val="auto"/>
        </w:rPr>
      </w:pPr>
    </w:p>
    <w:p>
      <w:pPr>
        <w:ind w:left="1260" w:hanging="322"/>
        <w:spacing w:after="0"/>
        <w:tabs>
          <w:tab w:leader="none" w:pos="12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assist anyone engaged in the above activities.</w:t>
      </w:r>
    </w:p>
    <w:p>
      <w:pPr>
        <w:spacing w:after="0" w:line="202" w:lineRule="exact"/>
        <w:rPr>
          <w:sz w:val="20"/>
          <w:szCs w:val="20"/>
          <w:color w:val="auto"/>
        </w:rPr>
      </w:pPr>
    </w:p>
    <w:p>
      <w:pPr>
        <w:jc w:val="both"/>
        <w:ind w:left="200" w:right="219" w:firstLine="324"/>
        <w:spacing w:after="0" w:line="233" w:lineRule="auto"/>
        <w:rPr>
          <w:sz w:val="20"/>
          <w:szCs w:val="20"/>
          <w:color w:val="auto"/>
        </w:rPr>
      </w:pPr>
      <w:r>
        <w:rPr>
          <w:rFonts w:ascii="Arial" w:cs="Arial" w:eastAsia="Arial" w:hAnsi="Arial"/>
          <w:sz w:val="20"/>
          <w:szCs w:val="20"/>
          <w:color w:val="auto"/>
        </w:rPr>
        <w:t xml:space="preserve">The prohibition against insider trading is absolute. It applies </w:t>
      </w:r>
      <w:r>
        <w:rPr>
          <w:rFonts w:ascii="Arial" w:cs="Arial" w:eastAsia="Arial" w:hAnsi="Arial"/>
          <w:sz w:val="20"/>
          <w:szCs w:val="20"/>
          <w:b w:val="1"/>
          <w:bCs w:val="1"/>
          <w:i w:val="1"/>
          <w:iCs w:val="1"/>
          <w:color w:val="auto"/>
        </w:rPr>
        <w:t>even if</w:t>
      </w:r>
      <w:r>
        <w:rPr>
          <w:rFonts w:ascii="Arial" w:cs="Arial" w:eastAsia="Arial" w:hAnsi="Arial"/>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20"/>
          <w:szCs w:val="20"/>
          <w:b w:val="1"/>
          <w:bCs w:val="1"/>
          <w:color w:val="auto"/>
        </w:rPr>
        <w:t>any</w:t>
      </w:r>
      <w:r>
        <w:rPr>
          <w:rFonts w:ascii="Arial" w:cs="Arial" w:eastAsia="Arial" w:hAnsi="Arial"/>
          <w:sz w:val="20"/>
          <w:szCs w:val="20"/>
          <w:color w:val="auto"/>
        </w:rPr>
        <w:t xml:space="preserve"> material nonpublic information relating to the Company at the time of the transaction.</w:t>
      </w:r>
    </w:p>
    <w:p>
      <w:pPr>
        <w:spacing w:after="0" w:line="172" w:lineRule="exact"/>
        <w:rPr>
          <w:sz w:val="20"/>
          <w:szCs w:val="20"/>
          <w:color w:val="auto"/>
        </w:rPr>
      </w:pPr>
    </w:p>
    <w:p>
      <w:pPr>
        <w:jc w:val="both"/>
        <w:ind w:left="200" w:right="219" w:firstLine="324"/>
        <w:spacing w:after="0" w:line="233" w:lineRule="auto"/>
        <w:rPr>
          <w:sz w:val="20"/>
          <w:szCs w:val="20"/>
          <w:color w:val="auto"/>
        </w:rPr>
      </w:pPr>
      <w:r>
        <w:rPr>
          <w:rFonts w:ascii="Arial" w:cs="Arial" w:eastAsia="Arial" w:hAnsi="Arial"/>
          <w:sz w:val="20"/>
          <w:szCs w:val="20"/>
          <w:color w:val="auto"/>
        </w:rPr>
        <w:t>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620395</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5" w:name="page186"/>
    <w:bookmarkEnd w:id="185"/>
    <w:p>
      <w:pPr>
        <w:jc w:val="both"/>
        <w:ind w:left="200" w:right="219" w:firstLine="324"/>
        <w:spacing w:after="0" w:line="229" w:lineRule="auto"/>
        <w:rPr>
          <w:sz w:val="20"/>
          <w:szCs w:val="20"/>
          <w:color w:val="auto"/>
        </w:rPr>
      </w:pPr>
      <w:r>
        <w:rPr>
          <w:rFonts w:ascii="Arial" w:cs="Arial" w:eastAsia="Arial" w:hAnsi="Arial"/>
          <w:sz w:val="20"/>
          <w:szCs w:val="20"/>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the Company that no employee, director or consultant of the Company (or any other person subject to this Policy) may either (a) recommend to another person that they buy, hold or sell the Company’s securities </w:t>
      </w:r>
      <w:r>
        <w:rPr>
          <w:rFonts w:ascii="Arial" w:cs="Arial" w:eastAsia="Arial" w:hAnsi="Arial"/>
          <w:sz w:val="20"/>
          <w:szCs w:val="20"/>
          <w:b w:val="1"/>
          <w:bCs w:val="1"/>
          <w:color w:val="auto"/>
        </w:rPr>
        <w:t>at any time</w:t>
      </w:r>
      <w:r>
        <w:rPr>
          <w:rFonts w:ascii="Arial" w:cs="Arial" w:eastAsia="Arial" w:hAnsi="Arial"/>
          <w:sz w:val="20"/>
          <w:szCs w:val="20"/>
          <w:color w:val="auto"/>
        </w:rPr>
        <w:t xml:space="preserve"> or (b) disclose material nonpublic information to persons within the Company whose jobs do not require them to have that information, or outside of the Company to other persons (unless the disclosure is made in accordance with the Company’s policies regarding the protection or authorized external disclosure of information regarding the Company).</w:t>
      </w:r>
    </w:p>
    <w:p>
      <w:pPr>
        <w:spacing w:after="0" w:line="171" w:lineRule="exact"/>
        <w:rPr>
          <w:sz w:val="20"/>
          <w:szCs w:val="20"/>
          <w:color w:val="auto"/>
        </w:rPr>
      </w:pPr>
    </w:p>
    <w:p>
      <w:pPr>
        <w:jc w:val="both"/>
        <w:ind w:left="200" w:right="219" w:firstLine="405"/>
        <w:spacing w:after="0" w:line="233" w:lineRule="auto"/>
        <w:rPr>
          <w:sz w:val="20"/>
          <w:szCs w:val="20"/>
          <w:color w:val="auto"/>
        </w:rPr>
      </w:pPr>
      <w:r>
        <w:rPr>
          <w:rFonts w:ascii="Arial" w:cs="Arial" w:eastAsia="Arial" w:hAnsi="Arial"/>
          <w:sz w:val="20"/>
          <w:szCs w:val="20"/>
          <w:color w:val="auto"/>
        </w:rPr>
        <w:t>In addition, it is the policy of the Company that no employee, director or consultant of the Company (or any other person subject to this Policy) who, in the course of his or her relationship with the Company, learns of or is otherwise aware of material nonpublic information about another publicly traded company with which the Company does business, including a supplier, partner or collaborator of the Company, may trade in that other company’s securities until the information becomes public or is no longer material to that other company.</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There are no exceptions to this Policy, except as specifically noted above or below.</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ransactions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left="200" w:right="219" w:firstLine="324"/>
        <w:spacing w:after="0" w:line="230" w:lineRule="auto"/>
        <w:rPr>
          <w:sz w:val="20"/>
          <w:szCs w:val="20"/>
          <w:color w:val="auto"/>
        </w:rPr>
      </w:pPr>
      <w:r>
        <w:rPr>
          <w:rFonts w:ascii="Arial" w:cs="Arial" w:eastAsia="Arial" w:hAnsi="Arial"/>
          <w:sz w:val="20"/>
          <w:szCs w:val="20"/>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the Company’s American Depositary Shares (“</w:t>
      </w:r>
      <w:r>
        <w:rPr>
          <w:rFonts w:ascii="Arial" w:cs="Arial" w:eastAsia="Arial" w:hAnsi="Arial"/>
          <w:sz w:val="20"/>
          <w:szCs w:val="20"/>
          <w:b w:val="1"/>
          <w:bCs w:val="1"/>
          <w:i w:val="1"/>
          <w:iCs w:val="1"/>
          <w:color w:val="auto"/>
        </w:rPr>
        <w:t>ADSs</w:t>
      </w:r>
      <w:r>
        <w:rPr>
          <w:rFonts w:ascii="Arial" w:cs="Arial" w:eastAsia="Arial" w:hAnsi="Arial"/>
          <w:sz w:val="20"/>
          <w:szCs w:val="20"/>
          <w:color w:val="auto"/>
        </w:rPr>
        <w:t>”) in the public market but also any other purchases, sales, transfers, gifts or other acquisitions and dispositions of ADSs, ordinary or preferred equity, options, warrants and other securities (including debt securities) and other arrangements or transactions that affect economic exposure to changes in the prices of these securities.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ersons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20"/>
          <w:szCs w:val="20"/>
          <w:color w:val="auto"/>
        </w:rPr>
        <w:t xml:space="preserve">This Policy applies to you and all other employees, directors and consultants of the Company and its subsidiaries. This Policy also applies to members of your immediate family, persons with whom you share a household, persons who are your economic dependents and any other individuals or entities whose transactions in securities you influence, direct or control (including, e.g., a venture or other investment fund, </w:t>
      </w:r>
      <w:r>
        <w:rPr>
          <w:rFonts w:ascii="Arial" w:cs="Arial" w:eastAsia="Arial" w:hAnsi="Arial"/>
          <w:sz w:val="20"/>
          <w:szCs w:val="20"/>
          <w:u w:val="single" w:color="auto"/>
          <w:color w:val="auto"/>
        </w:rPr>
        <w:t>if</w:t>
      </w:r>
      <w:r>
        <w:rPr>
          <w:rFonts w:ascii="Arial" w:cs="Arial" w:eastAsia="Arial" w:hAnsi="Arial"/>
          <w:sz w:val="20"/>
          <w:szCs w:val="20"/>
          <w:color w:val="auto"/>
        </w:rPr>
        <w:t xml:space="preserve">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86" w:name="page187"/>
    <w:bookmarkEnd w:id="186"/>
    <w:p>
      <w:pPr>
        <w:ind w:left="200"/>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aterial</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onpublic</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202" w:lineRule="exact"/>
        <w:rPr>
          <w:sz w:val="20"/>
          <w:szCs w:val="20"/>
          <w:color w:val="auto"/>
        </w:rPr>
      </w:pPr>
    </w:p>
    <w:p>
      <w:pPr>
        <w:jc w:val="both"/>
        <w:ind w:left="200" w:right="219" w:firstLine="324"/>
        <w:spacing w:after="0" w:line="246" w:lineRule="auto"/>
        <w:rPr>
          <w:sz w:val="20"/>
          <w:szCs w:val="20"/>
          <w:color w:val="auto"/>
        </w:rPr>
      </w:pPr>
      <w:r>
        <w:rPr>
          <w:rFonts w:ascii="Arial" w:cs="Arial" w:eastAsia="Arial" w:hAnsi="Arial"/>
          <w:sz w:val="19"/>
          <w:szCs w:val="19"/>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Remember, both positive and negative information can be material.</w:t>
      </w:r>
    </w:p>
    <w:p>
      <w:pPr>
        <w:spacing w:after="0" w:line="168" w:lineRule="exact"/>
        <w:rPr>
          <w:sz w:val="20"/>
          <w:szCs w:val="20"/>
          <w:color w:val="auto"/>
        </w:rPr>
      </w:pPr>
    </w:p>
    <w:p>
      <w:pPr>
        <w:jc w:val="both"/>
        <w:ind w:left="200" w:right="219" w:firstLine="324"/>
        <w:spacing w:after="0" w:line="230" w:lineRule="auto"/>
        <w:rPr>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If you possess inside information, you may not trade in a company’s shares,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includes engaging in short sales, transactions in put or call options, hedging transactions and other inherently speculative transactions.</w:t>
      </w:r>
    </w:p>
    <w:p>
      <w:pPr>
        <w:spacing w:after="0" w:line="172"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0"/>
          <w:szCs w:val="20"/>
          <w:color w:val="auto"/>
        </w:rPr>
        <w:t>You may not participate in “chat rooms” or other electronic discussion groups or contribute to blogs, bulletin boards or social media forums on the internet concerning the activities of the Company or other companies with which the Company does business, even if you do so anonymously, unless doing so is part of your job responsibilities and you have explicit authorization from the Company’s Chief Financial Officer, or if no individual currently holds such position, then our Chief Legal Officer (the “</w:t>
      </w:r>
      <w:r>
        <w:rPr>
          <w:rFonts w:ascii="Arial" w:cs="Arial" w:eastAsia="Arial" w:hAnsi="Arial"/>
          <w:sz w:val="20"/>
          <w:szCs w:val="20"/>
          <w:b w:val="1"/>
          <w:bCs w:val="1"/>
          <w:i w:val="1"/>
          <w:iCs w:val="1"/>
          <w:color w:val="auto"/>
        </w:rPr>
        <w:t>Clearing Officer</w:t>
      </w:r>
      <w:r>
        <w:rPr>
          <w:rFonts w:ascii="Arial" w:cs="Arial" w:eastAsia="Arial" w:hAnsi="Arial"/>
          <w:sz w:val="20"/>
          <w:szCs w:val="20"/>
          <w:color w:val="auto"/>
        </w:rPr>
        <w:t>”).</w:t>
      </w:r>
    </w:p>
    <w:p>
      <w:pPr>
        <w:spacing w:after="0" w:line="167" w:lineRule="exact"/>
        <w:rPr>
          <w:sz w:val="20"/>
          <w:szCs w:val="20"/>
          <w:color w:val="auto"/>
        </w:rPr>
      </w:pPr>
    </w:p>
    <w:p>
      <w:pPr>
        <w:jc w:val="both"/>
        <w:ind w:left="200" w:right="219" w:firstLine="324"/>
        <w:spacing w:after="0" w:line="237" w:lineRule="auto"/>
        <w:rPr>
          <w:sz w:val="20"/>
          <w:szCs w:val="20"/>
          <w:color w:val="auto"/>
        </w:rPr>
      </w:pPr>
      <w:r>
        <w:rPr>
          <w:rFonts w:ascii="Arial" w:cs="Arial" w:eastAsia="Arial" w:hAnsi="Arial"/>
          <w:sz w:val="20"/>
          <w:szCs w:val="20"/>
          <w:color w:val="auto"/>
        </w:rPr>
        <w:t>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2" w:lineRule="exact"/>
        <w:rPr>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or forecasts;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status of product or product candidate development or regulatory approvals;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clinical data relating to products or product candidates;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timelines for pre-clinical studies or clinical trials;</w:t>
      </w:r>
    </w:p>
    <w:p>
      <w:pPr>
        <w:spacing w:after="0" w:line="52" w:lineRule="exact"/>
        <w:rPr>
          <w:rFonts w:ascii="Times New Roman" w:cs="Times New Roman" w:eastAsia="Times New Roman" w:hAnsi="Times New Roman"/>
          <w:sz w:val="20"/>
          <w:szCs w:val="20"/>
          <w:color w:val="auto"/>
        </w:rPr>
      </w:pPr>
    </w:p>
    <w:p>
      <w:pPr>
        <w:ind w:left="1180" w:right="239" w:hanging="323"/>
        <w:spacing w:after="0" w:line="252" w:lineRule="auto"/>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communications with government agencies, including, but not limited to, the U.S. Food and Drug Administration;</w:t>
      </w:r>
    </w:p>
    <w:p>
      <w:pPr>
        <w:spacing w:after="0" w:line="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strategic plans;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acquisitions or dispositions of assets, divisions or companies;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sales of debt or equity securities;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share splits, dividends or changes in dividend policy;</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the establishment of a repurchase program for the Company’s securities;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licensor, licensee or supplier;</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changes or new corporate partner relationships or collaborations;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2" w:right="1440" w:bottom="1440" w:gutter="0" w:footer="0" w:header="0"/>
        </w:sectPr>
      </w:pPr>
    </w:p>
    <w:bookmarkStart w:id="187" w:name="page188"/>
    <w:bookmarkEnd w:id="187"/>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notice of issuance or denial of patents;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regulatory developments;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management or control changes;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employee layoffs;</w:t>
      </w:r>
    </w:p>
    <w:p>
      <w:pPr>
        <w:spacing w:after="0" w:line="52" w:lineRule="exact"/>
        <w:rPr>
          <w:rFonts w:ascii="Times New Roman" w:cs="Times New Roman" w:eastAsia="Times New Roman" w:hAnsi="Times New Roman"/>
          <w:sz w:val="20"/>
          <w:szCs w:val="20"/>
          <w:color w:val="auto"/>
        </w:rPr>
      </w:pPr>
    </w:p>
    <w:p>
      <w:pPr>
        <w:jc w:val="both"/>
        <w:ind w:left="1180" w:right="219" w:hanging="323"/>
        <w:spacing w:after="0" w:line="241" w:lineRule="auto"/>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a disruption in the Company’s operations, supply chain or breach or unauthorized access of its property or assets, including its facilities and information technology infrastructure;</w:t>
      </w:r>
    </w:p>
    <w:p>
      <w:pPr>
        <w:spacing w:after="0" w:line="8"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tender offers or proxy fights;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restatements;</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litigation or settlements; and</w:t>
      </w:r>
    </w:p>
    <w:p>
      <w:pPr>
        <w:spacing w:after="0" w:line="52" w:lineRule="exact"/>
        <w:rPr>
          <w:rFonts w:ascii="Times New Roman" w:cs="Times New Roman" w:eastAsia="Times New Roman" w:hAnsi="Times New Roman"/>
          <w:sz w:val="20"/>
          <w:szCs w:val="20"/>
          <w:color w:val="auto"/>
        </w:rPr>
      </w:pPr>
    </w:p>
    <w:p>
      <w:pPr>
        <w:ind w:left="1180" w:hanging="323"/>
        <w:spacing w:after="0"/>
        <w:tabs>
          <w:tab w:leader="none" w:pos="118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When information is considered public</w:t>
      </w:r>
    </w:p>
    <w:p>
      <w:pPr>
        <w:spacing w:after="0" w:line="202" w:lineRule="exact"/>
        <w:rPr>
          <w:sz w:val="20"/>
          <w:szCs w:val="20"/>
          <w:color w:val="auto"/>
        </w:rPr>
      </w:pPr>
    </w:p>
    <w:p>
      <w:pPr>
        <w:jc w:val="both"/>
        <w:ind w:left="200" w:right="219" w:firstLine="324"/>
        <w:spacing w:after="0" w:line="229" w:lineRule="auto"/>
        <w:rPr>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(2)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Depending on the particular circumstances, the Company may determine that a longer or shorter waiting period should apply to the release of specific material nonpublic information.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Q</w:t>
      </w:r>
      <w:r>
        <w:rPr>
          <w:rFonts w:ascii="Arial" w:cs="Arial" w:eastAsia="Arial" w:hAnsi="Arial"/>
          <w:sz w:val="13"/>
          <w:szCs w:val="13"/>
          <w:b w:val="1"/>
          <w:bCs w:val="1"/>
          <w:color w:val="auto"/>
        </w:rPr>
        <w:t>uarterly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eriods</w:t>
      </w:r>
    </w:p>
    <w:p>
      <w:pPr>
        <w:spacing w:after="0" w:line="204" w:lineRule="exact"/>
        <w:rPr>
          <w:sz w:val="20"/>
          <w:szCs w:val="20"/>
          <w:color w:val="auto"/>
        </w:rPr>
      </w:pPr>
    </w:p>
    <w:p>
      <w:pPr>
        <w:jc w:val="both"/>
        <w:ind w:left="200" w:right="219" w:firstLine="324"/>
        <w:spacing w:after="0" w:line="229" w:lineRule="auto"/>
        <w:rPr>
          <w:sz w:val="20"/>
          <w:szCs w:val="20"/>
          <w:color w:val="auto"/>
        </w:rPr>
      </w:pPr>
      <w:r>
        <w:rPr>
          <w:rFonts w:ascii="Arial" w:cs="Arial" w:eastAsia="Arial" w:hAnsi="Arial"/>
          <w:sz w:val="20"/>
          <w:szCs w:val="20"/>
          <w:color w:val="auto"/>
        </w:rPr>
        <w:t xml:space="preserve">Because our workplace culture tends to be open, odds are that the vast majority of our employees, directors and consultants (“Covered Insiders”) will possess material nonpublic information at certain points during the year. To minimize even the appearance of insider trading among our Covered Insiders, we have established “quarterly trading blackout periods” during which our Covered Insiders and their Related Persons—regardless of whether they are aware of material nonpublic information or not—may not conduct any trades in the Company’s securities. That means that, except as described in this Policy, Covered Insiders and their Related Persons will be able to trade in the Company’s securities </w:t>
      </w:r>
      <w:r>
        <w:rPr>
          <w:rFonts w:ascii="Arial" w:cs="Arial" w:eastAsia="Arial" w:hAnsi="Arial"/>
          <w:sz w:val="20"/>
          <w:szCs w:val="20"/>
          <w:u w:val="single" w:color="auto"/>
          <w:color w:val="auto"/>
        </w:rPr>
        <w:t>only</w:t>
      </w:r>
      <w:r>
        <w:rPr>
          <w:rFonts w:ascii="Arial" w:cs="Arial" w:eastAsia="Arial" w:hAnsi="Arial"/>
          <w:sz w:val="20"/>
          <w:szCs w:val="20"/>
          <w:color w:val="auto"/>
        </w:rPr>
        <w:t xml:space="preserve"> during limited open trading window periods that generally will begin after two (2) full trading days have elapsed since the public dissemination of the Company’s annual or quarterly financial results and end at the beginning of the next quarterly trading blackout period (as defined below). Of course, even during an open trading window period, you may not (unless an exception applies) conduct any trades in the Company’s securities if you are otherwise in possession of material nonpublic information.</w:t>
      </w:r>
    </w:p>
    <w:p>
      <w:pPr>
        <w:spacing w:after="0" w:line="171"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0"/>
          <w:szCs w:val="20"/>
          <w:color w:val="auto"/>
        </w:rPr>
        <w:t>For purposes of this Policy, each “</w:t>
      </w:r>
      <w:r>
        <w:rPr>
          <w:rFonts w:ascii="Arial" w:cs="Arial" w:eastAsia="Arial" w:hAnsi="Arial"/>
          <w:sz w:val="20"/>
          <w:szCs w:val="20"/>
          <w:b w:val="1"/>
          <w:bCs w:val="1"/>
          <w:i w:val="1"/>
          <w:iCs w:val="1"/>
          <w:color w:val="auto"/>
        </w:rPr>
        <w:t>quarterly trading blackout period</w:t>
      </w:r>
      <w:r>
        <w:rPr>
          <w:rFonts w:ascii="Arial" w:cs="Arial" w:eastAsia="Arial" w:hAnsi="Arial"/>
          <w:sz w:val="20"/>
          <w:szCs w:val="20"/>
          <w:color w:val="auto"/>
        </w:rPr>
        <w:t>” will generally begin at the close of business on the day that immediately precedes the date of the first Disclosure Committee meeting for each fiscal quarter and end after two full trading days have elapsed since the public dissemination of the Company’s financial results for that quarter. Please note that the quarterly trading blackout period may commence early or may be extended if, in the judgment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88" w:name="page189"/>
    <w:bookmarkEnd w:id="188"/>
    <w:p>
      <w:pPr>
        <w:jc w:val="both"/>
        <w:ind w:left="200" w:right="219"/>
        <w:spacing w:after="0" w:line="234" w:lineRule="auto"/>
        <w:rPr>
          <w:sz w:val="20"/>
          <w:szCs w:val="20"/>
          <w:color w:val="auto"/>
        </w:rPr>
      </w:pPr>
      <w:r>
        <w:rPr>
          <w:rFonts w:ascii="Arial" w:cs="Arial" w:eastAsia="Arial" w:hAnsi="Arial"/>
          <w:sz w:val="20"/>
          <w:szCs w:val="20"/>
          <w:color w:val="auto"/>
        </w:rPr>
        <w:t>the Chief Executive Officer, Chief Financial Officer or Chief Legal Officer, there exists undisclosed information that would make trades by Covered Insiders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5" w:lineRule="exact"/>
        <w:rPr>
          <w:sz w:val="20"/>
          <w:szCs w:val="20"/>
          <w:color w:val="auto"/>
        </w:rPr>
      </w:pPr>
    </w:p>
    <w:p>
      <w:pPr>
        <w:jc w:val="both"/>
        <w:ind w:left="200" w:right="219" w:firstLine="324"/>
        <w:spacing w:after="0" w:line="233" w:lineRule="auto"/>
        <w:rPr>
          <w:sz w:val="20"/>
          <w:szCs w:val="20"/>
          <w:color w:val="auto"/>
        </w:rPr>
      </w:pPr>
      <w:r>
        <w:rPr>
          <w:rFonts w:ascii="Arial" w:cs="Arial" w:eastAsia="Arial" w:hAnsi="Arial"/>
          <w:sz w:val="20"/>
          <w:szCs w:val="20"/>
          <w:color w:val="auto"/>
        </w:rPr>
        <w:t>A Covered Insider who believes that special circumstances require him or her to trade during a quarterly trading blackout period should consult the Clearing Officer. Permission to trade during a quarterly trading blackout period will be granted only where the circumstances are extenuating, the Clearing Officer concludes that the person is not in fact aware of any material nonpublic information relating to the Company or its securities, and there appears to be no significant risk that the trade may subsequently be questioned.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vent</w:t>
      </w:r>
      <w:r>
        <w:rPr>
          <w:rFonts w:ascii="Arial" w:cs="Arial" w:eastAsia="Arial" w:hAnsi="Arial"/>
          <w:sz w:val="20"/>
          <w:szCs w:val="20"/>
          <w:b w:val="1"/>
          <w:bCs w:val="1"/>
          <w:color w:val="auto"/>
        </w:rPr>
        <w:t>-S</w:t>
      </w:r>
      <w:r>
        <w:rPr>
          <w:rFonts w:ascii="Arial" w:cs="Arial" w:eastAsia="Arial" w:hAnsi="Arial"/>
          <w:sz w:val="13"/>
          <w:szCs w:val="13"/>
          <w:b w:val="1"/>
          <w:bCs w:val="1"/>
          <w:color w:val="auto"/>
        </w:rPr>
        <w:t>pecific</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left="200" w:right="219" w:firstLine="324"/>
        <w:spacing w:after="0" w:line="230" w:lineRule="auto"/>
        <w:rPr>
          <w:sz w:val="20"/>
          <w:szCs w:val="20"/>
          <w:color w:val="auto"/>
        </w:rPr>
      </w:pPr>
      <w:r>
        <w:rPr>
          <w:rFonts w:ascii="Arial" w:cs="Arial" w:eastAsia="Arial" w:hAnsi="Arial"/>
          <w:sz w:val="20"/>
          <w:szCs w:val="20"/>
          <w:color w:val="auto"/>
        </w:rPr>
        <w:t>From time to time, an event may occur that is material to the Company and is known by only a few directors, officers and/or employees. So long as the event remains material and nonpublic, the persons designated by the Chief Executive Officer, Chief Financial Officer or Chief Legal Officer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72" w:lineRule="exact"/>
        <w:rPr>
          <w:sz w:val="20"/>
          <w:szCs w:val="20"/>
          <w:color w:val="auto"/>
        </w:rPr>
      </w:pPr>
    </w:p>
    <w:p>
      <w:pPr>
        <w:jc w:val="both"/>
        <w:ind w:left="200" w:right="239" w:firstLine="324"/>
        <w:spacing w:after="0" w:line="257" w:lineRule="auto"/>
        <w:rPr>
          <w:sz w:val="20"/>
          <w:szCs w:val="20"/>
          <w:color w:val="auto"/>
        </w:rPr>
      </w:pPr>
      <w:r>
        <w:rPr>
          <w:rFonts w:ascii="Arial" w:cs="Arial" w:eastAsia="Arial" w:hAnsi="Arial"/>
          <w:sz w:val="20"/>
          <w:szCs w:val="20"/>
          <w:color w:val="auto"/>
        </w:rPr>
        <w:t>The quarterly and event-driven trading blackouts do not apply to those transactions to which this Policy does not apply, as described under the heading “Exceptions to this Policy” below.</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xceptions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This Policy includes limited exceptions in the case of the following transactions:</w:t>
      </w:r>
    </w:p>
    <w:p>
      <w:pPr>
        <w:spacing w:after="0" w:line="202" w:lineRule="exact"/>
        <w:rPr>
          <w:sz w:val="20"/>
          <w:szCs w:val="20"/>
          <w:color w:val="auto"/>
        </w:rPr>
      </w:pPr>
    </w:p>
    <w:p>
      <w:pPr>
        <w:jc w:val="both"/>
        <w:ind w:left="200" w:right="219" w:firstLine="333"/>
        <w:spacing w:after="0" w:line="233" w:lineRule="auto"/>
        <w:tabs>
          <w:tab w:leader="none" w:pos="848" w:val="left"/>
        </w:tabs>
        <w:numPr>
          <w:ilvl w:val="0"/>
          <w:numId w:val="74"/>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Option Exercises</w:t>
      </w:r>
      <w:r>
        <w:rPr>
          <w:rFonts w:ascii="Arial" w:cs="Arial" w:eastAsia="Arial" w:hAnsi="Arial"/>
          <w:sz w:val="20"/>
          <w:szCs w:val="20"/>
          <w:color w:val="auto"/>
        </w:rPr>
        <w:t>. This Policy shall apply to any sale of shares as part of a broker-assisted cashless exercise or any other market sale. This Policy does not apply to an exercise of options granted under the Company’s equity compensation plans for cash in which the optionholder (a) pays cash, (b) if permitted under the option, exercises the options through a net exercise transaction with the Company or (c) if permitted under the option, exercises the options by delivering to the Company already-owned Company shares.</w:t>
      </w:r>
    </w:p>
    <w:p>
      <w:pPr>
        <w:spacing w:after="0" w:line="172" w:lineRule="exact"/>
        <w:rPr>
          <w:rFonts w:ascii="Arial" w:cs="Arial" w:eastAsia="Arial" w:hAnsi="Arial"/>
          <w:sz w:val="18"/>
          <w:szCs w:val="18"/>
          <w:b w:val="1"/>
          <w:bCs w:val="1"/>
          <w:color w:val="auto"/>
        </w:rPr>
      </w:pPr>
    </w:p>
    <w:p>
      <w:pPr>
        <w:jc w:val="both"/>
        <w:ind w:left="200" w:right="219" w:firstLine="333"/>
        <w:spacing w:after="0" w:line="232" w:lineRule="auto"/>
        <w:tabs>
          <w:tab w:leader="none" w:pos="848" w:val="left"/>
        </w:tabs>
        <w:numPr>
          <w:ilvl w:val="0"/>
          <w:numId w:val="74"/>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Tax Withholding Transactions</w:t>
      </w:r>
      <w:r>
        <w:rPr>
          <w:rFonts w:ascii="Arial" w:cs="Arial" w:eastAsia="Arial" w:hAnsi="Arial"/>
          <w:sz w:val="20"/>
          <w:szCs w:val="20"/>
          <w:color w:val="auto"/>
        </w:rPr>
        <w:t>. This Policy does not apply to the surrender of shares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directly to the Company to satisfy tax withholding obligations as a result of the issuance of shares upon vesting or exercise of restricted share units, options or other equity awards granted under the Company’s equity compensation plans. Of course, any market sale of the shares received upon exercise or vesting of any such equity awards remains subject to all provisions of this Policy whether or not for the purpose of generating the cash needed to pay the exercise price or pay taxes.</w:t>
      </w:r>
    </w:p>
    <w:p>
      <w:pPr>
        <w:spacing w:after="0" w:line="171" w:lineRule="exact"/>
        <w:rPr>
          <w:rFonts w:ascii="Arial" w:cs="Arial" w:eastAsia="Arial" w:hAnsi="Arial"/>
          <w:sz w:val="18"/>
          <w:szCs w:val="18"/>
          <w:b w:val="1"/>
          <w:bCs w:val="1"/>
          <w:color w:val="auto"/>
        </w:rPr>
      </w:pPr>
    </w:p>
    <w:p>
      <w:pPr>
        <w:ind w:left="200" w:right="219" w:firstLine="333"/>
        <w:spacing w:after="0" w:line="268" w:lineRule="auto"/>
        <w:tabs>
          <w:tab w:leader="none" w:pos="848" w:val="left"/>
        </w:tabs>
        <w:numPr>
          <w:ilvl w:val="0"/>
          <w:numId w:val="74"/>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ESPP</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Policy does not apply to the purchase of ordinary shares by employees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Company’s Employee Share Purchase Plan (“</w:t>
      </w:r>
      <w:r>
        <w:rPr>
          <w:rFonts w:ascii="Arial" w:cs="Arial" w:eastAsia="Arial" w:hAnsi="Arial"/>
          <w:sz w:val="20"/>
          <w:szCs w:val="20"/>
          <w:b w:val="1"/>
          <w:bCs w:val="1"/>
          <w:i w:val="1"/>
          <w:iCs w:val="1"/>
          <w:color w:val="auto"/>
        </w:rPr>
        <w:t>ESPP</w:t>
      </w:r>
      <w:r>
        <w:rPr>
          <w:rFonts w:ascii="Arial" w:cs="Arial" w:eastAsia="Arial" w:hAnsi="Arial"/>
          <w:sz w:val="20"/>
          <w:szCs w:val="20"/>
          <w:color w:val="auto"/>
        </w:rPr>
        <w:t>”) on periodic designated dates in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89" w:name="page190"/>
    <w:bookmarkEnd w:id="189"/>
    <w:p>
      <w:pPr>
        <w:ind w:left="200" w:right="239"/>
        <w:spacing w:after="0" w:line="257" w:lineRule="auto"/>
        <w:rPr>
          <w:sz w:val="20"/>
          <w:szCs w:val="20"/>
          <w:color w:val="auto"/>
        </w:rPr>
      </w:pPr>
      <w:r>
        <w:rPr>
          <w:rFonts w:ascii="Arial" w:cs="Arial" w:eastAsia="Arial" w:hAnsi="Arial"/>
          <w:sz w:val="20"/>
          <w:szCs w:val="20"/>
          <w:color w:val="auto"/>
        </w:rPr>
        <w:t>accordance with the ESPP. This Policy does, however, apply to any sale of ordinary shares acquired pursuant to the ESPP.</w:t>
      </w:r>
    </w:p>
    <w:p>
      <w:pPr>
        <w:spacing w:after="0" w:line="155" w:lineRule="exact"/>
        <w:rPr>
          <w:sz w:val="20"/>
          <w:szCs w:val="20"/>
          <w:color w:val="auto"/>
        </w:rPr>
      </w:pPr>
    </w:p>
    <w:p>
      <w:pPr>
        <w:ind w:left="200" w:right="219" w:firstLine="333"/>
        <w:spacing w:after="0" w:line="229" w:lineRule="auto"/>
        <w:tabs>
          <w:tab w:leader="none" w:pos="848" w:val="left"/>
        </w:tabs>
        <w:numPr>
          <w:ilvl w:val="0"/>
          <w:numId w:val="75"/>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10b5-1 Automatic Trading Programs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Rule 10b5-1 of the Securities Exchange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1934, as amended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as permitted or required by the Company, employees, directors and consultants may establish a trading plan under which a broker is instructed to buy and sell the Company’s securities based on pre-determined criteria (a “</w:t>
      </w:r>
      <w:r>
        <w:rPr>
          <w:rFonts w:ascii="Arial" w:cs="Arial" w:eastAsia="Arial" w:hAnsi="Arial"/>
          <w:sz w:val="20"/>
          <w:szCs w:val="20"/>
          <w:b w:val="1"/>
          <w:bCs w:val="1"/>
          <w:i w:val="1"/>
          <w:iCs w:val="1"/>
          <w:color w:val="auto"/>
        </w:rPr>
        <w:t>10b5-1</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Trading Plan</w:t>
      </w:r>
      <w:r>
        <w:rPr>
          <w:rFonts w:ascii="Arial" w:cs="Arial" w:eastAsia="Arial" w:hAnsi="Arial"/>
          <w:sz w:val="20"/>
          <w:szCs w:val="20"/>
          <w:color w:val="auto"/>
        </w:rPr>
        <w:t>”). So long as a 10b5-1 Trading Plan is properly established, purchases and sales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Company’s securities pursuant to that 10b5-1 Trading Plan are not subject to this Policy. To be properly established, a 10b5-1 Trading Plan must be established in compliance with the requirements of Rule 10b5-1 of the Exchange Act and any applicable 10b5-1 trading plan guidelines of the Company at a time when the Company was not in a trading blackout period and they were not otherwise aware of any material nonpublic information relating to the Company . Moreover, all 10b5-1 Trading Plans must be reviewed and approved by the Clearing Officer before being established to confirm that the 10b5-1 Trading Plan complies with all pertinent company policies and applicable securities laws.</w:t>
      </w:r>
    </w:p>
    <w:p>
      <w:pPr>
        <w:spacing w:after="0" w:line="171" w:lineRule="exact"/>
        <w:rPr>
          <w:rFonts w:ascii="Arial" w:cs="Arial" w:eastAsia="Arial" w:hAnsi="Arial"/>
          <w:sz w:val="18"/>
          <w:szCs w:val="18"/>
          <w:b w:val="1"/>
          <w:bCs w:val="1"/>
          <w:color w:val="auto"/>
        </w:rPr>
      </w:pPr>
    </w:p>
    <w:p>
      <w:pPr>
        <w:jc w:val="both"/>
        <w:ind w:left="200" w:right="219" w:firstLine="333"/>
        <w:spacing w:after="0" w:line="230" w:lineRule="auto"/>
        <w:tabs>
          <w:tab w:leader="none" w:pos="848" w:val="left"/>
        </w:tabs>
        <w:numPr>
          <w:ilvl w:val="0"/>
          <w:numId w:val="75"/>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401(k) Plan</w:t>
      </w:r>
      <w:r>
        <w:rPr>
          <w:rFonts w:ascii="Arial" w:cs="Arial" w:eastAsia="Arial" w:hAnsi="Arial"/>
          <w:sz w:val="20"/>
          <w:szCs w:val="20"/>
          <w:color w:val="auto"/>
        </w:rPr>
        <w:t>. This Policy does not apply to purchases of the Company’s securities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401(k) plan, if permitted,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Company’s share fund; (b) an election to make an intra-plan transfer of an existing account balance into or out of the Company’s share fund; (c) an election to borrow money against your 401(k) plan account if the loan will result in a liquidation of some or all of your Company share fund balance; and (d) an election to pre-pay a plan loan if the pre-payment will result in allocation of loan proceeds to the Company’s share fund.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pecial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rohibited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2" w:lineRule="exact"/>
        <w:rPr>
          <w:sz w:val="20"/>
          <w:szCs w:val="20"/>
          <w:color w:val="auto"/>
        </w:rPr>
      </w:pPr>
    </w:p>
    <w:p>
      <w:pPr>
        <w:jc w:val="both"/>
        <w:ind w:left="200" w:right="219" w:firstLine="333"/>
        <w:spacing w:after="0" w:line="237" w:lineRule="auto"/>
        <w:tabs>
          <w:tab w:leader="none" w:pos="848"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Inherently Speculative Transactions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 Company employee, director or consultant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may engage in short sales, transactions in put options, call options or other derivative securities on an exchange or in any other organized market, or in any other inherently speculative transactions with respect to the Company’s shares.</w:t>
      </w:r>
    </w:p>
    <w:p>
      <w:pPr>
        <w:spacing w:after="0" w:line="173" w:lineRule="exact"/>
        <w:rPr>
          <w:rFonts w:ascii="Arial" w:cs="Arial" w:eastAsia="Arial" w:hAnsi="Arial"/>
          <w:sz w:val="20"/>
          <w:szCs w:val="20"/>
          <w:color w:val="auto"/>
        </w:rPr>
      </w:pPr>
    </w:p>
    <w:p>
      <w:pPr>
        <w:jc w:val="both"/>
        <w:ind w:left="200" w:right="219" w:firstLine="333"/>
        <w:spacing w:after="0" w:line="232" w:lineRule="auto"/>
        <w:tabs>
          <w:tab w:leader="none" w:pos="848"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Hedging Transactions. </w:t>
      </w:r>
      <w:r>
        <w:rPr>
          <w:rFonts w:ascii="Arial" w:cs="Arial" w:eastAsia="Arial" w:hAnsi="Arial"/>
          <w:sz w:val="20"/>
          <w:szCs w:val="20"/>
          <w:color w:val="auto"/>
        </w:rPr>
        <w:t>The purchase of or the entry into other transactions that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designed to offset or “hedge” decreases in the market value of the Company’s securities may permit a Company employee, director or consultant to continue to own the Company’s securities obtained through employee benefit plans or otherwise, but without the full risks and rewards of ownership. When that occurs, the Company’s employee, director or consultant may no longer have the same objectives as the Company’s other shareholders. Therefore, the Company’s employees, directors and consultants are prohibited from engaging in any such transactions.</w:t>
      </w:r>
    </w:p>
    <w:p>
      <w:pPr>
        <w:spacing w:after="0" w:line="172"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0"/>
          <w:szCs w:val="20"/>
          <w:color w:val="auto"/>
        </w:rPr>
        <w:t>Hedging can be accomplished through any number of possible mechanisms, including through the use of financial instruments such as prepaid variable forwards, equity swaps, collars and exchange funds. Other examples include borrowing or other arrangements involving a non-recourse pledge of the Company’s securities and selling a security future that establishes a position that increases in value as the value of the underlying equity security decreases.</w:t>
      </w:r>
    </w:p>
    <w:p>
      <w:pPr>
        <w:spacing w:after="0" w:line="175" w:lineRule="exact"/>
        <w:rPr>
          <w:sz w:val="20"/>
          <w:szCs w:val="20"/>
          <w:color w:val="auto"/>
        </w:rPr>
      </w:pPr>
    </w:p>
    <w:p>
      <w:pPr>
        <w:ind w:left="200" w:right="219" w:firstLine="333"/>
        <w:spacing w:after="0" w:line="257" w:lineRule="auto"/>
        <w:tabs>
          <w:tab w:leader="none" w:pos="848" w:val="left"/>
        </w:tabs>
        <w:numPr>
          <w:ilvl w:val="0"/>
          <w:numId w:val="77"/>
        </w:numPr>
        <w:rPr>
          <w:rFonts w:ascii="Arial" w:cs="Arial" w:eastAsia="Arial" w:hAnsi="Arial"/>
          <w:sz w:val="20"/>
          <w:szCs w:val="20"/>
          <w:color w:val="auto"/>
        </w:rPr>
      </w:pPr>
      <w:r>
        <w:rPr>
          <w:rFonts w:ascii="Arial" w:cs="Arial" w:eastAsia="Arial" w:hAnsi="Arial"/>
          <w:sz w:val="20"/>
          <w:szCs w:val="20"/>
          <w:b w:val="1"/>
          <w:bCs w:val="1"/>
          <w:i w:val="1"/>
          <w:iCs w:val="1"/>
          <w:color w:val="auto"/>
        </w:rPr>
        <w:t>Margin Accounts and Pledged Securities</w:t>
      </w:r>
      <w:r>
        <w:rPr>
          <w:rFonts w:ascii="Arial" w:cs="Arial" w:eastAsia="Arial" w:hAnsi="Arial"/>
          <w:sz w:val="20"/>
          <w:szCs w:val="20"/>
          <w:color w:val="auto"/>
        </w:rPr>
        <w:t>. Securities held in a margin account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collateral for a margin loan may be sold by the broker without the customer’s consent if the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0" w:name="page191"/>
    <w:bookmarkEnd w:id="190"/>
    <w:p>
      <w:pPr>
        <w:jc w:val="both"/>
        <w:ind w:left="200" w:right="219"/>
        <w:spacing w:after="0" w:line="233" w:lineRule="auto"/>
        <w:rPr>
          <w:sz w:val="20"/>
          <w:szCs w:val="20"/>
          <w:color w:val="auto"/>
        </w:rPr>
      </w:pPr>
      <w:r>
        <w:rPr>
          <w:rFonts w:ascii="Arial" w:cs="Arial" w:eastAsia="Arial" w:hAnsi="Arial"/>
          <w:sz w:val="20"/>
          <w:szCs w:val="20"/>
          <w:color w:val="auto"/>
        </w:rPr>
        <w:t>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the Company’s employees, directors and consultants are prohibited from holding Company securities in a margin account or otherwise pledging the Company’s securities as collateral for a loan.</w:t>
      </w:r>
    </w:p>
    <w:p>
      <w:pPr>
        <w:spacing w:after="0" w:line="172" w:lineRule="exact"/>
        <w:rPr>
          <w:sz w:val="20"/>
          <w:szCs w:val="20"/>
          <w:color w:val="auto"/>
        </w:rPr>
      </w:pPr>
    </w:p>
    <w:p>
      <w:pPr>
        <w:jc w:val="both"/>
        <w:ind w:left="200" w:right="219" w:firstLine="333"/>
        <w:spacing w:after="0" w:line="229" w:lineRule="auto"/>
        <w:tabs>
          <w:tab w:leader="none" w:pos="848" w:val="left"/>
        </w:tabs>
        <w:numPr>
          <w:ilvl w:val="0"/>
          <w:numId w:val="78"/>
        </w:numPr>
        <w:rPr>
          <w:rFonts w:ascii="Arial" w:cs="Arial" w:eastAsia="Arial" w:hAnsi="Arial"/>
          <w:sz w:val="20"/>
          <w:szCs w:val="20"/>
          <w:color w:val="auto"/>
        </w:rPr>
      </w:pPr>
      <w:r>
        <w:rPr>
          <w:rFonts w:ascii="Arial" w:cs="Arial" w:eastAsia="Arial" w:hAnsi="Arial"/>
          <w:sz w:val="20"/>
          <w:szCs w:val="20"/>
          <w:b w:val="1"/>
          <w:bCs w:val="1"/>
          <w:i w:val="1"/>
          <w:iCs w:val="1"/>
          <w:color w:val="auto"/>
        </w:rPr>
        <w:t>Standing and Limit Orders</w:t>
      </w:r>
      <w:r>
        <w:rPr>
          <w:rFonts w:ascii="Arial" w:cs="Arial" w:eastAsia="Arial" w:hAnsi="Arial"/>
          <w:sz w:val="20"/>
          <w:szCs w:val="20"/>
          <w:color w:val="auto"/>
        </w:rPr>
        <w:t>. Standing and limit orders (except standing and limit orders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approved 10b5-1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Company employee, director or consultant is in possession of material nonpublic information. The Company therefore discourages placing standing or limit orders on the Company’s securities. If a person subject to this Policy determines that they must use a standing order or limit order (other than under an approved 10b5-1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re</w:t>
      </w:r>
      <w:r>
        <w:rPr>
          <w:rFonts w:ascii="Arial" w:cs="Arial" w:eastAsia="Arial" w:hAnsi="Arial"/>
          <w:sz w:val="20"/>
          <w:szCs w:val="20"/>
          <w:b w:val="1"/>
          <w:bCs w:val="1"/>
          <w:color w:val="auto"/>
        </w:rPr>
        <w:t>-C</w:t>
      </w:r>
      <w:r>
        <w:rPr>
          <w:rFonts w:ascii="Arial" w:cs="Arial" w:eastAsia="Arial" w:hAnsi="Arial"/>
          <w:sz w:val="13"/>
          <w:szCs w:val="13"/>
          <w:b w:val="1"/>
          <w:bCs w:val="1"/>
          <w:color w:val="auto"/>
        </w:rPr>
        <w:t>learance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dvance</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4" w:lineRule="exact"/>
        <w:rPr>
          <w:sz w:val="20"/>
          <w:szCs w:val="20"/>
          <w:color w:val="auto"/>
        </w:rPr>
      </w:pPr>
    </w:p>
    <w:p>
      <w:pPr>
        <w:jc w:val="both"/>
        <w:ind w:left="200" w:right="219" w:firstLine="324"/>
        <w:spacing w:after="0" w:line="230" w:lineRule="auto"/>
        <w:rPr>
          <w:sz w:val="20"/>
          <w:szCs w:val="20"/>
          <w:color w:val="auto"/>
        </w:rPr>
      </w:pPr>
      <w:r>
        <w:rPr>
          <w:rFonts w:ascii="Arial" w:cs="Arial" w:eastAsia="Arial" w:hAnsi="Arial"/>
          <w:sz w:val="20"/>
          <w:szCs w:val="20"/>
          <w:color w:val="auto"/>
        </w:rPr>
        <w:t>In addition to the requirements listed above, employees, directors and consultants face a further restriction: Even during an open trading window, they may not engage in any transaction in the Company’s securities without first obtaining pre-clearance of the transaction from the Clearing Officer or his or her designee at least two (2) business days in advance of the proposed transaction. The Clearing Officer or his or her designee will then determine whether the transaction may proceed and, if so, will direct the Compliance Coordinator (as identified in the Company’s Section 16 Compliance Program) to help assist, if applicable, in complying with the required reporting requirements under Section 16(a) of the Exchange Act. Pre-cleared transactions not completed within five (5) business days will require new pre-clearance. The Company may, at its discretion, choose to shorten or extend this period.</w:t>
      </w:r>
    </w:p>
    <w:p>
      <w:pPr>
        <w:spacing w:after="0" w:line="172" w:lineRule="exact"/>
        <w:rPr>
          <w:sz w:val="20"/>
          <w:szCs w:val="20"/>
          <w:color w:val="auto"/>
        </w:rPr>
      </w:pPr>
    </w:p>
    <w:p>
      <w:pPr>
        <w:jc w:val="both"/>
        <w:ind w:left="200" w:right="219" w:firstLine="324"/>
        <w:spacing w:after="0" w:line="234" w:lineRule="auto"/>
        <w:rPr>
          <w:sz w:val="20"/>
          <w:szCs w:val="20"/>
          <w:color w:val="auto"/>
        </w:rPr>
      </w:pPr>
      <w:r>
        <w:rPr>
          <w:rFonts w:ascii="Arial" w:cs="Arial" w:eastAsia="Arial" w:hAnsi="Arial"/>
          <w:sz w:val="20"/>
          <w:szCs w:val="20"/>
          <w:color w:val="auto"/>
        </w:rPr>
        <w:t>Persons subject to pre-clearance must also give advance notice of their plans to exercise an outstanding stock option to the Clearing Officer. Upon completion of any transaction, the director or Section 16 officer must immediately notify the Compliance Coordinator and any other individual(s) identified in the Company’s Section 16 Compliance Program so that the Company may assist in any Section 16 reporting obligations.</w:t>
      </w:r>
    </w:p>
    <w:p>
      <w:pPr>
        <w:spacing w:after="0" w:line="175" w:lineRule="exact"/>
        <w:rPr>
          <w:sz w:val="20"/>
          <w:szCs w:val="20"/>
          <w:color w:val="auto"/>
        </w:rPr>
      </w:pPr>
    </w:p>
    <w:p>
      <w:pPr>
        <w:jc w:val="both"/>
        <w:ind w:left="200" w:right="219" w:firstLine="324"/>
        <w:spacing w:after="0" w:line="232" w:lineRule="auto"/>
        <w:rPr>
          <w:sz w:val="20"/>
          <w:szCs w:val="20"/>
          <w:color w:val="auto"/>
        </w:rPr>
      </w:pPr>
      <w:r>
        <w:rPr>
          <w:rFonts w:ascii="Arial" w:cs="Arial" w:eastAsia="Arial" w:hAnsi="Arial"/>
          <w:sz w:val="20"/>
          <w:szCs w:val="20"/>
          <w:color w:val="auto"/>
        </w:rPr>
        <w:t>The Company is required to disclose certain information on a quarterly basis on Forms 10-Q and 10-K with respect to the adoption, material modification or termination of 10b5-1 Trading Plans and Non-10b5-1 Trading Plans by any director or Section 16 officer. By entering into a 10b5-1 Trading Plan or Non-10b5-1 Trading Plan, the Company’s directors and Section 16 officers are deemed to understand, and agree to cooperate with the Company with respect to, such disclosure obligations, including by notifying the Compliance Coordinator of information relevant to the preparation of such disclosure.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hort</w:t>
      </w:r>
      <w:r>
        <w:rPr>
          <w:rFonts w:ascii="Arial" w:cs="Arial" w:eastAsia="Arial" w:hAnsi="Arial"/>
          <w:sz w:val="20"/>
          <w:szCs w:val="20"/>
          <w:b w:val="1"/>
          <w:bCs w:val="1"/>
          <w:color w:val="auto"/>
        </w:rPr>
        <w:t>-S</w:t>
      </w:r>
      <w:r>
        <w:rPr>
          <w:rFonts w:ascii="Arial" w:cs="Arial" w:eastAsia="Arial" w:hAnsi="Arial"/>
          <w:sz w:val="13"/>
          <w:szCs w:val="13"/>
          <w:b w:val="1"/>
          <w:bCs w:val="1"/>
          <w:color w:val="auto"/>
        </w:rPr>
        <w:t>wing</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C</w:t>
      </w:r>
      <w:r>
        <w:rPr>
          <w:rFonts w:ascii="Arial" w:cs="Arial" w:eastAsia="Arial" w:hAnsi="Arial"/>
          <w:sz w:val="13"/>
          <w:szCs w:val="13"/>
          <w:b w:val="1"/>
          <w:bCs w:val="1"/>
          <w:color w:val="auto"/>
        </w:rPr>
        <w:t>ontrol</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16 R</w:t>
      </w:r>
      <w:r>
        <w:rPr>
          <w:rFonts w:ascii="Arial" w:cs="Arial" w:eastAsia="Arial" w:hAnsi="Arial"/>
          <w:sz w:val="13"/>
          <w:szCs w:val="13"/>
          <w:b w:val="1"/>
          <w:bCs w:val="1"/>
          <w:color w:val="auto"/>
        </w:rPr>
        <w:t>eports</w:t>
      </w:r>
    </w:p>
    <w:p>
      <w:pPr>
        <w:spacing w:after="0" w:line="204" w:lineRule="exact"/>
        <w:rPr>
          <w:sz w:val="20"/>
          <w:szCs w:val="20"/>
          <w:color w:val="auto"/>
        </w:rPr>
      </w:pPr>
    </w:p>
    <w:p>
      <w:pPr>
        <w:jc w:val="both"/>
        <w:ind w:left="200" w:right="219" w:firstLine="324"/>
        <w:spacing w:after="0" w:line="257" w:lineRule="auto"/>
        <w:rPr>
          <w:sz w:val="20"/>
          <w:szCs w:val="20"/>
          <w:color w:val="auto"/>
        </w:rPr>
      </w:pPr>
      <w:r>
        <w:rPr>
          <w:rFonts w:ascii="Arial" w:cs="Arial" w:eastAsia="Arial" w:hAnsi="Arial"/>
          <w:sz w:val="20"/>
          <w:szCs w:val="20"/>
          <w:color w:val="auto"/>
        </w:rPr>
        <w:t>Officers and directors subject to the reporting obligations under Section 16 of the Exchange Act should take care to avoid short-swing transactions (within the meaning of Section 16(b) of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1" w:name="page192"/>
    <w:bookmarkEnd w:id="191"/>
    <w:p>
      <w:pPr>
        <w:jc w:val="both"/>
        <w:ind w:left="200" w:right="219"/>
        <w:spacing w:after="0" w:line="237" w:lineRule="auto"/>
        <w:rPr>
          <w:sz w:val="20"/>
          <w:szCs w:val="20"/>
          <w:color w:val="auto"/>
        </w:rPr>
      </w:pPr>
      <w:r>
        <w:rPr>
          <w:rFonts w:ascii="Arial" w:cs="Arial" w:eastAsia="Arial" w:hAnsi="Arial"/>
          <w:sz w:val="20"/>
          <w:szCs w:val="20"/>
          <w:color w:val="auto"/>
        </w:rPr>
        <w:t>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rohibition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ension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left="200" w:right="219" w:firstLine="324"/>
        <w:spacing w:after="0" w:line="228" w:lineRule="auto"/>
        <w:rPr>
          <w:sz w:val="20"/>
          <w:szCs w:val="20"/>
          <w:color w:val="auto"/>
        </w:rPr>
      </w:pPr>
      <w:r>
        <w:rPr>
          <w:rFonts w:ascii="Arial" w:cs="Arial" w:eastAsia="Arial" w:hAnsi="Arial"/>
          <w:sz w:val="20"/>
          <w:szCs w:val="20"/>
          <w:color w:val="auto"/>
        </w:rPr>
        <w:t>No director or executive officer of the Company may, directly or indirectly, purchase, sell or otherwise transfer any equity security of the Company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the Company’s securities made pursuant to, and in compliance with, a 10b5-1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The Company will notify each director and executive officer of any blackout periods in accordance with the provisions of Regulation BTR. Because Regulation BTR is very complex, no director or executive officer of the Company should engage in any transactions in the Company’s securities, even if believed to be exempt from Regulation BTR, without first consulting with the Clearing Officer.</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uration</w:t>
      </w:r>
    </w:p>
    <w:p>
      <w:pPr>
        <w:spacing w:after="0" w:line="204" w:lineRule="exact"/>
        <w:rPr>
          <w:sz w:val="20"/>
          <w:szCs w:val="20"/>
          <w:color w:val="auto"/>
        </w:rPr>
      </w:pPr>
    </w:p>
    <w:p>
      <w:pPr>
        <w:jc w:val="both"/>
        <w:ind w:left="200" w:right="219" w:firstLine="324"/>
        <w:spacing w:after="0" w:line="231" w:lineRule="auto"/>
        <w:rPr>
          <w:sz w:val="20"/>
          <w:szCs w:val="20"/>
          <w:color w:val="auto"/>
        </w:rPr>
      </w:pPr>
      <w:r>
        <w:rPr>
          <w:rFonts w:ascii="Arial" w:cs="Arial" w:eastAsia="Arial" w:hAnsi="Arial"/>
          <w:sz w:val="20"/>
          <w:szCs w:val="20"/>
          <w:color w:val="auto"/>
        </w:rPr>
        <w:t>This Policy continues to apply to your transactions in the Company’s securities or the securities of other public companies engaged in business transactions with the Company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trading blackout period, then you may not trade the Company’s securities or the securities of other applicable companies until the trading blackout period has ended.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ndividual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esponsibility</w:t>
      </w:r>
    </w:p>
    <w:p>
      <w:pPr>
        <w:spacing w:after="0" w:line="204" w:lineRule="exact"/>
        <w:rPr>
          <w:sz w:val="20"/>
          <w:szCs w:val="20"/>
          <w:color w:val="auto"/>
        </w:rPr>
      </w:pPr>
    </w:p>
    <w:p>
      <w:pPr>
        <w:jc w:val="both"/>
        <w:ind w:left="200" w:right="219" w:firstLine="405"/>
        <w:spacing w:after="0" w:line="229" w:lineRule="auto"/>
        <w:rPr>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the Company or any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“Penalties” below.</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2" w:name="page193"/>
    <w:bookmarkEnd w:id="192"/>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enalties</w:t>
      </w:r>
    </w:p>
    <w:p>
      <w:pPr>
        <w:spacing w:after="0" w:line="204" w:lineRule="exact"/>
        <w:rPr>
          <w:sz w:val="20"/>
          <w:szCs w:val="20"/>
          <w:color w:val="auto"/>
        </w:rPr>
      </w:pPr>
    </w:p>
    <w:p>
      <w:pPr>
        <w:jc w:val="both"/>
        <w:ind w:left="200" w:right="219" w:firstLine="324"/>
        <w:spacing w:after="0" w:line="236" w:lineRule="auto"/>
        <w:rPr>
          <w:sz w:val="20"/>
          <w:szCs w:val="20"/>
          <w:color w:val="auto"/>
        </w:rPr>
      </w:pPr>
      <w:r>
        <w:rPr>
          <w:rFonts w:ascii="Arial" w:cs="Arial" w:eastAsia="Arial" w:hAnsi="Arial"/>
          <w:sz w:val="20"/>
          <w:szCs w:val="20"/>
          <w:color w:val="auto"/>
        </w:rPr>
        <w:t xml:space="preserve">Anyone who engages in insider trading or otherwise violates this Policy may be subject to both civil liability and criminal penalties. Violators also risk disciplinary action by the Company, including termination of employment. Anyone who has questions about this Policy should contact their own attorney or the Clearing Officer. Please also see Frequently Asked Questions, which are attached as </w:t>
      </w: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20"/>
          <w:szCs w:val="20"/>
          <w:color w:val="auto"/>
        </w:rPr>
        <w:t>.</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mendments</w:t>
      </w:r>
    </w:p>
    <w:p>
      <w:pPr>
        <w:spacing w:after="0" w:line="204" w:lineRule="exact"/>
        <w:rPr>
          <w:sz w:val="20"/>
          <w:szCs w:val="20"/>
          <w:color w:val="auto"/>
        </w:rPr>
      </w:pPr>
    </w:p>
    <w:p>
      <w:pPr>
        <w:jc w:val="both"/>
        <w:ind w:left="200" w:right="219" w:firstLine="324"/>
        <w:spacing w:after="0" w:line="237" w:lineRule="auto"/>
        <w:rPr>
          <w:sz w:val="20"/>
          <w:szCs w:val="20"/>
          <w:color w:val="auto"/>
        </w:rPr>
      </w:pPr>
      <w:r>
        <w:rPr>
          <w:rFonts w:ascii="Arial" w:cs="Arial" w:eastAsia="Arial" w:hAnsi="Arial"/>
          <w:sz w:val="20"/>
          <w:szCs w:val="20"/>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Clearing Officer.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2" w:right="1440"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jc w:val="center"/>
        <w:ind w:right="19"/>
        <w:spacing w:after="0" w:line="231"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requently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sked</w:t>
      </w:r>
      <w:r>
        <w:rPr>
          <w:rFonts w:ascii="Arial" w:cs="Arial" w:eastAsia="Arial" w:hAnsi="Arial"/>
          <w:sz w:val="20"/>
          <w:szCs w:val="20"/>
          <w:b w:val="1"/>
          <w:bCs w:val="1"/>
          <w:color w:val="auto"/>
        </w:rPr>
        <w:t xml:space="preserve"> Q</w:t>
      </w:r>
      <w:r>
        <w:rPr>
          <w:rFonts w:ascii="Arial" w:cs="Arial" w:eastAsia="Arial" w:hAnsi="Arial"/>
          <w:sz w:val="13"/>
          <w:szCs w:val="13"/>
          <w:b w:val="1"/>
          <w:bCs w:val="1"/>
          <w:color w:val="auto"/>
        </w:rPr>
        <w:t>uestions</w:t>
      </w:r>
    </w:p>
    <w:p>
      <w:pPr>
        <w:spacing w:after="0" w:line="184" w:lineRule="exact"/>
        <w:rPr>
          <w:sz w:val="20"/>
          <w:szCs w:val="20"/>
          <w:color w:val="auto"/>
        </w:rPr>
      </w:pPr>
    </w:p>
    <w:p>
      <w:pPr>
        <w:ind w:left="860" w:hanging="651"/>
        <w:spacing w:after="0"/>
        <w:tabs>
          <w:tab w:leader="none" w:pos="8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insider trading?</w:t>
      </w:r>
    </w:p>
    <w:p>
      <w:pPr>
        <w:spacing w:after="0" w:line="202" w:lineRule="exact"/>
        <w:rPr>
          <w:rFonts w:ascii="Arial" w:cs="Arial" w:eastAsia="Arial" w:hAnsi="Arial"/>
          <w:sz w:val="20"/>
          <w:szCs w:val="20"/>
          <w:b w:val="1"/>
          <w:bCs w:val="1"/>
          <w:color w:val="auto"/>
        </w:rPr>
      </w:pPr>
    </w:p>
    <w:p>
      <w:pPr>
        <w:jc w:val="both"/>
        <w:ind w:left="200" w:right="219" w:firstLine="657"/>
        <w:spacing w:after="0"/>
        <w:tabs>
          <w:tab w:leader="none" w:pos="1180"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Generally speaking, insider trading is the buying or selling of shares, bonds, futures or other securities by someone who possesses or is otherwise aware of material nonpublic information about the securities or the issuer of the securities. Insider trading also includes trading in related financial instruments, including derivatives (such as put or call options) where the price is linked to the underlying price of a company’s shares. It does not matter whether the decision to buy or sell was influenced by the material nonpublic information, how many shares you buy or sell, or whether it has an effect on the share price. Bottom line: If, during the course of your relationship with the Company, you are aware of material nonpublic information about the Company or another publicly traded company that the Company has business relationships with and you trade in the Company’s securities or such other company’s securities, you have broken the law and violated our insider trading policy. In addition, our insider trading policy provides that if in the course of your relationship with the Company, you learn of any confidential information that is material to another publicly traded company with which the Company does business, including a supplier, partner or collaborator of the Company, you may not trade in that other company’s securities until the information becomes public or is no longer material to that other company.</w:t>
      </w:r>
    </w:p>
    <w:p>
      <w:pPr>
        <w:spacing w:after="0" w:line="178" w:lineRule="exact"/>
        <w:rPr>
          <w:rFonts w:ascii="Arial" w:cs="Arial" w:eastAsia="Arial" w:hAnsi="Arial"/>
          <w:sz w:val="19"/>
          <w:szCs w:val="19"/>
          <w:b w:val="1"/>
          <w:bCs w:val="1"/>
          <w:color w:val="auto"/>
        </w:rPr>
      </w:pPr>
    </w:p>
    <w:p>
      <w:pPr>
        <w:ind w:left="860" w:hanging="651"/>
        <w:spacing w:after="0"/>
        <w:tabs>
          <w:tab w:leader="none" w:pos="8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is insider trading illegal?</w:t>
      </w:r>
    </w:p>
    <w:p>
      <w:pPr>
        <w:spacing w:after="0" w:line="202" w:lineRule="exact"/>
        <w:rPr>
          <w:rFonts w:ascii="Arial" w:cs="Arial" w:eastAsia="Arial" w:hAnsi="Arial"/>
          <w:sz w:val="20"/>
          <w:szCs w:val="20"/>
          <w:b w:val="1"/>
          <w:bCs w:val="1"/>
          <w:color w:val="auto"/>
        </w:rPr>
      </w:pPr>
    </w:p>
    <w:p>
      <w:pPr>
        <w:jc w:val="both"/>
        <w:ind w:left="200" w:right="219" w:firstLine="657"/>
        <w:spacing w:after="0" w:line="237" w:lineRule="auto"/>
        <w:tabs>
          <w:tab w:leader="none" w:pos="1248" w:val="left"/>
        </w:tabs>
        <w:numPr>
          <w:ilvl w:val="1"/>
          <w:numId w:val="79"/>
        </w:numPr>
        <w:rPr>
          <w:rFonts w:ascii="Arial" w:cs="Arial" w:eastAsia="Arial" w:hAnsi="Arial"/>
          <w:sz w:val="20"/>
          <w:szCs w:val="20"/>
          <w:b w:val="1"/>
          <w:bCs w:val="1"/>
          <w:color w:val="auto"/>
        </w:rPr>
      </w:pPr>
      <w:r>
        <w:rPr>
          <w:rFonts w:ascii="Arial" w:cs="Arial" w:eastAsia="Arial" w:hAnsi="Arial"/>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1" w:lineRule="exact"/>
        <w:rPr>
          <w:rFonts w:ascii="Arial" w:cs="Arial" w:eastAsia="Arial" w:hAnsi="Arial"/>
          <w:sz w:val="20"/>
          <w:szCs w:val="20"/>
          <w:b w:val="1"/>
          <w:bCs w:val="1"/>
          <w:color w:val="auto"/>
        </w:rPr>
      </w:pPr>
    </w:p>
    <w:p>
      <w:pPr>
        <w:ind w:left="860" w:hanging="651"/>
        <w:spacing w:after="0"/>
        <w:tabs>
          <w:tab w:leader="none" w:pos="8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material nonpublic information?</w:t>
      </w:r>
    </w:p>
    <w:p>
      <w:pPr>
        <w:spacing w:after="0" w:line="202" w:lineRule="exact"/>
        <w:rPr>
          <w:rFonts w:ascii="Arial" w:cs="Arial" w:eastAsia="Arial" w:hAnsi="Arial"/>
          <w:sz w:val="20"/>
          <w:szCs w:val="20"/>
          <w:b w:val="1"/>
          <w:bCs w:val="1"/>
          <w:color w:val="auto"/>
        </w:rPr>
      </w:pPr>
    </w:p>
    <w:p>
      <w:pPr>
        <w:jc w:val="both"/>
        <w:ind w:left="200" w:right="219" w:firstLine="657"/>
        <w:spacing w:after="0" w:line="232" w:lineRule="auto"/>
        <w:tabs>
          <w:tab w:leader="none" w:pos="1167" w:val="left"/>
        </w:tabs>
        <w:numPr>
          <w:ilvl w:val="1"/>
          <w:numId w:val="79"/>
        </w:numPr>
        <w:rPr>
          <w:rFonts w:ascii="Arial" w:cs="Arial" w:eastAsia="Arial" w:hAnsi="Arial"/>
          <w:sz w:val="20"/>
          <w:szCs w:val="20"/>
          <w:b w:val="1"/>
          <w:bCs w:val="1"/>
          <w:color w:val="auto"/>
        </w:rPr>
      </w:pPr>
      <w:r>
        <w:rPr>
          <w:rFonts w:ascii="Arial" w:cs="Arial" w:eastAsia="Arial" w:hAnsi="Arial"/>
          <w:sz w:val="20"/>
          <w:szCs w:val="20"/>
          <w:color w:val="auto"/>
        </w:rPr>
        <w:t>Information is material if it would influence a reasonable investor to buy or sell a share, bond future or other security. This could mean many things: financial results or forecasts, the status of product or product candidate development, results or regulatory approvals, clinical data relating to products or product candidates, timelines for pre-clinical studies or clinical trials, potential acquisitions or major partnerships or contracts to name just a few. Information is nonpublic if it has not yet been publicly disseminated within the meaning of our Insider Trading Policy.</w:t>
      </w:r>
    </w:p>
    <w:p>
      <w:pPr>
        <w:spacing w:after="0" w:line="171" w:lineRule="exact"/>
        <w:rPr>
          <w:rFonts w:ascii="Arial" w:cs="Arial" w:eastAsia="Arial" w:hAnsi="Arial"/>
          <w:sz w:val="20"/>
          <w:szCs w:val="20"/>
          <w:b w:val="1"/>
          <w:bCs w:val="1"/>
          <w:color w:val="auto"/>
        </w:rPr>
      </w:pPr>
    </w:p>
    <w:p>
      <w:pPr>
        <w:ind w:left="860" w:hanging="651"/>
        <w:spacing w:after="0"/>
        <w:tabs>
          <w:tab w:leader="none" w:pos="8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can be guilty of insider trading?</w:t>
      </w:r>
    </w:p>
    <w:p>
      <w:pPr>
        <w:spacing w:after="0" w:line="202" w:lineRule="exact"/>
        <w:rPr>
          <w:rFonts w:ascii="Arial" w:cs="Arial" w:eastAsia="Arial" w:hAnsi="Arial"/>
          <w:sz w:val="20"/>
          <w:szCs w:val="20"/>
          <w:b w:val="1"/>
          <w:bCs w:val="1"/>
          <w:color w:val="auto"/>
        </w:rPr>
      </w:pPr>
    </w:p>
    <w:p>
      <w:pPr>
        <w:jc w:val="both"/>
        <w:ind w:left="200" w:right="219" w:firstLine="657"/>
        <w:spacing w:after="0" w:line="232" w:lineRule="auto"/>
        <w:tabs>
          <w:tab w:leader="none" w:pos="1234" w:val="left"/>
        </w:tabs>
        <w:numPr>
          <w:ilvl w:val="1"/>
          <w:numId w:val="79"/>
        </w:numPr>
        <w:rPr>
          <w:rFonts w:ascii="Arial" w:cs="Arial" w:eastAsia="Arial" w:hAnsi="Arial"/>
          <w:sz w:val="20"/>
          <w:szCs w:val="20"/>
          <w:b w:val="1"/>
          <w:bCs w:val="1"/>
          <w:color w:val="auto"/>
        </w:rPr>
      </w:pPr>
      <w:r>
        <w:rPr>
          <w:rFonts w:ascii="Arial" w:cs="Arial" w:eastAsia="Arial" w:hAnsi="Arial"/>
          <w:sz w:val="20"/>
          <w:szCs w:val="20"/>
          <w:color w:val="auto"/>
        </w:rPr>
        <w:t>Anyone who buys or sells a security or related financial instrument while aware of material nonpublic information, or provides material nonpublic information that someone else uses to buy or sell a security or related financial instrument,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or related financial instrument, you may be found guilty of insider trading.</w:t>
      </w:r>
    </w:p>
    <w:p>
      <w:pPr>
        <w:spacing w:after="0" w:line="35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w:t>
      </w: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2" w:right="1440" w:bottom="1440" w:gutter="0" w:footer="0" w:header="0"/>
        </w:sectPr>
      </w:pPr>
    </w:p>
    <w:bookmarkStart w:id="194" w:name="page195"/>
    <w:bookmarkEnd w:id="194"/>
    <w:p>
      <w:pPr>
        <w:ind w:left="860" w:hanging="651"/>
        <w:spacing w:after="0"/>
        <w:tabs>
          <w:tab w:leader="none" w:pos="86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Does the Company have an Insider Trading Policy?</w:t>
      </w:r>
    </w:p>
    <w:p>
      <w:pPr>
        <w:spacing w:after="0" w:line="202" w:lineRule="exact"/>
        <w:rPr>
          <w:rFonts w:ascii="Arial" w:cs="Arial" w:eastAsia="Arial" w:hAnsi="Arial"/>
          <w:sz w:val="20"/>
          <w:szCs w:val="20"/>
          <w:b w:val="1"/>
          <w:bCs w:val="1"/>
          <w:color w:val="auto"/>
        </w:rPr>
      </w:pPr>
    </w:p>
    <w:p>
      <w:pPr>
        <w:ind w:left="1180" w:hanging="323"/>
        <w:spacing w:after="0"/>
        <w:tabs>
          <w:tab w:leader="none" w:pos="1180"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Yes, the Insider Trading Policy is available to read in our Human Resources Portal.</w:t>
      </w:r>
    </w:p>
    <w:p>
      <w:pPr>
        <w:spacing w:after="0" w:line="202" w:lineRule="exact"/>
        <w:rPr>
          <w:rFonts w:ascii="Arial" w:cs="Arial" w:eastAsia="Arial" w:hAnsi="Arial"/>
          <w:sz w:val="20"/>
          <w:szCs w:val="20"/>
          <w:b w:val="1"/>
          <w:bCs w:val="1"/>
          <w:color w:val="auto"/>
        </w:rPr>
      </w:pPr>
    </w:p>
    <w:p>
      <w:pPr>
        <w:ind w:left="860" w:hanging="651"/>
        <w:spacing w:after="0"/>
        <w:tabs>
          <w:tab w:leader="none" w:pos="86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work in a foreign office?</w:t>
      </w:r>
    </w:p>
    <w:p>
      <w:pPr>
        <w:spacing w:after="0" w:line="202" w:lineRule="exact"/>
        <w:rPr>
          <w:rFonts w:ascii="Arial" w:cs="Arial" w:eastAsia="Arial" w:hAnsi="Arial"/>
          <w:sz w:val="20"/>
          <w:szCs w:val="20"/>
          <w:b w:val="1"/>
          <w:bCs w:val="1"/>
          <w:color w:val="auto"/>
        </w:rPr>
      </w:pPr>
    </w:p>
    <w:p>
      <w:pPr>
        <w:jc w:val="both"/>
        <w:ind w:left="200" w:right="219" w:firstLine="657"/>
        <w:spacing w:after="0" w:line="233" w:lineRule="auto"/>
        <w:tabs>
          <w:tab w:leader="none" w:pos="1194"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Company director, employee or consultant, our policies apply to you no matter where you work.</w:t>
      </w:r>
    </w:p>
    <w:p>
      <w:pPr>
        <w:spacing w:after="0" w:line="172"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buy or sell anything, but I tell someone else material nonpublic information and they buy or sell?</w:t>
      </w:r>
    </w:p>
    <w:p>
      <w:pPr>
        <w:spacing w:after="0" w:line="134" w:lineRule="exact"/>
        <w:rPr>
          <w:rFonts w:ascii="Arial" w:cs="Arial" w:eastAsia="Arial" w:hAnsi="Arial"/>
          <w:sz w:val="20"/>
          <w:szCs w:val="20"/>
          <w:b w:val="1"/>
          <w:bCs w:val="1"/>
          <w:color w:val="auto"/>
        </w:rPr>
      </w:pPr>
    </w:p>
    <w:p>
      <w:pPr>
        <w:jc w:val="both"/>
        <w:ind w:left="200" w:right="219" w:firstLine="657"/>
        <w:spacing w:after="0" w:line="230" w:lineRule="auto"/>
        <w:tabs>
          <w:tab w:leader="none" w:pos="1180"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172" w:lineRule="exact"/>
        <w:rPr>
          <w:rFonts w:ascii="Arial" w:cs="Arial" w:eastAsia="Arial" w:hAnsi="Arial"/>
          <w:sz w:val="20"/>
          <w:szCs w:val="20"/>
          <w:b w:val="1"/>
          <w:bCs w:val="1"/>
          <w:color w:val="auto"/>
        </w:rPr>
      </w:pPr>
    </w:p>
    <w:p>
      <w:pPr>
        <w:ind w:left="200" w:right="239" w:firstLine="9"/>
        <w:spacing w:after="0" w:line="268" w:lineRule="auto"/>
        <w:tabs>
          <w:tab w:leader="none" w:pos="848"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tell them the information itself; I just tell them whether they should buy or sell?</w:t>
      </w:r>
    </w:p>
    <w:p>
      <w:pPr>
        <w:spacing w:after="0" w:line="134" w:lineRule="exact"/>
        <w:rPr>
          <w:rFonts w:ascii="Arial" w:cs="Arial" w:eastAsia="Arial" w:hAnsi="Arial"/>
          <w:sz w:val="20"/>
          <w:szCs w:val="20"/>
          <w:b w:val="1"/>
          <w:bCs w:val="1"/>
          <w:color w:val="auto"/>
        </w:rPr>
      </w:pPr>
    </w:p>
    <w:p>
      <w:pPr>
        <w:jc w:val="both"/>
        <w:ind w:left="200" w:right="239" w:firstLine="657"/>
        <w:spacing w:after="0" w:line="237" w:lineRule="auto"/>
        <w:tabs>
          <w:tab w:leader="none" w:pos="1180"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That is still tipping, and you can still be responsible for insider trading. You may never recommend to another person that they buy, hold or sell the Company’s securities or any derivative security or related financial instruments related to the Company’s securities, since that could be a form of tipping.</w:t>
      </w:r>
    </w:p>
    <w:p>
      <w:pPr>
        <w:spacing w:after="0" w:line="171"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are the sanctions if I trade on material nonpublic information or tip off someone else?</w:t>
      </w:r>
    </w:p>
    <w:p>
      <w:pPr>
        <w:spacing w:after="0" w:line="134" w:lineRule="exact"/>
        <w:rPr>
          <w:rFonts w:ascii="Arial" w:cs="Arial" w:eastAsia="Arial" w:hAnsi="Arial"/>
          <w:sz w:val="20"/>
          <w:szCs w:val="20"/>
          <w:b w:val="1"/>
          <w:bCs w:val="1"/>
          <w:color w:val="auto"/>
        </w:rPr>
      </w:pPr>
    </w:p>
    <w:p>
      <w:pPr>
        <w:jc w:val="both"/>
        <w:ind w:left="200" w:right="219" w:firstLine="657"/>
        <w:spacing w:after="0" w:line="231" w:lineRule="auto"/>
        <w:tabs>
          <w:tab w:leader="none" w:pos="1207"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35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5" w:name="page196"/>
    <w:bookmarkEnd w:id="195"/>
    <w:p>
      <w:pPr>
        <w:ind w:left="860" w:hanging="651"/>
        <w:spacing w:after="0"/>
        <w:tabs>
          <w:tab w:leader="none" w:pos="86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“loss avoided”?</w:t>
      </w:r>
    </w:p>
    <w:p>
      <w:pPr>
        <w:spacing w:after="0" w:line="202" w:lineRule="exact"/>
        <w:rPr>
          <w:rFonts w:ascii="Arial" w:cs="Arial" w:eastAsia="Arial" w:hAnsi="Arial"/>
          <w:sz w:val="20"/>
          <w:szCs w:val="20"/>
          <w:b w:val="1"/>
          <w:bCs w:val="1"/>
          <w:color w:val="auto"/>
        </w:rPr>
      </w:pPr>
    </w:p>
    <w:p>
      <w:pPr>
        <w:jc w:val="both"/>
        <w:ind w:left="200" w:right="219" w:firstLine="657"/>
        <w:spacing w:after="0" w:line="241" w:lineRule="auto"/>
        <w:tabs>
          <w:tab w:leader="none" w:pos="1167"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If you sell Company securities or a related financial instrument before negative news is publicly announced, and as a result of the announcement the share price declines, you have avoided the loss caused by the negative news.</w:t>
      </w:r>
    </w:p>
    <w:p>
      <w:pPr>
        <w:spacing w:after="0" w:line="171" w:lineRule="exact"/>
        <w:rPr>
          <w:rFonts w:ascii="Arial" w:cs="Arial" w:eastAsia="Arial" w:hAnsi="Arial"/>
          <w:sz w:val="20"/>
          <w:szCs w:val="20"/>
          <w:b w:val="1"/>
          <w:bCs w:val="1"/>
          <w:color w:val="auto"/>
        </w:rPr>
      </w:pPr>
    </w:p>
    <w:p>
      <w:pPr>
        <w:ind w:left="200" w:right="239" w:firstLine="9"/>
        <w:spacing w:after="0" w:line="268" w:lineRule="auto"/>
        <w:tabs>
          <w:tab w:leader="none" w:pos="848"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restricted from trading securities of any companies other than the Company, for example, a partner or competitor of the Company?</w:t>
      </w:r>
    </w:p>
    <w:p>
      <w:pPr>
        <w:spacing w:after="0" w:line="134" w:lineRule="exact"/>
        <w:rPr>
          <w:rFonts w:ascii="Arial" w:cs="Arial" w:eastAsia="Arial" w:hAnsi="Arial"/>
          <w:sz w:val="20"/>
          <w:szCs w:val="20"/>
          <w:b w:val="1"/>
          <w:bCs w:val="1"/>
          <w:color w:val="auto"/>
        </w:rPr>
      </w:pPr>
    </w:p>
    <w:p>
      <w:pPr>
        <w:jc w:val="both"/>
        <w:ind w:left="200" w:right="219" w:firstLine="657"/>
        <w:spacing w:after="0" w:line="232" w:lineRule="auto"/>
        <w:tabs>
          <w:tab w:leader="none" w:pos="1275"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spacing w:after="0" w:line="171"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if I do not trade Company securities when I have material nonpublic information, and I don’t “tip” other people, I am in the clear, right?</w:t>
      </w:r>
    </w:p>
    <w:p>
      <w:pPr>
        <w:spacing w:after="0" w:line="134" w:lineRule="exact"/>
        <w:rPr>
          <w:rFonts w:ascii="Arial" w:cs="Arial" w:eastAsia="Arial" w:hAnsi="Arial"/>
          <w:sz w:val="20"/>
          <w:szCs w:val="20"/>
          <w:b w:val="1"/>
          <w:bCs w:val="1"/>
          <w:color w:val="auto"/>
        </w:rPr>
      </w:pPr>
    </w:p>
    <w:p>
      <w:pPr>
        <w:jc w:val="both"/>
        <w:ind w:left="200" w:right="219" w:firstLine="657"/>
        <w:spacing w:after="0" w:line="233" w:lineRule="auto"/>
        <w:tabs>
          <w:tab w:leader="none" w:pos="1194"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Not necessarily. Even if you do not violate U.S. law, you may still violate our policies. For example, employees and consultants may violate our policies by breaching their confidentiality obligations or by recommending Company securities as an investment, even if these actions do not violate securities laws. Our policies are stricter than the law requires so that we and our employees and consultants can avoid even the appearance of wrongdoing. Therefore, please review the entire Insider Trading Policy carefully.</w:t>
      </w:r>
    </w:p>
    <w:p>
      <w:pPr>
        <w:spacing w:after="0" w:line="172" w:lineRule="exact"/>
        <w:rPr>
          <w:rFonts w:ascii="Arial" w:cs="Arial" w:eastAsia="Arial" w:hAnsi="Arial"/>
          <w:sz w:val="20"/>
          <w:szCs w:val="20"/>
          <w:b w:val="1"/>
          <w:bCs w:val="1"/>
          <w:color w:val="auto"/>
        </w:rPr>
      </w:pPr>
    </w:p>
    <w:p>
      <w:pPr>
        <w:ind w:left="860" w:hanging="651"/>
        <w:spacing w:after="0"/>
        <w:tabs>
          <w:tab w:leader="none" w:pos="86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when can I buy or sell my Company securities?</w:t>
      </w:r>
    </w:p>
    <w:p>
      <w:pPr>
        <w:spacing w:after="0" w:line="202" w:lineRule="exact"/>
        <w:rPr>
          <w:rFonts w:ascii="Arial" w:cs="Arial" w:eastAsia="Arial" w:hAnsi="Arial"/>
          <w:sz w:val="20"/>
          <w:szCs w:val="20"/>
          <w:b w:val="1"/>
          <w:bCs w:val="1"/>
          <w:color w:val="auto"/>
        </w:rPr>
      </w:pPr>
    </w:p>
    <w:p>
      <w:pPr>
        <w:jc w:val="both"/>
        <w:ind w:left="200" w:right="219" w:firstLine="657"/>
        <w:spacing w:after="0" w:line="230" w:lineRule="auto"/>
        <w:tabs>
          <w:tab w:leader="none" w:pos="1261"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 xml:space="preserve">If you are aware of material nonpublic information, you may not buy or sell our securities until two (2)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Arial" w:cs="Arial" w:eastAsia="Arial" w:hAnsi="Arial"/>
          <w:sz w:val="20"/>
          <w:szCs w:val="20"/>
          <w:b w:val="1"/>
          <w:bCs w:val="1"/>
          <w:color w:val="auto"/>
        </w:rPr>
        <w:t>Even if you are not aware of any material nonpublic</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 you may not trade our securities during any trading “blackout” period</w:t>
      </w:r>
      <w:r>
        <w:rPr>
          <w:rFonts w:ascii="Arial" w:cs="Arial" w:eastAsia="Arial" w:hAnsi="Arial"/>
          <w:sz w:val="20"/>
          <w:szCs w:val="20"/>
          <w:color w:val="auto"/>
        </w:rPr>
        <w:t>. Our</w:t>
      </w:r>
      <w:r>
        <w:rPr>
          <w:rFonts w:ascii="Arial" w:cs="Arial" w:eastAsia="Arial" w:hAnsi="Arial"/>
          <w:sz w:val="20"/>
          <w:szCs w:val="20"/>
          <w:b w:val="1"/>
          <w:bCs w:val="1"/>
          <w:color w:val="auto"/>
        </w:rPr>
        <w:t xml:space="preserve"> </w:t>
      </w:r>
      <w:r>
        <w:rPr>
          <w:rFonts w:ascii="Arial" w:cs="Arial" w:eastAsia="Arial" w:hAnsi="Arial"/>
          <w:sz w:val="20"/>
          <w:szCs w:val="20"/>
          <w:color w:val="auto"/>
        </w:rPr>
        <w:t>Insider Trading Policy describes the quarterly trading blackout period, and additional event-driven trading blackout periods may be announced by email.</w:t>
      </w:r>
    </w:p>
    <w:p>
      <w:pPr>
        <w:spacing w:after="0" w:line="172" w:lineRule="exact"/>
        <w:rPr>
          <w:rFonts w:ascii="Arial" w:cs="Arial" w:eastAsia="Arial" w:hAnsi="Arial"/>
          <w:sz w:val="20"/>
          <w:szCs w:val="20"/>
          <w:b w:val="1"/>
          <w:bCs w:val="1"/>
          <w:color w:val="auto"/>
        </w:rPr>
      </w:pPr>
    </w:p>
    <w:p>
      <w:pPr>
        <w:jc w:val="both"/>
        <w:ind w:left="200" w:right="219" w:firstLine="9"/>
        <w:spacing w:after="0" w:line="246" w:lineRule="auto"/>
        <w:tabs>
          <w:tab w:leader="none" w:pos="848"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If I have an open order to buy or sell Company securities on the date a blackout period commences, can I leave it to my broker to cancel the open order and avoid executing the trade?</w:t>
      </w:r>
    </w:p>
    <w:p>
      <w:pPr>
        <w:spacing w:after="0" w:line="156" w:lineRule="exact"/>
        <w:rPr>
          <w:rFonts w:ascii="Arial" w:cs="Arial" w:eastAsia="Arial" w:hAnsi="Arial"/>
          <w:sz w:val="20"/>
          <w:szCs w:val="20"/>
          <w:b w:val="1"/>
          <w:bCs w:val="1"/>
          <w:color w:val="auto"/>
        </w:rPr>
      </w:pPr>
    </w:p>
    <w:p>
      <w:pPr>
        <w:jc w:val="both"/>
        <w:ind w:left="200" w:right="219" w:firstLine="657"/>
        <w:spacing w:after="0" w:line="233" w:lineRule="auto"/>
        <w:tabs>
          <w:tab w:leader="none" w:pos="1194"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w:t>
      </w: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6" w:name="page197"/>
    <w:bookmarkEnd w:id="196"/>
    <w:p>
      <w:pPr>
        <w:ind w:left="200" w:right="219" w:firstLine="9"/>
        <w:spacing w:after="0" w:line="268" w:lineRule="auto"/>
        <w:tabs>
          <w:tab w:leader="none" w:pos="848"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allowed to trade derivative securities of the Company’s American Depositary Shares (“ADSs”)?</w:t>
      </w:r>
    </w:p>
    <w:p>
      <w:pPr>
        <w:spacing w:after="0" w:line="134" w:lineRule="exact"/>
        <w:rPr>
          <w:rFonts w:ascii="Arial" w:cs="Arial" w:eastAsia="Arial" w:hAnsi="Arial"/>
          <w:sz w:val="20"/>
          <w:szCs w:val="20"/>
          <w:b w:val="1"/>
          <w:bCs w:val="1"/>
          <w:color w:val="auto"/>
        </w:rPr>
      </w:pPr>
    </w:p>
    <w:p>
      <w:pPr>
        <w:jc w:val="both"/>
        <w:ind w:left="200" w:right="219" w:firstLine="657"/>
        <w:spacing w:after="0" w:line="241" w:lineRule="auto"/>
        <w:tabs>
          <w:tab w:leader="none" w:pos="118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No. Under our policies, you may not trade in derivative securities related to our ADSs, which include publicly traded call and put options. In addition, under our policies, you may not engage in short selling of our ADSs at any time.</w:t>
      </w:r>
    </w:p>
    <w:p>
      <w:pPr>
        <w:spacing w:after="0" w:line="171"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0"/>
          <w:szCs w:val="20"/>
          <w:color w:val="auto"/>
        </w:rPr>
        <w:t>“Derivative securities” are securities other than ADSs or ordinary shares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75"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0"/>
          <w:szCs w:val="20"/>
          <w:color w:val="auto"/>
        </w:rPr>
        <w:t>“Short selling” is profiting when you expect the price of the share to decline, and includes transactions in which you borrow shares from a broker, sell it, and eventually buy it back on the market to return the borrowed shares to the broker. Profit is realized if the share price decreases during the period of borrowing.</w:t>
      </w:r>
    </w:p>
    <w:p>
      <w:pPr>
        <w:spacing w:after="0" w:line="172" w:lineRule="exact"/>
        <w:rPr>
          <w:sz w:val="20"/>
          <w:szCs w:val="20"/>
          <w:color w:val="auto"/>
        </w:rPr>
      </w:pPr>
    </w:p>
    <w:p>
      <w:pPr>
        <w:ind w:left="860" w:hanging="651"/>
        <w:spacing w:after="0"/>
        <w:tabs>
          <w:tab w:leader="none" w:pos="86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the Company prohibit trading in derivative securities and short selling?</w:t>
      </w:r>
    </w:p>
    <w:p>
      <w:pPr>
        <w:spacing w:after="0" w:line="202" w:lineRule="exact"/>
        <w:rPr>
          <w:rFonts w:ascii="Arial" w:cs="Arial" w:eastAsia="Arial" w:hAnsi="Arial"/>
          <w:sz w:val="20"/>
          <w:szCs w:val="20"/>
          <w:b w:val="1"/>
          <w:bCs w:val="1"/>
          <w:color w:val="auto"/>
        </w:rPr>
      </w:pPr>
    </w:p>
    <w:p>
      <w:pPr>
        <w:jc w:val="both"/>
        <w:ind w:left="200" w:right="219" w:firstLine="657"/>
        <w:spacing w:after="0" w:line="234" w:lineRule="auto"/>
        <w:tabs>
          <w:tab w:leader="none" w:pos="1207" w:val="left"/>
        </w:tabs>
        <w:numPr>
          <w:ilvl w:val="1"/>
          <w:numId w:val="83"/>
        </w:numPr>
        <w:rPr>
          <w:rFonts w:ascii="Arial" w:cs="Arial" w:eastAsia="Arial" w:hAnsi="Arial"/>
          <w:sz w:val="20"/>
          <w:szCs w:val="20"/>
          <w:b w:val="1"/>
          <w:bCs w:val="1"/>
          <w:color w:val="auto"/>
        </w:rPr>
      </w:pPr>
      <w:r>
        <w:rPr>
          <w:rFonts w:ascii="Arial" w:cs="Arial" w:eastAsia="Arial" w:hAnsi="Arial"/>
          <w:sz w:val="20"/>
          <w:szCs w:val="20"/>
          <w:color w:val="auto"/>
        </w:rPr>
        <w:t>Many companies with volatile share prices have adopted similar policies because of the temptation it represents to try to benefit from a relatively low-cost method of trading on short-term swings in share prices, without actually holding the underlying ADSs, and encourages speculative trading. We are dedicated to building shareholder value, short selling our ADSs conflicts with our values and would not be well received by our shareholders.</w:t>
      </w:r>
    </w:p>
    <w:p>
      <w:pPr>
        <w:spacing w:after="0" w:line="174" w:lineRule="exact"/>
        <w:rPr>
          <w:rFonts w:ascii="Arial" w:cs="Arial" w:eastAsia="Arial" w:hAnsi="Arial"/>
          <w:sz w:val="20"/>
          <w:szCs w:val="20"/>
          <w:b w:val="1"/>
          <w:bCs w:val="1"/>
          <w:color w:val="auto"/>
        </w:rPr>
      </w:pPr>
    </w:p>
    <w:p>
      <w:pPr>
        <w:ind w:left="200" w:right="239" w:firstLine="9"/>
        <w:spacing w:after="0" w:line="268" w:lineRule="auto"/>
        <w:tabs>
          <w:tab w:leader="none" w:pos="848"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purchase the Company’s securities on margin or hold them in a margin account?</w:t>
      </w:r>
    </w:p>
    <w:p>
      <w:pPr>
        <w:spacing w:after="0" w:line="134" w:lineRule="exact"/>
        <w:rPr>
          <w:rFonts w:ascii="Arial" w:cs="Arial" w:eastAsia="Arial" w:hAnsi="Arial"/>
          <w:sz w:val="20"/>
          <w:szCs w:val="20"/>
          <w:b w:val="1"/>
          <w:bCs w:val="1"/>
          <w:color w:val="auto"/>
        </w:rPr>
      </w:pPr>
    </w:p>
    <w:p>
      <w:pPr>
        <w:ind w:left="200" w:right="239" w:firstLine="657"/>
        <w:spacing w:after="0" w:line="257" w:lineRule="auto"/>
        <w:tabs>
          <w:tab w:leader="none" w:pos="1234" w:val="left"/>
        </w:tabs>
        <w:numPr>
          <w:ilvl w:val="1"/>
          <w:numId w:val="83"/>
        </w:numPr>
        <w:rPr>
          <w:rFonts w:ascii="Arial" w:cs="Arial" w:eastAsia="Arial" w:hAnsi="Arial"/>
          <w:sz w:val="20"/>
          <w:szCs w:val="20"/>
          <w:b w:val="1"/>
          <w:bCs w:val="1"/>
          <w:color w:val="auto"/>
        </w:rPr>
      </w:pPr>
      <w:r>
        <w:rPr>
          <w:rFonts w:ascii="Arial" w:cs="Arial" w:eastAsia="Arial" w:hAnsi="Arial"/>
          <w:sz w:val="20"/>
          <w:szCs w:val="20"/>
          <w:color w:val="auto"/>
        </w:rPr>
        <w:t>Under our policies, you may not purchase our securities on margin or hold it in a margin account at any time.</w:t>
      </w:r>
    </w:p>
    <w:p>
      <w:pPr>
        <w:spacing w:after="0" w:line="155" w:lineRule="exact"/>
        <w:rPr>
          <w:sz w:val="20"/>
          <w:szCs w:val="20"/>
          <w:color w:val="auto"/>
        </w:rPr>
      </w:pPr>
    </w:p>
    <w:p>
      <w:pPr>
        <w:jc w:val="both"/>
        <w:ind w:left="200" w:right="219" w:firstLine="648"/>
        <w:spacing w:after="0" w:line="241" w:lineRule="auto"/>
        <w:rPr>
          <w:sz w:val="20"/>
          <w:szCs w:val="20"/>
          <w:color w:val="auto"/>
        </w:rPr>
      </w:pPr>
      <w:r>
        <w:rPr>
          <w:rFonts w:ascii="Arial" w:cs="Arial" w:eastAsia="Arial" w:hAnsi="Arial"/>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71" w:lineRule="exact"/>
        <w:rPr>
          <w:sz w:val="20"/>
          <w:szCs w:val="20"/>
          <w:color w:val="auto"/>
        </w:rPr>
      </w:pPr>
    </w:p>
    <w:p>
      <w:pPr>
        <w:ind w:left="200" w:right="219" w:firstLine="9"/>
        <w:spacing w:after="0" w:line="268" w:lineRule="auto"/>
        <w:tabs>
          <w:tab w:leader="none" w:pos="848"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the Company prohibit me from purchasing the Company’s securities on margin or holding them in a margin account?</w:t>
      </w:r>
    </w:p>
    <w:p>
      <w:pPr>
        <w:spacing w:after="0" w:line="134" w:lineRule="exact"/>
        <w:rPr>
          <w:rFonts w:ascii="Arial" w:cs="Arial" w:eastAsia="Arial" w:hAnsi="Arial"/>
          <w:sz w:val="20"/>
          <w:szCs w:val="20"/>
          <w:b w:val="1"/>
          <w:bCs w:val="1"/>
          <w:color w:val="auto"/>
        </w:rPr>
      </w:pPr>
    </w:p>
    <w:p>
      <w:pPr>
        <w:jc w:val="both"/>
        <w:ind w:left="200" w:right="219" w:firstLine="657"/>
        <w:spacing w:after="0" w:line="231" w:lineRule="auto"/>
        <w:tabs>
          <w:tab w:leader="none" w:pos="1275"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35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w:t>
      </w: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7" w:name="page198"/>
    <w:bookmarkEnd w:id="197"/>
    <w:p>
      <w:pPr>
        <w:ind w:left="860" w:hanging="651"/>
        <w:spacing w:after="0"/>
        <w:tabs>
          <w:tab w:leader="none" w:pos="86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pledge my Company securities as collateral for a personal loan?</w:t>
      </w:r>
    </w:p>
    <w:p>
      <w:pPr>
        <w:spacing w:after="0" w:line="202" w:lineRule="exact"/>
        <w:rPr>
          <w:rFonts w:ascii="Arial" w:cs="Arial" w:eastAsia="Arial" w:hAnsi="Arial"/>
          <w:sz w:val="20"/>
          <w:szCs w:val="20"/>
          <w:b w:val="1"/>
          <w:bCs w:val="1"/>
          <w:color w:val="auto"/>
        </w:rPr>
      </w:pPr>
    </w:p>
    <w:p>
      <w:pPr>
        <w:jc w:val="both"/>
        <w:ind w:left="200" w:right="219" w:firstLine="657"/>
        <w:spacing w:after="0" w:line="260" w:lineRule="auto"/>
        <w:tabs>
          <w:tab w:leader="none" w:pos="1127"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53" w:lineRule="exact"/>
        <w:rPr>
          <w:rFonts w:ascii="Arial" w:cs="Arial" w:eastAsia="Arial" w:hAnsi="Arial"/>
          <w:sz w:val="19"/>
          <w:szCs w:val="19"/>
          <w:b w:val="1"/>
          <w:bCs w:val="1"/>
          <w:color w:val="auto"/>
        </w:rPr>
      </w:pPr>
    </w:p>
    <w:p>
      <w:pPr>
        <w:ind w:left="860" w:hanging="651"/>
        <w:spacing w:after="0"/>
        <w:tabs>
          <w:tab w:leader="none" w:pos="86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hedge my ownership position in the Company?</w:t>
      </w:r>
    </w:p>
    <w:p>
      <w:pPr>
        <w:spacing w:after="0" w:line="202" w:lineRule="exact"/>
        <w:rPr>
          <w:rFonts w:ascii="Arial" w:cs="Arial" w:eastAsia="Arial" w:hAnsi="Arial"/>
          <w:sz w:val="20"/>
          <w:szCs w:val="20"/>
          <w:b w:val="1"/>
          <w:bCs w:val="1"/>
          <w:color w:val="auto"/>
        </w:rPr>
      </w:pPr>
    </w:p>
    <w:p>
      <w:pPr>
        <w:jc w:val="both"/>
        <w:ind w:left="200" w:right="219" w:firstLine="657"/>
        <w:spacing w:after="0" w:line="232" w:lineRule="auto"/>
        <w:tabs>
          <w:tab w:leader="none" w:pos="1242"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The purchase of financial instruments or the entry into other transactions that are designed to offset or “hedge” decreases in the market value of the Company’s securities are prohibited by our Insider Trading Policy. Since such hedging transactions allow you to continue to own the Company’s securities obtained through employee benefit plans or otherwise, but without the full risks and rewards of ownership, you may no longer have the same objectives as the Company’s other shareholders. Therefore, our Insider Trading Policy prohibits you from engaging in any such transactions.</w:t>
      </w:r>
    </w:p>
    <w:p>
      <w:pPr>
        <w:spacing w:after="0" w:line="171" w:lineRule="exact"/>
        <w:rPr>
          <w:rFonts w:ascii="Arial" w:cs="Arial" w:eastAsia="Arial" w:hAnsi="Arial"/>
          <w:sz w:val="20"/>
          <w:szCs w:val="20"/>
          <w:b w:val="1"/>
          <w:bCs w:val="1"/>
          <w:color w:val="auto"/>
        </w:rPr>
      </w:pPr>
    </w:p>
    <w:p>
      <w:pPr>
        <w:ind w:left="860" w:hanging="651"/>
        <w:spacing w:after="0"/>
        <w:tabs>
          <w:tab w:leader="none" w:pos="86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are examples of prohibited hedging transactions?</w:t>
      </w:r>
    </w:p>
    <w:p>
      <w:pPr>
        <w:spacing w:after="0" w:line="202" w:lineRule="exact"/>
        <w:rPr>
          <w:rFonts w:ascii="Arial" w:cs="Arial" w:eastAsia="Arial" w:hAnsi="Arial"/>
          <w:sz w:val="20"/>
          <w:szCs w:val="20"/>
          <w:b w:val="1"/>
          <w:bCs w:val="1"/>
          <w:color w:val="auto"/>
        </w:rPr>
      </w:pPr>
    </w:p>
    <w:p>
      <w:pPr>
        <w:jc w:val="both"/>
        <w:ind w:left="200" w:right="219" w:firstLine="657"/>
        <w:spacing w:after="0" w:line="234" w:lineRule="auto"/>
        <w:tabs>
          <w:tab w:leader="none" w:pos="1180"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Hedging can be accomplished through any number of possible mechanisms, including through the use of financial instruments such as prepaid variable forwards, equity swaps, collars and exchange funds. Other examples include borrowing or other arrangements involving a non-recourse pledge of the Company’s securities and selling a security future that establishes a position that increases in value as the value of the underlying equity security decreases.</w:t>
      </w:r>
    </w:p>
    <w:p>
      <w:pPr>
        <w:spacing w:after="0" w:line="174"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exercise options granted to me under the Company’s equity compensation plans during a trading blackout period or when I possess material nonpublic information?</w:t>
      </w:r>
    </w:p>
    <w:p>
      <w:pPr>
        <w:spacing w:after="0" w:line="134" w:lineRule="exact"/>
        <w:rPr>
          <w:rFonts w:ascii="Arial" w:cs="Arial" w:eastAsia="Arial" w:hAnsi="Arial"/>
          <w:sz w:val="20"/>
          <w:szCs w:val="20"/>
          <w:b w:val="1"/>
          <w:bCs w:val="1"/>
          <w:color w:val="auto"/>
        </w:rPr>
      </w:pPr>
    </w:p>
    <w:p>
      <w:pPr>
        <w:jc w:val="both"/>
        <w:ind w:left="200" w:right="219" w:firstLine="657"/>
        <w:spacing w:after="0" w:line="231" w:lineRule="auto"/>
        <w:tabs>
          <w:tab w:leader="none" w:pos="1167"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 xml:space="preserve">It depends on the method through which you will exercise. 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effect a broker-assisted cashless exercise (these cashless exercise transactions include a market sale) during a trading blackout period or any time that you are aware of material nonpublic information. You may, however, exercise the options by paying cash (or via net exercise transaction with the Company or as otherwise permitted by the relevant plan under which the options were granted) and receive shares, but you may not sell the shares (even to pay the exercise price or any taxes due) during a trading blackout period or any time that you are aware of material nonpublic information.</w:t>
      </w:r>
    </w:p>
    <w:p>
      <w:pPr>
        <w:spacing w:after="0" w:line="173"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subject to trading blackout periods if I am no longer an employee or consultant of the Company?</w:t>
      </w:r>
    </w:p>
    <w:p>
      <w:pPr>
        <w:spacing w:after="0" w:line="134" w:lineRule="exact"/>
        <w:rPr>
          <w:rFonts w:ascii="Arial" w:cs="Arial" w:eastAsia="Arial" w:hAnsi="Arial"/>
          <w:sz w:val="20"/>
          <w:szCs w:val="20"/>
          <w:b w:val="1"/>
          <w:bCs w:val="1"/>
          <w:color w:val="auto"/>
        </w:rPr>
      </w:pPr>
    </w:p>
    <w:p>
      <w:pPr>
        <w:jc w:val="both"/>
        <w:ind w:left="200" w:right="219" w:firstLine="657"/>
        <w:spacing w:after="0" w:line="245" w:lineRule="auto"/>
        <w:tabs>
          <w:tab w:leader="none" w:pos="1234"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our trading blackout period after you leave the Company, you should not trade in the Company’s securities if you are aware of material nonpublic information. That restriction stays with you as long as the information you possess is material and not publicly disseminated within the meaning of our Insider Trading Policy.</w:t>
      </w: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w:t>
      </w: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8" w:name="page199"/>
    <w:bookmarkEnd w:id="198"/>
    <w:p>
      <w:pPr>
        <w:ind w:left="200" w:right="219" w:firstLine="9"/>
        <w:spacing w:after="0" w:line="268" w:lineRule="auto"/>
        <w:tabs>
          <w:tab w:leader="none" w:pos="848"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purchased publicly traded options or other derivative securities before I became a Company employee or consultant?</w:t>
      </w:r>
    </w:p>
    <w:p>
      <w:pPr>
        <w:spacing w:after="0" w:line="134" w:lineRule="exact"/>
        <w:rPr>
          <w:rFonts w:ascii="Arial" w:cs="Arial" w:eastAsia="Arial" w:hAnsi="Arial"/>
          <w:sz w:val="20"/>
          <w:szCs w:val="20"/>
          <w:b w:val="1"/>
          <w:bCs w:val="1"/>
          <w:color w:val="auto"/>
        </w:rPr>
      </w:pPr>
    </w:p>
    <w:p>
      <w:pPr>
        <w:jc w:val="both"/>
        <w:ind w:left="200" w:right="219" w:firstLine="657"/>
        <w:spacing w:after="0" w:line="241" w:lineRule="auto"/>
        <w:tabs>
          <w:tab w:leader="none" w:pos="1207"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The same rules apply as for employee share options. You may exercise the publicly traded options at any time, but you may not sell the securities during a trading blackout period or at any time that you are aware of material nonpublic information.</w:t>
      </w:r>
    </w:p>
    <w:p>
      <w:pPr>
        <w:spacing w:after="0" w:line="171" w:lineRule="exact"/>
        <w:rPr>
          <w:rFonts w:ascii="Arial" w:cs="Arial" w:eastAsia="Arial" w:hAnsi="Arial"/>
          <w:sz w:val="20"/>
          <w:szCs w:val="20"/>
          <w:b w:val="1"/>
          <w:bCs w:val="1"/>
          <w:color w:val="auto"/>
        </w:rPr>
      </w:pPr>
    </w:p>
    <w:p>
      <w:pPr>
        <w:ind w:left="860" w:hanging="651"/>
        <w:spacing w:after="0"/>
        <w:tabs>
          <w:tab w:leader="none" w:pos="8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May I own shares of a mutual fund that invests in the Company?</w:t>
      </w:r>
    </w:p>
    <w:p>
      <w:pPr>
        <w:spacing w:after="0" w:line="202" w:lineRule="exact"/>
        <w:rPr>
          <w:rFonts w:ascii="Arial" w:cs="Arial" w:eastAsia="Arial" w:hAnsi="Arial"/>
          <w:sz w:val="20"/>
          <w:szCs w:val="20"/>
          <w:b w:val="1"/>
          <w:bCs w:val="1"/>
          <w:color w:val="auto"/>
        </w:rPr>
      </w:pPr>
    </w:p>
    <w:p>
      <w:pPr>
        <w:ind w:left="1180" w:hanging="323"/>
        <w:spacing w:after="0"/>
        <w:tabs>
          <w:tab w:leader="none" w:pos="1180"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Yes.</w:t>
      </w:r>
    </w:p>
    <w:p>
      <w:pPr>
        <w:spacing w:after="0" w:line="202"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Are mutual fund shares holding the Company’s ADSs subject to the trading blackout periods?</w:t>
      </w:r>
    </w:p>
    <w:p>
      <w:pPr>
        <w:spacing w:after="0" w:line="134" w:lineRule="exact"/>
        <w:rPr>
          <w:rFonts w:ascii="Arial" w:cs="Arial" w:eastAsia="Arial" w:hAnsi="Arial"/>
          <w:sz w:val="20"/>
          <w:szCs w:val="20"/>
          <w:b w:val="1"/>
          <w:bCs w:val="1"/>
          <w:color w:val="auto"/>
        </w:rPr>
      </w:pPr>
    </w:p>
    <w:p>
      <w:pPr>
        <w:ind w:left="1180" w:hanging="323"/>
        <w:spacing w:after="0"/>
        <w:tabs>
          <w:tab w:leader="none" w:pos="1180"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No. You may trade in mutual funds holding the Company’s ADSs at any time.</w:t>
      </w:r>
    </w:p>
    <w:p>
      <w:pPr>
        <w:spacing w:after="0" w:line="202" w:lineRule="exact"/>
        <w:rPr>
          <w:rFonts w:ascii="Arial" w:cs="Arial" w:eastAsia="Arial" w:hAnsi="Arial"/>
          <w:sz w:val="20"/>
          <w:szCs w:val="20"/>
          <w:b w:val="1"/>
          <w:bCs w:val="1"/>
          <w:color w:val="auto"/>
        </w:rPr>
      </w:pPr>
    </w:p>
    <w:p>
      <w:pPr>
        <w:ind w:left="860" w:hanging="651"/>
        <w:spacing w:after="0"/>
        <w:tabs>
          <w:tab w:leader="none" w:pos="8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May I use a “routine trading program” or “10b5-1 plan”?</w:t>
      </w:r>
    </w:p>
    <w:p>
      <w:pPr>
        <w:spacing w:after="0" w:line="202" w:lineRule="exact"/>
        <w:rPr>
          <w:rFonts w:ascii="Arial" w:cs="Arial" w:eastAsia="Arial" w:hAnsi="Arial"/>
          <w:sz w:val="20"/>
          <w:szCs w:val="20"/>
          <w:b w:val="1"/>
          <w:bCs w:val="1"/>
          <w:color w:val="auto"/>
        </w:rPr>
      </w:pPr>
    </w:p>
    <w:p>
      <w:pPr>
        <w:jc w:val="both"/>
        <w:ind w:left="200" w:right="219" w:firstLine="657"/>
        <w:spacing w:after="0" w:line="234" w:lineRule="auto"/>
        <w:tabs>
          <w:tab w:leader="none" w:pos="1167"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Yes, subject to the requirements discussed in our Insider Trading Policy and any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the Clearing Officer for approval.</w:t>
      </w:r>
    </w:p>
    <w:p>
      <w:pPr>
        <w:spacing w:after="0" w:line="174" w:lineRule="exact"/>
        <w:rPr>
          <w:rFonts w:ascii="Arial" w:cs="Arial" w:eastAsia="Arial" w:hAnsi="Arial"/>
          <w:sz w:val="20"/>
          <w:szCs w:val="20"/>
          <w:b w:val="1"/>
          <w:bCs w:val="1"/>
          <w:color w:val="auto"/>
        </w:rPr>
      </w:pPr>
    </w:p>
    <w:p>
      <w:pPr>
        <w:ind w:left="860" w:hanging="651"/>
        <w:spacing w:after="0"/>
        <w:tabs>
          <w:tab w:leader="none" w:pos="8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happens if I violate our Insider Trading Policy?</w:t>
      </w:r>
    </w:p>
    <w:p>
      <w:pPr>
        <w:spacing w:after="0" w:line="202" w:lineRule="exact"/>
        <w:rPr>
          <w:rFonts w:ascii="Arial" w:cs="Arial" w:eastAsia="Arial" w:hAnsi="Arial"/>
          <w:sz w:val="20"/>
          <w:szCs w:val="20"/>
          <w:b w:val="1"/>
          <w:bCs w:val="1"/>
          <w:color w:val="auto"/>
        </w:rPr>
      </w:pPr>
    </w:p>
    <w:p>
      <w:pPr>
        <w:jc w:val="both"/>
        <w:ind w:left="200" w:right="219" w:firstLine="657"/>
        <w:spacing w:after="0" w:line="241" w:lineRule="auto"/>
        <w:tabs>
          <w:tab w:leader="none" w:pos="1167"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Violating our policies may result in disciplinary action, which may include termination of your employment or other relationship with the Company. In addition, you may be subject to criminal and civil sanctions.</w:t>
      </w:r>
    </w:p>
    <w:p>
      <w:pPr>
        <w:spacing w:after="0" w:line="171" w:lineRule="exact"/>
        <w:rPr>
          <w:rFonts w:ascii="Arial" w:cs="Arial" w:eastAsia="Arial" w:hAnsi="Arial"/>
          <w:sz w:val="20"/>
          <w:szCs w:val="20"/>
          <w:b w:val="1"/>
          <w:bCs w:val="1"/>
          <w:color w:val="auto"/>
        </w:rPr>
      </w:pPr>
    </w:p>
    <w:p>
      <w:pPr>
        <w:ind w:left="200" w:right="219" w:firstLine="9"/>
        <w:spacing w:after="0" w:line="268" w:lineRule="auto"/>
        <w:tabs>
          <w:tab w:leader="none" w:pos="848"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should I contact if I have questions about our Insider Trading Policy or specific trades?</w:t>
      </w:r>
    </w:p>
    <w:p>
      <w:pPr>
        <w:spacing w:after="0" w:line="134" w:lineRule="exact"/>
        <w:rPr>
          <w:rFonts w:ascii="Arial" w:cs="Arial" w:eastAsia="Arial" w:hAnsi="Arial"/>
          <w:sz w:val="20"/>
          <w:szCs w:val="20"/>
          <w:b w:val="1"/>
          <w:bCs w:val="1"/>
          <w:color w:val="auto"/>
        </w:rPr>
      </w:pPr>
    </w:p>
    <w:p>
      <w:pPr>
        <w:ind w:left="1180" w:hanging="323"/>
        <w:spacing w:after="0"/>
        <w:tabs>
          <w:tab w:leader="none" w:pos="1180"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You should contact the Clearing Officer at clearing@bicycletx.com.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14</w:t>
      </w: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99" w:name="page200"/>
    <w:bookmarkEnd w:id="199"/>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icycle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 plc</w:t>
      </w:r>
    </w:p>
    <w:p>
      <w:pPr>
        <w:spacing w:after="0" w:line="21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ertification</w:t>
      </w:r>
    </w:p>
    <w:p>
      <w:pPr>
        <w:spacing w:after="0" w:line="214" w:lineRule="exact"/>
        <w:rPr>
          <w:sz w:val="20"/>
          <w:szCs w:val="20"/>
          <w:color w:val="auto"/>
        </w:rPr>
      </w:pPr>
    </w:p>
    <w:p>
      <w:pPr>
        <w:jc w:val="both"/>
        <w:ind w:left="220" w:right="219" w:firstLine="635"/>
        <w:spacing w:after="0" w:line="235" w:lineRule="auto"/>
        <w:rPr>
          <w:sz w:val="20"/>
          <w:szCs w:val="20"/>
          <w:color w:val="auto"/>
        </w:rPr>
      </w:pPr>
      <w:r>
        <w:rPr>
          <w:rFonts w:ascii="Arial" w:cs="Arial" w:eastAsia="Arial" w:hAnsi="Arial"/>
          <w:sz w:val="22"/>
          <w:szCs w:val="22"/>
          <w:color w:val="auto"/>
        </w:rPr>
        <w:t>After carefully reviewing this Insider Trading Policy (this “</w:t>
      </w:r>
      <w:r>
        <w:rPr>
          <w:rFonts w:ascii="Arial" w:cs="Arial" w:eastAsia="Arial" w:hAnsi="Arial"/>
          <w:sz w:val="22"/>
          <w:szCs w:val="22"/>
          <w:b w:val="1"/>
          <w:bCs w:val="1"/>
          <w:color w:val="auto"/>
        </w:rPr>
        <w:t>Policy</w:t>
      </w:r>
      <w:r>
        <w:rPr>
          <w:rFonts w:ascii="Arial" w:cs="Arial" w:eastAsia="Arial" w:hAnsi="Arial"/>
          <w:sz w:val="22"/>
          <w:szCs w:val="22"/>
          <w:color w:val="auto"/>
        </w:rPr>
        <w:t>”), please accept and acknowledge that you have read this Policy in accordance with Bicycle Therapeutics plc’s (the “</w:t>
      </w:r>
      <w:r>
        <w:rPr>
          <w:rFonts w:ascii="Arial" w:cs="Arial" w:eastAsia="Arial" w:hAnsi="Arial"/>
          <w:sz w:val="22"/>
          <w:szCs w:val="22"/>
          <w:b w:val="1"/>
          <w:bCs w:val="1"/>
          <w:color w:val="auto"/>
        </w:rPr>
        <w:t>Company</w:t>
      </w:r>
      <w:r>
        <w:rPr>
          <w:rFonts w:ascii="Arial" w:cs="Arial" w:eastAsia="Arial" w:hAnsi="Arial"/>
          <w:sz w:val="22"/>
          <w:szCs w:val="22"/>
          <w:color w:val="auto"/>
        </w:rPr>
        <w:t>”) documentation requirements. You understand and agree that it is your responsibility to read and familiarize yourself with the provisions in this Policy, and to abide by the rules, policies, and standards set forth. You further acknowledge that the terms and conditions set forth in this Policy or any other Company policy may be modified, changed, or deleted at any time without prior notice to you and other personnel, provided such changes are in writing and approved by an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289693501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405130</wp:posOffset>
            </wp:positionV>
            <wp:extent cx="545211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9" w:right="1440" w:bottom="1440" w:gutter="0" w:footer="0" w:header="0"/>
        </w:sectPr>
      </w:pPr>
    </w:p>
    <w:bookmarkStart w:id="200" w:name="page201"/>
    <w:bookmarkEnd w:id="20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333-289423) and S-8 (Nos. 333-231718, 333-237054, 333-240993, 333-254163, 333-263156, 333-270091, 333-277171, 333-281304, 333-285197, 333-291168) of Bicycle Therapeutics plc of our report dated March 17, 2026 relating to the financial statements, which appears in this Form 10-K.</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Cambridge, United Kingdom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Kevin Lee, certify that:</w:t>
      </w:r>
    </w:p>
    <w:p>
      <w:pPr>
        <w:spacing w:after="0" w:line="206"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of Bicycle Therapeutics plc;</w:t>
      </w:r>
    </w:p>
    <w:p>
      <w:pPr>
        <w:spacing w:after="0" w:line="20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2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68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8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8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8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8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22"/>
          <w:szCs w:val="22"/>
          <w:color w:val="auto"/>
        </w:rPr>
      </w:pPr>
    </w:p>
    <w:p>
      <w:pPr>
        <w:ind w:left="1300" w:hanging="618"/>
        <w:spacing w:after="0" w:line="258" w:lineRule="auto"/>
        <w:tabs>
          <w:tab w:leader="none" w:pos="1458"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Date: March 17, 2026</w:t>
            </w:r>
          </w:p>
        </w:tc>
        <w:tc>
          <w:tcPr>
            <w:tcW w:w="6440" w:type="dxa"/>
            <w:vAlign w:val="bottom"/>
            <w:gridSpan w:val="2"/>
          </w:tcPr>
          <w:p>
            <w:pPr>
              <w:ind w:left="1560"/>
              <w:spacing w:after="0"/>
              <w:rPr>
                <w:sz w:val="20"/>
                <w:szCs w:val="20"/>
                <w:color w:val="auto"/>
              </w:rPr>
            </w:pPr>
            <w:r>
              <w:rPr>
                <w:rFonts w:ascii="Times New Roman" w:cs="Times New Roman" w:eastAsia="Times New Roman" w:hAnsi="Times New Roman"/>
                <w:sz w:val="22"/>
                <w:szCs w:val="22"/>
                <w:color w:val="auto"/>
              </w:rPr>
              <w:t>By:/s/ Kevin Lee</w:t>
            </w:r>
          </w:p>
        </w:tc>
      </w:tr>
      <w:tr>
        <w:trPr>
          <w:trHeight w:val="209"/>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5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Kevin Lee, Ph.D., MBA</w:t>
            </w:r>
          </w:p>
        </w:tc>
      </w:tr>
      <w:tr>
        <w:trPr>
          <w:trHeight w:val="282"/>
        </w:trPr>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764"/>
        </w:trPr>
        <w:tc>
          <w:tcPr>
            <w:tcW w:w="3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 w:right="9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Travis Thompson, certify that:</w:t>
      </w:r>
    </w:p>
    <w:p>
      <w:pPr>
        <w:spacing w:after="0" w:line="20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of Bicycle Therapeutics plc;</w:t>
      </w:r>
    </w:p>
    <w:p>
      <w:pPr>
        <w:spacing w:after="0" w:line="20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7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62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80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8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22"/>
          <w:szCs w:val="22"/>
          <w:color w:val="auto"/>
        </w:rPr>
      </w:pPr>
    </w:p>
    <w:p>
      <w:pPr>
        <w:ind w:left="1300" w:hanging="619"/>
        <w:spacing w:after="0" w:line="258" w:lineRule="auto"/>
        <w:tabs>
          <w:tab w:leader="none" w:pos="1457"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Date: March 17, 2026</w:t>
            </w:r>
          </w:p>
        </w:tc>
        <w:tc>
          <w:tcPr>
            <w:tcW w:w="6440" w:type="dxa"/>
            <w:vAlign w:val="bottom"/>
            <w:gridSpan w:val="2"/>
          </w:tcPr>
          <w:p>
            <w:pPr>
              <w:ind w:left="1560"/>
              <w:spacing w:after="0"/>
              <w:rPr>
                <w:sz w:val="20"/>
                <w:szCs w:val="20"/>
                <w:color w:val="auto"/>
              </w:rPr>
            </w:pPr>
            <w:r>
              <w:rPr>
                <w:rFonts w:ascii="Times New Roman" w:cs="Times New Roman" w:eastAsia="Times New Roman" w:hAnsi="Times New Roman"/>
                <w:sz w:val="22"/>
                <w:szCs w:val="22"/>
                <w:color w:val="auto"/>
              </w:rPr>
              <w:t>By:/s/ Travis Thompson</w:t>
            </w:r>
          </w:p>
        </w:tc>
      </w:tr>
      <w:tr>
        <w:trPr>
          <w:trHeight w:val="209"/>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5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Travis Thompson</w:t>
            </w:r>
          </w:p>
        </w:tc>
      </w:tr>
      <w:tr>
        <w:trPr>
          <w:trHeight w:val="282"/>
        </w:trPr>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765"/>
        </w:trPr>
        <w:tc>
          <w:tcPr>
            <w:tcW w:w="3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 w:right="9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Pursuant to the requirement set forth in Rule 13a-14(b) of the Securities Exchange Act of 1934, as amended, (the “Exchange Act”) and Section 1350 of Chapter 63 of Title 18 of the United States Code (18 U.S.C. §1350), Kevin Lee, Chief Executive Officer of Bicycle Therapeutics plc (the “Company”), and Travis Thompson, Chief Financial Officer of the Company, each hereby certifies that, to the best of their knowledge:</w:t>
      </w:r>
    </w:p>
    <w:p>
      <w:pPr>
        <w:spacing w:after="0" w:line="180" w:lineRule="exact"/>
        <w:rPr>
          <w:sz w:val="20"/>
          <w:szCs w:val="20"/>
          <w:color w:val="auto"/>
        </w:rPr>
      </w:pPr>
    </w:p>
    <w:p>
      <w:pPr>
        <w:ind w:left="660" w:right="160" w:hanging="652"/>
        <w:spacing w:after="0" w:line="244" w:lineRule="auto"/>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Company’s Annual Report on Form 10-K for the fiscal year ended December 31, 2025, to which this Certification is attached as Exhibit 32.1 (the “Annual Report”), fully complies with the requirements of Section 13(a) or Section 15(d) of the Exchange Act; and</w:t>
      </w:r>
    </w:p>
    <w:p>
      <w:pPr>
        <w:spacing w:after="0" w:line="173" w:lineRule="exact"/>
        <w:rPr>
          <w:rFonts w:ascii="Times New Roman" w:cs="Times New Roman" w:eastAsia="Times New Roman" w:hAnsi="Times New Roman"/>
          <w:sz w:val="22"/>
          <w:szCs w:val="22"/>
          <w:b w:val="1"/>
          <w:bCs w:val="1"/>
          <w:color w:val="auto"/>
        </w:rPr>
      </w:pPr>
    </w:p>
    <w:p>
      <w:pPr>
        <w:ind w:left="660" w:right="560" w:hanging="652"/>
        <w:spacing w:after="0" w:line="258" w:lineRule="auto"/>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17,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set their hands hereto as of the 17</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March, 2026.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Kevin Lee</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/s/ Travis Thompson</w:t>
            </w:r>
          </w:p>
        </w:tc>
      </w:tr>
      <w:tr>
        <w:trPr>
          <w:trHeight w:val="209"/>
        </w:trPr>
        <w:tc>
          <w:tcPr>
            <w:tcW w:w="20" w:type="dxa"/>
            <w:vAlign w:val="bottom"/>
          </w:tcPr>
          <w:p>
            <w:pPr>
              <w:spacing w:after="0"/>
              <w:rPr>
                <w:sz w:val="18"/>
                <w:szCs w:val="18"/>
                <w:color w:val="auto"/>
              </w:rPr>
            </w:pPr>
          </w:p>
        </w:tc>
        <w:tc>
          <w:tcPr>
            <w:tcW w:w="44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Kevin Lee, Ph.D., MBA</w:t>
            </w:r>
          </w:p>
        </w:tc>
        <w:tc>
          <w:tcPr>
            <w:tcW w:w="980" w:type="dxa"/>
            <w:vAlign w:val="bottom"/>
          </w:tcPr>
          <w:p>
            <w:pPr>
              <w:spacing w:after="0"/>
              <w:rPr>
                <w:sz w:val="18"/>
                <w:szCs w:val="18"/>
                <w:color w:val="auto"/>
              </w:rPr>
            </w:pPr>
          </w:p>
        </w:tc>
        <w:tc>
          <w:tcPr>
            <w:tcW w:w="44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Travis Thompson</w:t>
            </w:r>
          </w:p>
        </w:tc>
      </w:tr>
      <w:tr>
        <w:trPr>
          <w:trHeight w:val="282"/>
        </w:trPr>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9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1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certification accompanies the Form 10-K to which it relates, is not deemed filed with the Securities and Exchange Commission and is not to be incorporated by reference into any filing of Bicycle Therapeutics plc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1)"/>
      <w:numFmt w:val="lowerRoman"/>
      <w:start w:val="3"/>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lowerRoman"/>
      <w:start w:val="4"/>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Roman"/>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1)"/>
      <w:numFmt w:val="lowerRoman"/>
      <w:start w:val="3"/>
    </w:lvl>
  </w:abstractNum>
  <w:abstractNum w:abstractNumId="53">
    <w:nsid w:val="6B94764"/>
    <w:multiLevelType w:val="hybridMultilevel"/>
    <w:lvl w:ilvl="0">
      <w:lvlJc w:val="left"/>
      <w:lvlText w:val="(%1)"/>
      <w:numFmt w:val="lowerRoman"/>
      <w:start w:val="5"/>
    </w:lvl>
  </w:abstractNum>
  <w:abstractNum w:abstractNumId="54">
    <w:nsid w:val="42C296BD"/>
    <w:multiLevelType w:val="hybridMultilevel"/>
    <w:lvl w:ilvl="0">
      <w:lvlJc w:val="left"/>
      <w:lvlText w:val="(%1)"/>
      <w:numFmt w:val="lowerRoman"/>
      <w:start w:val="2"/>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
      <w:numFmt w:val="bullet"/>
      <w:start w:val="1"/>
    </w:lvl>
    <w:lvl w:ilvl="1">
      <w:lvlJc w:val="left"/>
      <w:lvlText w:val="%2"/>
      <w:numFmt w:val="decimal"/>
      <w:start w:val="104"/>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upperLetter"/>
      <w:start w:val="2"/>
    </w:lvl>
  </w:abstractNum>
  <w:abstractNum w:abstractNumId="68">
    <w:nsid w:val="1A32234B"/>
    <w:multiLevelType w:val="hybridMultilevel"/>
    <w:lvl w:ilvl="0">
      <w:lvlJc w:val="left"/>
      <w:lvlText w:val="%1."/>
      <w:numFmt w:val="upperLetter"/>
      <w:start w:val="3"/>
    </w:lvl>
  </w:abstractNum>
  <w:abstractNum w:abstractNumId="69">
    <w:nsid w:val="3B0FD379"/>
    <w:multiLevelType w:val="hybridMultilevel"/>
    <w:lvl w:ilvl="0">
      <w:lvlJc w:val="left"/>
      <w:lvlText w:val="%1."/>
      <w:numFmt w:val="upperLetter"/>
      <w:start w:val="4"/>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4"/>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3"/>
    </w:lvl>
  </w:abstractNum>
  <w:abstractNum w:abstractNumId="77">
    <w:nsid w:val="71EA1109"/>
    <w:multiLevelType w:val="hybridMultilevel"/>
    <w:lvl w:ilvl="0">
      <w:lvlJc w:val="left"/>
      <w:lvlText w:val="%1."/>
      <w:numFmt w:val="decimal"/>
      <w:start w:val="4"/>
    </w:lvl>
  </w:abstractNum>
  <w:abstractNum w:abstractNumId="78">
    <w:nsid w:val="100F59DC"/>
    <w:multiLevelType w:val="hybridMultilevel"/>
    <w:lvl w:ilvl="0">
      <w:lvlJc w:val="left"/>
      <w:lvlText w:val="%1."/>
      <w:numFmt w:val="decimal"/>
      <w:start w:val="1"/>
    </w:lvl>
    <w:lvl w:ilvl="1">
      <w:lvlJc w:val="left"/>
      <w:lvlText w:val="%2:"/>
      <w:numFmt w:val="upperLetter"/>
      <w:start w:val="1"/>
    </w:lvl>
  </w:abstractNum>
  <w:abstractNum w:abstractNumId="79">
    <w:nsid w:val="7FB7E0AA"/>
    <w:multiLevelType w:val="hybridMultilevel"/>
    <w:lvl w:ilvl="0">
      <w:lvlJc w:val="left"/>
      <w:lvlText w:val="%1."/>
      <w:numFmt w:val="decimal"/>
      <w:start w:val="5"/>
    </w:lvl>
    <w:lvl w:ilvl="1">
      <w:lvlJc w:val="left"/>
      <w:lvlText w:val="%2:"/>
      <w:numFmt w:val="upperLetter"/>
      <w:start w:val="1"/>
    </w:lvl>
  </w:abstractNum>
  <w:abstractNum w:abstractNumId="80">
    <w:nsid w:val="6EB5BD4"/>
    <w:multiLevelType w:val="hybridMultilevel"/>
    <w:lvl w:ilvl="0">
      <w:lvlJc w:val="left"/>
      <w:lvlText w:val="%1."/>
      <w:numFmt w:val="decimal"/>
      <w:start w:val="10"/>
    </w:lvl>
    <w:lvl w:ilvl="1">
      <w:lvlJc w:val="left"/>
      <w:lvlText w:val="%2:"/>
      <w:numFmt w:val="upperLetter"/>
      <w:start w:val="1"/>
    </w:lvl>
  </w:abstractNum>
  <w:abstractNum w:abstractNumId="81">
    <w:nsid w:val="6F6DD9AC"/>
    <w:multiLevelType w:val="hybridMultilevel"/>
    <w:lvl w:ilvl="0">
      <w:lvlJc w:val="left"/>
      <w:lvlText w:val="%1."/>
      <w:numFmt w:val="decimal"/>
      <w:start w:val="15"/>
    </w:lvl>
    <w:lvl w:ilvl="1">
      <w:lvlJc w:val="left"/>
      <w:lvlText w:val="%2:"/>
      <w:numFmt w:val="upperLetter"/>
      <w:start w:val="1"/>
    </w:lvl>
  </w:abstractNum>
  <w:abstractNum w:abstractNumId="82">
    <w:nsid w:val="94211F2"/>
    <w:multiLevelType w:val="hybridMultilevel"/>
    <w:lvl w:ilvl="0">
      <w:lvlJc w:val="left"/>
      <w:lvlText w:val="%1."/>
      <w:numFmt w:val="decimal"/>
      <w:start w:val="16"/>
    </w:lvl>
    <w:lvl w:ilvl="1">
      <w:lvlJc w:val="left"/>
      <w:lvlText w:val="%2:"/>
      <w:numFmt w:val="upperLetter"/>
      <w:start w:val="1"/>
    </w:lvl>
  </w:abstractNum>
  <w:abstractNum w:abstractNumId="83">
    <w:nsid w:val="885E1B"/>
    <w:multiLevelType w:val="hybridMultilevel"/>
    <w:lvl w:ilvl="0">
      <w:lvlJc w:val="left"/>
      <w:lvlText w:val="%1."/>
      <w:numFmt w:val="decimal"/>
      <w:start w:val="18"/>
    </w:lvl>
    <w:lvl w:ilvl="1">
      <w:lvlJc w:val="left"/>
      <w:lvlText w:val="%2:"/>
      <w:numFmt w:val="upperLetter"/>
      <w:start w:val="1"/>
    </w:lvl>
  </w:abstractNum>
  <w:abstractNum w:abstractNumId="84">
    <w:nsid w:val="76272110"/>
    <w:multiLevelType w:val="hybridMultilevel"/>
    <w:lvl w:ilvl="0">
      <w:lvlJc w:val="left"/>
      <w:lvlText w:val="%1."/>
      <w:numFmt w:val="decimal"/>
      <w:start w:val="19"/>
    </w:lvl>
    <w:lvl w:ilvl="1">
      <w:lvlJc w:val="left"/>
      <w:lvlText w:val="%2:"/>
      <w:numFmt w:val="upperLetter"/>
      <w:start w:val="1"/>
    </w:lvl>
  </w:abstractNum>
  <w:abstractNum w:abstractNumId="85">
    <w:nsid w:val="4C04A8AF"/>
    <w:multiLevelType w:val="hybridMultilevel"/>
    <w:lvl w:ilvl="0">
      <w:lvlJc w:val="left"/>
      <w:lvlText w:val="%1."/>
      <w:numFmt w:val="decimal"/>
      <w:start w:val="24"/>
    </w:lvl>
    <w:lvl w:ilvl="1">
      <w:lvlJc w:val="left"/>
      <w:lvlText w:val="%2:"/>
      <w:numFmt w:val="upp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7">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73"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156" Type="http://schemas.openxmlformats.org/officeDocument/2006/relationships/hyperlink" Target="https://www.sec.gov/Archives/edgar/data/1761612/000155837024010949/bcyc-20240630xex3d1.htm" TargetMode="External"/><Relationship Id="rId157" Type="http://schemas.openxmlformats.org/officeDocument/2006/relationships/hyperlink" Target="http://www.sec.gov/Archives/edgar/data/1761612/000104746919003038/a2238712zex-4_1.htm" TargetMode="External"/><Relationship Id="rId158" Type="http://schemas.openxmlformats.org/officeDocument/2006/relationships/hyperlink" Target="https://www.sec.gov/Archives/edgar/data/1761612/000155837020012697/bcyc-20200930ex41acb0f9b.htm" TargetMode="External"/><Relationship Id="rId159" Type="http://schemas.openxmlformats.org/officeDocument/2006/relationships/hyperlink" Target="https://www.sec.gov/Archives/edgar/data/1761612/000155837021002758/bcyc-20201231ex446072044.htm" TargetMode="External"/><Relationship Id="rId160" Type="http://schemas.openxmlformats.org/officeDocument/2006/relationships/hyperlink" Target="https://www.sec.gov/Archives/edgar/data/1761612/000155837021010379/bcyc-20210630xex4d1.htm" TargetMode="External"/><Relationship Id="rId161" Type="http://schemas.openxmlformats.org/officeDocument/2006/relationships/hyperlink" Target="https://www.sec.gov/Archives/edgar/data/1761612/000155837025001438/bcyc-20241231xex4d6.htm" TargetMode="External"/><Relationship Id="rId162" Type="http://schemas.openxmlformats.org/officeDocument/2006/relationships/hyperlink" Target="http://www.sec.gov/Archives/edgar/data/1761612/000104746919002638/a2238403zex-10_2.htm" TargetMode="External"/><Relationship Id="rId163" Type="http://schemas.openxmlformats.org/officeDocument/2006/relationships/hyperlink" Target="http://www.sec.gov/Archives/edgar/data/1761612/000104746919002638/a2238403zex-10_3.htm" TargetMode="External"/><Relationship Id="rId164" Type="http://schemas.openxmlformats.org/officeDocument/2006/relationships/hyperlink" Target="http://www.sec.gov/Archives/edgar/data/1761612/000155837019010277/bcyc-20190930ex1032a60cf.htm" TargetMode="External"/><Relationship Id="rId165" Type="http://schemas.openxmlformats.org/officeDocument/2006/relationships/hyperlink" Target="https://www.sec.gov/Archives/edgar/data/1761612/000155837020002278/bcyc-20191231ex104df6dea.htm" TargetMode="External"/><Relationship Id="rId166" Type="http://schemas.openxmlformats.org/officeDocument/2006/relationships/hyperlink" Target="http://www.sec.gov/Archives/edgar/data/1761612/000104746919003038/a2238712zex-10_5.htm" TargetMode="External"/><Relationship Id="rId167" Type="http://schemas.openxmlformats.org/officeDocument/2006/relationships/hyperlink" Target="https://www.sec.gov/Archives/edgar/data/1761612/000155837023002238/bcyc-20221231xex10d6.htm" TargetMode="External"/><Relationship Id="rId168" Type="http://schemas.openxmlformats.org/officeDocument/2006/relationships/hyperlink" Target="https://www.sec.gov/Archives/edgar/data/1761612/000155837025010843/bcyc-20250630xex10d3.htm" TargetMode="External"/><Relationship Id="rId169" Type="http://schemas.openxmlformats.org/officeDocument/2006/relationships/hyperlink" Target="https://www.sec.gov/Archives/edgar/data/1761612/000155837025001438/bcyc-20241231xex10d7.htm" TargetMode="External"/><Relationship Id="rId170" Type="http://schemas.openxmlformats.org/officeDocument/2006/relationships/hyperlink" Target="https://www.sec.gov/Archives/edgar/data/1761612/000155837025001438/bcyc-20241231xex10d8.htm" TargetMode="External"/><Relationship Id="rId171" Type="http://schemas.openxmlformats.org/officeDocument/2006/relationships/hyperlink" Target="https://www.sec.gov/Archives/edgar/data/1761612/000155837025001438/bcyc-20241231xex10d9.htm" TargetMode="External"/><Relationship Id="rId172" Type="http://schemas.openxmlformats.org/officeDocument/2006/relationships/hyperlink" Target="https://www.sec.gov/Archives/edgar/data/1761612/000155837025001438/bcyc-20241231xex10d10.htm" TargetMode="External"/><Relationship Id="rId174" Type="http://schemas.openxmlformats.org/officeDocument/2006/relationships/hyperlink" Target="https://www.sec.gov/Archives/edgar/data/1761612/000155837025001438/bcyc-20241231xex10d11.htm" TargetMode="External"/><Relationship Id="rId175" Type="http://schemas.openxmlformats.org/officeDocument/2006/relationships/hyperlink" Target="https://www.sec.gov/Archives/edgar/data/1761612/000155837025001438/bcyc-20241231xex10d12.htm" TargetMode="External"/><Relationship Id="rId176" Type="http://schemas.openxmlformats.org/officeDocument/2006/relationships/hyperlink" Target="https://www.sec.gov/Archives/edgar/data/1761612/000155837025001438/bcyc-20241231xex10d13.htm" TargetMode="External"/><Relationship Id="rId177" Type="http://schemas.openxmlformats.org/officeDocument/2006/relationships/hyperlink" Target="https://www.sec.gov/Archives/edgar/data/1761612/000155837025001438/bcyc-20241231xex10d14.htm" TargetMode="External"/><Relationship Id="rId178" Type="http://schemas.openxmlformats.org/officeDocument/2006/relationships/hyperlink" Target="https://www.sec.gov/Archives/edgar/data/1761612/000110465924086332/tm2420494d1_ex99-1.htm" TargetMode="External"/><Relationship Id="rId179" Type="http://schemas.openxmlformats.org/officeDocument/2006/relationships/hyperlink" Target="https://www.sec.gov/Archives/edgar/data/1761612/000110465924086332/tm2420494d1_ex99-2.htm" TargetMode="External"/><Relationship Id="rId180" Type="http://schemas.openxmlformats.org/officeDocument/2006/relationships/hyperlink" Target="https://www.sec.gov/Archives/edgar/data/1761612/000110465924086332/tm2420494d1_ex99-3.htm" TargetMode="External"/><Relationship Id="rId181" Type="http://schemas.openxmlformats.org/officeDocument/2006/relationships/hyperlink" Target="http://www.sec.gov/Archives/edgar/data/1761612/000104746919003038/a2238712zex-10_4.htm" TargetMode="External"/><Relationship Id="rId182" Type="http://schemas.openxmlformats.org/officeDocument/2006/relationships/hyperlink" Target="http://www.sec.gov/Archives/edgar/data/1761612/000110465919052038/a19-19170_2ex10d1.htm" TargetMode="External"/><Relationship Id="rId183" Type="http://schemas.openxmlformats.org/officeDocument/2006/relationships/hyperlink" Target="https://www.sec.gov/Archives/edgar/data/1761612/000155837023017317/bcyc-20230930xex10d1.htm" TargetMode="External"/><Relationship Id="rId184" Type="http://schemas.openxmlformats.org/officeDocument/2006/relationships/hyperlink" Target="https://www.sec.gov/Archives/edgar/data/1761612/000155837020002278/bcyc-20191231ex1097f5a2c.htm" TargetMode="External"/><Relationship Id="rId185" Type="http://schemas.openxmlformats.org/officeDocument/2006/relationships/hyperlink" Target="https://www.sec.gov/Archives/edgar/data/1761612/000155837022002457/bcyc-20211231xex10d11.htm" TargetMode="External"/><Relationship Id="rId186" Type="http://schemas.openxmlformats.org/officeDocument/2006/relationships/hyperlink" Target="https://www.sec.gov/Archives/edgar/data/1761612/000155837023007979/bcyc-20230331xex10d2.htm" TargetMode="External"/><Relationship Id="rId189" Type="http://schemas.openxmlformats.org/officeDocument/2006/relationships/hyperlink" Target="https://www.sec.gov/Archives/edgar/data/1761612/000155837024010949/bcyc-20240630xex10d4.htm" TargetMode="External"/><Relationship Id="rId190" Type="http://schemas.openxmlformats.org/officeDocument/2006/relationships/hyperlink" Target="https://www.sec.gov/Archives/edgar/data/1761612/000155837020005538/bcyc-20200331ex1011f0973.htm" TargetMode="External"/><Relationship Id="rId191" Type="http://schemas.openxmlformats.org/officeDocument/2006/relationships/hyperlink" Target="https://www.sec.gov/Archives/edgar/data/1761612/000155837021002758/bcyc-20201231ex102755560.htm" TargetMode="External"/><Relationship Id="rId192" Type="http://schemas.openxmlformats.org/officeDocument/2006/relationships/hyperlink" Target="https://www.sec.gov/Archives/edgar/data/1761612/000155837022002457/bcyc-20211231xex10d17.htm" TargetMode="External"/><Relationship Id="rId193" Type="http://schemas.openxmlformats.org/officeDocument/2006/relationships/hyperlink" Target="https://www.sec.gov/Archives/edgar/data/1761612/000155837023007979/bcyc-20230331xex10d6.htm" TargetMode="External"/><Relationship Id="rId194" Type="http://schemas.openxmlformats.org/officeDocument/2006/relationships/hyperlink" Target="http://www.sec.gov/Archives/edgar/data/1761612/000110465919062674/a19-22563_1ex10d1.htm" TargetMode="External"/><Relationship Id="rId195" Type="http://schemas.openxmlformats.org/officeDocument/2006/relationships/hyperlink" Target="http://www.sec.gov/Archives/edgar/data/1761612/000110465919062674/a19-22563_1ex10d2.htm" TargetMode="External"/><Relationship Id="rId196" Type="http://schemas.openxmlformats.org/officeDocument/2006/relationships/hyperlink" Target="https://www.sec.gov/Archives/edgar/data/1761612/000110465924048576/tm2412008d1_ex10-2.htm" TargetMode="External"/><Relationship Id="rId197" Type="http://schemas.openxmlformats.org/officeDocument/2006/relationships/hyperlink" Target="https://www.sec.gov/Archives/edgar/data/1761612/000110465924064716/tm2415400d1_ex10-1.htm" TargetMode="External"/><Relationship Id="rId198" Type="http://schemas.openxmlformats.org/officeDocument/2006/relationships/hyperlink" Target="http://www.sec.gov/Archives/edgar/data/1761612/000104746919002638/a2238403zex-21_1.htm" TargetMode="External"/><Relationship Id="rId201" Type="http://schemas.openxmlformats.org/officeDocument/2006/relationships/hyperlink" Target="https://www.sec.gov/Archives/edgar/data/1761612/000155837024001324/bcyc-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2026-03-17T06:28:24Z</dcterms:created>
  <dcterms:modified xsi:type="dcterms:W3CDTF">2026-03-17T06:28:24Z</dcterms:modified>
</cp:coreProperties>
</file>