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WASHINGTON</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111760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83820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Mark One</w:t>
      </w:r>
      <w:r>
        <w:rPr>
          <w:rFonts w:ascii="Times New Roman" w:cs="Times New Roman" w:eastAsia="Times New Roman" w:hAnsi="Times New Roman"/>
          <w:sz w:val="16"/>
          <w:szCs w:val="16"/>
          <w:color w:val="auto"/>
        </w:rPr>
        <w:t>)</w:t>
      </w:r>
    </w:p>
    <w:p>
      <w:pPr>
        <w:spacing w:after="0" w:line="59" w:lineRule="exact"/>
        <w:rPr>
          <w:sz w:val="24"/>
          <w:szCs w:val="24"/>
          <w:color w:val="auto"/>
        </w:rPr>
      </w:pPr>
    </w:p>
    <w:p>
      <w:pPr>
        <w:ind w:left="3350" w:right="1680" w:hanging="3350"/>
        <w:spacing w:after="0" w:line="325" w:lineRule="auto"/>
        <w:tabs>
          <w:tab w:leader="none" w:pos="333" w:val="left"/>
        </w:tabs>
        <w:numPr>
          <w:ilvl w:val="0"/>
          <w:numId w:val="1"/>
        </w:numPr>
        <w:rPr>
          <w:rFonts w:ascii="Arial" w:cs="Arial" w:eastAsia="Arial" w:hAnsi="Arial"/>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4" w:lineRule="exact"/>
        <w:rPr>
          <w:sz w:val="24"/>
          <w:szCs w:val="24"/>
          <w:color w:val="auto"/>
        </w:rPr>
      </w:pPr>
    </w:p>
    <w:p>
      <w:pPr>
        <w:ind w:left="330" w:hanging="330"/>
        <w:spacing w:after="0"/>
        <w:tabs>
          <w:tab w:leader="none" w:pos="330" w:val="left"/>
        </w:tabs>
        <w:numPr>
          <w:ilvl w:val="0"/>
          <w:numId w:val="2"/>
        </w:numPr>
        <w:rPr>
          <w:rFonts w:ascii="Arial" w:cs="Arial" w:eastAsia="Arial" w:hAnsi="Arial"/>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8" w:lineRule="exact"/>
        <w:rPr>
          <w:sz w:val="24"/>
          <w:szCs w:val="24"/>
          <w:color w:val="auto"/>
        </w:rPr>
      </w:pPr>
    </w:p>
    <w:p>
      <w:pPr>
        <w:ind w:left="3370"/>
        <w:spacing w:after="0"/>
        <w:tabs>
          <w:tab w:leader="none" w:pos="609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Commission File Number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001-38916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133350</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2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41"/>
          <w:szCs w:val="41"/>
          <w:b w:val="1"/>
          <w:bCs w:val="1"/>
          <w:color w:val="auto"/>
        </w:rPr>
        <w:t>Bicycle Therapeutics plc</w:t>
      </w:r>
    </w:p>
    <w:p>
      <w:pPr>
        <w:spacing w:after="0" w:line="6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0230"/>
          </w:cols>
          <w:pgMar w:left="830" w:top="661" w:right="839" w:bottom="1440" w:gutter="0" w:footer="0" w:header="0"/>
        </w:sectPr>
      </w:pPr>
    </w:p>
    <w:p>
      <w:pPr>
        <w:spacing w:after="0" w:line="282" w:lineRule="exact"/>
        <w:rPr>
          <w:sz w:val="24"/>
          <w:szCs w:val="24"/>
          <w:color w:val="auto"/>
        </w:rPr>
      </w:pPr>
    </w:p>
    <w:p>
      <w:pPr>
        <w:ind w:left="1830"/>
        <w:spacing w:after="0"/>
        <w:rPr>
          <w:sz w:val="20"/>
          <w:szCs w:val="20"/>
          <w:color w:val="auto"/>
        </w:rPr>
      </w:pPr>
      <w:r>
        <w:rPr>
          <w:rFonts w:ascii="Times New Roman" w:cs="Times New Roman" w:eastAsia="Times New Roman" w:hAnsi="Times New Roman"/>
          <w:sz w:val="16"/>
          <w:szCs w:val="16"/>
          <w:b w:val="1"/>
          <w:bCs w:val="1"/>
          <w:color w:val="auto"/>
        </w:rPr>
        <w:t>England and Wales</w:t>
      </w:r>
    </w:p>
    <w:p>
      <w:pPr>
        <w:spacing w:after="0" w:line="28" w:lineRule="exact"/>
        <w:rPr>
          <w:sz w:val="24"/>
          <w:szCs w:val="24"/>
          <w:color w:val="auto"/>
        </w:rPr>
      </w:pPr>
    </w:p>
    <w:p>
      <w:pPr>
        <w:ind w:left="157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153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90" w:lineRule="exact"/>
        <w:rPr>
          <w:sz w:val="24"/>
          <w:szCs w:val="24"/>
          <w:color w:val="auto"/>
        </w:rPr>
      </w:pPr>
    </w:p>
    <w:p>
      <w:pPr>
        <w:sectPr>
          <w:pgSz w:w="11900" w:h="16838" w:orient="portrait"/>
          <w:cols w:equalWidth="0" w:num="3">
            <w:col w:w="4370" w:space="720"/>
            <w:col w:w="1300" w:space="720"/>
            <w:col w:w="3120"/>
          </w:cols>
          <w:pgMar w:left="830" w:top="661" w:right="839" w:bottom="1440" w:gutter="0" w:footer="0" w:header="0"/>
          <w:type w:val="continuous"/>
        </w:sectPr>
      </w:pPr>
    </w:p>
    <w:p>
      <w:pPr>
        <w:jc w:val="center"/>
        <w:ind w:right="1610"/>
        <w:spacing w:after="0"/>
        <w:rPr>
          <w:sz w:val="20"/>
          <w:szCs w:val="20"/>
          <w:color w:val="auto"/>
        </w:rPr>
      </w:pPr>
      <w:r>
        <w:rPr>
          <w:rFonts w:ascii="Times New Roman" w:cs="Times New Roman" w:eastAsia="Times New Roman" w:hAnsi="Times New Roman"/>
          <w:sz w:val="16"/>
          <w:szCs w:val="16"/>
          <w:b w:val="1"/>
          <w:bCs w:val="1"/>
          <w:color w:val="auto"/>
        </w:rPr>
        <w:t>Blocks A &amp; B, Portway Building, Granta Park</w:t>
      </w:r>
    </w:p>
    <w:p>
      <w:pPr>
        <w:spacing w:after="0" w:line="28" w:lineRule="exact"/>
        <w:rPr>
          <w:sz w:val="24"/>
          <w:szCs w:val="24"/>
          <w:color w:val="auto"/>
        </w:rPr>
      </w:pPr>
    </w:p>
    <w:p>
      <w:pPr>
        <w:jc w:val="center"/>
        <w:ind w:right="1610"/>
        <w:spacing w:after="0"/>
        <w:rPr>
          <w:sz w:val="20"/>
          <w:szCs w:val="20"/>
          <w:color w:val="auto"/>
        </w:rPr>
      </w:pPr>
      <w:r>
        <w:rPr>
          <w:rFonts w:ascii="Times New Roman" w:cs="Times New Roman" w:eastAsia="Times New Roman" w:hAnsi="Times New Roman"/>
          <w:sz w:val="16"/>
          <w:szCs w:val="16"/>
          <w:b w:val="1"/>
          <w:bCs w:val="1"/>
          <w:color w:val="auto"/>
        </w:rPr>
        <w:t>Great Abington, Cambridge, United Kingdom</w:t>
      </w:r>
    </w:p>
    <w:p>
      <w:pPr>
        <w:spacing w:after="0" w:line="19" w:lineRule="exact"/>
        <w:rPr>
          <w:sz w:val="24"/>
          <w:szCs w:val="24"/>
          <w:color w:val="auto"/>
        </w:rPr>
      </w:pPr>
    </w:p>
    <w:p>
      <w:pPr>
        <w:jc w:val="center"/>
        <w:ind w:right="161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CB21 6GS</w:t>
      </w:r>
    </w:p>
    <w:p>
      <w:pPr>
        <w:spacing w:after="0" w:line="2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(Zip Code)</w:t>
      </w:r>
    </w:p>
    <w:p>
      <w:pPr>
        <w:spacing w:after="0" w:line="90" w:lineRule="exact"/>
        <w:rPr>
          <w:sz w:val="24"/>
          <w:szCs w:val="24"/>
          <w:color w:val="auto"/>
        </w:rPr>
      </w:pPr>
    </w:p>
    <w:p>
      <w:pPr>
        <w:sectPr>
          <w:pgSz w:w="11900" w:h="16838" w:orient="portrait"/>
          <w:cols w:equalWidth="0" w:num="2">
            <w:col w:w="6630" w:space="720"/>
            <w:col w:w="2880"/>
          </w:cols>
          <w:pgMar w:left="830" w:top="661" w:right="839" w:bottom="1440" w:gutter="0" w:footer="0" w:header="0"/>
          <w:type w:val="continuous"/>
        </w:sectPr>
      </w:pPr>
    </w:p>
    <w:p>
      <w:pPr>
        <w:ind w:left="281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+44 1223 261503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81915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8"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of the Act</w:t>
      </w:r>
      <w:r>
        <w:rPr>
          <w:rFonts w:ascii="Times New Roman" w:cs="Times New Roman" w:eastAsia="Times New Roman" w:hAnsi="Times New Roman"/>
          <w:sz w:val="16"/>
          <w:szCs w:val="16"/>
          <w:color w:val="auto"/>
        </w:rPr>
        <w:t>:</w:t>
      </w:r>
    </w:p>
    <w:p>
      <w:pPr>
        <w:spacing w:after="0" w:line="95" w:lineRule="exact"/>
        <w:rPr>
          <w:sz w:val="24"/>
          <w:szCs w:val="24"/>
          <w:color w:val="auto"/>
        </w:rPr>
      </w:pPr>
    </w:p>
    <w:tbl>
      <w:tblPr>
        <w:tblLayout w:type="fixed"/>
        <w:tblInd w:w="1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6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82"/>
        </w:trPr>
        <w:tc>
          <w:tcPr>
            <w:tcW w:w="20" w:type="dxa"/>
            <w:vAlign w:val="bottom"/>
          </w:tcPr>
          <w:p>
            <w:pPr>
              <w:spacing w:after="0"/>
              <w:rPr>
                <w:sz w:val="15"/>
                <w:szCs w:val="15"/>
                <w:color w:val="auto"/>
              </w:rPr>
            </w:pPr>
          </w:p>
        </w:tc>
        <w:tc>
          <w:tcPr>
            <w:tcW w:w="3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Ordinary shares, nominal value £0.01 per share*</w:t>
            </w:r>
          </w:p>
        </w:tc>
        <w:tc>
          <w:tcPr>
            <w:tcW w:w="200" w:type="dxa"/>
            <w:vAlign w:val="bottom"/>
          </w:tcPr>
          <w:p>
            <w:pPr>
              <w:spacing w:after="0"/>
              <w:rPr>
                <w:sz w:val="15"/>
                <w:szCs w:val="15"/>
                <w:color w:val="auto"/>
              </w:rPr>
            </w:pPr>
          </w:p>
        </w:tc>
        <w:tc>
          <w:tcPr>
            <w:tcW w:w="25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n/a</w:t>
            </w:r>
          </w:p>
        </w:tc>
        <w:tc>
          <w:tcPr>
            <w:tcW w:w="200" w:type="dxa"/>
            <w:vAlign w:val="bottom"/>
          </w:tcPr>
          <w:p>
            <w:pPr>
              <w:spacing w:after="0"/>
              <w:rPr>
                <w:sz w:val="15"/>
                <w:szCs w:val="15"/>
                <w:color w:val="auto"/>
              </w:rPr>
            </w:pPr>
          </w:p>
        </w:tc>
        <w:tc>
          <w:tcPr>
            <w:tcW w:w="35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The Nasdaq Stock Market LLC</w:t>
            </w:r>
          </w:p>
        </w:tc>
      </w:tr>
      <w:tr>
        <w:trPr>
          <w:trHeight w:val="203"/>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American Depositary Shares, each representing one</w:t>
            </w:r>
          </w:p>
        </w:tc>
        <w:tc>
          <w:tcPr>
            <w:tcW w:w="200" w:type="dxa"/>
            <w:vAlign w:val="bottom"/>
          </w:tcPr>
          <w:p>
            <w:pPr>
              <w:spacing w:after="0"/>
              <w:rPr>
                <w:sz w:val="17"/>
                <w:szCs w:val="17"/>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BCYC</w:t>
            </w:r>
          </w:p>
        </w:tc>
        <w:tc>
          <w:tcPr>
            <w:tcW w:w="20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ordinary share, nominal value £0.01 per share</w:t>
            </w:r>
          </w:p>
        </w:tc>
        <w:tc>
          <w:tcPr>
            <w:tcW w:w="2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80" w:type="dxa"/>
            <w:vAlign w:val="bottom"/>
          </w:tcPr>
          <w:p>
            <w:pPr>
              <w:spacing w:after="0"/>
              <w:rPr>
                <w:sz w:val="18"/>
                <w:szCs w:val="18"/>
                <w:color w:val="auto"/>
              </w:rPr>
            </w:pPr>
          </w:p>
        </w:tc>
      </w:tr>
    </w:tbl>
    <w:p>
      <w:pPr>
        <w:spacing w:after="0" w:line="73" w:lineRule="exact"/>
        <w:rPr>
          <w:sz w:val="24"/>
          <w:szCs w:val="24"/>
          <w:color w:val="auto"/>
        </w:rPr>
      </w:pPr>
    </w:p>
    <w:p>
      <w:pPr>
        <w:ind w:left="130" w:hanging="130"/>
        <w:spacing w:after="0"/>
        <w:tabs>
          <w:tab w:leader="none" w:pos="13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 for trading, but only in connection with the listing of the American Depositary Shares on the Nasdaq Global Select Market.</w:t>
      </w:r>
    </w:p>
    <w:p>
      <w:pPr>
        <w:spacing w:after="0" w:line="100" w:lineRule="exact"/>
        <w:rPr>
          <w:sz w:val="24"/>
          <w:szCs w:val="24"/>
          <w:color w:val="auto"/>
        </w:rPr>
      </w:pPr>
    </w:p>
    <w:p>
      <w:pPr>
        <w:ind w:left="10" w:right="380"/>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36" w:lineRule="exact"/>
        <w:rPr>
          <w:sz w:val="24"/>
          <w:szCs w:val="24"/>
          <w:color w:val="auto"/>
        </w:rPr>
      </w:pPr>
    </w:p>
    <w:p>
      <w:pPr>
        <w:ind w:left="10" w:right="18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ind w:left="10" w:right="5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1" w:right="839" w:bottom="1440" w:gutter="0" w:footer="0" w:header="0"/>
          <w:type w:val="continuous"/>
        </w:sectPr>
      </w:pPr>
    </w:p>
    <w:p>
      <w:pPr>
        <w:spacing w:after="0" w:line="20" w:lineRule="exact"/>
        <w:rPr>
          <w:sz w:val="24"/>
          <w:szCs w:val="24"/>
          <w:color w:val="auto"/>
        </w:rPr>
      </w:pPr>
    </w:p>
    <w:p>
      <w:pPr>
        <w:ind w:left="10"/>
        <w:spacing w:after="0" w:line="215"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42" w:lineRule="exact"/>
        <w:rPr>
          <w:sz w:val="24"/>
          <w:szCs w:val="24"/>
          <w:color w:val="auto"/>
        </w:rPr>
      </w:pPr>
    </w:p>
    <w:p>
      <w:pPr>
        <w:ind w:left="10"/>
        <w:spacing w:after="0" w:line="215"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ind w:left="720"/>
        <w:spacing w:after="0" w:line="21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30"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Arial Unicode MS" w:cs="Arial Unicode MS" w:eastAsia="Arial Unicode MS" w:hAnsi="Arial Unicode MS"/>
          <w:sz w:val="16"/>
          <w:szCs w:val="16"/>
          <w:color w:val="auto"/>
        </w:rPr>
        <w:t>⌧</w:t>
      </w:r>
    </w:p>
    <w:p>
      <w:pPr>
        <w:ind w:left="40"/>
        <w:spacing w:after="0" w:line="215"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Arial Unicode MS" w:cs="Arial Unicode MS" w:eastAsia="Arial Unicode MS" w:hAnsi="Arial Unicode MS"/>
          <w:sz w:val="16"/>
          <w:szCs w:val="16"/>
          <w:color w:val="auto"/>
        </w:rPr>
        <w:t>☐</w:t>
      </w:r>
    </w:p>
    <w:p>
      <w:pPr>
        <w:spacing w:after="0" w:line="51" w:lineRule="exact"/>
        <w:rPr>
          <w:sz w:val="24"/>
          <w:szCs w:val="24"/>
          <w:color w:val="auto"/>
        </w:rPr>
      </w:pPr>
    </w:p>
    <w:p>
      <w:pPr>
        <w:sectPr>
          <w:pgSz w:w="11900" w:h="16838" w:orient="portrait"/>
          <w:cols w:equalWidth="0" w:num="2">
            <w:col w:w="7510" w:space="720"/>
            <w:col w:w="2000"/>
          </w:cols>
          <w:pgMar w:left="830" w:top="661" w:right="839" w:bottom="1440" w:gutter="0" w:footer="0" w:header="0"/>
          <w:type w:val="continuous"/>
        </w:sectPr>
      </w:pPr>
    </w:p>
    <w:p>
      <w:pPr>
        <w:ind w:left="10" w:right="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25" w:lineRule="exact"/>
        <w:rPr>
          <w:sz w:val="24"/>
          <w:szCs w:val="24"/>
          <w:color w:val="auto"/>
        </w:rPr>
      </w:pPr>
    </w:p>
    <w:p>
      <w:pPr>
        <w:ind w:left="10"/>
        <w:spacing w:after="0" w:line="215" w:lineRule="exact"/>
        <w:tabs>
          <w:tab w:leader="none" w:pos="801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92" w:lineRule="exact"/>
        <w:rPr>
          <w:sz w:val="24"/>
          <w:szCs w:val="24"/>
          <w:color w:val="auto"/>
        </w:rPr>
      </w:pPr>
    </w:p>
    <w:p>
      <w:pPr>
        <w:ind w:left="10" w:right="100" w:firstLine="648"/>
        <w:spacing w:after="0" w:line="298" w:lineRule="auto"/>
        <w:rPr>
          <w:sz w:val="20"/>
          <w:szCs w:val="20"/>
          <w:color w:val="auto"/>
        </w:rPr>
      </w:pPr>
      <w:r>
        <w:rPr>
          <w:rFonts w:ascii="Times New Roman" w:cs="Times New Roman" w:eastAsia="Times New Roman" w:hAnsi="Times New Roman"/>
          <w:sz w:val="16"/>
          <w:szCs w:val="16"/>
          <w:color w:val="auto"/>
        </w:rPr>
        <w:t>As of October 26, 2026, the registrant had 50,655,817 ordinary shares, nominal value £0.01 per share, and 19,437,944 non-voting ordinary shares, nominal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584200</wp:posOffset>
            </wp:positionV>
            <wp:extent cx="6497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27305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69850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2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200" w:type="dxa"/>
            <w:vAlign w:val="bottom"/>
            <w:gridSpan w:val="10"/>
            <w:vMerge w:val="restart"/>
          </w:tcPr>
          <w:p>
            <w:pPr>
              <w:spacing w:after="0"/>
              <w:rPr>
                <w:sz w:val="15"/>
                <w:szCs w:val="15"/>
                <w:color w:val="auto"/>
              </w:rPr>
            </w:pPr>
          </w:p>
        </w:tc>
        <w:tc>
          <w:tcPr>
            <w:tcW w:w="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3120" w:type="dxa"/>
            <w:vAlign w:val="bottom"/>
            <w:tcBorders>
              <w:bottom w:val="single" w:sz="8" w:color="0000EE"/>
            </w:tcBorders>
            <w:gridSpan w:val="11"/>
            <w:vMerge w:val="continue"/>
          </w:tcPr>
          <w:p>
            <w:pPr>
              <w:spacing w:after="0"/>
              <w:rPr>
                <w:sz w:val="13"/>
                <w:szCs w:val="13"/>
                <w:color w:val="auto"/>
              </w:rPr>
            </w:pPr>
          </w:p>
        </w:tc>
        <w:tc>
          <w:tcPr>
            <w:tcW w:w="5200" w:type="dxa"/>
            <w:vAlign w:val="bottom"/>
            <w:gridSpan w:val="10"/>
            <w:vMerge w:val="continue"/>
          </w:tcPr>
          <w:p>
            <w:pPr>
              <w:spacing w:after="0"/>
              <w:rPr>
                <w:sz w:val="13"/>
                <w:szCs w:val="13"/>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426"/>
        </w:trPr>
        <w:tc>
          <w:tcPr>
            <w:tcW w:w="18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w:t>
            </w:r>
          </w:p>
        </w:tc>
        <w:tc>
          <w:tcPr>
            <w:tcW w:w="196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3100" w:type="dxa"/>
            <w:vAlign w:val="bottom"/>
            <w:gridSpan w:val="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7"/>
              </w:rPr>
              <w:t>PART II - OTHER INFORMATION</w:t>
            </w:r>
          </w:p>
        </w:tc>
        <w:tc>
          <w:tcPr>
            <w:tcW w:w="550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40" w:type="dxa"/>
            <w:vAlign w:val="bottom"/>
            <w:gridSpan w:val="2"/>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1A</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140" w:type="dxa"/>
            <w:vAlign w:val="bottom"/>
            <w:gridSpan w:val="2"/>
          </w:tcPr>
          <w:p>
            <w:pPr>
              <w:spacing w:after="0"/>
              <w:rPr>
                <w:sz w:val="24"/>
                <w:szCs w:val="24"/>
                <w:color w:val="auto"/>
              </w:rPr>
            </w:pPr>
          </w:p>
        </w:tc>
        <w:tc>
          <w:tcPr>
            <w:tcW w:w="23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510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140" w:type="dxa"/>
            <w:vAlign w:val="bottom"/>
            <w:gridSpan w:val="2"/>
          </w:tcPr>
          <w:p>
            <w:pPr>
              <w:spacing w:after="0"/>
              <w:rPr>
                <w:sz w:val="24"/>
                <w:szCs w:val="24"/>
                <w:color w:val="auto"/>
              </w:rPr>
            </w:pPr>
          </w:p>
        </w:tc>
        <w:tc>
          <w:tcPr>
            <w:tcW w:w="17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720" w:type="dxa"/>
            <w:vAlign w:val="bottom"/>
            <w:gridSpan w:val="12"/>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14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2"/>
          </w:tcPr>
          <w:p>
            <w:pPr>
              <w:spacing w:after="0"/>
              <w:rPr>
                <w:sz w:val="24"/>
                <w:szCs w:val="24"/>
                <w:color w:val="auto"/>
              </w:rPr>
            </w:pPr>
          </w:p>
        </w:tc>
        <w:tc>
          <w:tcPr>
            <w:tcW w:w="6160" w:type="dxa"/>
            <w:vAlign w:val="bottom"/>
            <w:gridSpan w:val="13"/>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0000EE"/>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or this Quarterly Report, contains forward-looking statements which are made pursuant to the safe harbor provisions of Section 27A of the Securities Act of 1933, as amended, or the Securities Act, and Section 21E of the Securities Exchange Act of 1934, as amended, or the Exchange Act. These statements may be identified by such forward-looking terminology as “will,” “may,” “should,” “expects,” “intends,” “plans,” “anticipates,” “believes,” “estimates,” “predicts,” “potential,” “continue” or variations of these words or similar expressions that are intended to identify forward-looking statements, although not all forward-looking statements contain these words. Any forward-looking statement involves known and unknown risks, uncertainties and other factors that may cause our actual results, levels of activity, performance or achievements to differ materially from any future results, levels of activity, performance or achievements expressed or implied by such forward-looking statement. Forward-looking statements include statements, other than statements of historical fact, about, among other things:</w:t>
      </w:r>
    </w:p>
    <w:p>
      <w:pPr>
        <w:spacing w:after="0" w:line="194" w:lineRule="exact"/>
        <w:rPr>
          <w:sz w:val="20"/>
          <w:szCs w:val="20"/>
          <w:color w:val="auto"/>
        </w:rPr>
      </w:pPr>
    </w:p>
    <w:p>
      <w:pPr>
        <w:ind w:left="1040" w:right="2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 and our research and development programs;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our product candidates into, and successfully complete, clinical trials;</w:t>
      </w:r>
    </w:p>
    <w:p>
      <w:pPr>
        <w:spacing w:after="0" w:line="217" w:lineRule="exact"/>
        <w:rPr>
          <w:rFonts w:ascii="Times New Roman" w:cs="Times New Roman" w:eastAsia="Times New Roman" w:hAnsi="Times New Roman"/>
          <w:sz w:val="18"/>
          <w:szCs w:val="18"/>
          <w:color w:val="auto"/>
        </w:rPr>
      </w:pPr>
    </w:p>
    <w:p>
      <w:pPr>
        <w:ind w:left="1040" w:right="439" w:hanging="315"/>
        <w:spacing w:after="0" w:line="20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success of our product candidates in our pipeline programs for our Bicycle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Drug Conjugates, or BDC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and Bicycle Radioconjugates, or BRC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as well as our other pipeline programs;</w:t>
      </w:r>
    </w:p>
    <w:p>
      <w:pPr>
        <w:spacing w:after="0" w:line="170"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screening platform to identify and advance additional product candidates into clinical development;</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communications with and feedback from the FDA and other regulatory agencies;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coverage and reimbursement of our product candidates, if approved;</w:t>
      </w:r>
    </w:p>
    <w:p>
      <w:pPr>
        <w:spacing w:after="0" w:line="225" w:lineRule="exact"/>
        <w:rPr>
          <w:rFonts w:ascii="Times New Roman" w:cs="Times New Roman" w:eastAsia="Times New Roman" w:hAnsi="Times New Roman"/>
          <w:sz w:val="18"/>
          <w:szCs w:val="18"/>
          <w:color w:val="auto"/>
        </w:rPr>
      </w:pPr>
    </w:p>
    <w:p>
      <w:pPr>
        <w:ind w:left="1040" w:right="8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 candidates and technology;</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61" w:lineRule="exact"/>
        <w:rPr>
          <w:rFonts w:ascii="Times New Roman" w:cs="Times New Roman" w:eastAsia="Times New Roman" w:hAnsi="Times New Roman"/>
          <w:sz w:val="18"/>
          <w:szCs w:val="18"/>
          <w:color w:val="auto"/>
        </w:rPr>
      </w:pPr>
    </w:p>
    <w:p>
      <w:pPr>
        <w:ind w:left="1040" w:right="79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and proprietary technology of third parties;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intellectual property infringement, product liability and other claims;</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the United Kingdom and other jurisdictions and changes to the laws and regulations of the United States, England and Wales, and other jurisdictions;</w:t>
      </w:r>
    </w:p>
    <w:p>
      <w:pPr>
        <w:spacing w:after="0" w:line="161"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share performance and our needs for additional financing;</w:t>
      </w:r>
    </w:p>
    <w:p>
      <w:pPr>
        <w:spacing w:after="0" w:line="161"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and our ability to enter into additional strategic arrangements or partnerships;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or obtain additional grant funding;</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approved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therapies;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hiring plans and our ability to attract and retain qualified employees and key personnel;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potential growth;</w:t>
      </w:r>
    </w:p>
    <w:p>
      <w:pPr>
        <w:spacing w:after="0" w:line="22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expected future cost savings and charges associated with our strategic reprioritization and workforce reduction announced in March 2026;</w:t>
      </w:r>
    </w:p>
    <w:p>
      <w:pPr>
        <w:spacing w:after="0" w:line="161"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qualification as R&amp;D intensive for the year ending December 31, 2026, under the Finance Act 2024;</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global economic conditions, including those arising from changes in global trade policies, on our operations and the potential disruption in the operations and business of third-party manufacturers, contract research organizations, or CROs, other service providers, and collaborators with whom we conduct business;</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developments affecting the financial services industry;</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business interruptions resulting from geo-political actions, such as war and terrorism, or the perception that such hostilities may be imminent;</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perceived failure to comply with existing or future laws, regulations, contracts, self-regulatory schemes, standards, and other obligations related to data privacy and security (including our ability to identify and respond to potential future security incidents); and</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Although we believe that we have a reasonable basis for each forward-looking statement contained in this Quarterly Report, these statements are based on our estimates or projections of the future that are subject to known and unknown risks and uncertainties and other important factors that may cause our actual results, level of activity, performance, experience or achievements to differ materially from those expressed or implied by any forward-looking statement. These risks, uncertainties and other factors are described in greater detail under the caption “Risk Factors” in Part II, Item 1A and elsewhere in this Quarterly Report. As a result of the risks and uncertainties, the results or events indicated by the forward-looking statements may not occur. Undue reliance should not be placed on any forward-looking statement.</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addition, any forward-looking statement in this Quarterly Report represents our views only as of the date of this Quarterly Report and should not be relied upon as representing our views as of any subsequent date. We anticipate that subsequent events and developments may cause our views to change. Although we may elect to update these forward-looking statements publicly at some point in the future, we specifically disclaim any obligation to do so, except as required by applicable law.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469,928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628,110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Research and development incentives receivable</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52,358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537,556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682,885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567,179</w:t>
            </w:r>
          </w:p>
        </w:tc>
        <w:tc>
          <w:tcPr>
            <w:tcW w:w="200" w:type="dxa"/>
            <w:vAlign w:val="bottom"/>
            <w:tcBorders>
              <w:bottom w:val="single" w:sz="8" w:color="CCEEFF"/>
            </w:tcBorders>
            <w:gridSpan w:val="2"/>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717,597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44,459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6"/>
                <w:szCs w:val="16"/>
                <w:color w:val="auto"/>
              </w:rPr>
              <w:t>Other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liabilities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61,902</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Ordinary shares, including non-voting ordinary shares, £0.01 nominal value; 163,360,109 and</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159,685,229 shares authorized on September 30, 2026 and December 31, 2025, respectively;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69,993,013 and 69,367,896 shares issued and outstanding at September 30, 2026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1,531,098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1,512,339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(1,021,387)</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(899,751)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505,277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567,179</w:t>
            </w:r>
          </w:p>
        </w:tc>
        <w:tc>
          <w:tcPr>
            <w:tcW w:w="200" w:type="dxa"/>
            <w:vAlign w:val="bottom"/>
            <w:gridSpan w:val="2"/>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717,597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6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28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4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123,483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14,112</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(65,551)</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(133,518)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(222,357)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 provision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(59,100)</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(0.85)</w:t>
            </w:r>
          </w:p>
        </w:tc>
        <w:tc>
          <w:tcPr>
            <w:tcW w:w="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(2.87)</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41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 average ordinary shares outstanding, basic and</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69,979,934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69,303,746</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69,823,830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69,251,291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4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(121,636)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(198,806)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08"/>
              <w:spacing w:after="0" w:line="161" w:lineRule="exact"/>
              <w:rPr>
                <w:sz w:val="20"/>
                <w:szCs w:val="20"/>
                <w:color w:val="auto"/>
              </w:rPr>
            </w:pPr>
            <w:r>
              <w:rPr>
                <w:rFonts w:ascii="Times New Roman" w:cs="Times New Roman" w:eastAsia="Times New Roman" w:hAnsi="Times New Roman"/>
                <w:sz w:val="14"/>
                <w:szCs w:val="14"/>
                <w:b w:val="1"/>
                <w:bCs w:val="1"/>
                <w:color w:val="auto"/>
              </w:rPr>
              <w:t>Paid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in</w:t>
            </w:r>
          </w:p>
        </w:tc>
        <w:tc>
          <w:tcPr>
            <w:tcW w:w="18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3700" w:type="dxa"/>
            <w:vAlign w:val="bottom"/>
          </w:tcPr>
          <w:p>
            <w:pPr>
              <w:ind w:left="35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p>
        </w:tc>
        <w:tc>
          <w:tcPr>
            <w:tcW w:w="320" w:type="dxa"/>
            <w:vAlign w:val="bottom"/>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Income (Loss)</w:t>
            </w:r>
          </w:p>
        </w:tc>
        <w:tc>
          <w:tcPr>
            <w:tcW w:w="280" w:type="dxa"/>
            <w:vAlign w:val="bottom"/>
            <w:gridSpan w:val="2"/>
          </w:tcPr>
          <w:p>
            <w:pPr>
              <w:jc w:val="right"/>
              <w:ind w:right="1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gridSpan w:val="2"/>
          </w:tcPr>
          <w:p>
            <w:pPr>
              <w:jc w:val="right"/>
              <w:ind w:right="1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7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69,367,896</w:t>
            </w:r>
          </w:p>
        </w:tc>
        <w:tc>
          <w:tcPr>
            <w:tcW w:w="1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894</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1,512,339</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(3,505)</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(899,751)</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609,977</w:t>
            </w: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Issuance of ADSs upon exercise of share options</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3,861</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ADSs upon settlement of restricted share units</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335,269</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9"/>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6,930</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(1,774)</w:t>
            </w: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(60,825)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(60,825)</w:t>
            </w:r>
          </w:p>
        </w:tc>
        <w:tc>
          <w:tcPr>
            <w:tcW w:w="0" w:type="dxa"/>
            <w:vAlign w:val="bottom"/>
          </w:tcPr>
          <w:p>
            <w:pPr>
              <w:spacing w:after="0"/>
              <w:rPr>
                <w:sz w:val="1"/>
                <w:szCs w:val="1"/>
                <w:color w:val="auto"/>
              </w:rPr>
            </w:pPr>
          </w:p>
        </w:tc>
      </w:tr>
      <w:tr>
        <w:trPr>
          <w:trHeight w:val="142"/>
        </w:trPr>
        <w:tc>
          <w:tcPr>
            <w:tcW w:w="37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69,707,026</w:t>
            </w:r>
          </w:p>
        </w:tc>
        <w:tc>
          <w:tcPr>
            <w:tcW w:w="1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899</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1,519,276</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(5,279)</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(960,576)</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554,320</w:t>
            </w: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Issuance of ADSs upon exercise of share options</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2,920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ADSs upon settlement of restricted share units</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104,199</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6,404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6,404</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(50,333)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(50,333)</w:t>
            </w:r>
          </w:p>
        </w:tc>
        <w:tc>
          <w:tcPr>
            <w:tcW w:w="0" w:type="dxa"/>
            <w:vAlign w:val="bottom"/>
          </w:tcPr>
          <w:p>
            <w:pPr>
              <w:spacing w:after="0"/>
              <w:rPr>
                <w:sz w:val="1"/>
                <w:szCs w:val="1"/>
                <w:color w:val="auto"/>
              </w:rPr>
            </w:pPr>
          </w:p>
        </w:tc>
      </w:tr>
      <w:tr>
        <w:trPr>
          <w:trHeight w:val="142"/>
        </w:trPr>
        <w:tc>
          <w:tcPr>
            <w:tcW w:w="37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2026</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69,814,145</w:t>
            </w:r>
          </w:p>
        </w:tc>
        <w:tc>
          <w:tcPr>
            <w:tcW w:w="1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900</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1,525,680</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(5,416)</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(1,010,909)</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510,255</w:t>
            </w: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Issuance of ADSs upon exercise of share options</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9,251</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ADSs upon settlement of restricted share units</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169,617</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5,418</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(10,478)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(10,478)</w:t>
            </w:r>
          </w:p>
        </w:tc>
        <w:tc>
          <w:tcPr>
            <w:tcW w:w="0" w:type="dxa"/>
            <w:vAlign w:val="bottom"/>
          </w:tcPr>
          <w:p>
            <w:pPr>
              <w:spacing w:after="0"/>
              <w:rPr>
                <w:sz w:val="1"/>
                <w:szCs w:val="1"/>
                <w:color w:val="auto"/>
              </w:rPr>
            </w:pPr>
          </w:p>
        </w:tc>
      </w:tr>
      <w:tr>
        <w:trPr>
          <w:trHeight w:val="142"/>
        </w:trPr>
        <w:tc>
          <w:tcPr>
            <w:tcW w:w="37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69,993,013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1,531,098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(5,337)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(1,021,387)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505,277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66351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40"/>
          </w:cols>
          <w:pgMar w:left="720" w:top="513" w:right="7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22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3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08"/>
              <w:spacing w:after="0" w:line="161" w:lineRule="exact"/>
              <w:rPr>
                <w:sz w:val="20"/>
                <w:szCs w:val="20"/>
                <w:color w:val="auto"/>
              </w:rPr>
            </w:pPr>
            <w:r>
              <w:rPr>
                <w:rFonts w:ascii="Times New Roman" w:cs="Times New Roman" w:eastAsia="Times New Roman" w:hAnsi="Times New Roman"/>
                <w:sz w:val="14"/>
                <w:szCs w:val="14"/>
                <w:b w:val="1"/>
                <w:bCs w:val="1"/>
                <w:color w:val="auto"/>
              </w:rPr>
              <w:t>Paid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in</w:t>
            </w:r>
          </w:p>
        </w:tc>
        <w:tc>
          <w:tcPr>
            <w:tcW w:w="18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3700" w:type="dxa"/>
            <w:vAlign w:val="bottom"/>
          </w:tcPr>
          <w:p>
            <w:pPr>
              <w:ind w:left="35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p>
        </w:tc>
        <w:tc>
          <w:tcPr>
            <w:tcW w:w="30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1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Income (Loss)</w:t>
            </w:r>
          </w:p>
        </w:tc>
        <w:tc>
          <w:tcPr>
            <w:tcW w:w="320" w:type="dxa"/>
            <w:vAlign w:val="bottom"/>
            <w:gridSpan w:val="2"/>
          </w:tcPr>
          <w:p>
            <w:pPr>
              <w:jc w:val="right"/>
              <w:ind w:right="1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gridSpan w:val="3"/>
          </w:tcPr>
          <w:p>
            <w:pPr>
              <w:jc w:val="right"/>
              <w:ind w:right="174"/>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7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69,061,418</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890</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1,472,842</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(680,791)</w:t>
            </w:r>
          </w:p>
        </w:tc>
        <w:tc>
          <w:tcPr>
            <w:tcW w:w="22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793,060</w:t>
            </w: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Issuance of ADSs upon settlement of restricted share units</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140,937</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9,605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9,605</w:t>
            </w: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(60,754)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(60,754)</w:t>
            </w:r>
          </w:p>
        </w:tc>
        <w:tc>
          <w:tcPr>
            <w:tcW w:w="0" w:type="dxa"/>
            <w:vAlign w:val="bottom"/>
          </w:tcPr>
          <w:p>
            <w:pPr>
              <w:spacing w:after="0"/>
              <w:rPr>
                <w:sz w:val="1"/>
                <w:szCs w:val="1"/>
                <w:color w:val="auto"/>
              </w:rPr>
            </w:pPr>
          </w:p>
        </w:tc>
      </w:tr>
      <w:tr>
        <w:trPr>
          <w:trHeight w:val="142"/>
        </w:trPr>
        <w:tc>
          <w:tcPr>
            <w:tcW w:w="37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69,202,355</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1,482,447</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(741,545)</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740,333</w:t>
            </w:r>
          </w:p>
        </w:tc>
        <w:tc>
          <w:tcPr>
            <w:tcW w:w="0" w:type="dxa"/>
            <w:vAlign w:val="bottom"/>
          </w:tcPr>
          <w:p>
            <w:pPr>
              <w:spacing w:after="0"/>
              <w:rPr>
                <w:sz w:val="1"/>
                <w:szCs w:val="1"/>
                <w:color w:val="auto"/>
              </w:rPr>
            </w:pPr>
          </w:p>
        </w:tc>
      </w:tr>
      <w:tr>
        <w:trPr>
          <w:trHeight w:val="142"/>
        </w:trPr>
        <w:tc>
          <w:tcPr>
            <w:tcW w:w="3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Issuance of ADSs upon settlement of restricted share units</w:t>
            </w: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51,589</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9,435</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(1,902)</w:t>
            </w:r>
          </w:p>
        </w:tc>
        <w:tc>
          <w:tcPr>
            <w:tcW w:w="0" w:type="dxa"/>
            <w:vAlign w:val="bottom"/>
          </w:tcPr>
          <w:p>
            <w:pPr>
              <w:spacing w:after="0"/>
              <w:rPr>
                <w:sz w:val="1"/>
                <w:szCs w:val="1"/>
                <w:color w:val="auto"/>
              </w:rPr>
            </w:pPr>
          </w:p>
        </w:tc>
      </w:tr>
      <w:tr>
        <w:trPr>
          <w:trHeight w:val="149"/>
        </w:trPr>
        <w:tc>
          <w:tcPr>
            <w:tcW w:w="37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(78,952)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(78,952)</w:t>
            </w:r>
          </w:p>
        </w:tc>
        <w:tc>
          <w:tcPr>
            <w:tcW w:w="0" w:type="dxa"/>
            <w:vAlign w:val="bottom"/>
          </w:tcPr>
          <w:p>
            <w:pPr>
              <w:spacing w:after="0"/>
              <w:rPr>
                <w:sz w:val="1"/>
                <w:szCs w:val="1"/>
                <w:color w:val="auto"/>
              </w:rPr>
            </w:pPr>
          </w:p>
        </w:tc>
      </w:tr>
      <w:tr>
        <w:trPr>
          <w:trHeight w:val="142"/>
        </w:trPr>
        <w:tc>
          <w:tcPr>
            <w:tcW w:w="3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69,253,944</w:t>
            </w: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893</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1,491,882</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(3,363)</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(820,497)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668,915</w:t>
            </w: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Issuance of ADSs upon settlement of restricted share units</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52,567</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8,771</w:t>
            </w:r>
          </w:p>
        </w:tc>
        <w:tc>
          <w:tcPr>
            <w:tcW w:w="0" w:type="dxa"/>
            <w:vAlign w:val="bottom"/>
          </w:tcPr>
          <w:p>
            <w:pPr>
              <w:spacing w:after="0"/>
              <w:rPr>
                <w:sz w:val="1"/>
                <w:szCs w:val="1"/>
                <w:color w:val="auto"/>
              </w:rPr>
            </w:pPr>
          </w:p>
        </w:tc>
      </w:tr>
      <w:tr>
        <w:trPr>
          <w:trHeight w:val="149"/>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(59,100)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(59,100)</w:t>
            </w: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69,306,511</w:t>
            </w:r>
          </w:p>
        </w:tc>
        <w:tc>
          <w:tcPr>
            <w:tcW w:w="180" w:type="dxa"/>
            <w:vAlign w:val="bottom"/>
          </w:tcPr>
          <w:p>
            <w:pPr>
              <w:spacing w:after="0"/>
              <w:rPr>
                <w:sz w:val="12"/>
                <w:szCs w:val="12"/>
                <w:color w:val="auto"/>
              </w:rPr>
            </w:pPr>
          </w:p>
        </w:tc>
        <w:tc>
          <w:tcPr>
            <w:tcW w:w="30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894</w:t>
            </w:r>
          </w:p>
        </w:tc>
        <w:tc>
          <w:tcPr>
            <w:tcW w:w="18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1,500,653</w:t>
            </w:r>
          </w:p>
        </w:tc>
        <w:tc>
          <w:tcPr>
            <w:tcW w:w="18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(3,471)</w:t>
            </w:r>
          </w:p>
        </w:tc>
        <w:tc>
          <w:tcPr>
            <w:tcW w:w="20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(879,597)</w:t>
            </w:r>
          </w:p>
        </w:tc>
        <w:tc>
          <w:tcPr>
            <w:tcW w:w="220" w:type="dxa"/>
            <w:vAlign w:val="bottom"/>
            <w:gridSpan w:val="2"/>
          </w:tcPr>
          <w:p>
            <w:pPr>
              <w:spacing w:after="0"/>
              <w:rPr>
                <w:sz w:val="12"/>
                <w:szCs w:val="12"/>
                <w:color w:val="auto"/>
              </w:rPr>
            </w:pPr>
          </w:p>
        </w:tc>
        <w:tc>
          <w:tcPr>
            <w:tcW w:w="8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618,479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66351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40"/>
          </w:cols>
          <w:pgMar w:left="720" w:top="513" w:right="73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5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(121,636)</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(198,806)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 incentives receivable</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184" w:lineRule="exact"/>
              <w:rPr>
                <w:sz w:val="20"/>
                <w:szCs w:val="20"/>
                <w:color w:val="auto"/>
              </w:rPr>
            </w:pPr>
            <w:r>
              <w:rPr>
                <w:rFonts w:ascii="Times New Roman" w:cs="Times New Roman" w:eastAsia="Times New Roman" w:hAnsi="Times New Roman"/>
                <w:sz w:val="16"/>
                <w:szCs w:val="16"/>
                <w:color w:val="auto"/>
              </w:rPr>
              <w:t>Operating lease right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use assets</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(34,720)</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(155,833)</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the exercise of share options and settlement of restricted share units</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cash equivalents and restricted cash</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(158,730)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628,715</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469,985</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648,872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469,928</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648,325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in prepaid expenses and other current assets</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 in other assets</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469,985</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80"/>
        </w:trPr>
        <w:tc>
          <w:tcPr>
            <w:tcW w:w="60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 on finance lease obligations</w:t>
            </w:r>
          </w:p>
        </w:tc>
        <w:tc>
          <w:tcPr>
            <w:tcW w:w="5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4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(received from) income taxes</w:t>
            </w:r>
          </w:p>
        </w:tc>
        <w:tc>
          <w:tcPr>
            <w:tcW w:w="5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5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w:t>
            </w:r>
          </w:p>
        </w:tc>
        <w:tc>
          <w:tcPr>
            <w:tcW w:w="4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purchases of property and equipment in accounts payable and accrued expenses</w:t>
            </w:r>
          </w:p>
        </w:tc>
        <w:tc>
          <w:tcPr>
            <w:tcW w:w="5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Bicycle Therapeutics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9" w:lineRule="exact"/>
        <w:rPr>
          <w:sz w:val="20"/>
          <w:szCs w:val="20"/>
          <w:color w:val="auto"/>
        </w:rPr>
      </w:pPr>
    </w:p>
    <w:p>
      <w:pPr>
        <w:ind w:left="60" w:right="179" w:firstLine="648"/>
        <w:spacing w:after="0" w:line="233" w:lineRule="auto"/>
        <w:rPr>
          <w:sz w:val="20"/>
          <w:szCs w:val="20"/>
          <w:color w:val="auto"/>
        </w:rPr>
      </w:pPr>
      <w:r>
        <w:rPr>
          <w:rFonts w:ascii="Times New Roman" w:cs="Times New Roman" w:eastAsia="Times New Roman" w:hAnsi="Times New Roman"/>
          <w:sz w:val="18"/>
          <w:szCs w:val="18"/>
          <w:color w:val="auto"/>
        </w:rPr>
        <w:t>Bicycle Therapeutics plc (collectively with its subsidiaries, the “Company”) is a clinical-stage pharmaceutical company developing a novel class of medicines, which the Company refers to as Bicycle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for diseases that are underserved by existing therapeutics. Bicycle molecules are a unique therapeutic modality combining the pharmacology usually associated with a biologic with the manufacturing and pharmacokinetic properties of a small molecule. The Company’s internal programs are focused on oncology indications with high unmet medical need.</w:t>
      </w:r>
    </w:p>
    <w:p>
      <w:pPr>
        <w:spacing w:after="0" w:line="202"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Bicycle Therapeutics plc and its wholly owned subsidiaries, BicycleTx Limited, BicycleRD Limited and Bicycle Therapeutics Inc. All intercompany balances and transactions have been eliminated on consolidation.</w:t>
      </w:r>
    </w:p>
    <w:p>
      <w:pPr>
        <w:spacing w:after="0" w:line="176" w:lineRule="exact"/>
        <w:rPr>
          <w:sz w:val="20"/>
          <w:szCs w:val="20"/>
          <w:color w:val="auto"/>
        </w:rPr>
      </w:pPr>
    </w:p>
    <w:p>
      <w:pPr>
        <w:ind w:left="60" w:right="859"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of America (“GAAP”).</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September 30, 2026, the Company had cash and cash equivalents of $469.9 million.</w:t>
      </w:r>
    </w:p>
    <w:p>
      <w:pPr>
        <w:spacing w:after="0" w:line="22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of continuity of operations, realization of assets and the satisfaction of liabilities and commitments in the ordinary course of business. Since inception, the Company has devoted substantially all of its efforts to business planning, research and development, recruiting management and technical staff, and raising capital. The Company has funded its operations primarily through the sale of equity securities, payments received under collaboration arrangements (Note 8) and loan borrowings.</w:t>
      </w:r>
    </w:p>
    <w:p>
      <w:pPr>
        <w:spacing w:after="0" w:line="183"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has incurred recurring losses since inception, including net losses of $10.5 million and $121.6 million for the three and nine months ended September 30, 2026, respectively, and $59.1 million and $198.8 million for the three and nine months ended September 30, 2025, respectively. As of September 30, 2026, the Company had an accumulated deficit of $1.0 billion. The Company expects to continue to generate operating losses in the foreseeable future. The Company expects that its cash and cash equivalents will be sufficient to fund its operating expenses and capital expenditure requirements through at least twelve months from the issuance date of these interim condensed consolidated financial statements.</w:t>
      </w:r>
    </w:p>
    <w:p>
      <w:pPr>
        <w:spacing w:after="0" w:line="18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 Company expects its expenses to increase substantially in connection with ongoing activities, particularly if, and as, the Company advances its clinical trials for its product candidates in development and preclinical activities. Accordingly, the Company will need to obtain additional funding in connection with continuing operations. If the Company is unable to raise funding when needed, or on attractive terms, it could be forced to delay, reduce or eliminate its research or drug development programs or any future commercialization efforts. There is no assurance that the Company will be successful in obtaining sufficient funding on terms acceptable to the Company to fund continuing operations, if at all.</w:t>
      </w:r>
    </w:p>
    <w:p>
      <w:pPr>
        <w:spacing w:after="0" w:line="18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and pharmaceutical industries, including but not limited to, risks of delays in initiating or continuing research programs and clinical trials, risks of failure of preclinical studies and clinical trials, the need to obtain marketing approval for any drug product candidate that it may identify and develop, the need to successfully commercialize and gain market acceptance of its product candidates, if approved,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commercialization. Even if the Company’s research and development efforts are successful, it is uncertain when, if ever, the Company will realize significant revenue from product sales.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consolidated financial statements for the year ended December 31, 2025 included in the Company’s Annual Report on Form 10-K for the year ended December 31, 2025, which was filed with the Securities and Exchange Commission (the “SEC”), on March 17, 2026 (the “2025 Annual Report”). Since the date of such consolidated financial statements, there have been no changes to the Company’s significant accounting policies, other than those disclosed below.</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revenue recognition, the accrual for research and development expenses and research and development incentives receivable, share-based compensation expense, valuation of right-of-use assets and lease liabilities and income taxes, including the valuation allowance for deferred tax assets. The Company bases its estimates on historical experience, known trends and other market-specific or other relevant factors that it believes to be reasonable under the circumstances. Estimates are periodically reviewed in light of reasonable changes in circumstances, facts and experience. Changes in estimates are recorded in the period in which they become known. Actual results could differ from those estimates or assumptions.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currently operates in a period of economic uncertainty which has been significantly impacted by domestic and global monetary and fiscal policy, changes to global trade policies, geopolitical conflicts and wars, inflation and interest rates, and fluctuations in monetary exchange rates. While the Company has experienced limited financial impacts at this time, the Company continues to monitor these factors and events and the potential effects each may have on the Company’s business, financial condition, results of operations and growth prospects.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in the footnote disclosures of these financial statements has been condensed or omitted pursuant to the rules and regulations of the SEC. These unaudited condensed consolidated financial statements should be read in conjunction with the Company’s audited consolidated financial statements and notes thereto for the year ended December 31, 2025 included in the Company’s 2025 Annual Report.</w:t>
      </w:r>
    </w:p>
    <w:p>
      <w:pPr>
        <w:spacing w:after="0" w:line="18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September 30, 2026, the condensed consolidated statements of operations and comprehensive loss and condensed consolidated statements of shareholders’ equity for the three and nine months ended September 30, 2026 and 2025 and the condensed consolidated statements of cash flows for the nine months ended September 30, 2026 and 2025, and the related financial information disclosed in these notes are unaudited. The unaudited interim financial statements have been prepared on the same basis as the audited annual financial statements for the year ended December 31, 2025, and, in the opinion of management, reflect all adjustments, consisting of normal recurring adjustments, necessary for the fair statement of the Company’s financial position as of September 30, 2026, and the results of its operations for the three and nine months ended September 30, 2026 and 2025 and its cash flows for the nine months ended September 30, 2026 and 2025. The results for the three and nine months ended September 30, 2026 are not necessarily indicative of the results to be expected for the year ending December 31, 2026, any other interim periods, or any future year or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incentives and receivable</w:t>
      </w:r>
    </w:p>
    <w:p>
      <w:pPr>
        <w:spacing w:after="0" w:line="229" w:lineRule="exact"/>
        <w:rPr>
          <w:sz w:val="20"/>
          <w:szCs w:val="20"/>
          <w:color w:val="auto"/>
        </w:rPr>
      </w:pPr>
    </w:p>
    <w:p>
      <w:pPr>
        <w:ind w:left="60" w:right="159" w:firstLine="648"/>
        <w:spacing w:after="0" w:line="268" w:lineRule="auto"/>
        <w:rPr>
          <w:sz w:val="20"/>
          <w:szCs w:val="20"/>
          <w:color w:val="auto"/>
        </w:rPr>
      </w:pPr>
      <w:r>
        <w:rPr>
          <w:rFonts w:ascii="Times New Roman" w:cs="Times New Roman" w:eastAsia="Times New Roman" w:hAnsi="Times New Roman"/>
          <w:sz w:val="17"/>
          <w:szCs w:val="17"/>
          <w:color w:val="auto"/>
        </w:rPr>
        <w:t>The Company, through its subsidiaries in the U.K., receives reimbursements of certain research and development expenditures as part of a U.K. government research and development tax reliefs program. The Finance Act 2024, which was enacted in February 2024, replaced the legacy research and development expenditure credit and the Small and Medium-sized Enterprises (“SME”) R&amp;D Tax Relief program with a merged research and development expenditure credit scheme (“RDEC”) and an enhanced research and development intensive support scheme (“ERIS”). The Finance Act 2024 also restricts the tax relief that can be claimed for expenditures incurred on contracted out R&amp;D activities or externally provided workers, where such contracted out activities are not carried out in the U.K. or such workers are not subject to UK payroll taxes. The Finance Act 2024 provides for a cash rebate that may be claimed under the ERIS scheme for</w:t>
      </w: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26.97% of qualifying expenditure if the Company qualifies as “R&amp;D intensive” for an accounting period (broadly, a loss-making SME whose relevant R&amp;D expenditure represents 30% of its total expenditure for that accounting period). The Company qualified as R&amp;D intensive for the year ended December 31, 2025, and expects to continue to qualify as R&amp;D intensive for the year ending December 31, 2026. Going forward, if the Company no longer qualifies as an R&amp;D-intensive SME during an accounting period, the Company will be subject to a single 20% gross rebate rate applying to all claims under the RDEC scheme.</w:t>
      </w:r>
    </w:p>
    <w:p>
      <w:pPr>
        <w:spacing w:after="0" w:line="19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Company recognizes income from research and development incentives when the relevant expenditure has been incurred, the associated conditions have been satisfied and there is reasonable assurance that the reimbursement will be received. The Company records these research and development incentives as a reduction to research and development expenses in the condensed consolidated statements of operations and comprehensive loss, as the research and development tax credits are not dependent on the Company generating future taxable income, the Company’s ongoing tax status, or tax position. The research and development incentives receivable represents amounts due in connection with the above program. The Company recorded a reduction to research and development expenses of $4.8 million and $17.4 million during the three and nine months ended September 30, 2026, respectively, and $7.6 million and $28.5 million during the three and nine months ended September 30, 2025, respectively. As of September 30, 2026 and December 31, 2025, the Company had research and development incentives receivable of $52.4 million and $35.6 million, respectively.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Disclosures (Subtopic 220-40) </w:t>
      </w:r>
      <w:r>
        <w:rPr>
          <w:rFonts w:ascii="Times New Roman" w:cs="Times New Roman" w:eastAsia="Times New Roman" w:hAnsi="Times New Roman"/>
          <w:sz w:val="18"/>
          <w:szCs w:val="18"/>
          <w:color w:val="auto"/>
        </w:rPr>
        <w:t>(“ASU No. 2024-03”), which requires more detailed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specified categories of expenses included in the expense captions presented on the face of the consolidated statements of operations and comprehensive loss, including employee compensation, depreciation and amortization. ASU No. 2024-03 is effective for fiscal years beginning after December 15, 2026, and for interim periods within fiscal years beginning after December 15, 2027. Early adoption is permitted. The amendments may be applied either prospectively to financial statements issued for reporting periods after the effective date of the ASU or retrospectively to all prior periods presented. The Company is currently evaluating the impact of the adoption of ASU No. 2024-03 on its consolidated financial statement disclosures.</w:t>
      </w:r>
    </w:p>
    <w:p>
      <w:pPr>
        <w:spacing w:after="0" w:line="18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Software (Subtopic 350-40): Targeted Improvements to the Accounting for Internal-Use Software </w:t>
      </w:r>
      <w:r>
        <w:rPr>
          <w:rFonts w:ascii="Times New Roman" w:cs="Times New Roman" w:eastAsia="Times New Roman" w:hAnsi="Times New Roman"/>
          <w:sz w:val="18"/>
          <w:szCs w:val="18"/>
          <w:color w:val="auto"/>
        </w:rPr>
        <w:t>(“ASU No. 2025-06”),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amends certain aspects of the accounting for and disclosure of software costs under ASC Subtopic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The standard is effective for fiscal years beginning after December 15, 2027 and interim periods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years beginning after December 15, 2027, with early adoption permitted. The amendments may be applied prospectively, retrospectively, or through a modified prospective transition method. The Company is currently evaluating the potential impact of the adoption of ASU No. 2025-06 on its consolidated financial statements.</w:t>
      </w:r>
    </w:p>
    <w:p>
      <w:pPr>
        <w:spacing w:after="0" w:line="183"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Government Grants Received by Business Entities </w:t>
      </w:r>
      <w:r>
        <w:rPr>
          <w:rFonts w:ascii="Times New Roman" w:cs="Times New Roman" w:eastAsia="Times New Roman" w:hAnsi="Times New Roman"/>
          <w:sz w:val="18"/>
          <w:szCs w:val="18"/>
          <w:color w:val="auto"/>
        </w:rPr>
        <w:t>(“ASU No. 2025-10”), which establishes authoritative guidance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measurement, presentation, and disclosure of government grants. ASU No. 2025-10 is effective for fiscal years beginning after December 15, 2028, including interim periods within those fiscal years, with early adoption</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permitted. The Company is currently evaluating the impact of adopting ASU No. 2025-10 on its consolidated financial statements and related disclosures.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Fair value of financial assets and liabilities</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Financial assets and liabilities carried at fair value are to be classified and disclosed in one of the following three levels of the fair value hierarchy, of which the first two are considered observable and the last is considered unobservable: Level 1, quoted prices in active markets for identical assets or liabilities; Level 2,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Level 3, unobservable inputs that are supported by little or no market activity that are significant to determining the fair value of the assets or liabilities, including pricing models, discounted cash flow methodologies and similar techniques.</w:t>
      </w:r>
    </w:p>
    <w:p>
      <w:pPr>
        <w:spacing w:after="0" w:line="192"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carrying values of cash, cash equivalents and restricted cash, research and development incentives receivable, prepaid expenses and other current assets, accounts payable and accrued expenses and other current liabilities approximate their fair values due to the short-term nature of these assets and liabilities.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that are readily convertible to known amounts of cash with original maturities of three months or less at the date of purchase to be cash equivalents. As of September 30, 2026 and December 31, 2025, the Company had cash equivalents of $325.4 million and $364.2 million, respectively, consisting of money market funds, which are considered Level 1 assets. As of each of September 30, 2026 and December 31, 2025, there were no other assets or liabilities measured at fair value on a recurring basis.</w:t>
      </w:r>
    </w:p>
    <w:p>
      <w:pPr>
        <w:spacing w:after="0" w:line="183"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$0.5 million of restricted cash related to a collateralized letter of credit in connection with the Company’s lease for office and laboratory space in Cambridge, Massachusetts that expired in March 2026, which is included within prepaid expenses and other current assets in the Company’s condensed consolidated balance sheet as of December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62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17,899</w:t>
            </w:r>
          </w:p>
        </w:tc>
        <w:tc>
          <w:tcPr>
            <w:tcW w:w="2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(26,178)</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200" w:type="dxa"/>
            <w:vAlign w:val="bottom"/>
            <w:gridSpan w:val="2"/>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 was $1.1 million and $3.3 million for the three and nine months ended September 30, 2026, respectively, and $1.8 million and $5.1 million for the three and nine months ended September 30, 2025, respectively. Depreciation and amortization expense included amortization expense related to property and equipment obtained under finance leases of $0.1 million and $0.2 million for the three and nine months ended September 30, 2026, respectively, and $0.1 million and $0.2 million for the three and nine months ended September 30, 2025,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52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24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45" w:lineRule="auto"/>
        <w:rPr>
          <w:sz w:val="20"/>
          <w:szCs w:val="20"/>
          <w:color w:val="auto"/>
        </w:rPr>
      </w:pPr>
      <w:r>
        <w:rPr>
          <w:rFonts w:ascii="Times New Roman" w:cs="Times New Roman" w:eastAsia="Times New Roman" w:hAnsi="Times New Roman"/>
          <w:sz w:val="18"/>
          <w:szCs w:val="18"/>
          <w:color w:val="auto"/>
        </w:rPr>
        <w:t>In March 2026, the Company announced the strategic reprioritization of its clinical portfolio to focus on its promising pipeline of next-generation therapeutics, including nuzefatide pevedotin (formerly BT5528), as well as next-generation Bicycle conjugates, including Bicycle Radioconjugates (“BRC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molecules). In conjunction with the strategic reprioritization, the Company announced a workforce reduction of approximately 30% of its workforce (the “March 2026 Workforce Reduction”). The Company expects the March 2026 Workforce Reduction to be substantially completed by the end of 2026 and to recognize aggregate charges for severance and other employee termination benefits of approximately $6.1 million. During the three and nine months ended September 30, 2026, the Company recognized expenses related to severance and other employee termination benefits of $0.3 million and $5.8 million, respectively, of which $0.2 million and $4.4 million, respectively, were included in research and development expenses and $0.1 million and $1.4 million, respectively, were included in general and administrative expenses in the Company’s condensed consolidated statements of operations and comprehensive loss. Of the charges recognized during the nine months ended September 30, 2026, $4.5 million represented cash expenditure for severance and other employee termination benefits paid during the period, and the remaining $1.3 million in unpaid severance and other employee benefits are included in accrued employee compensation and benefits within accrued expenses and other current liabilities in the Company’s condensed consolidated balance sheet as of September 30, 2026. In addition, the Company recognized zero and $3.9 million in external research and development expenses for contract termination costs during the three and nine months ended September 30, 2026, respectively, all of which were paid during the nine months ended September 30, 2026.</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August 2025, the Company announced cost reduction initiatives to reduce planned operating costs, primarily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through a workforce reduction, which was substantially completed during the year ended December 31, 2025 (the “August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2025 Workforce Reduction”). During the three months ended September 30, 2025, the Company recognized charges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$4.1 million of which $3.3 million were included in research and development expenses and $0.8 million were included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 in the Company’s condensed consolidated statements of operations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comprehensive loss. As of December 31, 2025, the Company had a remaining liability of $0.3 million related to unpaid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severance and other employee termination benefits associated with the August 2025 Workforce Reduction, all of which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were paid during the nine months ended September 30, 2026.</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Ordinary shares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Company’s ordinary shares are divided into two classes: (i) ordinary shares and (ii) non-voting ordinary shares. Each holder of ordinary shares is entitled to one vote per ordinary share and to receive dividends when and if such dividends are recommended by the board of directors and declared by the shareholders. Holders of American Depositary Shares (“ADSs”) are not treated as holders of the Company’s ordinary shares, unless they withdraw the ordinary shares underlying their ADSs in accordance with the deposit agreement and applicable laws and regulations. The depositary is the holder of the ordinary shares underlying the ADSs. Holders of ADSs therefore do not have any rights as holders of the Company’s ordinary shares, other than the rights that they have pursuant to the deposit agreement with the depositary.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non-voting ordinary shares have the same rights and restrictions as the ordinary shares and otherwise rank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all respects with the ordinary shares except for the following:</w:t>
      </w:r>
    </w:p>
    <w:p>
      <w:pPr>
        <w:spacing w:after="0" w:line="162" w:lineRule="exact"/>
        <w:rPr>
          <w:sz w:val="20"/>
          <w:szCs w:val="20"/>
          <w:color w:val="auto"/>
        </w:rPr>
      </w:pPr>
    </w:p>
    <w:p>
      <w:pPr>
        <w:jc w:val="both"/>
        <w:ind w:left="1040" w:right="119" w:hanging="315"/>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non-voting ordinary shares shall, in relation to the non-voting ordinary shares held, have no right to receive notice of, or to attend or vote at, any general meeting of shareholders save in relation to a variation of class rights of the non-voting ordinary shares;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53"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non-voting ordinary shares shall be re-designated as ordinary shares by the Company’s board of directors, or a duly authorized committee or representative thereof, upon receipt of a re-designation notice and otherwise subject to the terms and conditions set out in the terms of issue. A holder of non-voting ordinary shares shall not be entitled to have any non-voting ordinary shares re-designated as ordinary shares where such re-designation would result in such holder thereof beneficially owning (for purposes of section 13(d) of the Exchange Act), when aggregated with “affiliates” and “group” members with whom such holder is required to aggregate beneficial ownership for the purposes of section 13(d) of the Exchange Act, in excess of 9.99% of any class of the Company’s securities registered under the Exchange Act (which percentage may be increased or decreased on a holder-by-holder basis subject to the provisions set out in the terms of issue); and</w:t>
      </w:r>
    </w:p>
    <w:p>
      <w:pPr>
        <w:spacing w:after="0" w:line="194" w:lineRule="exact"/>
        <w:rPr>
          <w:rFonts w:ascii="Times New Roman" w:cs="Times New Roman" w:eastAsia="Times New Roman" w:hAnsi="Times New Roman"/>
          <w:sz w:val="18"/>
          <w:szCs w:val="18"/>
          <w:color w:val="auto"/>
        </w:rPr>
      </w:pPr>
    </w:p>
    <w:p>
      <w:pPr>
        <w:ind w:left="1040" w:right="99" w:hanging="315"/>
        <w:spacing w:after="0" w:line="258"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non-voting ordinary shares shall be re-designated as ordinary shares automatically upon transfer of a non-voting ordinary share by its holder to any person that is not an “affiliate” or “group” member with whom such holder is required to aggregate beneficial ownership for purposes of section 13(d) of the Exchange Act. This automatic re-designation shall only be in respect of the non-voting ordinary shares that are subject to such transfer.</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September 30, 2026 and December 31, 2025, the Company had not declared any dividends.</w:t>
      </w:r>
    </w:p>
    <w:p>
      <w:pPr>
        <w:spacing w:after="0" w:line="225"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2026 and December 31, 2025, the Company’s authorized share capital consisted of 163,360,109 and 159,685,229 ordinary shares, respectively, including ordinary shares and non-voting ordinary shares, with a nominal value of £0.01 per share. Authorized share capital, or shares authorized, comprises (i) the currently issued and outstanding ordinary shares and non-voting ordinary shares, (ii) the remaining ordinary shares available for allotment under the existing authority granted to the Board at the annual general meeting held on May 16, 2024, (iii) ordinary shares issuable on the exercise of outstanding options and settlement of vested restricted share units (“RSUs”) and (iv) ordinary shares reserved for issuance under the Bicycle Therapeutics plc 2024 Inducement Plan (the “2024 Inducement Plan”), the Bicycle Therapeutics plc 2020 Equity Incentive Plan (as amended from time to time, the “2020 Plan”) and/or the Bicycle Therapeutics plc 2019 Employee Share Purchase Plan (the “ESPP”).</w:t>
      </w:r>
    </w:p>
    <w:p>
      <w:pPr>
        <w:spacing w:after="0" w:line="188"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there were 50,555,069 ordinary shares issued and outstanding and 19,437,944 non-voting ordinary shares issued and outstanding.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Share-based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2024 Inducement Plan</w:t>
      </w:r>
    </w:p>
    <w:p>
      <w:pPr>
        <w:spacing w:after="0" w:line="22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July 2024, the Company’s board of directors approved the 2024 Inducement Plan. The 2024 Inducement Plan allows for the granting of nonqualified share options, RSUs, and other equity awards under the plan to persons not previously an employee or director of the Company, or following a bona fide period of non-employment, as an inducement material to such persons entering into employment with the Company. Share options granted under the 2024 Inducement Plan have a 10-year contractual life and generally vest over a four-year service period with 25% of the award vesting on the first anniversary of the vesting commencement date and the balance thereafter in 36 equal monthly installments. In the event of a change of control of the Company, as defined in the 2024 Inducement Plan, any outstanding awards under the 2024 Inducement Plan will vest in full immediately prior to such change of control.</w:t>
      </w:r>
    </w:p>
    <w:p>
      <w:pPr>
        <w:spacing w:after="0" w:line="192"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 initially reserved 1,500,000 of its ordinary shares, or the equivalent number of ADSs, for the issuance of awards under the 2024 Inducement Plan. As of September 30, 2026, there were 1,108,637 shares available for future issuance under the 2024 Inducement Plan.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September 30, 2026, there were options to purchase 391,363 shares outstanding under the 2024 Inducement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Plan.</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2020 Equity Incentive Plan</w:t>
      </w:r>
    </w:p>
    <w:p>
      <w:pPr>
        <w:spacing w:after="0" w:line="22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June 2020, the Company’s shareholders first approved the 2020 Plan, under which the Company may grant market value options, market value share appreciation rights or restricted shares, RSUs, performance RSUs and other share-based awards to the Company’s employees. The Company’s non-employee directors and consultants are eligible to receive awards under the 2020 Non-Employee Sub-Plan to the 2020 Plan. All awards under the 2020 Plan, including the 2020 Non-Employee Sub-Plan, will be set forth in award agreements, which will detail the terms and conditions of awards, including any applicable vesting and payment terms, change of control provisions and post-termination exercise limitations. In the event of a change of control of the Company, as defined in the 2020 Plan, any outstanding awards under the 2020 Plan will vest in full immediately prior to such change of control.</w:t>
      </w:r>
    </w:p>
    <w:p>
      <w:pPr>
        <w:spacing w:after="0" w:line="19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ordinary shares reserved for future issuance under the 2020 Plan includes shares subject to option contracts that were granted under the Company’s 2019 Share Option Plan (the “2019 Plan”), and those that were granted prior to the Company’s initial public offering (“IPO”), that may become available for issuance if all or any part of an option contract expires, lapses or is terminated, exchanged for cash, surrendered, repurchased or cancelled without having been fully exercised or is withheld to satisfy a tax withholding obligation or to satisfy a purchase or exercise price of an option. The number of ordinary shares reserved for issuance pursuant to the 2020 Plan will automatically increase on January 1 of each year through (and including) January 1, 2032, in an amount equal to 5% of the Company’s total issued share capital outstanding on the last day of the preceding year, or a lesser number of shares determined by the Company’s board of directors (the “Evergreen Increase”). Pursuant to the Evergreen Increase, on January 1, 2026, the number of ordinary shares reserved for issuance under the 2020 Plan was increased by 3,468,394 shares. As of September 30, 2026, there were 2,153,890 ordinary shares available for issuance under the 2020 Plan.</w:t>
      </w:r>
    </w:p>
    <w:p>
      <w:pPr>
        <w:spacing w:after="0" w:line="19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Share options granted under the 2020 Plan have a 10-year contractual life and generally vest over either (i) a four-year service period with 25% of the award vesting on the first anniversary of the vesting commencement date and the balance thereafter in 36 equal monthly installments for employees and consultants, or (ii) a three-year service period in three equal annual installments for new non-employee director grants. Certain options granted to the Company’s non-employee directors vest over a one-year service period in four equal quarterly installments.</w:t>
      </w:r>
    </w:p>
    <w:p>
      <w:pPr>
        <w:spacing w:after="0" w:line="183"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 grants RSUs to certain employees, non-employee directors and consultants under the 2020 Plan. Each RSU represents the right to receive one of the Company’s ordinary shares upon vesting. RSUs granted to employees and consultants vest over a four-year service period with 25% of the award vesting on the first anniversary of</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1" w:lineRule="auto"/>
        <w:rPr>
          <w:sz w:val="20"/>
          <w:szCs w:val="20"/>
          <w:color w:val="auto"/>
        </w:rPr>
      </w:pPr>
      <w:r>
        <w:rPr>
          <w:rFonts w:ascii="Times New Roman" w:cs="Times New Roman" w:eastAsia="Times New Roman" w:hAnsi="Times New Roman"/>
          <w:sz w:val="17"/>
          <w:szCs w:val="17"/>
          <w:color w:val="auto"/>
        </w:rPr>
        <w:t>the vesting commencement date and the remaining RSUs vesting in 12 equal quarterly installments. RSUs granted to the Company’s non-employee directors either vest over a three-year service period in three equal annual installments for new non-employee director grants or over a one-year service period in four equal quarterly installments. The Company may also, in its sole discretion, provide for deferred settlement of RSUs granted to the Company’s non-employee directors.</w:t>
      </w:r>
    </w:p>
    <w:p>
      <w:pPr>
        <w:spacing w:after="0" w:line="164"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there were options to purchase 9,227,816 shares outstanding and RSUs for 2,360,009 shares outstanding under the 2020 Plan.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2019 Share Option Plan</w:t>
      </w:r>
    </w:p>
    <w:p>
      <w:pPr>
        <w:spacing w:after="0" w:line="22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May 2019, the Company adopted the 2019 Plan, which became effective in conjunction with the IPO. As of September 30, 2026, there were options to purchase 1,667,418 shares outstanding under the 2019 Plan. In conjunction with the adoption of the 2020 Plan, all shares available for future issuance under the 2019 Plan as of June 29, 2020 became available for issuance under the 2020 Plan and the Company ceased granting awards under the 2019 Plan. The 2020 Plan is the successor of the 2019 Plan.</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Share options previously issued under the 2019 Plan have a 10-year contractual life, and generally either</w:t>
      </w:r>
    </w:p>
    <w:p>
      <w:pPr>
        <w:spacing w:after="0" w:line="27" w:lineRule="exact"/>
        <w:rPr>
          <w:sz w:val="20"/>
          <w:szCs w:val="20"/>
          <w:color w:val="auto"/>
        </w:rPr>
      </w:pPr>
    </w:p>
    <w:p>
      <w:pPr>
        <w:jc w:val="both"/>
        <w:ind w:left="60" w:right="79"/>
        <w:spacing w:after="0" w:line="253" w:lineRule="auto"/>
        <w:rPr>
          <w:sz w:val="20"/>
          <w:szCs w:val="20"/>
          <w:color w:val="auto"/>
        </w:rPr>
      </w:pPr>
      <w:r>
        <w:rPr>
          <w:rFonts w:ascii="Times New Roman" w:cs="Times New Roman" w:eastAsia="Times New Roman" w:hAnsi="Times New Roman"/>
          <w:sz w:val="18"/>
          <w:szCs w:val="18"/>
          <w:color w:val="auto"/>
        </w:rPr>
        <w:t>vest monthly over a three-year service period, or over a four-year service period with 25% of the award vesting on the first anniversary of the commencement date and the balance thereafter in 36 equal monthly installments. Certain awards granted to the Company’s non-employee directors were fully vested on the date of grant. The exercise price of share options issued under the 2019 Plan is not less than the fair value of ordinary shares as of the date of grant.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Employee Share Purchase Plan</w:t>
      </w:r>
    </w:p>
    <w:p>
      <w:pPr>
        <w:spacing w:after="0" w:line="227" w:lineRule="exact"/>
        <w:rPr>
          <w:sz w:val="20"/>
          <w:szCs w:val="20"/>
          <w:color w:val="auto"/>
        </w:rPr>
      </w:pPr>
    </w:p>
    <w:p>
      <w:pPr>
        <w:ind w:left="60" w:right="59" w:firstLine="648"/>
        <w:spacing w:after="0" w:line="270" w:lineRule="auto"/>
        <w:rPr>
          <w:sz w:val="20"/>
          <w:szCs w:val="20"/>
          <w:color w:val="auto"/>
        </w:rPr>
      </w:pPr>
      <w:r>
        <w:rPr>
          <w:rFonts w:ascii="Times New Roman" w:cs="Times New Roman" w:eastAsia="Times New Roman" w:hAnsi="Times New Roman"/>
          <w:sz w:val="17"/>
          <w:szCs w:val="17"/>
          <w:color w:val="auto"/>
        </w:rPr>
        <w:t>In May 2019, the Company adopted the ESPP, which became effective in conjunction with the IPO. The Company initially reserved 215,000 ordinary shares for future issuance under this plan. The ESPP provides that the number of shares reserved and available for issuance will automatically increase on January 1 of each year through (and including) January 1, 2029, by the lower of: (i) 1% of the outstanding number of ordinary shares on the immediately preceding December 31;</w:t>
      </w:r>
    </w:p>
    <w:p>
      <w:pPr>
        <w:spacing w:after="0" w:line="3" w:lineRule="exact"/>
        <w:rPr>
          <w:sz w:val="20"/>
          <w:szCs w:val="20"/>
          <w:color w:val="auto"/>
        </w:rPr>
      </w:pPr>
    </w:p>
    <w:p>
      <w:pPr>
        <w:ind w:left="60" w:right="459" w:hanging="10"/>
        <w:spacing w:after="0" w:line="252" w:lineRule="auto"/>
        <w:tabs>
          <w:tab w:leader="none" w:pos="3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430,000 ordinary shares or (iii) such lesser number of shares as determined by the Compensation Committee. The number of shares reserved under the ESPP is subject to adjustment in the event of a split-up, share dividend or other change in the Company’s capitalization. The number of shares reserved for issuance under the ESPP was increased by 430,000 shares effective January 1, 2026. As of September 30, 2026, the total number of shares available for issuance under the ESPP was 2,437,671 ordinary shares. As of September 30, 2026, there have been no offering periods to employees under the ESPP.</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share-based compensation expense in the following expense categories of its condensed consolidated statements of operations and comprehensive loss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4"/>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4"/>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90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gridSpan w:val="2"/>
          </w:tcPr>
          <w:p>
            <w:pPr>
              <w:jc w:val="center"/>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gridSpan w:val="2"/>
          </w:tcPr>
          <w:p>
            <w:pPr>
              <w:jc w:val="center"/>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15,661</w:t>
            </w:r>
          </w:p>
        </w:tc>
        <w:tc>
          <w:tcPr>
            <w:tcW w:w="0" w:type="dxa"/>
            <w:vAlign w:val="bottom"/>
          </w:tcPr>
          <w:p>
            <w:pPr>
              <w:spacing w:after="0"/>
              <w:rPr>
                <w:sz w:val="1"/>
                <w:szCs w:val="1"/>
                <w:color w:val="auto"/>
              </w:rPr>
            </w:pPr>
          </w:p>
        </w:tc>
      </w:tr>
      <w:tr>
        <w:trPr>
          <w:trHeight w:val="210"/>
        </w:trPr>
        <w:tc>
          <w:tcPr>
            <w:tcW w:w="33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Company’s option activity since December 31, 2025:</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20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360" w:type="dxa"/>
            <w:vAlign w:val="bottom"/>
            <w:vMerge w:val="continue"/>
          </w:tcPr>
          <w:p>
            <w:pPr>
              <w:spacing w:after="0"/>
              <w:rPr>
                <w:sz w:val="15"/>
                <w:szCs w:val="15"/>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 Options</w:t>
            </w:r>
          </w:p>
        </w:tc>
        <w:tc>
          <w:tcPr>
            <w:tcW w:w="13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Exercise Price ​​​</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40" w:type="dxa"/>
            <w:vAlign w:val="bottom"/>
            <w:gridSpan w:val="2"/>
            <w:vMerge w:val="continue"/>
          </w:tcPr>
          <w:p>
            <w:pPr>
              <w:spacing w:after="0"/>
              <w:rPr>
                <w:sz w:val="15"/>
                <w:szCs w:val="15"/>
                <w:color w:val="auto"/>
              </w:rPr>
            </w:pPr>
          </w:p>
        </w:tc>
        <w:tc>
          <w:tcPr>
            <w:tcW w:w="9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9,803,106</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2,805,346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(345,260)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(474,670)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2026</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11,772,490</w:t>
            </w: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3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September 30, 2026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11,772,490</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as of September 30, 2026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7,613,820</w:t>
            </w:r>
          </w:p>
        </w:tc>
        <w:tc>
          <w:tcPr>
            <w:tcW w:w="40" w:type="dxa"/>
            <w:vAlign w:val="bottom"/>
          </w:tcPr>
          <w:p>
            <w:pPr>
              <w:spacing w:after="0"/>
              <w:rPr>
                <w:sz w:val="20"/>
                <w:szCs w:val="20"/>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share options granted during the nine months ended September 30, 2026 and 2025 was $3.60 per share and $8.56 per share, respectively.</w:t>
      </w:r>
    </w:p>
    <w:p>
      <w:pPr>
        <w:spacing w:after="0" w:line="162"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share options is calculated as the difference between the exercise price of the share options and the fair value of the Company’s ordinary shares. The aggregate intrinsic value of share options exercised was zero and $0.1 million for the three and nine months ended September 30, 2026, respectively, and zero for each of the three and nine months ended September 30, 2025, respectively.</w:t>
      </w:r>
    </w:p>
    <w:p>
      <w:pPr>
        <w:spacing w:after="0" w:line="180"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share-based compensation expense for share options granted of $3.5 million and $11.8 million for the three and nine months ended September 30, 2026, respectively, and $6.3 million and $19.9 million for the three and nine months ended September 30, 2025, respectively.</w:t>
      </w:r>
    </w:p>
    <w:p>
      <w:pPr>
        <w:spacing w:after="0" w:line="176"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 average basis, the assumptions used in the Black-Scholes option-pricing model to determine the fair value of share options granted to employees and directors: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020" w:type="dxa"/>
            <w:vAlign w:val="bottom"/>
            <w:gridSpan w:val="5"/>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8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400" w:type="dxa"/>
            <w:vAlign w:val="bottom"/>
            <w:vMerge w:val="restart"/>
          </w:tcPr>
          <w:p>
            <w:pPr>
              <w:ind w:left="32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2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vMerge w:val="continue"/>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2"/>
                <w:szCs w:val="12"/>
                <w:color w:val="auto"/>
              </w:rPr>
            </w:pPr>
          </w:p>
        </w:tc>
        <w:tc>
          <w:tcPr>
            <w:tcW w:w="58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2"/>
                <w:szCs w:val="12"/>
                <w:color w:val="auto"/>
              </w:rPr>
            </w:pPr>
          </w:p>
        </w:tc>
        <w:tc>
          <w:tcPr>
            <w:tcW w:w="58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3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tcBorders>
              <w:top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tcPr>
          <w:p>
            <w:pPr>
              <w:spacing w:after="0"/>
              <w:rPr>
                <w:sz w:val="18"/>
                <w:szCs w:val="18"/>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7"/>
              </w:rPr>
              <w:t>65.6 %</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73.5 %</w:t>
            </w:r>
          </w:p>
        </w:tc>
        <w:tc>
          <w:tcPr>
            <w:tcW w:w="700" w:type="dxa"/>
            <w:vAlign w:val="bottom"/>
          </w:tcPr>
          <w:p>
            <w:pPr>
              <w:spacing w:after="0"/>
              <w:rPr>
                <w:sz w:val="18"/>
                <w:szCs w:val="18"/>
                <w:color w:val="auto"/>
              </w:rPr>
            </w:pPr>
          </w:p>
        </w:tc>
        <w:tc>
          <w:tcPr>
            <w:tcW w:w="6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67.8 %</w:t>
            </w:r>
          </w:p>
        </w:tc>
        <w:tc>
          <w:tcPr>
            <w:tcW w:w="3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74.1 %</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total unrecognized compensation expense related to unvested share options was $22.9 million, which is expected to be recognized over a weighted average period of 2.3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under the 2020 Plan since December 31, 2025:</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8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5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73"/>
        </w:trPr>
        <w:tc>
          <w:tcPr>
            <w:tcW w:w="22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Underlying RSUs</w:t>
            </w:r>
          </w:p>
        </w:tc>
        <w:tc>
          <w:tcPr>
            <w:tcW w:w="140" w:type="dxa"/>
            <w:vAlign w:val="bottom"/>
          </w:tcPr>
          <w:p>
            <w:pPr>
              <w:spacing w:after="0"/>
              <w:rPr>
                <w:sz w:val="15"/>
                <w:szCs w:val="15"/>
                <w:color w:val="auto"/>
              </w:rPr>
            </w:pPr>
          </w:p>
        </w:tc>
        <w:tc>
          <w:tcPr>
            <w:tcW w:w="15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09"/>
        </w:trPr>
        <w:tc>
          <w:tcPr>
            <w:tcW w:w="5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1,547,128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16"/>
        </w:trPr>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1,918,665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 and settled</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(590,878)</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16"/>
        </w:trPr>
        <w:tc>
          <w:tcPr>
            <w:tcW w:w="54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Vested and deferred</w:t>
            </w:r>
            <w:r>
              <w:rPr>
                <w:rFonts w:ascii="Times New Roman" w:cs="Times New Roman" w:eastAsia="Times New Roman" w:hAnsi="Times New Roman"/>
                <w:sz w:val="25"/>
                <w:szCs w:val="25"/>
                <w:color w:val="auto"/>
                <w:vertAlign w:val="superscript"/>
              </w:rPr>
              <w:t>(1)</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(73,166)</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16"/>
        </w:trPr>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(593,949)</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09"/>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Unvested outstanding at September 30, 2026</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2,207,800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09"/>
        </w:trPr>
        <w:tc>
          <w:tcPr>
            <w:tcW w:w="5400" w:type="dxa"/>
            <w:vAlign w:val="bottom"/>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7"/>
                <w:szCs w:val="17"/>
                <w:color w:val="auto"/>
              </w:rPr>
              <w:t>Vested but subject to deferred settlement at December 31, 2025</w:t>
            </w:r>
            <w:r>
              <w:rPr>
                <w:rFonts w:ascii="Times New Roman" w:cs="Times New Roman" w:eastAsia="Times New Roman" w:hAnsi="Times New Roman"/>
                <w:sz w:val="24"/>
                <w:szCs w:val="24"/>
                <w:color w:val="auto"/>
                <w:vertAlign w:val="superscript"/>
              </w:rPr>
              <w:t>(1)</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16"/>
        </w:trPr>
        <w:tc>
          <w:tcPr>
            <w:tcW w:w="54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Vested and deferred</w:t>
            </w:r>
            <w:r>
              <w:rPr>
                <w:rFonts w:ascii="Times New Roman" w:cs="Times New Roman" w:eastAsia="Times New Roman" w:hAnsi="Times New Roman"/>
                <w:sz w:val="25"/>
                <w:szCs w:val="25"/>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16"/>
        </w:trPr>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Settled</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(18,250)</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09"/>
        </w:trPr>
        <w:tc>
          <w:tcPr>
            <w:tcW w:w="5400" w:type="dxa"/>
            <w:vAlign w:val="bottom"/>
            <w:tcBorders>
              <w:bottom w:val="single" w:sz="8" w:color="CCEEFF"/>
            </w:tcBorders>
            <w:gridSpan w:val="2"/>
          </w:tcPr>
          <w:p>
            <w:pPr>
              <w:ind w:left="20"/>
              <w:spacing w:after="0" w:line="210" w:lineRule="exact"/>
              <w:rPr>
                <w:sz w:val="20"/>
                <w:szCs w:val="20"/>
                <w:color w:val="auto"/>
              </w:rPr>
            </w:pPr>
            <w:r>
              <w:rPr>
                <w:rFonts w:ascii="Times New Roman" w:cs="Times New Roman" w:eastAsia="Times New Roman" w:hAnsi="Times New Roman"/>
                <w:sz w:val="17"/>
                <w:szCs w:val="17"/>
                <w:color w:val="auto"/>
              </w:rPr>
              <w:t>Vested but subject to deferred settlement at September 30, 2026</w:t>
            </w:r>
            <w:r>
              <w:rPr>
                <w:rFonts w:ascii="Times New Roman" w:cs="Times New Roman" w:eastAsia="Times New Roman" w:hAnsi="Times New Roman"/>
                <w:sz w:val="24"/>
                <w:szCs w:val="24"/>
                <w:color w:val="auto"/>
                <w:vertAlign w:val="superscript"/>
              </w:rPr>
              <w:t>(1)</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152,209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10"/>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2,360,009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0"/>
        </w:trPr>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tcPr>
          <w:p>
            <w:pPr>
              <w:spacing w:after="0"/>
              <w:rPr>
                <w:sz w:val="7"/>
                <w:szCs w:val="7"/>
                <w:color w:val="auto"/>
              </w:rPr>
            </w:pPr>
          </w:p>
        </w:tc>
      </w:tr>
    </w:tbl>
    <w:p>
      <w:pPr>
        <w:spacing w:after="0" w:line="81" w:lineRule="exact"/>
        <w:rPr>
          <w:sz w:val="20"/>
          <w:szCs w:val="20"/>
          <w:color w:val="auto"/>
        </w:rPr>
      </w:pPr>
    </w:p>
    <w:p>
      <w:pPr>
        <w:ind w:left="380" w:right="379" w:hanging="330"/>
        <w:spacing w:after="0" w:line="281" w:lineRule="auto"/>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granted certain RSUs to the Company’s non-employee directors which provide for deferred settlement of the RSUs to a specified date following the first to occur of (i) the date of the director’s separation from service, (ii) the date of the director’s disability, (iii) the date of the director’s death, or (iv) the date of a change in control event.</w:t>
      </w:r>
    </w:p>
    <w:p>
      <w:pPr>
        <w:spacing w:after="0" w:line="173"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fair value of RSUs that vested during the three and nine months ended September 30, 2026 was $0.5 million and $3.8 million, respectively, and during the three and nine months ended September 30, 2025 was $0.5 million and $3.1 million, respectively.</w:t>
      </w:r>
    </w:p>
    <w:p>
      <w:pPr>
        <w:spacing w:after="0" w:line="176" w:lineRule="exact"/>
        <w:rPr>
          <w:sz w:val="20"/>
          <w:szCs w:val="20"/>
          <w:color w:val="auto"/>
        </w:rPr>
      </w:pPr>
    </w:p>
    <w:p>
      <w:pPr>
        <w:ind w:left="60" w:right="179" w:firstLine="648"/>
        <w:spacing w:after="0" w:line="281" w:lineRule="auto"/>
        <w:rPr>
          <w:sz w:val="20"/>
          <w:szCs w:val="20"/>
          <w:color w:val="auto"/>
        </w:rPr>
      </w:pPr>
      <w:r>
        <w:rPr>
          <w:rFonts w:ascii="Times New Roman" w:cs="Times New Roman" w:eastAsia="Times New Roman" w:hAnsi="Times New Roman"/>
          <w:sz w:val="17"/>
          <w:szCs w:val="17"/>
          <w:color w:val="auto"/>
        </w:rPr>
        <w:t>Total share-based compensation expense for RSUs granted was $1.9 million and $6.9 million for the three and nine months ended September 30, 2026, respectively, and was $2.5 million and $7.9 million for the three and nine months ended September 30, 2025, respectively. As of September 30, 2026, the total unrecognized compensation expense related to unvested RSUs was $17.6 million, which is expected to be recognized over a weighted-average period of 2.5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Significant agreements</w:t>
      </w:r>
    </w:p>
    <w:p>
      <w:pPr>
        <w:spacing w:after="0" w:line="229" w:lineRule="exact"/>
        <w:rPr>
          <w:sz w:val="20"/>
          <w:szCs w:val="20"/>
          <w:color w:val="auto"/>
        </w:rPr>
      </w:pPr>
    </w:p>
    <w:p>
      <w:pPr>
        <w:ind w:left="60" w:right="299" w:firstLine="648"/>
        <w:spacing w:after="0" w:line="281" w:lineRule="auto"/>
        <w:rPr>
          <w:sz w:val="20"/>
          <w:szCs w:val="20"/>
          <w:color w:val="auto"/>
        </w:rPr>
      </w:pPr>
      <w:r>
        <w:rPr>
          <w:rFonts w:ascii="Times New Roman" w:cs="Times New Roman" w:eastAsia="Times New Roman" w:hAnsi="Times New Roman"/>
          <w:sz w:val="17"/>
          <w:szCs w:val="17"/>
          <w:color w:val="auto"/>
        </w:rPr>
        <w:t>For the three and nine months ended September 30, 2026 and 2025, the Company recognized revenue for its collaborations with Bayer Consumer Care AG (“Bayer”), Novartis Pharma AG (“Novartis”), Ionis Pharmaceuticals, Inc. (“Ionis”) and Genentech, Inc. (“Genentech”). The following table summarizes the revenue recognized in the Company’s condensed consolidated statements of operations and comprehensive loss from these arrangements (in thousands):</w:t>
      </w:r>
    </w:p>
    <w:p>
      <w:pPr>
        <w:spacing w:after="0" w:line="1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5"/>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jc w:val="center"/>
              <w:ind w:left="25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4"/>
          </w:tcPr>
          <w:p>
            <w:pPr>
              <w:jc w:val="center"/>
              <w:ind w:left="49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34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Collaboration revenue</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Bayer</w:t>
            </w:r>
          </w:p>
        </w:tc>
        <w:tc>
          <w:tcPr>
            <w:tcW w:w="15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52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44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Novartis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Ionis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Genentech</w:t>
            </w:r>
          </w:p>
        </w:tc>
        <w:tc>
          <w:tcPr>
            <w:tcW w:w="1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13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220" w:type="dxa"/>
            <w:vAlign w:val="bottom"/>
          </w:tcPr>
          <w:p>
            <w:pPr>
              <w:spacing w:after="0"/>
              <w:rPr>
                <w:sz w:val="18"/>
                <w:szCs w:val="18"/>
                <w:color w:val="auto"/>
              </w:rPr>
            </w:pP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22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35,573</w:t>
            </w:r>
          </w:p>
        </w:tc>
        <w:tc>
          <w:tcPr>
            <w:tcW w:w="22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disclosed below, there have been no material changes to the contractual terms, or the associated accounting treatments for recognizing revenue, of the Company’s significant agreements during the three and nine months ended September 30, 2026 and 2025. Please refer to Note 9. “Significant agreements” to the Company’s audited consolidated financial statements for the year ended December 31, 2025, included in the Company’s 2025 Annual Report for further details on the Company’s significant agreements.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Bayer Collaboration Agreement</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On May 4, 2023, the Company and Bayer entered into a collaboration and license agreement (the “Bayer Collaboration Agreement”), pursuant to which the parties agreed to perform research and discovery activities under a mutually agreed upon research plan during a research term up to a specified number of years per target program to generate radiopharmaceutical compounds incorporating optimized Bicycle constructs directed to two specified targets, under the oversight of a joint research committee.</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November 2025, Bayer provided the Company with a notice of termination of one of the initial target programs, effective in January 2026 (the “2025 Bayer Termination Notice”). The Company accounted for the 2025 Bayer Termination Notice as a contract modification in the fourth quarter of 2025 as it reduced the scope of the arrangement. As a result, the Company allocated the remaining unrecognized transaction price as of the date of the 2025 Bayer Termination Notice to the remaining unsatisfied and partially satisfied performance obligations and updated the measure of progress.</w:t>
      </w:r>
    </w:p>
    <w:p>
      <w:pPr>
        <w:spacing w:after="0" w:line="183"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 July 2026, Bayer provided the Company with a notice of termination of the Bayer Collaboration Agreement in its entirety, including the remaining initial target program, effective in September 2026, after a contractual 60-day notice period (the “2026 Bayer Termination Notice”). Management concluded that the 2026 Bayer Termination Notice should be accounted for as a contract modification in the third quarter of 2026, as the notice of termination reduced the scope of the arrangement. Management concluded that the 2026 Bayer Termination Notice substantively removed all remaining performance obligations, including remaining material rights, as of the date of the notice as Bayer was not expected to benefit from any remaining activities during the notice period and the likelihood of exercising any remaining options was remote. As a result, the Company recognized the remaining unrecognized transaction price under the arrangement and recognized $34.1 million as revenue on the date of the 2026 Bayer Termination Notice.</w:t>
      </w:r>
    </w:p>
    <w:p>
      <w:pPr>
        <w:spacing w:after="0" w:line="18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recognized revenue of $34.1 million and $35.6 million, respectively, and during the three and nine months ended September 30, 2025, the Company recognized revenue of $1.0 million and $2.9 million, respectively, in connection with the Bayer Collaboration Agreement. No deferred revenue was recorded in connection with the Bayer Collaboration Agreement as of September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30, 2026. As of December 31, 2025, the Company recorded deferred revenue of $34.6 million in connection with the Bayer Collaboration Agreement.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Novartis Collaboration Agreement</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On March 27, 2023, the Company and Novartis entered into a collaboration and license agreement (the “Novartis Collaboration Agreement”), pursuant to which the parties agreed to perform research and discovery activities under a mutually agreed upon research plan during a research term of up to a specified number of years per target program to generate compounds incorporating optimized Bicycle constructs directed to two specified targets, under the oversight of a joint steering committee.</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November 2025, Novartis provided the Company with a notice of termination of the Novartis Collaboration Agreement in its entirety, effective in February 2026 after a contractual 90-day notice period. Management exercised significant judgment in concluding that the notice of termination should be accounted for as a contract modification in the fourth quarter of 2025, as the notice of termination reduces the scope of the arrangement. Management concluded that the notice of termination substantively removed all remaining performance obligations, including remaining material rights, as of the date of the notice as Novartis did not benefit from any remaining activities performed during the notice period and the likelihood of exercising any remaining options was remote. As a result, the Company recognized the remaining unrecognized transaction price as revenue on the date of the notice of termination.</w:t>
      </w:r>
    </w:p>
    <w:p>
      <w:pPr>
        <w:spacing w:after="0" w:line="19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did not recognize any revenue in connection with the Novartis Collaboration Agreement during the three and nine months ended September 30, 2026. During the three and nine months ended September 30, 2025, the Company recognized revenue of $2.2 million and $5.1 million, respectively, in connection with the Novartis Collaboration Agreement. No deferred revenue was recorded in connection with the Novartis Collaboration Agreement as of each of September 30, 2026 and December 31,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Ionis Agreements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July 9, 2021, the Company and Ionis entered into a collaboration and license agreement, which was subsequently amended in 2021, 2022, 2023 and 2024 (collectively the agreement and all amendments, the “Ionis Agreements”). Pursuant to the Ionis Agreements, the Company granted to Ionis a worldwide exclusive license under the Company’s relevant technology to research, develop, manufacture and commercialize products incorporating Bicycle peptides directed to the protein coded by the gene TFRC1 (transferrin receptor) (“TfR1 Bicycle” molecules) intended for the delivery of oligonucleotide compounds directed to targets selected by Ionis for diagnostic, therapeutic, prophylactic and preventative uses in humans. Each party was responsible for optimization of such TfR1 Bicycle molecules and other research and discovery activities related to TfR1 Bicycle molecules, as specified by a research plan which was substantially completed in the second quarter of 2024, and thereafter Ionis is responsible for all future research, development, manufacture and commercialization activities.</w:t>
      </w:r>
    </w:p>
    <w:p>
      <w:pPr>
        <w:spacing w:after="0" w:line="194" w:lineRule="exact"/>
        <w:rPr>
          <w:sz w:val="20"/>
          <w:szCs w:val="20"/>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In July 2025, an investigational medicine incorporating a TfR1 Bicycle molecule under the Ionis Agreements achieved acceptance of an investigational new drug application upon which Ionis paid the Company $2.0 million. As a result, the transaction price under the arrangement increased from $37.8 million to $39.8 million, and the Company recognized revenue of $2.0 million during the three months ended September 30, 2025.</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2026, the combined licenses and research and discovery performance obligation is complete, and all revenue allocated to the combined licenses and research and discovery performance obligation has been recognized. The Company did not recognize any revenue in connection with the Ionis Agreements during the three and nine months ended September 30, 2026, and for each of the three and nine months ended September 30, 2025, the Company recognized revenue of $2.0 million in connection with the Ionis Agreements. As of September 30, 2026, and December 31, 2025, the Company recorded deferred revenue of $3.7 million and $3.8 million, respectively, in connection with the Ionis Agreements. The remaining revenue allocated to material rights is recorded as deferred revenue and the Company expects to recognize revenue upon exercise of or upon expiry of the respective option after approximately four to seven years from contract execution.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Genentech Collaboration Agreement</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On February 21, 2020, the Company entered into a Discovery Collaboration and License Agreement, as amended from time to time (as amended, the “Genentech Collaboration Agreement”), with Genentech. The collaboration focused on the discovery and development of Bicycle peptides directed to biological targets selected by Genentech and aimed at developing up to four potential development candidates against multiple immuno-oncology targets (“Genentech Collaboration Programs” #1 through #4) suitable for Genentech to advance into further development and commercialization, governed by a joint research committee. Under the Genentech Collaboration Agreement, Genentech also had the option to have the Company perform initial pre-clinical development and optimization activities in exchange for an additional specified milestone payment in the mid single-digit millions for each Genentech Collaboration Program (the “LSR Go Option”).</w:t>
      </w:r>
    </w:p>
    <w:p>
      <w:pPr>
        <w:spacing w:after="0" w:line="188"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January 2025, Genentech provided the Company with a notice of termination for Genentech Collaboration Program #4, effective in March 2025, and the Company recognized revenue of $7.5 million during the three months ended March 31, 2025. In July 2025, Genentech provided the Company with a notice of termination of the Genentech Collaboration Agreement, effective in August 2025. As a result, during the three months ended September 30, 2025, the Company recognized the remaining deferred revenue under the arrangement of $6.5 million, which was allocated to the material right associated with the LSR Go Option for Collaboration Program #1.</w:t>
      </w:r>
    </w:p>
    <w:p>
      <w:pPr>
        <w:spacing w:after="0" w:line="18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did not recognize any revenue in connection with the Genentech Collaboration Agreement during either of the three or nine months ended September 30, 2026. During the three and nine months ended September 30, 2025, the Company recognized revenue of $6.5 million and $14.7 million, respectively, in connection with the Genentech Collaboration Agreement. No deferred revenue was recorded in connection with the Genentech Collaboration Agreement as of each of September 30, 2026 and December 31,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of Contract Assets and Liabilities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liabilities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Impact of</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00" w:type="dxa"/>
            <w:vAlign w:val="bottom"/>
            <w:gridSpan w:val="3"/>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0" w:type="dxa"/>
            <w:vAlign w:val="bottom"/>
          </w:tcPr>
          <w:p>
            <w:pPr>
              <w:spacing w:after="0"/>
              <w:rPr>
                <w:sz w:val="12"/>
                <w:szCs w:val="12"/>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 w:type="dxa"/>
            <w:vAlign w:val="bottom"/>
          </w:tcPr>
          <w:p>
            <w:pPr>
              <w:spacing w:after="0"/>
              <w:rPr>
                <w:sz w:val="12"/>
                <w:szCs w:val="12"/>
                <w:color w:val="auto"/>
              </w:rPr>
            </w:pPr>
          </w:p>
        </w:tc>
        <w:tc>
          <w:tcPr>
            <w:tcW w:w="10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Deductions</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5"/>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Bayer collaboration deferred revenue</w:t>
            </w:r>
          </w:p>
        </w:tc>
        <w:tc>
          <w:tcPr>
            <w:tcW w:w="40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34,629</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340" w:type="dxa"/>
            <w:vAlign w:val="bottom"/>
            <w:gridSpan w:val="4"/>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(35,573)</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Ionis collaboration deferred revenue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revenue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Impact of</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00" w:type="dxa"/>
            <w:vAlign w:val="bottom"/>
            <w:gridSpan w:val="3"/>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0" w:type="dxa"/>
            <w:vAlign w:val="bottom"/>
          </w:tcPr>
          <w:p>
            <w:pPr>
              <w:spacing w:after="0"/>
              <w:rPr>
                <w:sz w:val="12"/>
                <w:szCs w:val="12"/>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 w:type="dxa"/>
            <w:vAlign w:val="bottom"/>
          </w:tcPr>
          <w:p>
            <w:pPr>
              <w:spacing w:after="0"/>
              <w:rPr>
                <w:sz w:val="12"/>
                <w:szCs w:val="12"/>
                <w:color w:val="auto"/>
              </w:rPr>
            </w:pPr>
          </w:p>
        </w:tc>
        <w:tc>
          <w:tcPr>
            <w:tcW w:w="10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Deductions</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5"/>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Bayer collaboration deferred revenue</w:t>
            </w:r>
          </w:p>
        </w:tc>
        <w:tc>
          <w:tcPr>
            <w:tcW w:w="40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39,960</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(8,920)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Novartis collaboration deferred revenue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Ionis collaboration deferred revenue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Genentech collaboration deferred revenue</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(14,681)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101,658</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(70,586)</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Contract assets represent research and development services which have been performed but have not yet been billed and are reduced when they are subsequently billed. There were no contract assets at September 30, 2026 or December 31, 2025.</w:t>
      </w:r>
    </w:p>
    <w:p>
      <w:pPr>
        <w:spacing w:after="0" w:line="176"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the Ionis deferred revenue balance includes $3.7 million allocated to material rights that will commence revenue recognition when the respective option is exercised or when the option expires.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and 2025, the Company recognized the following revenue as a result of changes in the contract asset and the contract liability balances in the respective periods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86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r>
      <w:tr>
        <w:trPr>
          <w:trHeight w:val="142"/>
        </w:trPr>
        <w:tc>
          <w:tcPr>
            <w:tcW w:w="4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gridSpan w:val="2"/>
          </w:tcPr>
          <w:p>
            <w:pPr>
              <w:jc w:val="center"/>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9"/>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based on proportional performance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w:t>
            </w:r>
          </w:p>
        </w:tc>
      </w:tr>
      <w:tr>
        <w:trPr>
          <w:trHeight w:val="198"/>
        </w:trPr>
        <w:tc>
          <w:tcPr>
            <w:tcW w:w="45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Revenue recognized based on contract modifications and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expiration of material rights</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w:t>
            </w:r>
          </w:p>
        </w:tc>
      </w:tr>
      <w:tr>
        <w:trPr>
          <w:trHeight w:val="216"/>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based on changes in transaction price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35,573</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24,631</w:t>
            </w: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recorded an income tax provision of $1.2 million and $1.4 million, respectively. During the three months ended September 30, 2025, the Company recognized an income tax provision of $0.2 million and during the nine months ended September 30, 2025, the Company recorded an income tax benefit of $1.1 million. The Company is subject to corporate taxation in the U.K. Due to the nature of its business, the Company has generated losses since inception and has therefore not paid U.K. corporation tax. The provision for (benefit from) income taxes recognized during the three and nine months ended September 30, 2026 and 2025, represents the tax impact from operating activities in the United States, which has generated taxable income based on intercompany service arrangements. Deferred tax assets in the United States do not have a valuation allowance against them because of profits that will be generated by an intercompany service agreement.</w:t>
      </w:r>
    </w:p>
    <w:p>
      <w:pPr>
        <w:spacing w:after="0" w:line="188" w:lineRule="exact"/>
        <w:rPr>
          <w:sz w:val="20"/>
          <w:szCs w:val="20"/>
          <w:color w:val="auto"/>
        </w:rPr>
      </w:pPr>
    </w:p>
    <w:p>
      <w:pPr>
        <w:jc w:val="both"/>
        <w:ind w:left="60" w:right="219" w:firstLine="648"/>
        <w:spacing w:after="0" w:line="272" w:lineRule="auto"/>
        <w:rPr>
          <w:sz w:val="20"/>
          <w:szCs w:val="20"/>
          <w:color w:val="auto"/>
        </w:rPr>
      </w:pPr>
      <w:r>
        <w:rPr>
          <w:rFonts w:ascii="Times New Roman" w:cs="Times New Roman" w:eastAsia="Times New Roman" w:hAnsi="Times New Roman"/>
          <w:sz w:val="17"/>
          <w:szCs w:val="17"/>
          <w:color w:val="auto"/>
        </w:rPr>
        <w:t>The Company regularly assesses its ability to realize its deferred tax assets. Assessing the realization of deferred tax assets requires significant judgment. In determining whether its deferred tax assets are more likely than not realizable, the Company evaluated all available positive and negative evidence, and weighed the evidence based on its objectivity.</w:t>
      </w:r>
    </w:p>
    <w:p>
      <w:pPr>
        <w:spacing w:after="0" w:line="2"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After consideration of the evidence, including the Company’s history of cumulative net losses in the U.K., the Company has concluded that it is more likely than not that the Company will not realize the benefits of its U.K. deferred tax assets and accordingly the Company has provided a valuation allowance for the full amount of the deferred tax assets in the U.K. as of September 30, 2026 and December 31, 2025. The Company has considered the Company’s history of cumulative net profits in the United States, estimated future taxable income and concluded that it is more likely than not that the Company will realize the benefits of its U.S. deferred tax assets and has not provided a valuation allowance against the deferred tax assets in the United States.</w:t>
      </w:r>
    </w:p>
    <w:p>
      <w:pPr>
        <w:spacing w:after="0" w:line="188"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Company will maintain a full valuation allowance on its U.K. deferred tax assets until there is sufficient evidence to support the reversal of all or some portion of these allowances. The release of the valuation allowance would result in the recognition of certain deferred tax assets and an increase to the benefit from income taxes for the period the release is recorded. However, the exact timing and amount of the valuation allowance release are subject to change on the basis of the level of profitability that the Company is able to actually achieve.</w:t>
      </w:r>
    </w:p>
    <w:p>
      <w:pPr>
        <w:spacing w:after="0" w:line="183" w:lineRule="exact"/>
        <w:rPr>
          <w:sz w:val="20"/>
          <w:szCs w:val="20"/>
          <w:color w:val="auto"/>
        </w:rPr>
      </w:pPr>
    </w:p>
    <w:p>
      <w:pPr>
        <w:jc w:val="both"/>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The provision for (benefit from) income taxes recorded in the condensed consolidated statements of operations differs from amounts that would result from applying the statutory tax rates to income before taxes primarily because of certain permanent expenses that were not deductible, U.K., federal and state research and development credits, as well as the application of valuation allowances against the U.K. deferred tax assets.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In January 2023, the Company entered into a lease agreement for office and laboratory space in Cambridge, Massachusetts. The Company concluded that the lease term was three years, representing the non-cancelable lease period. The lease expired in March 2026.</w:t>
      </w:r>
    </w:p>
    <w:p>
      <w:pPr>
        <w:spacing w:after="0" w:line="17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December 2021, the Company entered into a lease of office and laboratory space in Cambridge, United Kingdom. The lease has a contractual period of 10 years, cancelable by the Company on the fifth anniversary of the lease commencement date. The Company concluded that the initial lease term was five years, representing the non-cancelable lease period. In December 2025, the Company entered into a deed of variation to the lease, pursuant to which (i) the Company elected not to cancel the lease on the fifth anniversary of the lease commencement date and (ii) the annual rent was increased effective in December 2026, payable quarterly in advance following a nine-month rent-free period from December 2026 to September 2027. The Company accounted for the deed of variation as a modification to the existing lease and remeasured the right-of-use asset and lease liability based on the present value of remaining lease payments, discounted at the Company’s incremental borrowing rate, and recognized an additional right-of-use asset and lease liability of $12.4 million on the modification date. The Company has a contractual right to renew the lease for a further 10-year period, which also may be cancelled after five years.</w:t>
      </w:r>
    </w:p>
    <w:p>
      <w:pPr>
        <w:spacing w:after="0" w:line="192" w:lineRule="exact"/>
        <w:rPr>
          <w:sz w:val="20"/>
          <w:szCs w:val="20"/>
          <w:color w:val="auto"/>
        </w:rPr>
      </w:pPr>
    </w:p>
    <w:p>
      <w:pPr>
        <w:jc w:val="both"/>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In September 2017, the Company entered into a lease agreement for office and laboratory space in Lexington, Massachusetts, which commenced on January 1, 2018. In May 2022, the Company extended the lease, originally set to expire on December 31, 2022, through December 31, 2027.</w:t>
      </w:r>
    </w:p>
    <w:p>
      <w:pPr>
        <w:spacing w:after="0" w:line="17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From time to time, the Company may enter into finance lease agreements for property and equipment. Amortization expense related to finance lease right-of-use assets is recognized on a straight-line basis over the earlier of the useful life of the right-of-use asset or the lease term and interest expense for finance leases is recognized based on the effective interest method using the Company’s incremental borrowing rate. As of September 30, 2026 and December 31, 2025, the Company recorded finance lease right-of-use assets of $0.7 million and $0.8 million, respectively, which are included in property and equipment, net, in the condensed consolidated balance sheets. As of September 30, 2026 and December 31, 2025, the Company recorded finance lease liabilities of $0.7 million and $0.9 million, respectively, which are included in accrued expenses and other current liabilities and other long-term liabilities, as applicable, in the condensed consolidated balance sheets. As of September 30, 2026, the Company has also entered into an agreement that contains a lease for property and equipment that has not yet commenced with a contractual period of approximately two years and aggregate payments of approximately $5.2 million.</w:t>
      </w:r>
    </w:p>
    <w:p>
      <w:pPr>
        <w:spacing w:after="0" w:line="192"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components of the Company’s lease expense, which are recorded as a component of research and development expenses and general and administrative expenses in the condensed consolidated statements of operations and comprehensive loss, are as follows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46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98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2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2"/>
                <w:szCs w:val="12"/>
                <w:color w:val="auto"/>
              </w:rPr>
            </w:pPr>
          </w:p>
        </w:tc>
        <w:tc>
          <w:tcPr>
            <w:tcW w:w="580" w:type="dxa"/>
            <w:vAlign w:val="bottom"/>
            <w:gridSpan w:val="2"/>
          </w:tcPr>
          <w:p>
            <w:pPr>
              <w:jc w:val="center"/>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gridSpan w:val="2"/>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660" w:type="dxa"/>
            <w:vAlign w:val="bottom"/>
            <w:tcBorders>
              <w:top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819</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799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6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6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0"/>
        </w:trPr>
        <w:tc>
          <w:tcPr>
            <w:tcW w:w="4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259" w:firstLine="648"/>
        <w:spacing w:after="0" w:line="281" w:lineRule="auto"/>
        <w:rPr>
          <w:sz w:val="20"/>
          <w:szCs w:val="20"/>
          <w:color w:val="auto"/>
        </w:rPr>
      </w:pPr>
      <w:r>
        <w:rPr>
          <w:rFonts w:ascii="Times New Roman" w:cs="Times New Roman" w:eastAsia="Times New Roman" w:hAnsi="Times New Roman"/>
          <w:sz w:val="17"/>
          <w:szCs w:val="17"/>
          <w:color w:val="auto"/>
        </w:rPr>
        <w:t>The weighted average remaining operating lease term was 4.9 years and 1.4 years as of September 30, 2026 and 2025, respectively, and the weighted average operating lease discount rate was 6.3% and 7.5% as of September 30, 2026 and 2025, respectively. The weighted average remaining finance lease term was 3.0 years and 4.0 years as of September 30, 2026 and 2025, respectively, and the weighted average finance lease discount rate was 9.5% as of each of September</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30, 2026 and 2025.</w:t>
      </w:r>
    </w:p>
    <w:p>
      <w:pPr>
        <w:spacing w:after="0" w:line="225"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maturities of the Company’s lease liabilities as of September 30, 2026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Finance Leases</w:t>
            </w:r>
          </w:p>
        </w:tc>
      </w:tr>
      <w:tr>
        <w:trPr>
          <w:trHeight w:val="209"/>
        </w:trPr>
        <w:tc>
          <w:tcPr>
            <w:tcW w:w="20" w:type="dxa"/>
            <w:vAlign w:val="bottom"/>
          </w:tcPr>
          <w:p>
            <w:pPr>
              <w:spacing w:after="0"/>
              <w:rPr>
                <w:sz w:val="18"/>
                <w:szCs w:val="18"/>
                <w:color w:val="auto"/>
              </w:rPr>
            </w:pPr>
          </w:p>
        </w:tc>
        <w:tc>
          <w:tcPr>
            <w:tcW w:w="4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adjustment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0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term lease liabilities</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12,864</w:t>
            </w:r>
          </w:p>
        </w:tc>
        <w:tc>
          <w:tcPr>
            <w:tcW w:w="260" w:type="dxa"/>
            <w:vAlign w:val="bottom"/>
            <w:gridSpan w:val="2"/>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has entered into various agreements with contract research organizations to provide clinical trial services, contract manufacturing organizations to provide clinical trial materials and with vendors for preclinical research studies, synthetic chemistry and other services for operating purposes. These contracts are generally cancelable at any time upon less than 90 days’ prior written notice. The Company is not contractually able to terminate for convenience and avoid any and all future obligations to these vendors. In some cases, the Company is contractually obligated to make certain minimum payments to the vendors, based on the timing of the termination notification and the exact terms of the agreement.</w:t>
      </w:r>
    </w:p>
    <w:p>
      <w:pPr>
        <w:spacing w:after="0" w:line="18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Company has also entered into separate agreements with third parties which provide for various future milestone payments upon the achievement of specified development, regulatory, commercial and sales-based milestones with an aggregate total value of $105.8 million, as well as potential future royalty and other payments at percentages ranging from very low to low single digits. These additional milestone payments are contingent upon future events that are not considered probable of achievement as of September 30, 2026. As of September 30, 2026, the Company was unable to estimate the timing or likelihood of achieving any of these milestones.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the Company or its subsidiaries may become involved in various legal proceedings and claims, either asserted or unasserted, which arise in the ordinary course of business. The Company is currently not subject to any material legal proceedings. At each reporting date, the Company evaluates whether or not a potential loss amount, or a potential range of loss, is probable and reasonably estimable under the provisions of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obligations</w:t>
      </w:r>
    </w:p>
    <w:p>
      <w:pPr>
        <w:spacing w:after="0" w:line="229"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The Company also has indemnification obligations towards members of its board of directors and officers that will require the Company, among other things, to indemnify them against certain liabilities that may arise by reason of their status or service as directors or officers. In addition, the Company has agreed to indemnify certain investors in limited circumstances. The maximum potential amount of future payments the Company could be required to make under these indemnification arrangements is, in many cases, unlimited. To date, the Company has not incurred any material costs as a result of such indemnification obligations. The Company is not aware of any claims under indemnification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arrangements, and therefore it has not accrued any liabilities related to such obligations in its condensed consolidated financial statements as of September 30, 2026 and December 31,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Basic and diluted net loss per share was calculated as follows (in thousands, except share and per share amounts):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(198,806)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Weighted average ordinary shares outstanding, basic</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and diluted</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69,979,934</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69,303,746</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69,823,830</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69,251,291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Company’s potentially dilutive securities, which are options to purchase ordinary shares and RSUs, have been excluded from the computation of diluted net loss per share as the effect would be to reduce the net loss per share. Therefore, the weighted average number of ordinary shares outstanding, which includes both ordinary shares and non-voting ordinary shares, used to calculate both basic and diluted net loss per share is the same. The Company excluded the following potentially dilutive ordinary shares, presented based on amounts outstanding at each period end, from the computation of diluted net loss per share for the periods indicated because including them would have had an anti-dilutive effect:</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vMerge w:val="restart"/>
          </w:tcPr>
          <w:p>
            <w:pPr>
              <w:ind w:left="574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bottom w:val="single" w:sz="8" w:color="auto"/>
            </w:tcBorders>
            <w:gridSpan w:val="3"/>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80" w:type="dxa"/>
            <w:vAlign w:val="bottom"/>
            <w:vMerge w:val="continue"/>
          </w:tcPr>
          <w:p>
            <w:pPr>
              <w:spacing w:after="0"/>
              <w:rPr>
                <w:sz w:val="12"/>
                <w:szCs w:val="12"/>
                <w:color w:val="auto"/>
              </w:rPr>
            </w:pPr>
          </w:p>
        </w:tc>
        <w:tc>
          <w:tcPr>
            <w:tcW w:w="1340" w:type="dxa"/>
            <w:vAlign w:val="bottom"/>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2,360,009</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1,790,210</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11,772,490</w:t>
            </w:r>
          </w:p>
        </w:tc>
        <w:tc>
          <w:tcPr>
            <w:tcW w:w="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10,189,796</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14,132,499</w:t>
            </w:r>
          </w:p>
        </w:tc>
        <w:tc>
          <w:tcPr>
            <w:tcW w:w="3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11,980,006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Segments and geographic information</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Company operates and manages its business as a single operating segment, which is developing a unique class of chemically synthesized medicines based on its proprietary platform. The Company’s chief operating decision maker (“CODM”) is the Company’s Chief Executive Officer (“CEO”). The CODM reviews consolidated operating results, manages the business on a consolidated basis and utilizes consolidated net loss from the consolidated statements of operations and comprehensive loss as the primary measure of segment profit or loss in making decisions surrounding allocating resources and assessing performance of the Company. The CODM is regularly provided detailed expense information, including expenses by program and expense category, and the CODM makes decisions surrounding capital and personnel allocation using this information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single operating segment, including significant segment expenses, for the three and nine months ended September 30, 2026 and 2025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100" w:type="dxa"/>
            <w:vAlign w:val="bottom"/>
            <w:vMerge w:val="restart"/>
          </w:tcPr>
          <w:p>
            <w:pPr>
              <w:ind w:left="1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20" w:type="dxa"/>
            <w:vAlign w:val="bottom"/>
            <w:gridSpan w:val="3"/>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202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tcBorders>
            <w:gridSpan w:val="2"/>
          </w:tcPr>
          <w:p>
            <w:pPr>
              <w:jc w:val="center"/>
              <w:ind w:right="2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2"/>
          </w:tcPr>
          <w:p>
            <w:pPr>
              <w:jc w:val="center"/>
              <w:ind w:right="1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Zelenectide pevedotin (Nectin-4 BDC)</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Nuzefatide pevedotin (EphA2 BDC)</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BT1702 (MT1-MMP BRC)</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Bicycle tumor-targeted immune cell agonists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Discovery, platform and other expense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and contractor related expenses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Facility expenses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Research and development incentives and</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government grants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(17,388)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58,426</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123,483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Personnel-related costs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general and administrative costs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foreign exchange rates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14,112</w:t>
            </w:r>
          </w:p>
        </w:tc>
        <w:tc>
          <w:tcPr>
            <w:tcW w:w="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45,608</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47,534</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gridSpan w:val="2"/>
          </w:tcPr>
          <w:p>
            <w:pPr>
              <w:ind w:left="20"/>
              <w:spacing w:after="0" w:line="210"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(59,100)</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Other segment items include interest and other income, interest expense, and provision for (benefit from) income taxes.</w:t>
      </w:r>
    </w:p>
    <w:p>
      <w:pPr>
        <w:spacing w:after="0" w:line="230"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regularly provide the CODM with detailed segment asset information other than what is included in the condensed consolidated balance sheets. Please refer to the condensed consolidated financial statements and the accompanying notes to the condensed consolidated financial statements for segment asset information.</w:t>
      </w:r>
    </w:p>
    <w:p>
      <w:pPr>
        <w:spacing w:after="0" w:line="176" w:lineRule="exact"/>
        <w:rPr>
          <w:sz w:val="20"/>
          <w:szCs w:val="20"/>
          <w:color w:val="auto"/>
        </w:rPr>
      </w:pPr>
    </w:p>
    <w:p>
      <w:pPr>
        <w:ind w:left="60" w:right="179" w:firstLine="648"/>
        <w:spacing w:after="0" w:line="257" w:lineRule="auto"/>
        <w:rPr>
          <w:sz w:val="20"/>
          <w:szCs w:val="20"/>
          <w:color w:val="auto"/>
        </w:rPr>
      </w:pPr>
      <w:r>
        <w:rPr>
          <w:rFonts w:ascii="Times New Roman" w:cs="Times New Roman" w:eastAsia="Times New Roman" w:hAnsi="Times New Roman"/>
          <w:sz w:val="18"/>
          <w:szCs w:val="18"/>
          <w:color w:val="auto"/>
        </w:rPr>
        <w:t>The Company operates in two geographic regions: the United States and the United Kingdom. Information about the Company’s long-lived assets, including operating and finance lease right-of-use assets, held in different geographic regions is presented in the table below (in thousands):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28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24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5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17,447</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21,044</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collaboration revenue is attributed to the operations of the Company in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this discussion and analysis of our financial condition and consolidated results of operations together with our unaudited condensed consolidated financial statements and the related notes appearing elsewhere in this Quarterly Report and our audited financial statements and related notes for the year ended December 31, 2025, included in our Annual Report on Form 10-K for the year ended December 31, 2025, or the 2025 Annual Report, which was filed with the Securities and Exchange Commission, or SEC, on March 17, 2026. Some of the information contained in this discussion and analysis or set forth elsewhere in this Quarterly Report, including statements of our plans, objectives, expectations and intentions, contain forward-looking statements that involve risks and uncertainties.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 Please also see the section titled “Forward-Looking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99" w:firstLine="648"/>
        <w:spacing w:after="0" w:line="241" w:lineRule="auto"/>
        <w:rPr>
          <w:sz w:val="20"/>
          <w:szCs w:val="20"/>
          <w:color w:val="auto"/>
        </w:rPr>
      </w:pPr>
      <w:r>
        <w:rPr>
          <w:rFonts w:ascii="Times New Roman" w:cs="Times New Roman" w:eastAsia="Times New Roman" w:hAnsi="Times New Roman"/>
          <w:sz w:val="18"/>
          <w:szCs w:val="18"/>
          <w:color w:val="auto"/>
        </w:rPr>
        <w:t>We are a clinical-stage pharmaceutical company developing a novel class of medicines, which we refer to as Bicycle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molecules, for diseases that are underserved by existing therapeutics. Bicycle molecules are fully synthetic short peptides constrained to form two loops which stabilize their structural geometry. This constraint facilitates target binding with high affinity and selectivity, making Bicycle molecules attractive candidates for drug development. Bicycle molecules are a unique therapeutic modality combining the pharmacology usually associated with a biologic with the manufacturing and pharmacokinetic, or PK, properties of a small molecule. The relatively large surface area presented by Bicycle molecules allows targets to be drugged that have historically been intractable to non-biological approaches. Bicycle molecules are excreted by the kidney rather than the liver and have shown no significant signs of immunogenicity to date, qualities which we believe explain the molecules’ favorable toxicological profile.</w:t>
      </w:r>
    </w:p>
    <w:p>
      <w:pPr>
        <w:spacing w:after="0" w:line="19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have a novel and proprietary phage display screening platform which we use to identify Bicycle molecules in an efficient manner. The platform initially displays linear peptides on the surface of engineered bacteriophages, or phages, before “on-phage” cyclization with a range of small molecule scaffolds which can confer differentiated physicochemical and structural properties. Our platform encodes quintillions of potential Bicycle molecules which can be screened to identify molecules for optimization to potential product candidates. We have used this powerful screening technology to identify our current portfolio of candidates in oncology and intend to use it in conjunction with our collaborators to seek to develop additional future candidates across a range of other disease areas.</w:t>
      </w:r>
    </w:p>
    <w:p>
      <w:pPr>
        <w:spacing w:after="0" w:line="189" w:lineRule="exact"/>
        <w:rPr>
          <w:sz w:val="20"/>
          <w:szCs w:val="20"/>
          <w:color w:val="auto"/>
        </w:rPr>
      </w:pPr>
    </w:p>
    <w:p>
      <w:pPr>
        <w:ind w:left="60" w:right="59" w:firstLine="648"/>
        <w:spacing w:after="0" w:line="244" w:lineRule="auto"/>
        <w:rPr>
          <w:sz w:val="20"/>
          <w:szCs w:val="20"/>
          <w:color w:val="auto"/>
        </w:rPr>
      </w:pPr>
      <w:r>
        <w:rPr>
          <w:rFonts w:ascii="Times New Roman" w:cs="Times New Roman" w:eastAsia="Times New Roman" w:hAnsi="Times New Roman"/>
          <w:sz w:val="18"/>
          <w:szCs w:val="18"/>
          <w:color w:val="auto"/>
        </w:rPr>
        <w:t>Our internal programs are focused on oncology indications with high unmet medical need. Our product candidate, nuzefatide pevedotin (formerly BT5528), is a Bicycle Drug Conjugate, or a BDC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 whereby the Bicycle molecules are chemically attached to a toxin that, when administered, is cleaved from the Bicycle molecule and kills the tumor cells. We are evaluating nuzefatide pevedotin, a BDC molecule targeting Ephrin type A receptor 2, or EphA2, and carrying a monomethyl auristatin E, or MMAE, cytotoxin payload, in both an ongoing company-sponsored Phase I/II clinical trial to assess the safety, pharmacokinetics and clinical activity of nuzefatide pevedotin in patients with advanced solid tumors and an ongoing company-sponsored Phase II clinical trial to evaluate the efficacy, safety and pharmacokinetics of nuzefatide pevedotin in adult patients with recurrent metastatic pancreatic ductal adenocarcinoma. The ongoing company-sponsored Phase II clinical trial commenced recruiting patients in the first quarter of 2026 and we announced that the first patient was dosed in April 2026. In addition, in April 2026, we announced Phase I/II clinical results for nuzefatide pevedotin in combination with nivolumab in patients with metastatic urothelial cancer at the American Association for Cancer Research, or AACR, Annual Meeting 2026. We also announced preclinical assessments of nuzefatide pevedotin anti-tumor activity in xenograft models of pancreatic ductal adenocarcinoma and head and neck squamous cell carcinoma. In September 2026, the U.S. Food and Drug Administration, or FDA, granted nuzefatide pevedotin orphan drug designation for the treatment of pancreatic cancer.</w:t>
      </w:r>
    </w:p>
    <w:p>
      <w:pPr>
        <w:spacing w:after="0" w:line="198" w:lineRule="exact"/>
        <w:rPr>
          <w:sz w:val="20"/>
          <w:szCs w:val="20"/>
          <w:color w:val="auto"/>
        </w:rPr>
      </w:pPr>
    </w:p>
    <w:p>
      <w:pPr>
        <w:ind w:left="60" w:right="299" w:firstLine="648"/>
        <w:spacing w:after="0" w:line="217" w:lineRule="auto"/>
        <w:rPr>
          <w:sz w:val="20"/>
          <w:szCs w:val="20"/>
          <w:color w:val="auto"/>
        </w:rPr>
      </w:pPr>
      <w:r>
        <w:rPr>
          <w:rFonts w:ascii="Times New Roman" w:cs="Times New Roman" w:eastAsia="Times New Roman" w:hAnsi="Times New Roman"/>
          <w:sz w:val="18"/>
          <w:szCs w:val="18"/>
          <w:color w:val="auto"/>
        </w:rPr>
        <w:t>We are also developing BT1702, a Bicycle Radioconjugate, or BRC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 targeting Membrane Type 1 matrix metalloproteinase, or MT1-MMP, and carrying a lead-212, or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Pb, radioisotope payload for theranostic use. We are currently conducting Investigational New Drug application, or IND, -enabling activities for BT1702. We are also developing Bicycle Imaging Agents, or BIA molecules, whereby a Bicycle molecule is linked to a chelated radiopharmaceutical imaging agent. We are using BIA molecules to potentially derisk novel targets prior to further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1" w:lineRule="auto"/>
        <w:rPr>
          <w:sz w:val="20"/>
          <w:szCs w:val="20"/>
          <w:color w:val="auto"/>
        </w:rPr>
      </w:pPr>
      <w:r>
        <w:rPr>
          <w:rFonts w:ascii="Times New Roman" w:cs="Times New Roman" w:eastAsia="Times New Roman" w:hAnsi="Times New Roman"/>
          <w:sz w:val="17"/>
          <w:szCs w:val="17"/>
          <w:color w:val="auto"/>
        </w:rPr>
        <w:t>clinical development and to efficiently triage cancer indications for subsequent treatment with both BRC and/or BDC molecules. Our discovery pipeline in oncology includes next-generation BDC molecules, BRC molecules and BIA molecules. In April 2026, additional human imaging data of a BIA molecule targeting EphA2 in patients with pancreatic ductal adenocarcinoma was presented by the German Cancer Consortium, or DKTK, at the AACR Annual Meeting 2026.</w:t>
      </w:r>
    </w:p>
    <w:p>
      <w:pPr>
        <w:spacing w:after="0" w:line="16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Zelenectide pevedotin, a BDC molecule targeting Nectin-4, is being evaluated in an ongoing Phase II clinical trial called Duravelo-2 evaluating zelenectide pevedotin in patients with untreated and previously treated metastatic urothelial cancer and in ongoing company-sponsored Phase I/II clinical trials to assess the efficacy and safety of zelenectide pevedotin in patients with NECTIN4 amplified advanced breast cancer and NECTIN4 amplified advanced or metastatic non-small cell lung cancer. In March 2026, we announced the strategic reprioritization of our clinical portfolio to focus on our promising pipeline of next-generation therapeutics, including nuzefatide pevedotin as well as next-generation Bicycle conjugates, including BRC molecules. While dose selection data from the Duravelo-2 clinical trial for zelenectide pevedotin are promising, demonstrating response rates comparable to published rates for existing standards of care and a differentiated safety profile, we converted the Phase II/III Duravelo-2 registrational trial to a randomized Phase II clinical trial and have deprioritized the program for internal development while we evaluate next steps for the program following preliminary feedback from regulatory agencies. In May 2026, we announced initial data from the randomized company-sponsored Phase II Duravelo-2 clinical trial evaluating zelenectide pevedotin in previously untreated patients with metastatic urothelial cancer, as well as updated data from the Phase I/II clinical trial for zelenectide pevedotin in previously untreated, cisplatin-ineligible metastatic urothelial cancer patients at the 2026 American Society of Clinical Oncology Annual Meeting. In addition, as part of the strategic reprioritization, the Phase I/II clinical trials evaluating zelenectide pevedotin in patients with NECTIN4 amplified advanced breast cancer and NECTIN4 amplified advanced or metastatic non-small cell lung cancer are being discontinued. Further enrollment in these trials is closed and patients already enrolled will complete their course of treatment.</w:t>
      </w:r>
    </w:p>
    <w:p>
      <w:pPr>
        <w:spacing w:after="0" w:line="184" w:lineRule="exact"/>
        <w:rPr>
          <w:sz w:val="20"/>
          <w:szCs w:val="20"/>
          <w:color w:val="auto"/>
        </w:rPr>
      </w:pPr>
    </w:p>
    <w:p>
      <w:pPr>
        <w:ind w:left="60" w:right="59" w:firstLine="648"/>
        <w:spacing w:after="0" w:line="239" w:lineRule="auto"/>
        <w:rPr>
          <w:sz w:val="20"/>
          <w:szCs w:val="20"/>
          <w:color w:val="auto"/>
        </w:rPr>
      </w:pPr>
      <w:r>
        <w:rPr>
          <w:rFonts w:ascii="Times New Roman" w:cs="Times New Roman" w:eastAsia="Times New Roman" w:hAnsi="Times New Roman"/>
          <w:sz w:val="18"/>
          <w:szCs w:val="18"/>
          <w:color w:val="auto"/>
        </w:rPr>
        <w:t>Our other product candidate, BT7480, is a Bicycle Tumor-Targeted Immune Cell Agonist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or Bicycle TICA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molecule. A Bicycle TICA molecule links immune cell receptor binding Bicycle molecules to tumor antigen binding Bicycle molecules. BT7480, a Bicycle TICA molecule targeting Nectin-4 and agonizing CD137, is being evaluated in a company-sponsored Phase I/II clinical trial. In October 2026, we presented updated Phase I/II clinical results for BT7480 in combination with nivolumab in patients with advanced solid tumors at the European Society for Medical Oncology, or ESMO, Congress 2026. We are no longer developing BT7480 internally and we intend to explore partnership opportunities for future development.</w:t>
      </w:r>
    </w:p>
    <w:p>
      <w:pPr>
        <w:spacing w:after="0" w:line="201"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Beyond our wholly owned oncology portfolio, we are collaborating with biopharmaceutical companies and organizations in additional therapeutic areas in which we believe our proprietary Bicycle screening platform can identify therapies to treat diseases with significant unmet medical need.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2026 Strategic Reprioritization</w:t>
      </w:r>
    </w:p>
    <w:p>
      <w:pPr>
        <w:spacing w:after="0" w:line="229" w:lineRule="exact"/>
        <w:rPr>
          <w:sz w:val="20"/>
          <w:szCs w:val="20"/>
          <w:color w:val="auto"/>
        </w:rPr>
      </w:pPr>
    </w:p>
    <w:p>
      <w:pPr>
        <w:ind w:left="60" w:right="339" w:firstLine="648"/>
        <w:spacing w:after="0" w:line="254" w:lineRule="auto"/>
        <w:rPr>
          <w:sz w:val="20"/>
          <w:szCs w:val="20"/>
          <w:color w:val="auto"/>
        </w:rPr>
      </w:pPr>
      <w:r>
        <w:rPr>
          <w:rFonts w:ascii="Times New Roman" w:cs="Times New Roman" w:eastAsia="Times New Roman" w:hAnsi="Times New Roman"/>
          <w:sz w:val="18"/>
          <w:szCs w:val="18"/>
          <w:color w:val="auto"/>
        </w:rPr>
        <w:t>In March 2026, we announced the strategic reprioritization of our clinical portfolio to focus on our promising pipeline of next-generation therapeutics, including nuzefatide pevedotin as well as next-generation Bicycle conjugates, including BRC molecules. In connection with the strategic reprioritization announced in March 2026, we announced a workforce reduction of approximately 30% of our workforce. Together, the workforce reduction and strategic reprioritization are expected to reduce our annual operating expenses by approximately 50% based on our current plans. We expect the workforce reduction to be substantially completed by the end of 2026, and that we will incur aggregate charges of approximately $6.1 million, representing cash expenditure for severance and other employee termination benefits, of which $0.3 million and $5.8 million was recognized during the three and nine months ended September 30, 2026, respectively.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our Bicycle platform and our product candidates, conducting research and development of our product candidates and preclinical programs, raising capital and providing general and administrative support for our operations. To date, we have financed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operations primarily with proceeds from the sale of equity securities; proceeds received from upfront payments, research and development payments, and development milestone payments from our collaboration agreements; and loan borrowings. From our inception through September 30, 2026, we have received gross proceeds of $1.4 billion from the sale of equity securities; and $240.6 million of cash payments under collaboration arrangements, including $47.2 million from Bayer Consumer Care AG, or Bayer, $53.0 million from Novartis Pharma AG, or Novartis, $49.7 million from Ionis Pharmaceuticals, Inc., or Ionis, and $56.0 million from Genentech Inc., or Genentech. We do not have any products approved for sale and have not generated any revenue from product sales.</w:t>
      </w:r>
    </w:p>
    <w:p>
      <w:pPr>
        <w:spacing w:after="0" w:line="18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ability to generate product revenue sufficient to achieve profitability will depend on the successful development and eventual commercialization of one or more of our product candidates. Our net losses were $10.5 million and $121.6 million for the three and nine months ended September 30, 2026, respectively. As of September 30, 2026, we had an accumulated deficit of $1.0 billion. These losses have resulted primarily from costs incurred in connection with research and development activities and general and administrative costs associated with our operations. We expect to continue to incur significant expenses and increasing operating losses for the foreseeable future.</w:t>
      </w:r>
    </w:p>
    <w:p>
      <w:pPr>
        <w:spacing w:after="0" w:line="18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We expect that our expenses and capital requirements will decrease in the near term as a result of our cost saving initiatives and our strategic reprioritization announced in March 2026. However, our expenses and capital requirements may increase substantially if and as we:</w:t>
      </w:r>
    </w:p>
    <w:p>
      <w:pPr>
        <w:spacing w:after="0" w:line="176" w:lineRule="exact"/>
        <w:rPr>
          <w:sz w:val="20"/>
          <w:szCs w:val="20"/>
          <w:color w:val="auto"/>
        </w:rPr>
      </w:pPr>
    </w:p>
    <w:p>
      <w:pPr>
        <w:ind w:left="1040" w:right="15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development of our product candidates, including conducting future clinical trials of nuzefatide pevedotin and BT1702;</w:t>
      </w:r>
    </w:p>
    <w:p>
      <w:pPr>
        <w:spacing w:after="0" w:line="161"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 including expanding our pipeline of Bicycle radioligand molecules and next-generation BDC molecules;</w:t>
      </w:r>
    </w:p>
    <w:p>
      <w:pPr>
        <w:spacing w:after="0" w:line="161"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necessary processes, controls and manufacturing data to obtain marketing approval for our product candidates and to support manufacturing to commercial scale;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our product candidates that successfully complete clinical trials, if any;</w:t>
      </w:r>
    </w:p>
    <w:p>
      <w:pPr>
        <w:spacing w:after="0" w:line="225"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non-clinical, clinical, pharmacovigilance, quality assurance, regulatory affairs, manufacturing, distribution, legal, compliance, medical affairs, commercial and scientific personnel;</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products and technologies;</w:t>
      </w:r>
    </w:p>
    <w:p>
      <w:pPr>
        <w:spacing w:after="0" w:line="225"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infrastructure and facilities to accommodate our growing employee base, including adding equipment and infrastructure to support our research and development; and</w:t>
      </w:r>
    </w:p>
    <w:p>
      <w:pPr>
        <w:spacing w:after="0" w:line="161"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research and development programs and any future commercialization efforts.</w:t>
      </w:r>
    </w:p>
    <w:p>
      <w:pPr>
        <w:spacing w:after="0" w:line="162"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We do not expect to generate revenue from product sales unless and until we successfully complete development and obtain marketing approval for one or more of our product candidates, which we expect will take many years and is subject to significant uncertainty. We have no commercial-scale manufacturing facilities of our own, and all of our manufacturing activities have been and are planned to be contracted out to third parties. Additionally, we currently utilize third-party contract research organizations, or CROs, to carry out our clinical development activities. If we seek to obtain marketing approval for any of our product candidates from which we obtain encouraging results in clinical development, we expect to incur significant commercialization expenses as we prepare for product sales, marketing, manufacturing, and distribution.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charitable and governmental grants, monetization transactions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9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2026, we had cash and cash equivalents of $469.9 million. We believe that our existing cash and cash equivalents will enable us to fund our operating expenses and capital expenditure requirements for at least 12 months from the date of filing of this Quarterly Report. We have based this estimate on assumptions that may prove to be wrong, and we could deplete our available capital resources sooner than we expect. See “—Liquidity and Capital Resources” and “—Capital Resources and Funding Requirements.”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we do not expect to generate any revenue from product sales for the foreseeable future. Our revenue primarily consists of collaboration revenue under our arrangements with our collaboration partners, including amounts that are recognized related to upfront payments, milestone payments and option exercise payments, amounts due to us for research and development services and reimbursement of certain expenses incurred. In the future, revenue may include additional milestone payments and option exercise payments, and royalties on any net product sales under our collaborations. In the near term, we expect that revenue will decrease as a result of the terminations of our collaboration agreements with Bayer, Novartis and Genentech effective in September 2026, February 2026 and August 2025, respectively. In the future, we expect that any revenue we generate will fluctuate from period to period as a result of the timing and amount of license, research and development services, milestone and other payments, as well as the exercise or expiration of options under collaboration arrangements.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719" w:firstLine="648"/>
        <w:spacing w:after="0" w:line="312"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for our research and development activities, including our discovery efforts, and the development of our product candidates, which include:</w:t>
      </w:r>
    </w:p>
    <w:p>
      <w:pPr>
        <w:spacing w:after="0" w:line="140"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share-based compensation expense;</w:t>
      </w:r>
    </w:p>
    <w:p>
      <w:pPr>
        <w:spacing w:after="0" w:line="117"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that conduct research and development, preclinical activities, clinical activities and manufacturing on our behalf;</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w:t>
      </w:r>
    </w:p>
    <w:p>
      <w:pPr>
        <w:spacing w:after="0" w:line="117"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study materials and clinical trial materials;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and other operating costs.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Payments for these activities are based on the terms of the individual agreements, which may differ from the pattern of costs incurred, and are reflected in our condensed consolidated financial statements as a prepaid expense or accrued research and development expenses.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direct external research and development expenses are tracked on a program-by-program basis and consist of costs, such as fees paid to consultants, CROs, contractors and contract manufacturing organizations, or CMOs, in connection with our preclinical and clinical development activities. Costs incurred after a product candidate has been designated and that are directly related to the product candidate are included in direct research and development expenses for that program. Costs incurred prior to designating a product candidate are included in discovery, platform and other expenses. We do not allocate employee costs, costs associated with our discovery efforts, laboratory supplies, and facilities, including depreciation or other indirect costs, to specific product development programs because these costs are deployed across multiple product development programs and, as such, are not separately classified.</w:t>
      </w:r>
    </w:p>
    <w:p>
      <w:pPr>
        <w:spacing w:after="0" w:line="192"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Through our subsidiaries in the U.K., we receive reimbursements of certain research and development expenditures as part of a U.K. government research and development tax reliefs program. The Finance Act 2024, which was enacted in February 2024, replaced the legacy research and development expenditure credit and the Small and Medium-sized Enterprise, or SME, R&amp;D Tax Relief program with a merged research and development expenditure credit scheme, or RDEC, and an enhanced research and development intensive support scheme, or ERIS. The Finance Act 2024 provides for a cash rebate that may be claimed for 26.97% of qualifying expenditure if we qualify as R&amp;D intensive for an accounting period. We qualified as R&amp;D intensive for the year ended December 31, 2025, and we expect to qualify as R&amp;D intensive for the year ending December 31, 2026.</w:t>
      </w:r>
    </w:p>
    <w:p>
      <w:pPr>
        <w:spacing w:after="0" w:line="192"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The U.K. research and development tax credit is fully refundable to us after surrendering tax losses and is not dependent on current or future taxable income. As a result, we have recorded the entire benefit from the U.K. research and development tax credit as a reduction to research and development expenses and is not reflected as part of the income tax provision. See Note 2 “</w:t>
      </w:r>
      <w:r>
        <w:rPr>
          <w:rFonts w:ascii="Times New Roman" w:cs="Times New Roman" w:eastAsia="Times New Roman" w:hAnsi="Times New Roman"/>
          <w:sz w:val="17"/>
          <w:szCs w:val="17"/>
          <w:i w:val="1"/>
          <w:iCs w:val="1"/>
          <w:color w:val="auto"/>
        </w:rPr>
        <w:t>Summary of significant accounting policies – Research and development incentives and receivable”</w:t>
      </w:r>
      <w:r>
        <w:rPr>
          <w:rFonts w:ascii="Times New Roman" w:cs="Times New Roman" w:eastAsia="Times New Roman" w:hAnsi="Times New Roman"/>
          <w:sz w:val="17"/>
          <w:szCs w:val="17"/>
          <w:color w:val="auto"/>
        </w:rPr>
        <w:t xml:space="preserve"> included in this Quarterly Report for additional information on the U.K. research and development tax relief program.</w:t>
      </w:r>
    </w:p>
    <w:p>
      <w:pPr>
        <w:spacing w:after="0" w:line="16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decrease in the near term as a result of our cost saving initiatives and our strategic reprioritization announced in March 2026. However, our research and development expenses will increase over the longer term if and as we continue clinical development of and seek to obtain marketing approval for our product candidates, initiate clinical trials for our product candidates and continue to discover and develop additional product candidates.</w:t>
      </w:r>
    </w:p>
    <w:p>
      <w:pPr>
        <w:spacing w:after="0" w:line="18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and subject to numerous risks and uncertainties. A change in the outcome of any of these variables with respect to the development of a product candidate could mean a significant change in the costs and timing associated with the development of that product candidate. As such,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share-based compensation, for personnel in our executive, finance, corporate and business development, commercial and administrative functions. General and administrative expenses also include professional fees for legal, patent,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accounting, auditing, tax and consulting services, insurance, travel expenses and facility-related expenses, which include direct depreciation costs and allocated expenses for rent and maintenance of facilities and other operating costs.</w:t>
      </w:r>
    </w:p>
    <w:p>
      <w:pPr>
        <w:spacing w:after="0" w:line="16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Foreign currency transactions in currencies different from the applicable functional currency are translated into the functional currency using the exchange rates prevailing at the dates of the transactions. Foreign exchange differences resulting from the settlement of such transactions and from the remeasurement at period-end exchange rates in foreign currencies are recorded in general and administrative expenses in the condensed consolidated statements of operations and comprehensive loss. As such, our operating expenses may be impacted by future changes in exchange rates. See “Quantitative and Qualitative Disclosure About Market Risks” for further discussion.</w:t>
      </w:r>
    </w:p>
    <w:p>
      <w:pPr>
        <w:spacing w:after="0" w:line="187"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decrease in the near term as a result of our cost saving initiatives and our strategic reprioritization announced in March 2026. However, we expect that our general and administrative expenses may increase in the future if and as we increase our general and administrative headcount to support our continued research and development and potential commercialization of our portfolio of product candidates. We also expect to continue to incur increased expenses associated with being a public company including costs of accounting, audit, information systems, legal, intellectual property, regulatory and tax compliance services, director and officer insurance and investor and public relations.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and Other Income</w:t>
      </w:r>
    </w:p>
    <w:p>
      <w:pPr>
        <w:spacing w:after="0" w:line="227"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Interest and other income consists primarily of interest earned on our cash held in operating accounts and our cash equivalents.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expense consists primarily of interest expense for financing arrangements.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are subject to corporate taxation in the United States and the U.K. We have generated losses since inception and have therefore not paid U.K. corporation tax. The provision for (benefit from) income taxes included in the condensed consolidated statements of operations and comprehensive loss represents the tax impact from operating activities in the United States, which has generated taxable income based on intercompany service arrangements.</w:t>
      </w:r>
    </w:p>
    <w:p>
      <w:pPr>
        <w:spacing w:after="0" w:line="180" w:lineRule="exact"/>
        <w:rPr>
          <w:sz w:val="20"/>
          <w:szCs w:val="20"/>
          <w:color w:val="auto"/>
        </w:rPr>
      </w:pPr>
    </w:p>
    <w:p>
      <w:pPr>
        <w:ind w:left="60" w:right="139" w:firstLine="648"/>
        <w:spacing w:after="0" w:line="273" w:lineRule="auto"/>
        <w:rPr>
          <w:sz w:val="20"/>
          <w:szCs w:val="20"/>
          <w:color w:val="auto"/>
        </w:rPr>
      </w:pPr>
      <w:r>
        <w:rPr>
          <w:rFonts w:ascii="Times New Roman" w:cs="Times New Roman" w:eastAsia="Times New Roman" w:hAnsi="Times New Roman"/>
          <w:sz w:val="17"/>
          <w:szCs w:val="17"/>
          <w:color w:val="auto"/>
        </w:rPr>
        <w:t>After consideration of our history of cumulative net losses in the U.K., we have concluded that it is more likely than not that we will not realize the benefits of our U.K. deferred tax assets and accordingly we have provided a valuation allowance for the full amount of the net deferred tax assets in the U.K. We will maintain a full valuation allowance on our U.K. deferred tax assets until there is sufficient evidence to support the reversal of all or some portion of these allowances. The release of the valuation allowance would result in the recognition of certain deferred tax assets and an increase to the benefit from income taxes for the period the release is recorded. However, the exact timing and amount of the valuation allowance release are subject to change on the basis of the level of profitability that we are able to actually achieve.</w:t>
      </w:r>
    </w:p>
    <w:p>
      <w:pPr>
        <w:spacing w:after="0" w:line="171"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Unsurrendered U.K. losses may be carried forward indefinitely to be offset against future taxable profits, subject to numerous utilization criteria and restrictions. 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2025</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vMerge w:val="restart"/>
          </w:tcPr>
          <w:p>
            <w:pPr>
              <w:ind w:left="45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center"/>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7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4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14,112</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47,534</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77,285</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 provision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(59,100)</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Collaboration revenue increased by $22.3 million in the three months ended September 30, 2026, compared to the three months ended September 30, 2025, primarily due to an increase of $33.0 million from our collaboration with Bayer due to the recognition of all remaining revenue upon the notice of termination from Bayer in July 2026, effective in September 2026, offset by decreases of $2.2 million from our collaboration with Novartis and $6.5 million from our collaboration with Genentech, which were terminated effective February 2026 and August 2025, respectively, as well as a decrease of $2.0 million from our collaboration with Ionis due to a milestone achieved in the third quarter of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our research and development expenses for the periods presented: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40" w:type="dxa"/>
            <w:vAlign w:val="bottom"/>
            <w:vMerge w:val="restart"/>
          </w:tcPr>
          <w:p>
            <w:pPr>
              <w:ind w:left="5300"/>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40" w:type="dxa"/>
            <w:vAlign w:val="bottom"/>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4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top w:val="single" w:sz="8" w:color="auto"/>
            </w:tcBorders>
            <w:gridSpan w:val="2"/>
          </w:tcPr>
          <w:p>
            <w:pPr>
              <w:jc w:val="right"/>
              <w:ind w:right="13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Zelenectide pevedotin (Nectin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 BDC)</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27,461</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(17,275)</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Nuzefatide pevedotin (EphA2 BDC)</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BT1702 (MT1-MMP BRC)</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Bicycle tumor-targeted immune cell agonists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Discovery, platform and other expense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and contractor related expenses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expenses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incentives and government grants</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(4,840)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09"/>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259" w:firstLine="648"/>
        <w:spacing w:after="0" w:line="289" w:lineRule="auto"/>
        <w:rPr>
          <w:sz w:val="20"/>
          <w:szCs w:val="20"/>
          <w:color w:val="auto"/>
        </w:rPr>
      </w:pPr>
      <w:r>
        <w:rPr>
          <w:rFonts w:ascii="Times New Roman" w:cs="Times New Roman" w:eastAsia="Times New Roman" w:hAnsi="Times New Roman"/>
          <w:sz w:val="17"/>
          <w:szCs w:val="17"/>
          <w:color w:val="auto"/>
        </w:rPr>
        <w:t>Research and development expenses decreased by $25.0 million in the three months ended September 30, 2026 compared to the three months ended September 30, 2025, primarily due to decreases of $17.3 million in clinical program expenses for zelenectide pevedotin as the Duravelo-2 clinical trial was fully enrolled throughout the three months ended</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September 30, 2026, and the program has been deprioritized for internal development, resulting in decreased expense period over period, $5.9 million and $1.8 million in employee and contractor related expenses and share-based compensation, respectively, primarily due to decreased headcount period over period associated with our workforce reductions announced in August 2025 and March 2026, and $2.5 million in discovery, platform and other expense due to the timing of preclinical activities for our pipeline programs. These decreases were offset by $2.8 million lower research and development incentives associated with the corresponding decrease in qualifying research and development expenses period over period.</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begin to separately track program expenses at candidate nomination, at which point we accumulate all direct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external program costs to support that program to date. Through September 30, 2026, we have incurred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$334.2 million and $64.0 million of direct external expenses for the development of zelenectide pevedotin and nuzefatide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pevedotin, respectively, since their candidate nominations, an aggregate of $1.3 million for the development of BT1702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since its candidate nomination, and an aggregate of $52.2 million of direct external expenses for the development of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two named Bicycle TICA molecule candidates since their nominations.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our general and administrative expenses for the periods presented:</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48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Personnel-related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administration costs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0"/>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14,112</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w:t>
            </w: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$4.7 million in the three months ended September 30, 2026 compared to the three months ended September 30, 2025. This decrease was primarily due to decreases of $2.6 million and $1.6 million in personnel-related costs and share-based compensation, respectively, primarily due to decreased headcount period over period associated with our workforce reductions announced in August 2025 and March 2026.</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Other income, net decreased by $2.5 million in the three months ended September 30, 2026 compared to the three months ended September 30, 2025, which was primarily due to a decrease in interest income of $2.5 million due to lower cash and cash equivalents balances period over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and 2025</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3"/>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vMerge w:val="restart"/>
          </w:tcPr>
          <w:p>
            <w:pPr>
              <w:ind w:left="45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4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gridSpan w:val="2"/>
          </w:tcPr>
          <w:p>
            <w:pPr>
              <w:jc w:val="center"/>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4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Borders>
              <w:top w:val="single" w:sz="8" w:color="auto"/>
            </w:tcBorders>
            <w:gridSpan w:val="2"/>
          </w:tcPr>
          <w:p>
            <w:pPr>
              <w:jc w:val="right"/>
              <w:ind w:right="17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35,573</w:t>
            </w:r>
          </w:p>
        </w:tc>
        <w:tc>
          <w:tcPr>
            <w:tcW w:w="74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123,483</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188,513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45,608</w:t>
            </w:r>
          </w:p>
        </w:tc>
        <w:tc>
          <w:tcPr>
            <w:tcW w:w="2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169,091</w:t>
            </w: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246,988</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(133,518)</w:t>
            </w:r>
          </w:p>
        </w:tc>
        <w:tc>
          <w:tcPr>
            <w:tcW w:w="2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(222,357)</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88,839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2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22,438</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 provision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(120,205)</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(199,919)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(198,806)</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Collaboration revenue increased by $10.9 million in the nine months ended September 30, 2026, compared to the nine months ended September 30, 2025, primarily due to an increase of $32.7 million from our collaboration with Bayer due to the recognition of all remaining revenue upon the notice of termination from Bayer in July 2026, effective in September 2026, offset by decreases of $5.1 million from our collaboration with Novartis and $14.7 million from our collaboration with Genentech, which were terminated effective February 2026 and August 2025, respectively, as well as a decrease of $2.0 million from our collaboration with Ionis due to a milestone achieved in the third quarter of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our research and development expenses for the periods presented: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40" w:type="dxa"/>
            <w:vAlign w:val="bottom"/>
            <w:vMerge w:val="restart"/>
          </w:tcPr>
          <w:p>
            <w:pPr>
              <w:ind w:left="5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23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4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top w:val="single" w:sz="8" w:color="auto"/>
            </w:tcBorders>
            <w:gridSpan w:val="2"/>
          </w:tcPr>
          <w:p>
            <w:pPr>
              <w:jc w:val="right"/>
              <w:ind w:right="13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Zelenectide pevedotin (Nectin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 BDC)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50,815</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104,204</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(53,389)</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Nuzefatide pevedotin (EphA2 BDC)</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BT1702 (MT1-MMP BRC)</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Bicycle tumor-targeted immune cell agonists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Discovery, platform and other expense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and contractor related expenses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expenses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incentives and government grants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(17,388)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0" w:type="dxa"/>
            <w:vAlign w:val="bottom"/>
          </w:tcPr>
          <w:p>
            <w:pPr>
              <w:spacing w:after="0"/>
              <w:rPr>
                <w:sz w:val="1"/>
                <w:szCs w:val="1"/>
                <w:color w:val="auto"/>
              </w:rPr>
            </w:pPr>
          </w:p>
        </w:tc>
      </w:tr>
      <w:tr>
        <w:trPr>
          <w:trHeight w:val="209"/>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123,483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firstLine="648"/>
        <w:spacing w:after="0" w:line="277" w:lineRule="auto"/>
        <w:rPr>
          <w:sz w:val="20"/>
          <w:szCs w:val="20"/>
          <w:color w:val="auto"/>
        </w:rPr>
      </w:pPr>
      <w:r>
        <w:rPr>
          <w:rFonts w:ascii="Times New Roman" w:cs="Times New Roman" w:eastAsia="Times New Roman" w:hAnsi="Times New Roman"/>
          <w:sz w:val="17"/>
          <w:szCs w:val="17"/>
          <w:color w:val="auto"/>
        </w:rPr>
        <w:t>Research and development expenses decreased by $65.0 million in the nine months ended September 30, 2026 compared to the nine months ended September 30, 2025, primarily due to decreases of $53.4 million in clinical program expenses for zelenectide pevedotin as the Duravelo-2 clinical trial was fully enrolled throughout the nine months ended September 30, 2026, and the program has been deprioritized for internal development, resulting in decreased expense period over period, $11.3 million and $4.7 million in employee and contractor related expenses and share-based</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compensation, respectively, primarily due to decreased headcount period over period associated with our workforce reductions announced in August 2025 and March 2026 offset by increased employee and contractor related expenses for severance and other employee termination benefits period over period, and $6.7 million in discovery, platform and other expense due to the timing of preclinical activities for our pipeline programs. These decreases were offset by $11.1 million lower research and development incentives associated with the corresponding decrease in qualifying research and development expenses period over period, as well as an increase in program expenses of $1.3 million for BT1702 due to ongoing IND-enabling activities.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our general and administrative expenses for the periods presented:</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48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Personnel-related costs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17,942</w:t>
            </w: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21,411</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administration costs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09"/>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(12,867)</w:t>
            </w: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decreased by $12.9 million in the nine months ended September 30, 2026 compared to the nine months ended September 30, 2025. This decrease was primarily due to decreases of $5.3 million in professional and consulting fees primarily associated with decreased legal and consulting fees period over period, as well as decreases of $4.4 million and $3.5 million in share-based compensation and personnel-related costs, respectively, primarily due to decreased headcount period over period associated with our workforce reductions announced in August 2025 and March 2026, offset by increased employee and contractor related expenses for severance and other employee termination benefits period over period.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Other income, net decreased by $9.1 million in the nine months ended September 30, 2026 compared to the nine months ended September 30, 2025, which was primarily due to a decrease in interest income of $9.1 million due to lower cash and cash equivalents balances period over period.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227"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provision for income taxes of $1.4 million for the nine months ended September 30, 2026 was primarily due to a decrease in income tax benefits related to the completion of a U.S. research and development tax credit study. The benefit from income taxes of $1.1 million for the nine months ended September 30, 2025, was primarily the result of deferred tax assets benefited in the United States that do not have a valuation allowance against them because of profits that will be generated by an intercompany service agreement.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From our inception through September 30, 2026, we have not generated any revenue from product sales and have incurred significant operating losses and negative cash flows from our operations. We do not expect to generate significant revenue from sales of any products for several years, if at all.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with proceeds from the sale of equity securities; proceeds received from upfront payments, payments for research and development services, and development milestone payments pursuant to collaboration agreements; and loan borrowings.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40" w:type="dxa"/>
            <w:vAlign w:val="bottom"/>
            <w:vMerge w:val="restart"/>
          </w:tcPr>
          <w:p>
            <w:pPr>
              <w:ind w:left="5400"/>
              <w:spacing w:after="0"/>
              <w:rPr>
                <w:sz w:val="20"/>
                <w:szCs w:val="20"/>
                <w:color w:val="auto"/>
              </w:rPr>
            </w:pPr>
            <w:r>
              <w:rPr>
                <w:rFonts w:ascii="Times New Roman" w:cs="Times New Roman" w:eastAsia="Times New Roman" w:hAnsi="Times New Roman"/>
                <w:sz w:val="14"/>
                <w:szCs w:val="14"/>
                <w:b w:val="1"/>
                <w:bCs w:val="1"/>
                <w:color w:val="auto"/>
              </w:rPr>
              <w:t>​​​</w:t>
            </w:r>
          </w:p>
        </w:tc>
        <w:tc>
          <w:tcPr>
            <w:tcW w:w="33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gridSpan w:val="3"/>
          </w:tcPr>
          <w:p>
            <w:pPr>
              <w:jc w:val="center"/>
              <w:ind w:left="1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(155,833)</w:t>
            </w:r>
          </w:p>
        </w:tc>
        <w:tc>
          <w:tcPr>
            <w:tcW w:w="4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(230,329)</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140" w:type="dxa"/>
            <w:vAlign w:val="bottom"/>
            <w:tcBorders>
              <w:top w:val="single" w:sz="8" w:color="auto"/>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(231,195)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2026 was $155.8 million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compared to $230.3 million for the nine months ended September 30, 2025. The decrease in cash used in operations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$74.5 million was primarily due to a decrease in cash payments for clinical program activities, primarily related to clinical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trials for zelenectide pevedotin as the Duravelo-2 clinical trial was fully enrolled throughout the nine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and the program has been deprioritized for internal development, resulting in reduced cash payments,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the prior year included higher payments associated with the initiation of the Phase I/II clinical trials for zelenectide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pevedotin in patients with NECTIN4 amplified advanced breast cancer and NECTIN4 amplified advanced or metastatic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non-small cell lung cancer.</w:t>
      </w: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25" w:lineRule="exact"/>
        <w:rPr>
          <w:sz w:val="20"/>
          <w:szCs w:val="20"/>
          <w:color w:val="auto"/>
        </w:rPr>
      </w:pPr>
    </w:p>
    <w:p>
      <w:pPr>
        <w:ind w:left="60" w:right="119" w:firstLine="648"/>
        <w:spacing w:after="0" w:line="312" w:lineRule="auto"/>
        <w:rPr>
          <w:sz w:val="20"/>
          <w:szCs w:val="20"/>
          <w:color w:val="auto"/>
        </w:rPr>
      </w:pPr>
      <w:r>
        <w:rPr>
          <w:rFonts w:ascii="Times New Roman" w:cs="Times New Roman" w:eastAsia="Times New Roman" w:hAnsi="Times New Roman"/>
          <w:sz w:val="17"/>
          <w:szCs w:val="17"/>
          <w:color w:val="auto"/>
        </w:rPr>
        <w:t>During the nine months ended September 30, 2026 and 2025, we used $1.3 million and $1.8 million, respectively, of cash in investing activities for purchases of property and equipment, consisting primarily of laboratory equipment.</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During each of the nine months ended September 30, 2026 and 2025, net cash used in financing activities was $0.1 million, primarily consisting of principal payments on finance lease obligations.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Resources and Funding Requirements</w:t>
      </w:r>
    </w:p>
    <w:p>
      <w:pPr>
        <w:spacing w:after="0" w:line="229"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Our material cash requirements include expenses associated with our ongoing activities, particularly as we advance the preclinical activities and clinical trials of our product candidates and as we:</w:t>
      </w:r>
    </w:p>
    <w:p>
      <w:pPr>
        <w:spacing w:after="0" w:line="162" w:lineRule="exact"/>
        <w:rPr>
          <w:sz w:val="20"/>
          <w:szCs w:val="20"/>
          <w:color w:val="auto"/>
        </w:rPr>
      </w:pPr>
    </w:p>
    <w:p>
      <w:pPr>
        <w:ind w:left="1040" w:right="51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development of our product candidates, including continuing current trials and conducting future clinical trials of nuzefatide pevedotin and BT1702;</w:t>
      </w:r>
    </w:p>
    <w:p>
      <w:pPr>
        <w:spacing w:after="0" w:line="161"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 including expanding our pipeline of Bicycle radioligand molecules and next-generation BDC molecules;</w:t>
      </w:r>
    </w:p>
    <w:p>
      <w:pPr>
        <w:spacing w:after="0" w:line="161"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necessary processes, controls and manufacturing data to seek to obtain marketing approval for our product candidates and to support manufacturing of product to commercial scale;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 if any;</w:t>
      </w:r>
    </w:p>
    <w:p>
      <w:pPr>
        <w:spacing w:after="0" w:line="225" w:lineRule="exact"/>
        <w:rPr>
          <w:rFonts w:ascii="Times New Roman" w:cs="Times New Roman" w:eastAsia="Times New Roman" w:hAnsi="Times New Roman"/>
          <w:sz w:val="18"/>
          <w:szCs w:val="18"/>
          <w:color w:val="auto"/>
        </w:rPr>
      </w:pPr>
    </w:p>
    <w:p>
      <w:pPr>
        <w:ind w:left="1040" w:right="279" w:hanging="315"/>
        <w:spacing w:after="0" w:line="26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non-clinical, clinical, pharmacovigilance, quality assurance, regulatory affairs, manufacturing, distribution, legal, compliance, medical affairs, finance, commercial and scientific personnel;</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products and technologies;</w:t>
      </w:r>
    </w:p>
    <w:p>
      <w:pPr>
        <w:spacing w:after="0" w:line="225"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infrastructure and facilities to accommodate our growing employee base, including adding equipment and infrastructure to support our research and development; and</w:t>
      </w:r>
    </w:p>
    <w:p>
      <w:pPr>
        <w:spacing w:after="0" w:line="161"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research and development programs, any future commercialization efforts.</w:t>
      </w:r>
    </w:p>
    <w:p>
      <w:pPr>
        <w:spacing w:after="0" w:line="162"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If we obtain marketing approval for any product candidate that we identify and develop, we expect to incur significant commercialization expenses related to product sales, marketing, manufacturing, and distribution to the extent that such sales, marketing, and distribution are not the responsibility of our collaboration partners.</w:t>
      </w:r>
    </w:p>
    <w:p>
      <w:pPr>
        <w:spacing w:after="0" w:line="176"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September 30, 2026, and the effects that such obligations are expected to have on our liquidity and cash flows in future periods. For additional information, see Note 10 to our condensed consolidated financial statements appearing elsewhere in this Quarterly Report.</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ind w:left="940"/>
              <w:spacing w:after="0" w:line="131"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gridSpan w:val="2"/>
          </w:tcPr>
          <w:p>
            <w:pPr>
              <w:jc w:val="right"/>
              <w:ind w:right="96"/>
              <w:spacing w:after="0" w:line="13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20" w:type="dxa"/>
            <w:vAlign w:val="bottom"/>
            <w:gridSpan w:val="2"/>
          </w:tcPr>
          <w:p>
            <w:pPr>
              <w:jc w:val="right"/>
              <w:ind w:right="50"/>
              <w:spacing w:after="0" w:line="13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600" w:type="dxa"/>
            <w:vAlign w:val="bottom"/>
            <w:gridSpan w:val="2"/>
          </w:tcPr>
          <w:p>
            <w:pPr>
              <w:jc w:val="right"/>
              <w:ind w:right="339"/>
              <w:spacing w:after="0" w:line="13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 years to 5 years</w:t>
            </w: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4"/>
          </w:tcPr>
          <w:p>
            <w:pPr>
              <w:jc w:val="right"/>
              <w:ind w:right="41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Operating lease commitments</w:t>
            </w:r>
            <w:r>
              <w:rPr>
                <w:rFonts w:ascii="Times New Roman" w:cs="Times New Roman" w:eastAsia="Times New Roman" w:hAnsi="Times New Roman"/>
                <w:sz w:val="25"/>
                <w:szCs w:val="25"/>
                <w:color w:val="auto"/>
                <w:vertAlign w:val="superscript"/>
              </w:rPr>
              <w:t>(1)</w:t>
            </w:r>
          </w:p>
        </w:tc>
        <w:tc>
          <w:tcPr>
            <w:tcW w:w="1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6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Finance lease commitments</w:t>
            </w:r>
            <w:r>
              <w:rPr>
                <w:rFonts w:ascii="Times New Roman" w:cs="Times New Roman" w:eastAsia="Times New Roman" w:hAnsi="Times New Roman"/>
                <w:sz w:val="25"/>
                <w:szCs w:val="25"/>
                <w:color w:val="auto"/>
                <w:vertAlign w:val="superscript"/>
              </w:rPr>
              <w:t>(2)</w:t>
            </w:r>
          </w:p>
        </w:tc>
        <w:tc>
          <w:tcPr>
            <w:tcW w:w="10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17,222</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720" w:right="119" w:hanging="319"/>
        <w:spacing w:after="0" w:line="255"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minimum payments due for our office and laboratory space leases. We have one office and laboratory lease in Cambridge, U.K. under an operating lease with a lease term through December 2031. We have one office and laboratory lease in Massachusetts, U.S. under an operating lease with a lease term through December 2027.</w:t>
      </w:r>
    </w:p>
    <w:p>
      <w:pPr>
        <w:spacing w:after="0" w:line="2" w:lineRule="exact"/>
        <w:rPr>
          <w:rFonts w:ascii="Times New Roman" w:cs="Times New Roman" w:eastAsia="Times New Roman" w:hAnsi="Times New Roman"/>
          <w:sz w:val="18"/>
          <w:szCs w:val="18"/>
          <w:color w:val="auto"/>
        </w:rPr>
      </w:pPr>
    </w:p>
    <w:p>
      <w:pPr>
        <w:ind w:left="720" w:right="539" w:hanging="319"/>
        <w:spacing w:after="0" w:line="255"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table above exclude payments related to an agreement that contains a lease for property and equipment that has not yet commenced with a contractual period of two years and aggregate payments of approximately $5.2 million.</w:t>
      </w:r>
    </w:p>
    <w:p>
      <w:pPr>
        <w:spacing w:after="0" w:line="18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enter into various agreements with contract research organizations to provide clinical trial services, with contract manufacturing organizations to provide clinical trial materials, and with vendors for preclinical research studies, synthetic chemistry and other services for operating purposes. These payments are not included in the table above since the contracts are generally cancelable with advanced written notice, generally with a notice period of 90 days or less. From the time of notice until termination, we are contractually obligated to make certain minimum payments to the vendors, based on the timing of the notification and the exact terms of the agreement.</w:t>
      </w:r>
    </w:p>
    <w:p>
      <w:pPr>
        <w:spacing w:after="0" w:line="18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We have also entered into separate agreements with third parties which provide for various future milestone payments upon the achievement of specified development, regulatory, commercial and sales-based milestones with an aggregate total value of $105.8 million, as well as potential future royalty and other payments at percentages ranging from very low to low single digits. These additional milestone payments are contingent upon future events that are not considered probable of achievement as of September 30, 2026. As of September 30, 2026, we were unable to estimate the timing or likelihood of achieving these milestones.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2026, we had cash and cash equivalents of $469.9 million. We expect that our existing cash and cash equivalents will enable us to fund our operating expenses and capital expenditure requirements for at least 12 months from the date of filing of this Quarterly Report.</w:t>
      </w:r>
    </w:p>
    <w:p>
      <w:pPr>
        <w:spacing w:after="0" w:line="176"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We have based our estimates on assumptions that may prove to be wrong, and we may use our available capital resources sooner than we currently expect. Because of the numerous risks and uncertainties associated with the development of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p>
    <w:p>
      <w:pPr>
        <w:spacing w:after="0" w:line="187" w:lineRule="exact"/>
        <w:rPr>
          <w:sz w:val="20"/>
          <w:szCs w:val="20"/>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in light of the impacts of the unfavorable global economic and political conditions;</w:t>
      </w:r>
    </w:p>
    <w:p>
      <w:pPr>
        <w:spacing w:after="0" w:line="225"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the product candidates we may develop;</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clinical trials in a timely manner and to quickly resolve any delays or clinical holds that may be imposed on our development programs;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our manufacturing process development and evaluation of third-party manufacturers and suppliers;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and submitting marketing approvals for any of our product candidates that successfully complete clinical trials, and the costs of maintaining marketing authorization and related regulatory compliance for any products for which we obtain marketing approval;</w:t>
      </w:r>
    </w:p>
    <w:p>
      <w:pPr>
        <w:spacing w:after="0" w:line="175"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1040" w:right="75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current and any future license agreements and collaborations; and the extent to which we acquire or in-license other product candidates, technologies and intellectual property.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ongoing or future collaborations;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Until such time, if ever, that we can generate product revenue sufficient to achieve profitability, we expect to finance our cash needs through a combination of equity offerings, debt financings, collaborations, monetization transactions, government contracts or other strategic transactions. To the extent that we raise additional capital through the sale of equity, ownership interests of existing holders of our ADSs and ordinary shares will be diluted, and the terms of these securities may include liquidation or other preferences that adversely affect the rights of holders of our ADSs or ordinary shares. If we raise additional funds through collaboration agreements, strategic alliances, licensing arrangements, monetization transactions, or marketing and distribution arrangements, we may have to relinquish valuable rights to our technologies, future revenue streams, research programs or product candidates or grant licenses on terms that may not be favorable to us or grant rights to develop and market products or product candidates that we would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otherwise prefer to develop and market ourselves. Future debt financing, if available, may involve covenants restricting our operations or our ability to incur additional debt. Any debt or equity financing that we raise may contain terms that are not favorable to us or our shareholders.</w:t>
      </w:r>
    </w:p>
    <w:p>
      <w:pPr>
        <w:spacing w:after="0" w:line="1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Global trade disruption, volatility in the capital markets and continued uncertainty may contribute to a general global economic slowdown or recession. Inflationary factors, such as increases in the cost of our clinical trial materials and supplies, interest rates and overhead costs may adversely affect our operating results. In addition, current or future tariffs or other trade barriers may result in increased research and development expenses, including with respect to increased costs associated with active pharmaceutical ingredients, raw materials, laboratory equipment and research materials and components. High interest rates also present a recent challenge impacting the U.S. economy and could make it more difficult for us to obtain traditional financing on acceptable terms, if at all, in the future. Furthermore, such economic conditions have produced downward pressure on share prices. Although we do not believe that inflation has had a material impact on our financial position or results of operations to date, in the future increased inflation rates and macroeconomic turmoil may adversely affect us by increasing our costs and the costs of our CMOs and other suppliers. In addition, our labor and research and development costs may increase due to supply chain constraints, consequences associated with geopolitical conflicts, wars, worsening global macroeconomic conditions, including those resulting from changes in global trade policies, or other factors, which may result in additional stress on our working capital resources. If we are unable to raise capital when needed or on attractive terms, we would be forced to delay, reduce, or eliminate our research and development programs or future commercialization efforts.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condensed consolidated financial statements, which have been prepared in accordance with U.S. GAAP. The preparation of our condensed consolidated financial statements and related disclosures requires us to make estimates, assumptions and judgments that affect the reported amounts of assets, liabilities, revenue, costs and expenses, and related disclosures.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92"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Operations—Critical Accounting Estimates” in our 2025 Annual Report, which was filed with the SEC on March 17, 2026. If actual results or events differ materially from the estimates, judgments and assumptions used by us in applying these policies, our reported financial condition and results of operations could be materially affected. Other than as disclosed in Note 2 to the condensed consolidated financial statements included in this Quarterly Report, there have been no significant changes to our critical accounting estimates from those described in our 2025 Annual Report.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of September 30, 2026, we had cash and cash equivalents of $469.9 million. Our exposure to interest rate sensitivity is impacted by changes in the underlying U.K. and U.S. bank interest and treasury rates. Our surplus cash has been invested in money market funds that invest primarily in short-term highly liquid securities that maintain a stable net asset value.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fair market value of our portfolio. Our earnings would be affected by changes in interest rates due to the impact those changes have on interest income generated from our cash and cash equivalents. We believe we have minimal interest rate risk as a one percentage point change in the average interest rate on our portfolio would not have a material effect on our condensed consolidated statements of operations and comprehensive loss for the three and nine months ended September 30,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functional currency is the currency of the primary economic environment in which an entity’s operations are conducted. The functional currency of Bicycle Therapeutics plc and Bicycle Therapeutics Inc. is the United States Dollar, or USD. The functional currency of Bicycle Therapeutics plc’s wholly owned non-U.S. subsidiaries, BicycleTx Limited and BicycleRD Limited, is the British Pound Sterling, and the condensed consolidated financial statements are presented in USD. The functional currency of our subsidiaries is the same as the local currency.</w:t>
      </w:r>
    </w:p>
    <w:p>
      <w:pPr>
        <w:spacing w:after="0" w:line="18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Monetary assets and liabilities denominated in currencies other than the functional currency are remeasured into the functional currency at rates of exchange prevailing at the balance sheet dates. Non-monetary assets and liabilities denominated in foreign currencies are remeasured into the functional currency at the exchange rates prevailing at the date of the transaction. Exchange gains or losses arising from foreign currency transactions are included in the determination of net loss for the respective periods. Adjustments that arise from exchange rate changes on transactions denominated in a currency other than the local currency are included in general and administrative expenses in the condensed consolidated statements of operations and comprehensive loss as incurred. We recorded a foreign exchange loss of $6,000 for the three months ended September 30, 2026 and a foreign exchange gain of $0.2 million for the nine months ended September 30, 2026. We recorded foreign exchange gains of $0.2 million and $0.7 million for the three and nine months ended September 30, 2025.</w:t>
      </w:r>
    </w:p>
    <w:p>
      <w:pPr>
        <w:spacing w:after="0" w:line="19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For financial reporting purposes, our condensed consolidated financial statements have been translated into USD. We translate the assets and liabilities of BicycleTx Limited and BicycleRD Limited into USD at the exchange rate in effect on the balance sheet date. Revenues and expenses are translated at the average exchange rate in effect during the period and shareholders’ equity amounts are translated based on historical exchange rates as of the date of each transaction.</w:t>
      </w:r>
    </w:p>
    <w:p>
      <w:pPr>
        <w:spacing w:after="0" w:line="3" w:lineRule="exact"/>
        <w:rPr>
          <w:sz w:val="20"/>
          <w:szCs w:val="20"/>
          <w:color w:val="auto"/>
        </w:rPr>
      </w:pPr>
    </w:p>
    <w:p>
      <w:pPr>
        <w:ind w:left="60" w:right="559"/>
        <w:spacing w:after="0" w:line="255" w:lineRule="auto"/>
        <w:rPr>
          <w:sz w:val="20"/>
          <w:szCs w:val="20"/>
          <w:color w:val="auto"/>
        </w:rPr>
      </w:pPr>
      <w:r>
        <w:rPr>
          <w:rFonts w:ascii="Times New Roman" w:cs="Times New Roman" w:eastAsia="Times New Roman" w:hAnsi="Times New Roman"/>
          <w:sz w:val="18"/>
          <w:szCs w:val="18"/>
          <w:color w:val="auto"/>
        </w:rPr>
        <w:t>Translation adjustments are not included in determining net loss but are included in our foreign exchange adjustment included in the condensed consolidated statements of shareholders’ equity as a component of accumulated other comprehensive income (loss).</w:t>
      </w:r>
    </w:p>
    <w:p>
      <w:pPr>
        <w:spacing w:after="0" w:line="186"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We do not currently engage in currency hedging activities in order to reduce our currency exposure, but we may begin to do so in the future.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299" w:firstLine="648"/>
        <w:spacing w:after="0" w:line="274" w:lineRule="auto"/>
        <w:rPr>
          <w:sz w:val="20"/>
          <w:szCs w:val="20"/>
          <w:color w:val="auto"/>
        </w:rPr>
      </w:pPr>
      <w:r>
        <w:rPr>
          <w:rFonts w:ascii="Times New Roman" w:cs="Times New Roman" w:eastAsia="Times New Roman" w:hAnsi="Times New Roman"/>
          <w:sz w:val="17"/>
          <w:szCs w:val="17"/>
          <w:color w:val="auto"/>
        </w:rPr>
        <w:t>As required by Rule 13a-15(d) of the Exchange Act, our management, including our principal executive officer and our principal financial officer, conducted an evaluation of the internal control over financial reporting to determine whether any changes occurred during the period covered by this Quarterly Report that have materially affected, or are reasonably likely to materially affect, our internal control over financial reporting. Based on the evaluation of our disclosure controls and procedures at September 30, 2026, our Chief Executive Officer and Chief Financial Officer concluded that, as of such date, our disclosure controls and procedures were effective at the reasonable assurance level.</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119" w:firstLine="648"/>
        <w:spacing w:after="0" w:line="289"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identified in connection with the evaluation required by Rule 13a-15(d) and 15d-15(d) of the Exchange Act that occurred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From time to time, we may become involved in various legal proceedings and claims, either asserted or</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unasserted, which arise in the ordinary course of business. We are not currently subject to any material legal proceedings.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The following information about these risks and uncertainties, together with the other information appearing elsewhere in this Quarterly Report, and our 2025 Annual Report on Form 10-K, filed with the Securities and Exchange Commission, or SEC, on March 17, 2026, including our consolidated financial statements and related notes thereto, should be carefully considered before a decision to invest in our American Depositary Shares, or ADSs.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Additional risks that are currently unknown to us or that we currently believe to be immaterial may also impair our business. In these circumstances, the market price of our ADSs could decline and holders of our ADSs may lose all or part of their investment. We cannot provide assurance that any of the events discussed below will not occur.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Selected Risk Factors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of which you should be aware before making a decision to invest in our ADSs. These risks and uncertainties include, among others, the following:</w:t>
      </w:r>
    </w:p>
    <w:p>
      <w:pPr>
        <w:spacing w:after="0" w:line="162" w:lineRule="exact"/>
        <w:rPr>
          <w:sz w:val="20"/>
          <w:szCs w:val="20"/>
          <w:color w:val="auto"/>
        </w:rPr>
      </w:pPr>
    </w:p>
    <w:p>
      <w:pPr>
        <w:ind w:left="1040" w:right="17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significant operating losses and expect to incur significant and increasing losses for the foreseeable future, and we may never achieve or maintain profitability.</w:t>
      </w:r>
    </w:p>
    <w:p>
      <w:pPr>
        <w:spacing w:after="0" w:line="161" w:lineRule="exact"/>
        <w:rPr>
          <w:rFonts w:ascii="Times New Roman" w:cs="Times New Roman" w:eastAsia="Times New Roman" w:hAnsi="Times New Roman"/>
          <w:sz w:val="18"/>
          <w:szCs w:val="18"/>
          <w:color w:val="auto"/>
        </w:rPr>
      </w:pPr>
    </w:p>
    <w:p>
      <w:pPr>
        <w:jc w:val="both"/>
        <w:ind w:left="1040" w:right="219" w:hanging="315"/>
        <w:spacing w:after="0" w:line="26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substantial additional funding, and if we are unable to raise capital when needed, we could be forced to delay, reduce or eliminate our product discovery and development programs or commercialization efforts.</w:t>
      </w:r>
    </w:p>
    <w:p>
      <w:pPr>
        <w:spacing w:after="0" w:line="17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existing shareholders or holders of our ADSs, restrict our operations or cause us to relinquish valuable rights.</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30"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internal development programs and of our product candidates from our Bicycle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Drug Conjugate, or BDC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Bicycle Radioconjugate, or BRC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programs, which may not successfully complete clinical trials, receive regulatory approval or be successfully commercialized.</w:t>
      </w:r>
    </w:p>
    <w:p>
      <w:pPr>
        <w:spacing w:after="0" w:line="198"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at an early stage in our development efforts, and our product candidates and those of our collaborators represent a new category of medicines and may be subject to heightened regulatory scrutiny until they are established as a therapeutic modality.</w:t>
      </w:r>
    </w:p>
    <w:p>
      <w:pPr>
        <w:spacing w:after="0" w:line="175"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enroll patients in our clinical trials, which could delay or prevent us from proceeding with clinical trials of our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early clinical trials may not be predictive of results of future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19" w:hanging="315"/>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undesirable side effects or have other properties when used alone or in combination with other approved products or investigational new drugs, or IND, that could halt their clinical development, prevent their marketing approval, limit their commercial potential or result in significant negative consequences.</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delayed or not be successful in our efforts to identify or discover additional product candidates.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development strategy, product candidate or indication and fail to capitalize on strategies, product candidates or indications that may be more profitable or for which there is a greater likelihood of success.</w:t>
      </w:r>
    </w:p>
    <w:p>
      <w:pPr>
        <w:spacing w:after="0" w:line="175" w:lineRule="exact"/>
        <w:rPr>
          <w:rFonts w:ascii="Times New Roman" w:cs="Times New Roman" w:eastAsia="Times New Roman" w:hAnsi="Times New Roman"/>
          <w:sz w:val="18"/>
          <w:szCs w:val="18"/>
          <w:color w:val="auto"/>
        </w:rPr>
      </w:pPr>
    </w:p>
    <w:p>
      <w:pPr>
        <w:jc w:val="both"/>
        <w:ind w:left="1040" w:right="159" w:hanging="315"/>
        <w:spacing w:after="0" w:line="258"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designations for our product candidates with the U.S. Food and Drug Administration, or FDA,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spacing w:after="0" w:line="183" w:lineRule="exact"/>
        <w:rPr>
          <w:rFonts w:ascii="Times New Roman" w:cs="Times New Roman" w:eastAsia="Times New Roman" w:hAnsi="Times New Roman"/>
          <w:sz w:val="18"/>
          <w:szCs w:val="18"/>
          <w:color w:val="auto"/>
        </w:rPr>
      </w:pPr>
    </w:p>
    <w:p>
      <w:pPr>
        <w:ind w:left="1040" w:right="139" w:hanging="315"/>
        <w:spacing w:after="0" w:line="258"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preclinical studies and clinical trials, the marketing approval process is expensive, time consuming and uncertain and may prevent us or any collaborators from obtaining approvals for the commercialization of some or all of our product candidates. As a result, we cannot predict when or if, and in which territories, we, or any collaborators, will obtain marketing approval to commercialize a product candidate.</w:t>
      </w:r>
    </w:p>
    <w:p>
      <w:pPr>
        <w:spacing w:after="0" w:line="183" w:lineRule="exact"/>
        <w:rPr>
          <w:rFonts w:ascii="Times New Roman" w:cs="Times New Roman" w:eastAsia="Times New Roman" w:hAnsi="Times New Roman"/>
          <w:sz w:val="18"/>
          <w:szCs w:val="18"/>
          <w:color w:val="auto"/>
        </w:rPr>
      </w:pPr>
    </w:p>
    <w:p>
      <w:pPr>
        <w:ind w:left="1040" w:right="119" w:hanging="315"/>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for any current or future product candidate we develop, if and when approved, may be limited to those patients who are ineligible for established therapies or for whom prior therapies have failed, and may be small.</w:t>
      </w:r>
    </w:p>
    <w:p>
      <w:pPr>
        <w:spacing w:after="0" w:line="175" w:lineRule="exact"/>
        <w:rPr>
          <w:rFonts w:ascii="Times New Roman" w:cs="Times New Roman" w:eastAsia="Times New Roman" w:hAnsi="Times New Roman"/>
          <w:sz w:val="18"/>
          <w:szCs w:val="18"/>
          <w:color w:val="auto"/>
        </w:rPr>
      </w:pPr>
    </w:p>
    <w:p>
      <w:pPr>
        <w:ind w:left="1040" w:right="139" w:hanging="315"/>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marketing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179"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175"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any current or future product candidate will depend upon the degree of market acceptance by physicians, patients, payors and others in the medical community.</w:t>
      </w:r>
    </w:p>
    <w:p>
      <w:pPr>
        <w:spacing w:after="0" w:line="161" w:lineRule="exact"/>
        <w:rPr>
          <w:rFonts w:ascii="Times New Roman" w:cs="Times New Roman" w:eastAsia="Times New Roman" w:hAnsi="Times New Roman"/>
          <w:sz w:val="18"/>
          <w:szCs w:val="18"/>
          <w:color w:val="auto"/>
        </w:rPr>
      </w:pPr>
    </w:p>
    <w:p>
      <w:pPr>
        <w:ind w:left="1040" w:right="99" w:hanging="315"/>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coverage and reimbursement status of newly approved products is uncertain. Failure to obtain or maintain adequate coverage and reimbursement for any of our product candidates could limit our ability to market those products and decrease our ability to generate revenue.</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legislative reform measures may have a negative impact on our business and results of operations.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58"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third parties with whom we work are subject to stringent and evolving U.S. and foreign laws, regulations, rules, contractual obligations, policies and other obligations related to data privacy and security. Our (and third parties with whom we work)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61"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including independent clinical investigators and CROs to conduct and sponsor some of the clinical trials of our product candidates. Any failure by a third party to meet its obligations with respect to the clinical development of our product candidates may delay or impair our ability to obtain regulatory approval for our product candidates.</w:t>
      </w:r>
    </w:p>
    <w:p>
      <w:pPr>
        <w:spacing w:after="0" w:line="179" w:lineRule="exact"/>
        <w:rPr>
          <w:rFonts w:ascii="Times New Roman" w:cs="Times New Roman" w:eastAsia="Times New Roman" w:hAnsi="Times New Roman"/>
          <w:sz w:val="18"/>
          <w:szCs w:val="18"/>
          <w:color w:val="auto"/>
        </w:rPr>
      </w:pPr>
    </w:p>
    <w:p>
      <w:pPr>
        <w:ind w:left="1040" w:right="159" w:hanging="315"/>
        <w:spacing w:after="0" w:line="230"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intend to rely on third parties to manufacture product candidates and supply raw materials used in our product candidates, such as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Pb, which increases the risk that we will not have sufficient quantities of such product candidates or products or such quantities at an acceptable cost, which could delay, prevent or impair our development or commercialization efforts.</w:t>
      </w:r>
    </w:p>
    <w:p>
      <w:pPr>
        <w:spacing w:after="0" w:line="198" w:lineRule="exact"/>
        <w:rPr>
          <w:rFonts w:ascii="Times New Roman" w:cs="Times New Roman" w:eastAsia="Times New Roman" w:hAnsi="Times New Roman"/>
          <w:sz w:val="18"/>
          <w:szCs w:val="18"/>
          <w:color w:val="auto"/>
        </w:rPr>
      </w:pPr>
    </w:p>
    <w:p>
      <w:pPr>
        <w:ind w:left="1040" w:right="79" w:hanging="315"/>
        <w:spacing w:after="0" w:line="261"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products and product candidates, or if the scope of the patent and other intellectual property protection obtained is not sufficiently broad, our competitors could develop and commercialize products similar or identical to ours, and our ability to successfully commercialize our products and product candidates may be adversely affected.</w:t>
      </w:r>
    </w:p>
    <w:p>
      <w:pPr>
        <w:spacing w:after="0" w:line="179" w:lineRule="exact"/>
        <w:rPr>
          <w:rFonts w:ascii="Times New Roman" w:cs="Times New Roman" w:eastAsia="Times New Roman" w:hAnsi="Times New Roman"/>
          <w:sz w:val="18"/>
          <w:szCs w:val="18"/>
          <w:color w:val="auto"/>
        </w:rPr>
      </w:pPr>
    </w:p>
    <w:p>
      <w:pPr>
        <w:ind w:left="1040" w:right="239" w:hanging="315"/>
        <w:spacing w:after="0" w:line="312" w:lineRule="auto"/>
        <w:tabs>
          <w:tab w:leader="none" w:pos="10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sued for infringing intellectual property rights of third parties, such litigation could be costly and time consuming and could prevent or delay us from developing or commercializing our product candidates.</w:t>
      </w:r>
    </w:p>
    <w:p>
      <w:pPr>
        <w:spacing w:after="0" w:line="139" w:lineRule="exact"/>
        <w:rPr>
          <w:rFonts w:ascii="Times New Roman" w:cs="Times New Roman" w:eastAsia="Times New Roman" w:hAnsi="Times New Roman"/>
          <w:sz w:val="17"/>
          <w:szCs w:val="17"/>
          <w:color w:val="auto"/>
        </w:rPr>
      </w:pPr>
    </w:p>
    <w:p>
      <w:pPr>
        <w:ind w:left="1040" w:right="7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workforce reductions were undertaken to significantly reduce our ongoing operating expenses, but they may not result in our intended outcomes and may yield unintended consequences and additional costs.</w:t>
      </w:r>
    </w:p>
    <w:p>
      <w:pPr>
        <w:spacing w:after="0" w:line="161"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ADSs is highly volatile, and holders of our ADSs may not be able to resell their ADSs at or above the price at which they purchased their ADSs.</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with operations outside of the United States, we are subject to economic, political, regulatory and other risks associated with international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left="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significant operating losses and expect to incur significant and increasing losses for the foreseeable future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we may never achieve or maintain profitability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We do not expect to generate revenue or profitability that is necessary to finance our operations in the short term. Since inception, we have incurred recurring losses, including net losses of $121.6 million and $198.8 million for the nine months ended September 30, 2026 and 2025, respectively. As of September 30, 2026, we had an accumulated deficit of $1.0 billion. To date, we have not commercialized any products or generated any revenues from the sale of products, and absent the realization of sufficient revenues from product sales, we may never attain profitability in the future. We have devoted substantially all of our financial resources and efforts to research and development, including preclinical studies and our clinical trials. Our net losses may fluctuate significantly from quarter to quarter and year to year. Net losses and negative cash flows have had, and will continue to have, an adverse effect on our shareholders’ equity and working capital.</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225" w:lineRule="exact"/>
        <w:rPr>
          <w:sz w:val="20"/>
          <w:szCs w:val="20"/>
          <w:color w:val="auto"/>
        </w:rPr>
      </w:pPr>
    </w:p>
    <w:p>
      <w:pPr>
        <w:ind w:left="1040" w:right="41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conduct clinical trials with respect to our BDC and BRC programs and our other pipeline programs;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preclinical and clinical development efforts for any future product candidates;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and further expand our clinical product pipeline;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and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product candidates for clinical development and, potentially, commercialization;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research and development infrastructure, including hiring and retaining additional personnel, such as clinical, quality control and scientific personnel;</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distribution and other commercial infrastructure in the future to commercialize products for which we obtain marketing approval, if any;</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and help us comply with our obligations as a public company; and</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research and development.</w:t>
      </w:r>
    </w:p>
    <w:p>
      <w:pPr>
        <w:spacing w:after="0" w:line="225"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Generating product revenue will depend on our or any of our collaborators’ ability to obtain marketing approval for, and successfully commercialize, one or more of our product candidates. Successful commercialization will require achievement of key milestones, including completing clinical trials of our product candidates, obtaining marketing approval for these product candidates, manufacturing, marketing and selling those products for which we, or any of our collaborators, may obtain marketing approval, satisfying any post-marketing requirements and obtaining reimbursement for our products from private insurance or government payors. Because of the uncertainties and risks associated with these activities, we are unable to accurately predict the timing and amount of revenues, and if or when we might achieve profitability. We and any collaborators may never succeed in these activities and, even if we do, or any collaborators do, we may never generate revenues that are large enough for us to achieve profitability. Even if we do achieve profitability, we may not be able to sustain or increase profitability on a quarterly or annual basis.</w:t>
      </w:r>
    </w:p>
    <w:p>
      <w:pPr>
        <w:spacing w:after="0" w:line="192"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Our revenue to date has been primarily generated from our current and former research collaborations with Bayer Consumer Care AG, or Bayer, Novartis Pharma AG, or Novartis, Ionis Pharmaceuticals, Inc., or Ionis, and Genentech Inc., or Genentech. There can be no assurance that we will generate revenue from our collaborations in the future.</w:t>
      </w:r>
    </w:p>
    <w:p>
      <w:pPr>
        <w:spacing w:after="0" w:line="176"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would depress the market price of our ADSs and could impair our ability to raise capital, expand our business, diversify our product offerings or continue our operations. If we continue to suffer losses, investors may not receive any return on their investment and may lose their entire investment.</w:t>
      </w:r>
    </w:p>
    <w:p>
      <w:pPr>
        <w:spacing w:after="0" w:line="17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holders of our ADSs or ordinary shares to evaluate the success of our business to date and to assess our future viability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259" w:firstLine="648"/>
        <w:spacing w:after="0" w:line="273" w:lineRule="auto"/>
        <w:rPr>
          <w:sz w:val="20"/>
          <w:szCs w:val="20"/>
          <w:color w:val="auto"/>
        </w:rPr>
      </w:pPr>
      <w:r>
        <w:rPr>
          <w:rFonts w:ascii="Times New Roman" w:cs="Times New Roman" w:eastAsia="Times New Roman" w:hAnsi="Times New Roman"/>
          <w:sz w:val="17"/>
          <w:szCs w:val="17"/>
          <w:color w:val="auto"/>
        </w:rPr>
        <w:t>Our business commenced operations in 2009. Our operations to date have been limited to financing and staffing our company, developing our technology, conducting preclinical research and early-stage clinical trials for our product candidates and pursuing strategic collaborations to advance our product candidates. We have not yet demonstrated an ability to successfully conduct late-stage clinical trials, obtain marketing approvals, manufacture a commercial-scale product, or arrange for a third party to do so on our behalf, or conduct sales and marketing activities necessary for successful product commercialization. Accordingly, any current or prospective holder of our ADSs or ordinary shares should consider our prospects in light of the costs, uncertainties, delays and difficulties frequently encountered by</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companies in the early stages of development, especially clinical-stage pharmaceutical companies such as ours. Any predictions made about our future success or viability may not be as accurate as they would be if we had a longer operating history or a history of successfully developing and commercializing pharmaceutical products.</w:t>
      </w:r>
    </w:p>
    <w:p>
      <w:pPr>
        <w:spacing w:after="0" w:line="176"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spacing w:after="0" w:line="176"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significantly from quarter to quarter and year to year due to a variety of factors, many of which are beyond our control and reliance should not be made upon the results of any quarterly or annual periods as indications of future operating performance.</w:t>
      </w:r>
    </w:p>
    <w:p>
      <w:pPr>
        <w:spacing w:after="0" w:line="1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substantial additional funding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if we are unable to raise capital when needed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could be forced to delay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reduce or eliminate our product discovery and development programs or commercialization efforts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We expect our expenses to increase in connection with our ongoing activities, particularly as we initiate new clinical trials of, initiate new research and preclinical development efforts for and seek marketing approval for, our current product candidates or any future product candidates. In addition, if we obtain marketing approval for any of our product candidates, we may incur significant commercialization expenses related to product sales, marketing, manufacturing and distribution to the extent that such sales, marketing, manufacturing and distribution are not the responsibility of a collaborator. Furthermore, we expect to incur significant ongoing costs associated with operating as a public company. Accordingly, we will need to obtain substantial additional funding in connection with our continuing operations. If we are unable to raise capital when needed or on attractive terms, we may be forced to delay, reduce or eliminate our research and development programs or any future commercialization efforts.</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will be required to expend significant funds in order to advance the development of the product candidates in our pipeline, as well as other product candidates we may seek to develop. In addition, while we may seek one or more collaborators for future development of our product candidates,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any of our product candidates. Accordingly, we will be required to obtain further funding through public or private equity offerings, debt financings, collaborations and licensing arrangements or other sources. We do not have any committed external source of funds. Adequate additional financing may not be available to us on acceptable terms, or at all. Our failure to raise capital as and when needed would have a negative impact on our financial condition and our ability to pursue our business strategy.</w:t>
      </w:r>
    </w:p>
    <w:p>
      <w:pPr>
        <w:spacing w:after="0" w:line="19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of $469.9 million as of September 30, 2026, will enable us to fund our operating expenses and capital expenditure requirements for at least 12 months from the date of filing of this Quarterly Report.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87" w:lineRule="exact"/>
        <w:rPr>
          <w:sz w:val="20"/>
          <w:szCs w:val="20"/>
          <w:color w:val="auto"/>
        </w:rPr>
      </w:pPr>
    </w:p>
    <w:p>
      <w:pPr>
        <w:ind w:left="1040" w:right="31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and research and preclinical development efforts for, our current and future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or other arrangements;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one or more future product candidates for our pipeline;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pursue and their development requirements;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17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if any, received from commercial sales of our current and future product candidates;</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and associated costs as we progress our research and development and establish a commercial infrastructure;</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including enforcing and defending intellectual property related claims;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left="60" w:right="119" w:firstLine="648"/>
        <w:spacing w:after="0" w:line="271" w:lineRule="auto"/>
        <w:rPr>
          <w:sz w:val="20"/>
          <w:szCs w:val="20"/>
          <w:color w:val="auto"/>
        </w:rPr>
      </w:pPr>
      <w:r>
        <w:rPr>
          <w:rFonts w:ascii="Times New Roman" w:cs="Times New Roman" w:eastAsia="Times New Roman" w:hAnsi="Times New Roman"/>
          <w:sz w:val="17"/>
          <w:szCs w:val="17"/>
          <w:color w:val="auto"/>
        </w:rPr>
        <w:t>While the long-term economic impact of geopolitical risks, including evolving impacts from tariffs, sanctions or other trade tensions between the United States and other countries, or demand or supply shocks from events such as major terrorist attacks, war, natural disasters or actual or threatened public health pandemics or other emergencies is difficult to assess or predict, these events have caused or may cause significant disruptions to the global financial markets and have contributed or may contribute to a general global economic slowdown. Furthermore, inflation rates, particularly in the United States and the United Kingdom, recently increased to levels not seen in decades and, despite recent decreases, remain high. Increased inflation may result in increased operating costs (including labor costs) and may affect our operating budgets. Future increases in interest rates, especially if coupled with reduced government spending and volatility in financial markets and the global banking system, may further increase economic uncertainty and heighten these risks.</w:t>
      </w:r>
    </w:p>
    <w:p>
      <w:pPr>
        <w:spacing w:after="0" w:line="169"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or holders of our ADSs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restrict our operations or cause us to relinquish valuable rights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licensing arrangements or monetization transactions. To the extent that we raise additional capital through the sale of equity, convertible debt securities or other equity-based derivative securities, the ownership interest of existing holders of our ADSs or ordinary shares will be diluted and the terms may include liquidation or other preferences that adversely affect existing holders’ rights. Any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ADSs to decline and existing shareholders may not agree with our financing plans or the terms of such financings. If we raise additional funds through strategic partnerships and alliances, licensing arrangements or monetization transactions with third parties, we may have to relinquish valuable rights to our technologies, or our product candidates, or grant licenses on terms unfavorable to us. Adequate additional financing may not be available to us on acceptable terms, or at all.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Discovery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Development and Regulatory Approval of Our Product Candidates</w:t>
      </w:r>
    </w:p>
    <w:p>
      <w:pPr>
        <w:spacing w:after="0" w:line="225"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internal development programs and of our product candidates from our BDC and BRC programs, which may not successfully complete clinical trials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receive regulatory approval or be successfully commercialized</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Our future success will depend heavily on the success of our internal development programs and of product candidates from our BDC and BRC programs.</w:t>
      </w:r>
    </w:p>
    <w:p>
      <w:pPr>
        <w:spacing w:after="0" w:line="162" w:lineRule="exact"/>
        <w:rPr>
          <w:sz w:val="20"/>
          <w:szCs w:val="20"/>
          <w:color w:val="auto"/>
        </w:rPr>
      </w:pPr>
    </w:p>
    <w:p>
      <w:pPr>
        <w:ind w:left="60" w:right="59" w:firstLine="648"/>
        <w:spacing w:after="0" w:line="244" w:lineRule="auto"/>
        <w:rPr>
          <w:sz w:val="20"/>
          <w:szCs w:val="20"/>
          <w:color w:val="auto"/>
        </w:rPr>
      </w:pPr>
      <w:r>
        <w:rPr>
          <w:rFonts w:ascii="Times New Roman" w:cs="Times New Roman" w:eastAsia="Times New Roman" w:hAnsi="Times New Roman"/>
          <w:sz w:val="18"/>
          <w:szCs w:val="18"/>
          <w:color w:val="auto"/>
        </w:rPr>
        <w:t xml:space="preserve">Within our BDC programs, we are evaluating nuzefatide pevedotin (formerly BT5528), a BDC molecule that targets Ephrin type-A receptor 2, or EphA2 and carries a MMAE cytotoxin payload, in an ongoing, company-sponsored Phase I/II clinical trial to assess safety, pharmacokinetics and preliminary clinical activity in patients with advanced malignancies historically associated with EphA2 expression as well as an ongoing, company-sponsored Phase II clinical trial to evaluate the efficacy, safety and pharmacokinetics of nuzefatide pevedotin in adult patients with recurrent metastatic pancreatic ductal adenocarcinoma. In addition, IND-enabling activities are currently ongoing for BT1702, a theranostic BRC molecule targeting MT1-MMP and carrying a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Pb radioisotope payload. There can be no assurance our BDC or BRC molecules will ever demonstrate evidence of safety or effectiveness for any use or receive regulatory approval in the United States, the European Union, or any other country in any indication. Even if clinical trials show positive results, there can be no assurance that the FDA in the United States, or the European Commission, whose decision is based on an opinion from the EMA in Europe or similar regulatory authorities will approve our BDC or BRC molecules or any of our other product candidates for any given indication for several potential reasons, including the failure to follow Good Clinical Practice, or GCP, a negative assessment of the risks and benefits, insufficient product quality control and standardization, failure to have Good Manufacturing Practices, or GMP, compliant manufacturing facilities, or the failure to agree with regulatory authorities on clinical endpoints.</w:t>
      </w:r>
    </w:p>
    <w:p>
      <w:pPr>
        <w:spacing w:after="0" w:line="206"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Our ability to successfully commercialize our BDC molecules, BRC molecules, and our other product candidates will depend on, among other things, our ability to:</w:t>
      </w:r>
    </w:p>
    <w:p>
      <w:pPr>
        <w:spacing w:after="0" w:line="162" w:lineRule="exact"/>
        <w:rPr>
          <w:sz w:val="20"/>
          <w:szCs w:val="20"/>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preclinical studies and clinical trials, which may be delayed;</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approvals from the FDA, the European Commission based on an opinion from the EMA and other similar regulatory authorities;</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collaborations with third parties for the development and/or commercialization of our product candidates, or otherwise build and maintain strong development, sales, distribution and marketing capabilities that are sufficient to develop products and launch commercial sales of any approved products;</w:t>
      </w:r>
    </w:p>
    <w:p>
      <w:pPr>
        <w:spacing w:after="0" w:line="175"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payors such as government health care systems and insurance companies and achieve commercially attractive levels of pricing;</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acceptance of our product candidates from physicians, health care payors, patients and the medical community;</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through a validated process, in manufacturing facilities inspected and approved by regulatory authorities, including the FDA, sufficiently large quantities of our product candidates to permit successful commercialization;</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expenses increase due to clinical trials and commercialization; and</w:t>
      </w:r>
    </w:p>
    <w:p>
      <w:pPr>
        <w:spacing w:after="0" w:line="225" w:lineRule="exact"/>
        <w:rPr>
          <w:rFonts w:ascii="Times New Roman" w:cs="Times New Roman" w:eastAsia="Times New Roman" w:hAnsi="Times New Roman"/>
          <w:sz w:val="18"/>
          <w:szCs w:val="18"/>
          <w:color w:val="auto"/>
        </w:rPr>
      </w:pPr>
    </w:p>
    <w:p>
      <w:pPr>
        <w:ind w:left="1040" w:right="319" w:hanging="315"/>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enforce sufficient intellectual property rights for any approved products and product candidates and maintain freedom to operate for such products with respect to the intellectual property rights of third parties.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Of the large number of drugs in development in the pharmaceutical industry, only a small percentage result in the submission of a new drug application, or NDA, to the FDA or comparable foreign applications to competent regulatory authorities abroad, and even fewer are approved for commercialization. Furthermore, even if we do receive regulatory approval to market our product candidates, any such approval may be subject to limitations on the indicated uses or patient populations for which we may market the product. Accordingly, even if we are able to obtain the requisite financing to continue to fund our development programs, we cannot provide assurance that our product candidates will be successfully developed or commercialized. If we are unable to develop, or obtain regulatory approval for, or, if approved, to successfully commercialize our product candidates, we may not be able to generate sufficient revenue to continue our business.</w:t>
      </w:r>
    </w:p>
    <w:p>
      <w:pPr>
        <w:spacing w:after="0" w:line="18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231F20"/>
        </w:rPr>
        <w:t>In addition, the policies of the FDA, the competent authorities of the EU Member States, the EMA, the European Commission and other comparable regulatory authorities responsible for clinical trials may change and additional government regulations may be enacted. For instance, the regulatory landscape related to clinical trials in the EU recently evolved. The CTR, which was adopted in April 2014 and repeals the CTD, became applicable on January 31, 2022. The CTR introduces, among other changes, a centralized application system, coordinated review procedures, expanded reporting and increased transparency obligations. Compliance with the CTR requirements by us and our third-party service providers, such as CROs, may impact our developments plans.</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231F20"/>
        </w:rPr>
        <w:t>In addition, on December 11, 2025, the European Commission, European Parliament and European Council reached a political agreement on a comprehensive overhaul of EU pharmaceutical legislation, or the Pharma Package. The reform has been under negotiation since the European Commission submitted its proposal in April 2023. This package, composed of a new directive and regulation to replace existing legislation, aims to modernize the EU framework. The political agreement is still subject to formal approval by the European Parliament and European Council. If approved in the form proposed, the Pharma Package will, among other changes, reduce the baseline market protection period by one year, with limited opportunities for extensions;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w:t>
      </w:r>
    </w:p>
    <w:p>
      <w:pPr>
        <w:spacing w:after="0" w:line="194"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Moreover, following a public consultation that began in 2022, the United Kingdom government has enacted new legislation to overhaul the clinical trials regulatory framework. In April 2025, the United Kingdom adopted an amendment to the Medicines for Human Use (Clinical Trials) Regulations 2004 intended to support a more streamlined and flexible regulation of clinical trials, remove unnecessary administrative burdens on trial sponsors, and protect the interests of trial participants. It also intends to bring the U.K. regulatory framework for clinical trials into closer alignment with the EU’s CTR. The amendment became applicable on April 28, 2026 following a one-year transition period. While these changes introduce efficiencies and align with some principles of the CTR, divergence between the United Kingdom and EU regulatory systems remains. Any significant divergence could affect the cost and complexity of conducting clinical trials in the United Kingdom and may impact the acceptability of United Kingdom-based trial data for seeking marketing authorizations in the EU, and vice versa.</w:t>
      </w:r>
    </w:p>
    <w:p>
      <w:pPr>
        <w:spacing w:after="0" w:line="194"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231F20"/>
        </w:rPr>
        <w:t>If we are slow or unable to adapt to changes in existing requirements or the adoption of new requirements or policies, our development plans may be impacted.</w:t>
      </w:r>
    </w:p>
    <w:p>
      <w:pPr>
        <w:spacing w:after="0" w:line="158"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at an early stage in our development efforts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our product candidates and those of our collaborators represent a new category of medicines and may be subject to heightened regulatory scrutiny until they are established as a therapeutic modality</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Bicycle molecules are fully synthetic short peptides constrained to form two loops which stabilize their structural geometry. This constraint facilitates target binding with high affinity and selectivity, making Bicycle molecules attractive candidates for drug development. Bicycle molecules are a unique therapeutic modality combining the pharmacology usually associated with a biologic with the manufacturing and pharmacokinetic, or PK, properties of a small molecule. Our product candidates may not demonstrate in patients any or all of the pharmacological benefits we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believe they may possess. We have not yet succeeded and may never succeed in demonstrating efficacy and safety for these or any other product candidates in clinical trials or in obtaining marketing approval thereafter.</w:t>
      </w:r>
    </w:p>
    <w:p>
      <w:pPr>
        <w:spacing w:after="0" w:line="162"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Regulatory authorities have limited experience with Bicycle molecules and may require evidence of safety and efficacy that goes beyond what we and our collaborators have included in our development plans. In such a case, development of Bicycle product candidates may be more costly or time-consuming than expected, and our candidate products and those of our collaboration partners may not prove to be viable.</w:t>
      </w:r>
    </w:p>
    <w:p>
      <w:pPr>
        <w:spacing w:after="0" w:line="180"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58"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and those of our collaborators will need to undergo preclinical and clinical trials that are time consuming and expensive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outcomes of which are unpredictable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for which there is a high risk of failure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preclinical or clinical trials of our or their product candidates fail to satisfactorily demonstrate safety and efficacy to the FDA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EMA and the European Commission and any other comparable regulatory authority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additional costs may be incurred or delays experienced in completing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development of these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their development may be abandoned</w:t>
      </w:r>
      <w:r>
        <w:rPr>
          <w:rFonts w:ascii="Times New Roman" w:cs="Times New Roman" w:eastAsia="Times New Roman" w:hAnsi="Times New Roman"/>
          <w:sz w:val="18"/>
          <w:szCs w:val="18"/>
          <w:i w:val="1"/>
          <w:iCs w:val="1"/>
          <w:color w:val="auto"/>
        </w:rPr>
        <w:t>.</w:t>
      </w:r>
    </w:p>
    <w:p>
      <w:pPr>
        <w:spacing w:after="0" w:line="18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FDA in the United States, the European Commission based on a positive opinion from the EMA, or national competent regulatory authorities in the EEA, countries and any other comparable regulatory authorities in other jurisdictions must approve product candidates before they can be marketed, promoted or sold in those territories. We have not previously submitted an NDA to the FDA or similar drug approval filings to comparable foreign regulatory authorities for any of our product candidates. We must provide these regulatory authorities with data from preclinical studies and clinical trials that demonstrate that our product candidates are safe and effective for a specific indication before they can be approved for commercial distribution. We cannot be certain that our clinical trials for our product candidates will be successful or that any of our other product candidates will receive approval from the FDA, the European Commission based on a positive opinion from the EMA or any other comparable regulatory authority.</w:t>
      </w:r>
    </w:p>
    <w:p>
      <w:pPr>
        <w:spacing w:after="0" w:line="188" w:lineRule="exact"/>
        <w:rPr>
          <w:sz w:val="20"/>
          <w:szCs w:val="20"/>
          <w:color w:val="auto"/>
        </w:rPr>
      </w:pPr>
    </w:p>
    <w:p>
      <w:pPr>
        <w:ind w:left="60" w:right="59" w:firstLine="648"/>
        <w:spacing w:after="0" w:line="270" w:lineRule="auto"/>
        <w:rPr>
          <w:sz w:val="20"/>
          <w:szCs w:val="20"/>
          <w:color w:val="auto"/>
        </w:rPr>
      </w:pPr>
      <w:r>
        <w:rPr>
          <w:rFonts w:ascii="Times New Roman" w:cs="Times New Roman" w:eastAsia="Times New Roman" w:hAnsi="Times New Roman"/>
          <w:sz w:val="17"/>
          <w:szCs w:val="17"/>
          <w:color w:val="auto"/>
        </w:rPr>
        <w:t>Preclinical studies and clinical trials are long, expensive and unpredictable processes that can be subject to extensive delays. We cannot guarantee that any clinical trials will be conducted as planned or completed on schedule, if at all. It may take several years and require significant expenditures to complete the preclinical studies and clinical trials necessary to commercialize a product candidate, and delays or failure are inherently unpredictable and can occur at any stage. New or ongoing public health crises may also impact our and our collaboration partners’ abilities to activate trial sites or enroll patients in clinical trials or to otherwise advance those clinical trials. Interruptions resulting from such crises may reduce our, or our collaboration partners’, abilities to administer the investigational product to enrolled patients, present difficulties for enrolled patients to adhere to protocol-mandated visits and laboratory/diagnostic testing, increase the possibility of patient dropouts, or impact our, and our suppliers’, abilities to provide investigational product to trial sites, all of which could negatively impact the data we are able to obtain from our clinical trials and complicate regulatory review.</w:t>
      </w:r>
    </w:p>
    <w:p>
      <w:pPr>
        <w:spacing w:after="0" w:line="17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may also be required to conduct additional clinical trials or other testing of our product candidates beyond the trials and testing that we contemplate, which may lead to us incurring additional unplanned costs or result in delays in clinical development. In addition, we may be required to redesign or otherwise modify our plans with respect to an ongoing or planned clinical trial, and changing the design of a clinical trial can be expensive and time consuming. An unfavorable outcome in one or more trials would be a major setback for our product candidates and for us. An unfavorable outcome in one or more trials may require us to delay, reduce the scope of or eliminate one or more product development programs, which could have a material adverse effect on our business, financial position, results of operations and future growth prospects.</w:t>
      </w:r>
    </w:p>
    <w:p>
      <w:pPr>
        <w:spacing w:after="0" w:line="19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also ultimately lead to the denial of marketing approval for our product candidates. The FDA, EMA or the European Commission or any other comparable regulatory authority may disagree with our clinical trial design and our interpretation of data from clinical trials or may change the requirements for approval even after it has reviewed and commented on the design for our clinical trials.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connection with clinical trials of our product candidates, we face a number of risks, including risks that:</w:t>
      </w:r>
    </w:p>
    <w:p>
      <w:pPr>
        <w:spacing w:after="0" w:line="225" w:lineRule="exact"/>
        <w:rPr>
          <w:sz w:val="20"/>
          <w:szCs w:val="20"/>
          <w:color w:val="auto"/>
        </w:rPr>
      </w:pPr>
    </w:p>
    <w:p>
      <w:pPr>
        <w:ind w:left="1040" w:right="41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is ineffective, inferior or a rigorous comparison cannot be made to existing approved products for the same indications;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causes or is associated with unacceptable toxicity or has unacceptable side effects;</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may die or suffer adverse effects for reasons that may or may not be related to the product candidate being tested;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may not confirm the positive results of earlier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view around product approval and regulatory pathway may change;</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may not meet the level of statistical significance required by the FDA, the EMA or the European Commission or other relevant regulatory authorities to establish the safety and efficacy of our product candidates for continued trial or strategy for marketing approval; and</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be unable or unwilling to perform under their contracts.</w:t>
      </w:r>
    </w:p>
    <w:p>
      <w:pPr>
        <w:spacing w:after="0" w:line="225"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Furthermore, we sometimes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the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If we fail to achieve milestones in the timeframes we expect, the commercialization of our product candidates may be delayed, we may not be entitled to receive certain contractual payments, which could have a material adverse effect on our business, financial position, results of operations and future growth prospects.</w:t>
      </w:r>
    </w:p>
    <w:p>
      <w:pPr>
        <w:spacing w:after="0" w:line="188"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could delay or prevent us from proceeding with clinical trials of our product candidates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clinical trials because of negative publicity from adverse events related to novel therapeutic approaches, competitive clinical trials for similar patient populations, the existence of current treatments or for other reasons. Enrollment risks are heightened with respect to certain indications that we may target for one or more of our product candidates that may be rare diseases, which may limit the pool of patients that may be enrolled in our planned clinical trials. The timeline for recruiting patients, conducting trials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94"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We may not be able to identify, recruit and enroll a sufficient number of patients, or those with the required or desired characteristics, to complete our clinical trials in a timely manner. For example, due to the nature of the indications that we are initially targeting, patients with advanced disease progression may not be suitable candidates for treatment with our product candidates and may be ineligible for enrollment in our clinical trials. Therefore, early diagnosis in patients with our target diseases is critical to our success. Patient enrollment and trial completion is affected by factors including the:</w:t>
      </w:r>
    </w:p>
    <w:p>
      <w:pPr>
        <w:spacing w:after="0" w:line="168"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subjects;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profile, to date, of the product candidate under study;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our approach to treatment of diseases;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progression of the subject’s disease at the time of enrollment;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subjects;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subject consent;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 of the trial;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subjects adequately during and after treatment.</w:t>
      </w:r>
    </w:p>
    <w:p>
      <w:pPr>
        <w:spacing w:after="0" w:line="225"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 addition, clinical testing of our product candidates generally is performed in multiple jurisdictions, including countries outside of the United States. Our ability to successfully initiate, enroll and complete a clinical trial in any foreign country is subject to numerous risks unique to conducting business in foreign countries, including:</w:t>
      </w:r>
    </w:p>
    <w:p>
      <w:pPr>
        <w:spacing w:after="0" w:line="176" w:lineRule="exact"/>
        <w:rPr>
          <w:sz w:val="20"/>
          <w:szCs w:val="20"/>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academic partners or CROs and physicians;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conduct of clinical trials;</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in some countries of established groups with sufficient regulatory expertise for review of protocols related to our novel approach;</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locate qualified local consultants, physicians and partners; and</w:t>
      </w:r>
    </w:p>
    <w:p>
      <w:pPr>
        <w:spacing w:after="0" w:line="225" w:lineRule="exact"/>
        <w:rPr>
          <w:rFonts w:ascii="Times New Roman" w:cs="Times New Roman" w:eastAsia="Times New Roman" w:hAnsi="Times New Roman"/>
          <w:sz w:val="18"/>
          <w:szCs w:val="18"/>
          <w:color w:val="auto"/>
        </w:rPr>
      </w:pPr>
    </w:p>
    <w:p>
      <w:pPr>
        <w:ind w:left="1040" w:right="75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62"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early clinical trials may not be predictive of results of future clinical trials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339" w:firstLine="648"/>
        <w:spacing w:after="0" w:line="281" w:lineRule="auto"/>
        <w:rPr>
          <w:sz w:val="20"/>
          <w:szCs w:val="20"/>
          <w:color w:val="auto"/>
        </w:rPr>
      </w:pPr>
      <w:r>
        <w:rPr>
          <w:rFonts w:ascii="Times New Roman" w:cs="Times New Roman" w:eastAsia="Times New Roman" w:hAnsi="Times New Roman"/>
          <w:sz w:val="17"/>
          <w:szCs w:val="17"/>
          <w:color w:val="auto"/>
        </w:rPr>
        <w:t>The outcome of preclinical studies and early clinical trials may not be predictive of the success of later clinical trials, and preliminary or interim results of clinical trials do not necessarily predict success in the results of completed clinical trials. Many companies in the pharmaceutical and biotechnology industries have suffered significant setbacks in late-stage clinical trials after achieving positive results in earlier development, and we could face similar setbacks. For</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example, the interim results of our company-sponsored Phase I/II clinical trials of nuzefatide pevedotin and zelenectide pevedotin, including specific patient responses we have observed and disclosed, may not be replicated in the completed data sets or in future trials at global clinical trial sites in a later stage clinical trial conducted by us or our collaborators. The design of a clinical trial can determine whether its results will support approval of a product and flaws in the design of a clinical trial may not become apparent until the clinical trial is well advanced. We have limited experience in designing late-stage clinical trials and may be unable to design and execute a clinical trial to support marketing approval.</w:t>
      </w:r>
    </w:p>
    <w:p>
      <w:pPr>
        <w:spacing w:after="0" w:line="18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any collaborators, believe that the results of clinical trials for our product candidates warrant marketing approval, the FDA or comparable foreign regulatory authorities may disagree and may not grant marketing approval of our product candidates.</w:t>
      </w:r>
    </w:p>
    <w:p>
      <w:pPr>
        <w:spacing w:after="0" w:line="18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our ability to enroll trial participants, changes in and adherence to the dosing regimen and other clinical trial protocols and the rate of dropout among clinical trial participants.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185"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validate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develop and obtain regulatory approval for companion diagnostics could harm our drug development strategy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399" w:firstLine="648"/>
        <w:spacing w:after="0" w:line="255" w:lineRule="auto"/>
        <w:rPr>
          <w:sz w:val="20"/>
          <w:szCs w:val="20"/>
          <w:color w:val="auto"/>
        </w:rPr>
      </w:pPr>
      <w:r>
        <w:rPr>
          <w:rFonts w:ascii="Times New Roman" w:cs="Times New Roman" w:eastAsia="Times New Roman" w:hAnsi="Times New Roman"/>
          <w:sz w:val="18"/>
          <w:szCs w:val="18"/>
          <w:color w:val="auto"/>
        </w:rPr>
        <w:t>We may employ companion diagnostics to help us more accurately identify patients within a particular subset, both during our clinical trials and in connection with the commercialization of our product candidates that we are developing or may in the future develop. Companion diagnostics are subject to regulation by the FDA and comparable foreign regulatory authorities as medical devices and require separate regulatory approval or certification prior to commercialization. In the EEA (and Northern Ireland), in order to place an in vitro diagnostic medical device on the market, the device must be designed, developed, manufactured and marketed in compliance with the Regulation on In-Vitro Diagnostic Devices (Regulation (EU) 2017/746), which is a lengthy and costly process.</w:t>
      </w:r>
    </w:p>
    <w:p>
      <w:pPr>
        <w:spacing w:after="0" w:line="18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do not develop companion diagnostics internally and thus we will be dependent on the sustained cooperation and effort of our third-party collaborators in developing and obtaining approval or certification for these companion diagnostics. There can be no guarantees that we will successfully find a suitable collaborator to develop companion diagnostics. We and our collaborators may encounter difficulties in developing and obtaining approval or certification for the companion diagnostics, including issues relating to selectivity/specificity, analytical validation, reproducibility, or clinical validation. Any delay or failure by our collaborators to develop or obtain regulatory approval or certification of the companion diagnostics could delay or prevent approval of our product candidates. In addition, our collaborators may encounter production difficulties that could constrain the supply of the companion diagnostics, and both they and we may have difficulties gaining acceptance of the use of the companion diagnostics in the clinical community or difficulties obtaining insurance coverage and reimbursement from private insurance or government payors. If such companion diagnostics fail to gain market acceptance, our ability to derive revenues from sales of any products, if approved, will be adversely affected. In addition, the diagnostic company with whom we contract may decide to discontinue selling or manufacturing the companion diagnostic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1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current or future product candidates may cause undesirable side effects or have other properties when used alone or in combination with other approved products or investigational new drugs that could halt their clinical development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prevent their marketing approval</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limit their commercial potential or result in significant negative consequences</w:t>
      </w:r>
      <w:r>
        <w:rPr>
          <w:rFonts w:ascii="Times New Roman" w:cs="Times New Roman" w:eastAsia="Times New Roman" w:hAnsi="Times New Roman"/>
          <w:sz w:val="17"/>
          <w:szCs w:val="17"/>
          <w:i w:val="1"/>
          <w:iCs w:val="1"/>
          <w:color w:val="auto"/>
        </w:rPr>
        <w:t>.</w:t>
      </w:r>
    </w:p>
    <w:p>
      <w:pPr>
        <w:spacing w:after="0" w:line="157"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Undesirable or clinically unmanageable side effects could occur and cause us or regulatory authorities to interrupt, delay or halt clinical trials and could result in a more restrictive label or the delay or denial of marketing approval by the FDA or comparable foreign regulatory authorities. Results of our trials could reveal a high and unacceptable severity and prevalence of side effects or unexpected characteristics. If unacceptable side effect profiles arise, or side effects beyond those identified to date develop or worsen, as we continue development of our current or future product candidates, we, the FDA or comparable foreign regulatory authorities, the Institutional Review Boards, or IRBs, or independent ethics committees at the institutions in which our studies are conducted, or Safety Review Committees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subjects to complete the trial, cause delays in ongoing clinical trials, or result in potential product liability claims. In addition, these side effects may not be appropriately recognized or managed by the treating medical staff. We may be required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prevent us from achieving or maintaining market acceptance of the affected product candidate and may harm our business, financial condition and prospects significantly.</w:t>
      </w:r>
    </w:p>
    <w:p>
      <w:pPr>
        <w:spacing w:after="0" w:line="19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Three of our product candidates are currently undergoing safety testing in the form of Phase I/II or Phase II clinical trials. None of our products have completed this testing to date. While our current and future product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rarer, after our products have been approved by regulatory authorities and the approved product has been marketed, resulting in the exposure of additional patients. So far, we have not demonstrated, and we cannot predict if ongoing or future clinical trials will demonstrate, that nuzefatide pevedotin, zelenectide pevedotin, or any other of our product candidates are safe in humans.</w:t>
      </w:r>
    </w:p>
    <w:p>
      <w:pPr>
        <w:spacing w:after="0" w:line="19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consequences could occur:</w:t>
      </w:r>
    </w:p>
    <w:p>
      <w:pPr>
        <w:spacing w:after="0" w:line="187" w:lineRule="exact"/>
        <w:rPr>
          <w:sz w:val="20"/>
          <w:szCs w:val="20"/>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225"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collaborators, may need to recall the product, or be required to change the way the product is administered or conduct additional clinical trials;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product;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225" w:lineRule="exact"/>
        <w:rPr>
          <w:rFonts w:ascii="Times New Roman" w:cs="Times New Roman" w:eastAsia="Times New Roman" w:hAnsi="Times New Roman"/>
          <w:sz w:val="18"/>
          <w:szCs w:val="18"/>
          <w:color w:val="auto"/>
        </w:rPr>
      </w:pPr>
    </w:p>
    <w:p>
      <w:pPr>
        <w:ind w:left="1040" w:right="81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61"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collaborators, may be required to create a medication guide outlining the risks of the previously unidentified side effects for distribution to patients;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collaborators, could be sued and held liable for harm caused to patients;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If any of our current or future product candidates fail to demonstrate safety and efficacy in clinical trials or do not gain marketing approval, we will not be able to generate revenue and our business will be harmed. Any of these events could harm our business and operations, and could negatively impact the price of our ADSs.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delayed or may not be successful in our efforts to identify or discover additional product candidates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99" w:firstLine="648"/>
        <w:spacing w:after="0" w:line="270" w:lineRule="auto"/>
        <w:rPr>
          <w:sz w:val="20"/>
          <w:szCs w:val="20"/>
          <w:color w:val="auto"/>
        </w:rPr>
      </w:pPr>
      <w:r>
        <w:rPr>
          <w:rFonts w:ascii="Times New Roman" w:cs="Times New Roman" w:eastAsia="Times New Roman" w:hAnsi="Times New Roman"/>
          <w:sz w:val="17"/>
          <w:szCs w:val="17"/>
          <w:color w:val="auto"/>
        </w:rPr>
        <w:t>Although we intend to utilize our Bicycle screening platform to explore other therapeutic opportunities in addition to the product candidates that we are currently developing, we may fail to identify other product candidates for clinical development for a number of reasons. For example, our research methodology may not be successful in identifying potential product candidates or those we identify may be shown to have harmful side effects or other characteristics that make them unmarketable or unlikely to receive regulatory approval. A key part of our strategy is to utilize our screening technology to identify product candidates to pursue in clinical development. Such product candidates will require additional, time-consuming development efforts prior to commercial sale, including preclinical studies, clinical trials and approval by the FDA and/or applicable foreign regulatory authorities. All product candidates are prone to the risks of failure that are inherent in pharmaceutical product development. If we fail to identify and develop additional potential product candidates, we may be unable to grow our business and our results of operations could be materially harmed.</w:t>
      </w:r>
    </w:p>
    <w:p>
      <w:pPr>
        <w:spacing w:after="0" w:line="173"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development strategy, product candidate or indication and fail to capitalize on strategies, product candidates or indications that may be more profitable or for which there is a greater likelihood of success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In March 2026, we announced the strategic reprioritization of our clinical portfolio to focus on our promising pipeline of next-generation therapeutics, including nuzefatide pevedotin as well as next-generation Bicycle conjugates, including BRC molecules. While dose selection data from the Duravelo-2 clinical trial for zelenectide pevedotin are promising, demonstrating response rates comparable to published rates for existing standards of care and a differentiated safety profile, we converted the Phase II/III Duravelo-2 registrational trial to a randomized Phase II clinical trial and have deprioritized the program for internal development while we evaluate next steps for the program following preliminary feedback from regulatory agencies. In addition, as part of the strategic reprioritization, the Phase I/II clinical trials evaluating zelenectide pevedotin in patients with NECTIN4 amplified advanced breast cancer and NECTIN4 amplified advanced or metastatic non-small cell lung cancer are being discontinued. Further enrollment in these trials is closed and patients already enrolled will complete their course of treatment.</w:t>
      </w:r>
    </w:p>
    <w:p>
      <w:pPr>
        <w:spacing w:after="0" w:line="194"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w:t>
      </w:r>
    </w:p>
    <w:p>
      <w:pPr>
        <w:spacing w:after="0" w:line="180"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Our past resource allocation decisions, and those we may make in the future,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if successful claims are brought against 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may incur substantial liability and costs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the use of our product candidates harms patients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is perceived to harm patients even when such harm is unrelated to our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regulatory approvals could be revoked or otherwise negatively impacted and we could be subject to costly and damaging product liability claims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use of our product candidates in clinical trials, the provision of our product candidates to patients outside of a clinical trial through compassionate use, expanded access or, in the European Union and certain other jurisdictions, individual patient use or “named patient” programs (collectively, early access use), and the sale of any products for which we obtain marketing approval expose us to the risk of product liability claims. Product liability claims might be brought against us by patients,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192" w:lineRule="exact"/>
        <w:rPr>
          <w:sz w:val="20"/>
          <w:szCs w:val="20"/>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our business reputation;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of clinical trial participants;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due to related litigation;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distraction of management’s attention from our primary business;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if approved for commercial sale.</w:t>
      </w:r>
    </w:p>
    <w:p>
      <w:pPr>
        <w:spacing w:after="0" w:line="22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may not be able to maintain insurance coverage at a reasonable cost or in sufficient amounts to protect us against losses due to liability. We intend to expand our insurance coverage each time we commercialize an additional product;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ADS price to decline and, if judgments exceed our insurance coverage, could adversely affect our results of operations and business.</w:t>
      </w:r>
    </w:p>
    <w:p>
      <w:pPr>
        <w:spacing w:after="0" w:line="18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 certain jurisdictions, failure to comply with the laws and regulations governing the use of unapproved product candidates, including those applicable to early access use, could also expose us and our officers and employees to criminal penalties, including fines and imprisonment, in addition to civil or administrative sanctions.</w:t>
      </w:r>
    </w:p>
    <w:p>
      <w:pPr>
        <w:spacing w:after="0" w:line="17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Patients with the diseases targeted by certain of our product candidates, such as our lead indications in oncology, are often already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or impact and limit the type of regulatory approvals our product candidates receive or maintain.</w:t>
      </w:r>
    </w:p>
    <w:p>
      <w:pPr>
        <w:spacing w:after="0" w:line="194" w:lineRule="exact"/>
        <w:rPr>
          <w:sz w:val="20"/>
          <w:szCs w:val="20"/>
          <w:color w:val="auto"/>
        </w:rPr>
      </w:pPr>
    </w:p>
    <w:p>
      <w:pPr>
        <w:ind w:left="60" w:right="299" w:firstLine="648"/>
        <w:spacing w:after="0" w:line="289" w:lineRule="auto"/>
        <w:rPr>
          <w:sz w:val="20"/>
          <w:szCs w:val="20"/>
          <w:color w:val="auto"/>
        </w:rPr>
      </w:pPr>
      <w:r>
        <w:rPr>
          <w:rFonts w:ascii="Times New Roman" w:cs="Times New Roman" w:eastAsia="Times New Roman" w:hAnsi="Times New Roman"/>
          <w:sz w:val="17"/>
          <w:szCs w:val="17"/>
          <w:color w:val="auto"/>
        </w:rPr>
        <w:t>The risk is heightened for patients treated under early access use, who are often facing few or no remaining treatment options, are treated outside the controlled conditions of a clinical trial, and may experience adverse events that are difficult to attribute to our product candidates, and which, if are determined (or perceived) to be drug-related, could</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have a negative impact on the safety profile of our product candidates and cause significant delays, result in an inability to successfully commercialize our products and materially harm our business. We may also face pressure from patients, advocacy groups, physicians or regulators to grant such access, and denying or granting such requests could carry reputational, regulatory or commercialization consequences. As a result of these factors, a product liability claim, even if successfully defended, could have a material adverse effect on our business, financial condition or results of operations.</w:t>
      </w:r>
    </w:p>
    <w:p>
      <w:pPr>
        <w:spacing w:after="0" w:line="179"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designations for our product candidates with the FDA and other comparable regulatory authorities that are intended to confer benefits such as a faster development process or an accelerated regulatory pathway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but there can be no assurance that we will successfully obtain such designations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In addition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even if one or more of our product candidates are granted such designations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may not be able to realize the intended benefits of such designations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FDA and other comparable regulatory authorities offer certain designations for product candidates that are intended to encourage the research and development of pharmaceutical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designation for any of our other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92"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For example, we may seek a Breakthrough Therapy Designation for one or more of our product candidates. A breakthrough therapy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9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may also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The FDA may withdraw Fast Track Designation if it believes that the designation is no longer supported by data from our clinical development program. The EMA has a similar program called PRIME.</w:t>
      </w:r>
    </w:p>
    <w:p>
      <w:pPr>
        <w:spacing w:after="0" w:line="184" w:lineRule="exact"/>
        <w:rPr>
          <w:sz w:val="20"/>
          <w:szCs w:val="20"/>
          <w:color w:val="auto"/>
        </w:rPr>
      </w:pPr>
    </w:p>
    <w:p>
      <w:pPr>
        <w:ind w:left="60" w:right="5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seek priority review designation for one or more of our product candidates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but we might not receive such designation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and even if we do</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such designation may not lead to a faster regulatory review or approval process</w:t>
      </w:r>
      <w:r>
        <w:rPr>
          <w:rFonts w:ascii="Times New Roman" w:cs="Times New Roman" w:eastAsia="Times New Roman" w:hAnsi="Times New Roman"/>
          <w:sz w:val="17"/>
          <w:szCs w:val="17"/>
          <w:i w:val="1"/>
          <w:iCs w:val="1"/>
          <w:color w:val="auto"/>
        </w:rPr>
        <w:t>.</w:t>
      </w:r>
    </w:p>
    <w:p>
      <w:pPr>
        <w:spacing w:after="0" w:line="13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candidates. The FDA has broad discretion with respect to whether or not to grant priority review status to a product candidate, so even if we believe a particular product candidate is eligible for such designation or status, in particular if such product candidate has received a Breakthrough Therapy Designation, the FDA may decide not to grant it. Moreover, a priority review designation does not result in expedited development and does not necessarily result in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85"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designations or exclusivity for our drug candidates, which could limit the potential profitability of our drug candidates.</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for relatively small patient populations as orphan drugs. Under the Orphan Drug Act of 1983, the FDA may designate a drug as an orphan drug if it is a drug intended to treat a rare disease or condition, which is generally defined as a patient population of fewer than 200,000 individuals in the United States. Generally, if a drug with an orphan drug designation subsequently receives the first marketing approval for an indication for which it receives the designation, then the drug is entitled to a period of marketing exclusivity that precludes the applicable regulatory authority from approving another marketing application for the same drug for the same indication for the exclusivity period except in limited situations. For purposes of small molecule drugs, the FDA defines “same drug” for orphan purposes as a drug that contains the same active moiety and is intended for the same use as the drug in question. A designated orphan drug may not receive orphan drug exclusivity if it is approved for a use that is broader than the indication for which it received orphan designation.</w:t>
      </w:r>
    </w:p>
    <w:p>
      <w:pPr>
        <w:spacing w:after="0" w:line="194"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Obtaining orphan drug designations is important to our business strategy; however, obtaining an orphan drug designation can be difficult and we may not be successful in doing so. Even if we were to obtain orphan drug designation for a drug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later determines that the request for designation was materially defective or if the manufacturer is unable to assure sufficient quantity of the drug to meet the needs of patients with the rare disease or condition. The failure to obtain an orphan drug designation for any drug candidates we may develop, the inability to maintain that designation for the duration of the applicable period, or the inability to obtain or maintain orphan drug exclusivity could reduce our ability to make sufficient sales of the applicable drug candidate to balance our expenses incurred to develop it, which would have a negative impact on our operational results and financial condition.</w:t>
      </w:r>
    </w:p>
    <w:p>
      <w:pPr>
        <w:spacing w:after="0" w:line="183" w:lineRule="exact"/>
        <w:rPr>
          <w:sz w:val="20"/>
          <w:szCs w:val="20"/>
          <w:color w:val="auto"/>
        </w:rPr>
      </w:pPr>
    </w:p>
    <w:p>
      <w:pPr>
        <w:jc w:val="both"/>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of our current and future product candidates in one jurisdiction does not mean that we will be successful in obtaining marketing approval of our current and future product candidates in other jurisdictions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We do not have experience in obtaining reimbursement or pricing approvals in international markets.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Obtaining marketing approvals and compliance with regulatory requirements could result in significant delays, difficulties and costs for us and could delay or prevent the introduction of our products in certain countries outside of the United States.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79"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the regulatory landscape, policies, or processes, as well as disruptions at the FDA and other government agencies caused by layoffs, changes in personnel, funding shortages or global health concerns could negatively impact our business.</w:t>
      </w:r>
    </w:p>
    <w:p>
      <w:pPr>
        <w:spacing w:after="0" w:line="17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proposed clinical trials or approve new products can be affected by a variety of factors, including government budget and funding levels, statutory, regulatory, and policy changes, the FDA’s ability to hire and retain key personnel and accept payment of user fees, and other events that may otherwise affect the FDA’s ability to perform routine functions. In addition, government funding of other government agencies that fund research and development activities is subject to the political process, including executive and congressional priorities, the impacts of which are inherently fluid and unpredictable.</w:t>
      </w:r>
    </w:p>
    <w:p>
      <w:pPr>
        <w:spacing w:after="0" w:line="187" w:lineRule="exact"/>
        <w:rPr>
          <w:sz w:val="20"/>
          <w:szCs w:val="20"/>
          <w:color w:val="auto"/>
        </w:rPr>
      </w:pPr>
    </w:p>
    <w:p>
      <w:pPr>
        <w:ind w:left="60" w:right="119" w:firstLine="648"/>
        <w:spacing w:after="0" w:line="271" w:lineRule="auto"/>
        <w:rPr>
          <w:sz w:val="20"/>
          <w:szCs w:val="20"/>
          <w:color w:val="auto"/>
        </w:rPr>
      </w:pPr>
      <w:r>
        <w:rPr>
          <w:rFonts w:ascii="Times New Roman" w:cs="Times New Roman" w:eastAsia="Times New Roman" w:hAnsi="Times New Roman"/>
          <w:sz w:val="17"/>
          <w:szCs w:val="17"/>
          <w:color w:val="auto"/>
        </w:rPr>
        <w:t>Disruptions at the FDA and other agencies may slow the time necessary for new product candidates to be reviewed and/or approved, which would adversely affect our business. For example, over the last several years, including in October 2025,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 There is also increased uncertainty as to how the FDA and other regulatory agencies will review and regulate our products.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 and Other Regulatory Compliance Matters</w:t>
      </w:r>
    </w:p>
    <w:p>
      <w:pPr>
        <w:spacing w:after="0" w:line="225" w:lineRule="exact"/>
        <w:rPr>
          <w:sz w:val="20"/>
          <w:szCs w:val="20"/>
          <w:color w:val="auto"/>
        </w:rPr>
      </w:pPr>
    </w:p>
    <w:p>
      <w:pPr>
        <w:ind w:left="6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marketing approval process is expensive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time consuming and uncertain and may prevent us or any collaborators from obtaining approvals for the commercialization of some or all of our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As a result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cannot predict when or if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in which territories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any collaborators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will obtain marketing approval to commercialize a product candidate</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9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Varying interpretations of the data obtained from preclinical and clinical testing could delay, limit or prevent marketing approval of a product candidate. We cannot commercialize a product until the appropriate regulatory authorities have reviewed and approved the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candidate. Even if our product candidates demonstrate safety and efficacy in clinical trials, the regulatory authorities may not complete their review processes in a timely manner, or we may not be able to obtain regulatory approval. It is possible that we could experience delays in the timing of our interactions with regulatory authorities due to absenteeism by governmental employees, inability to conduct planned physical inspections related to regulatory approval, or the diversion of regulatory authority efforts, which could delay anticipated approval decisions and otherwise delay or limit our ability to make planned regulatory submissions or obtain new product approvals.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 Any marketing approval we ultimately obtain, if any, may be limited or subject to restrictions or post-approval commitments that render the approved product not commercially viable.</w:t>
      </w:r>
    </w:p>
    <w:p>
      <w:pPr>
        <w:spacing w:after="0" w:line="19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authority may conclude that a financial relationship between us and a principal investigator has created a conflict of interest or otherwise affected interpretation of the trial.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192"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In addition, regulatory authorities may not approve the labeling claims that are necessary or desirable for the successful commercialization of our product candidates. For example, regulatory authorities may approve a product candidate for fewer or more limited indications than requested or may grant approval subject to the performance of post-marketing studies. Regulators may approve a product candidate for a smaller patient population, a different drug formulation or a different manufacturing process, than we are seeking. If we are unable to obtain necessary regulatory approvals, or more limited regulatory approvals than we expect, our business, prospects, financial condition and results of operations may suffer.</w:t>
      </w:r>
    </w:p>
    <w:p>
      <w:pPr>
        <w:spacing w:after="0" w:line="189"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could negatively impact our ability to generate revenue from the particular product candidate, which likely would result in significant harm to our financial position and adversely impact the price of our ADSs.</w:t>
      </w:r>
    </w:p>
    <w:p>
      <w:pPr>
        <w:spacing w:after="0" w:line="172"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limited marketing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sales or distribution infrastructure with respect to our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we are unable to develop our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marketing and distribution capability on our own or through collaborations with marketing partners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will not be successful in commercializing our product candidates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currently have limited marketing, sales or distribution capabilities and have limited sales or marketing experience within our organization. If one or more of our product candidates is approved, we intend either to build our sales and marketing organization with technical expertise and supporting distribution capabilities to commercialize that product candidate, or to outsource this function to a third party. There are risks involved with either building our own sales and marketing capabilities and entering into arrangements with third parties to perform these services.</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Recruiting and training an internal commercial organization is expensive and time consuming and could delay any product launch. Some or all of these costs may be incurred in advance of any approval of any of our product candidates.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In addition, we may not be able to hire a sales force in the United States or other target market that is sufficient in size or has adequate expertise in the medical markets that we intend to target.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225" w:lineRule="exact"/>
        <w:rPr>
          <w:sz w:val="20"/>
          <w:szCs w:val="20"/>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train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our failure to educate physicians on the benefits of prescribing our products;</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treatments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expanding an independent sales and marketing organization.</w:t>
      </w:r>
    </w:p>
    <w:p>
      <w:pPr>
        <w:spacing w:after="0" w:line="225"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w:t>
      </w:r>
    </w:p>
    <w:p>
      <w:pPr>
        <w:spacing w:after="0" w:line="188" w:lineRule="exact"/>
        <w:rPr>
          <w:sz w:val="20"/>
          <w:szCs w:val="20"/>
          <w:color w:val="auto"/>
        </w:rPr>
      </w:pPr>
    </w:p>
    <w:p>
      <w:pPr>
        <w:jc w:val="both"/>
        <w:ind w:left="60" w:right="1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market opportunities for any current or future product candidate we develop</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if and when approved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may be limited to those patients who are ineligible for established therapies or for whom prior therapies have failed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and may be small</w:t>
      </w:r>
      <w:r>
        <w:rPr>
          <w:rFonts w:ascii="Times New Roman" w:cs="Times New Roman" w:eastAsia="Times New Roman" w:hAnsi="Times New Roman"/>
          <w:sz w:val="17"/>
          <w:szCs w:val="17"/>
          <w:i w:val="1"/>
          <w:iCs w:val="1"/>
          <w:color w:val="auto"/>
        </w:rPr>
        <w:t>.</w:t>
      </w:r>
    </w:p>
    <w:p>
      <w:pPr>
        <w:spacing w:after="0" w:line="13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Cancer therapies are sometimes characterized as first-line, second-line, third-line or later-line therapies, and the FDA often approves new therapies initially only for third-line use. When cancer is detected early enough, first-line therapy, usually chemotherapy, hormone therapy, surgery, radiation therapy, immunotherapy or a combination of these, is sometimes adequate to cure the cancer or prolong life without a cure. Second- and third-line therapies are administered to patients when prior therapy is not effective. We may initially seek approval of nuzefatide pevedotin and any other product candidates we develop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p>
    <w:p>
      <w:pPr>
        <w:spacing w:after="0" w:line="18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number of patients who have the cancers we are targeting may turn out to be lower than expected. Additionally, the potentially addressable patient population for our current programs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use as first- or second-line therapy.</w:t>
      </w:r>
    </w:p>
    <w:p>
      <w:pPr>
        <w:spacing w:after="0" w:line="179"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a product candidate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will be subject to ongoing regulatory obligations and continued regulatory review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may result in significant additional expense and we may be subject to penalties if we fail to comply with regulatory requirements or experience unanticipated problems with our products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approved</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or comparable foreign regulatory authorities may also require a Risk Evaluation and Mitigation Strategy, or REMS, or a comparable foreign strategy, as a condition of approval of any product candidate, which could include requirements for a medication guide, physician communication plans or additional elements to ensure safe use, such as restricted distribution methods, patient registries and other risk minimization tools. If the FDA or a comparable foreign regulatory authority approves a product candidate, the manufacturing processes, labeling,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packaging, distribution, adverse event reporting, storage, advertising, promotion, import and export and record keeping for the product candidate will be subject to extensive and ongoing regulatory requirements. These requirements include, among others, submissions of safety and other post-marketing information and reports, registration, as well as continued compliance with current Good Manufacturing Practice, or cGMP, and Good Clinical Practice, or GCP, for any clinical trials that we conduct post-approval, and prohibitions on the promotion of an approved product for uses not included in the product’s approved labeling. The FDA and other or comparable foreign regulatory authorities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Similar considerations apply outside of the United States.</w:t>
      </w:r>
    </w:p>
    <w:p>
      <w:pPr>
        <w:spacing w:after="0" w:line="192"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176" w:lineRule="exact"/>
        <w:rPr>
          <w:sz w:val="20"/>
          <w:szCs w:val="20"/>
          <w:color w:val="auto"/>
        </w:rPr>
      </w:pPr>
    </w:p>
    <w:p>
      <w:pPr>
        <w:ind w:left="1040" w:right="61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distribution, marketing or manufacturing of the product,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and warning letters, or holds on clinical trials;</w:t>
      </w:r>
    </w:p>
    <w:p>
      <w:pPr>
        <w:spacing w:after="0" w:line="225" w:lineRule="exact"/>
        <w:rPr>
          <w:rFonts w:ascii="Times New Roman" w:cs="Times New Roman" w:eastAsia="Times New Roman" w:hAnsi="Times New Roman"/>
          <w:sz w:val="18"/>
          <w:szCs w:val="18"/>
          <w:color w:val="auto"/>
        </w:rPr>
      </w:pPr>
    </w:p>
    <w:p>
      <w:pPr>
        <w:ind w:left="1040" w:right="81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comparable foreign regulatory authorities to approve pending applications or supplements to approved applications we filed or suspension or revocation of license approvals;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the product;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3"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products that are more effective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safer or less expensive than the product candidates we develop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commercial opportunities will be negatively impacted</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The life sciences industry is highly competitive. We are currently developing therapeutics that will compete, if approved, with other products and therapies that currently exist, are being developed or will in the future be developed, some of which we may not currently be aware.</w:t>
      </w:r>
    </w:p>
    <w:p>
      <w:pPr>
        <w:spacing w:after="0" w:line="17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88" w:lineRule="exact"/>
        <w:rPr>
          <w:sz w:val="20"/>
          <w:szCs w:val="20"/>
          <w:color w:val="auto"/>
        </w:rPr>
      </w:pPr>
    </w:p>
    <w:p>
      <w:pPr>
        <w:ind w:left="60" w:right="399" w:firstLine="648"/>
        <w:spacing w:after="0" w:line="273" w:lineRule="auto"/>
        <w:rPr>
          <w:sz w:val="20"/>
          <w:szCs w:val="20"/>
          <w:color w:val="auto"/>
        </w:rPr>
      </w:pPr>
      <w:r>
        <w:rPr>
          <w:rFonts w:ascii="Times New Roman" w:cs="Times New Roman" w:eastAsia="Times New Roman" w:hAnsi="Times New Roman"/>
          <w:sz w:val="17"/>
          <w:szCs w:val="17"/>
          <w:color w:val="auto"/>
        </w:rPr>
        <w:t>There are a large number of companies developing or marketing treatments for cancer, including many major pharmaceutical and biotechnology companies. These treatments consist both of small molecule drug products, such as traditional chemotherapy, as well as novel immunotherapies. For example, a number of companies are developing programs for the targets that we are exploring for our BDC programs, including, but not limited to, for EphA2, Tianjin Conjustar Biologics Co., Ltd. and Stemline Therapeutics, and for Nectin-4, Pfizer Inc. (formerly Seagen, acquired by Pfizer Inc. in December 2023) which has a marketed Nectin-4 antibody-drug conjugate, Eli Lilly and Company, and Mabwell Therapeutics, Inc. Furthermore, many companies are developing programs for radiopharmaceutical therapies.</w:t>
      </w:r>
    </w:p>
    <w:p>
      <w:pPr>
        <w:spacing w:after="0" w:line="171"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FDA, EU or other marketing approval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w:t>
      </w:r>
    </w:p>
    <w:p>
      <w:pPr>
        <w:spacing w:after="0" w:line="18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Smaller and other early-stage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183"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current or future product candidate will depend upon the degree of market acceptance by physicians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patients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payors and others in the medical community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We have never commercialized a product, and even if we obtain any regulatory approval for our product candidates, the commercial success of our product candidates will depend in part on the medical community, patients, and payors accepting products based on our Bicycle peptides in general, and our product candidates in particular, as effective, safe and cost-effective. Any product that we bring to the market may not gain market acceptance by physicians, patients, payors and others in the medical community.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92"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degree of market acceptance of these product candidates, if approved for commercial sale, will depend on a number of factors, including:</w:t>
      </w:r>
    </w:p>
    <w:p>
      <w:pPr>
        <w:spacing w:after="0" w:line="162" w:lineRule="exact"/>
        <w:rPr>
          <w:sz w:val="20"/>
          <w:szCs w:val="20"/>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potential advantages over alternative treatments;</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side effects, including any limitations or warnings contained in a product’s approved labeling;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9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side effects resulting from follow-up requirements for the administration of our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22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insurance coverage and adequate reimbursement.</w:t>
      </w:r>
    </w:p>
    <w:p>
      <w:pPr>
        <w:spacing w:after="0" w:line="22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Even if a product candidate displays a favorable efficacy and safety profile in preclinical studies and clinical trials, market acceptance of the product, if approved for commercial sale, will not be known until after it is launched. Our efforts to educate the medical community and payors on the benefits of our product candidates may require significant resources and may never be successful. Such efforts to educate the marketplace may require more resources than are required by the conventional technologies marketed by our competitors, particularly due to the novelty of our Bicycle approach. If these products do not achieve an adequate level of acceptance, we may not generate significant product revenue and may not become profitable.</w:t>
      </w:r>
    </w:p>
    <w:p>
      <w:pPr>
        <w:spacing w:after="0" w:line="18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product revenues may be adversely affected and our business may suffer</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currently focus our research and product development on treatments for oncology indications and our product candidates are designed to target specific tumor antigens. Our understanding of both the number of people who have these diseases, as well as the subset of people with these diseases who have the potential to benefit from treatment with our product candidates, is based on estimates. These estimates may prove to be incorrect and new studies may reduce the estimated incidence or prevalence of these diseases. Patient identification efforts also influence the ability to address a patient population. If efforts in patient identification are unsuccessful or less impactful than anticipated, we may not address the entirety of the opportunity we are seeking.</w:t>
      </w:r>
    </w:p>
    <w:p>
      <w:pPr>
        <w:spacing w:after="0" w:line="18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addition, the tumor antigens that our product candidates target may not be expressed as broadly as we anticipate. Further, if companion diagnostics are not developed alongside our product candidates, testing patients for the tumor antigens may not be possible, which would hamper our ability to identify patients who could benefit from treatment with our product candidates.</w:t>
      </w:r>
    </w:p>
    <w:p>
      <w:pPr>
        <w:spacing w:after="0" w:line="180"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As a result, the number of patients we are able to identify in the United States, the European Union and elsewhere may turn out to be lower than expected, may not be otherwise amenable to treatment with our products or patients may become increasingly difficult to access, all of which would adversely affect our business, financial condition, results of operations and prospects.</w:t>
      </w:r>
    </w:p>
    <w:p>
      <w:pPr>
        <w:spacing w:after="0" w:line="176"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products is uncertain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Failure to obtain or maintain adequate coverage and reimbursement for any of our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approved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could limit our ability to market those products and decrease our ability to generate revenue</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319" w:firstLine="648"/>
        <w:spacing w:after="0" w:line="274" w:lineRule="auto"/>
        <w:rPr>
          <w:sz w:val="20"/>
          <w:szCs w:val="20"/>
          <w:color w:val="auto"/>
        </w:rPr>
      </w:pPr>
      <w:r>
        <w:rPr>
          <w:rFonts w:ascii="Times New Roman" w:cs="Times New Roman" w:eastAsia="Times New Roman" w:hAnsi="Times New Roman"/>
          <w:sz w:val="17"/>
          <w:szCs w:val="17"/>
          <w:color w:val="auto"/>
        </w:rPr>
        <w:t>We expect the cost of our product candidates to be substantial, when and if they achieve market approval. 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private payors, such as private health coverage insurers, health maintenance, managed care, pharmacy benefit and similar healthcare management organizations, or reimbursed by government health care programs, such as Medicare and Medicaid. We may not be able to provide data</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sufficient to gain acceptance with respect to coverage and reimbursement. If reimbursement is not available, or is available only at limited levels, we may not be able to successfully commercialize our product candidates, even if approved. Even if coverage is provided, the approved reimbursement amount may not be high enough to allow us to establish or maintain pricing sufficient to realize a sufficient return on our investment.</w:t>
      </w:r>
    </w:p>
    <w:p>
      <w:pPr>
        <w:spacing w:after="0" w:line="180"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coverage and reimbursement for new medicines are typically made by the CMS as the CMS decides whether and to what extent a new medicine will be covered and reimbursed under Medicare. Private payors tend to follow CMS to a substantial degree. It is difficult to predict what CMS will decide with respect to coverage and reimbursement for novel products such as ours, as there is no body of established practices and precedents for these new products. Coverage and reimbursement by a third-party payor may depend upon a number of factors, including the third-party payor’s determination that use of a product is: (1) a covered benefit under its health plan; (2) safe, effective and medically necessary; (3) appropriate for the specific patient; (4) cost-effective; and (5) neither experimental nor investigational. In the United States, no uniform policy of coverage and reimbursement for products exists among third-party payors.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Even if we obtain coverage for a given product, the resulting reimbursement payment rates might not be adequate for us to achieve or sustain profitability or may require co-payments that patients find unacceptably high. Third-party payors may limit coverage to specific drug products on an approved list, also known as a formulary, which might not include all of the approved drugs for a particular indication.</w:t>
      </w:r>
    </w:p>
    <w:p>
      <w:pPr>
        <w:spacing w:after="0" w:line="195"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Additionally, third-party payors may not cover, or provide adequate reimbursement for, long-term follow-up evaluations required following the use of product candidates. Patients are unlikely to use our product candidates unless coverage is provided and reimbursement is adequate to cover a significant portion of the cost of our product candidates. Because our product candidates may have a higher cost of goods than conventional therapies, and may require long-term follow-up evaluations, the risk that coverage and reimbursement rates may be inadequate for us to achieve profitability may be greater. There is significant uncertainty related to insurance coverage and reimbursement of newly approved products. It is difficult to predict at this time what third-party payors will decide with respect to the coverage and reimbursement for our product candidates.</w:t>
      </w:r>
    </w:p>
    <w:p>
      <w:pPr>
        <w:spacing w:after="0" w:line="19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or our collaborators will be required to obtain coverage and reimbursement for companion diagnostic tests separate and apart from the coverage and reimbursement we seek for our product candidates, once approved. There is significant uncertainty regarding our and our collaborators’ ability to obtain coverage and adequate reimbursement for any companion diagnostic test for the same reasons applicable to our product candidates.</w:t>
      </w:r>
    </w:p>
    <w:p>
      <w:pPr>
        <w:spacing w:after="0" w:line="180"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Outside the United States, certain countries, including a number of member states of the European Union, set prices and reimbursement for pharmaceutical products, or medicinal products, as they are commonly referred to in the European Union. These countries have broad discretion in setting prices and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lawfully marketed. In many countries, the pricing review period begins after marketing or product licensing approval is granted. To obtain reimbursement or pricing approval in some countries, we, or any collaborators, may be required to conduct a clinical trial that compares the cost-effectiveness of our product to other available therapies.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Moreover, efforts by governments and payors, in the United States and abroad, to cap or reduce healthcare costs may cause such organizations to limit both coverage and level of reimbursement for new products approved and, as a result, they may not cover or provide adequate reimbursement for our product candidates. There has been increasing legislative and enforcement interest in the United States with respect to specialty drugs. For example, HHS imposes rebates on certain Medicare Part B and Medicare Part D products to penalize price increases that outpace inflation on an annual basis. HHS has also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194"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other treatments, has become very intense. As a result, increasingly high barriers are being erected to the entry of new products.</w:t>
      </w:r>
    </w:p>
    <w:p>
      <w:pPr>
        <w:spacing w:after="0" w:line="180"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On January 12, 2025, the HTA Regulation entered into application through a phased implementation. It is intended to boost cooperation among EU Member States in assessing health technologies, including new medicinal products. The HTA Regulation establishes a framework for joint clinical assessments, joint scientific consultations, and the early identification of emerging health technologies. The HTA Regulation permits Member States to use common HTA tools, methodologies, and procedures across the European Union and requires them to rely on EU-level joint clinical assessment reports for the clinical components of their national HTA evaluations. EU Member States, however, remain responsible for assessing non-clinical aspects, such as economic, ethical, and social considerations, and for making pricing and reimbursement decisions at the national level. Individual Member States continue to be responsible for assessing non-clinical (e.g., economic, social, ethical) aspects of health technologies, and making decisions on pricing and reimbursement. As implementation of the HTA Regulation is phased in and key methodological and procedural guidance continues to evolve, there remains uncertainty regarding the evidence requirements, timing, and impact of joint clinical assessments on national reimbursement processes. The new framework may result in additional or differently structured evidentiary expectations, misalignment between assessment and regulatory timelines, or delays in national decisions. Any adverse or delayed HTA outcomes, or divergent national reimbursement decisions, could negatively affect our ability to obtain or maintain favorable pricing and reimbursement status for any product candidates, if approved. If we are unable to maintain favorable pricing and reimbursement status in Member States for product candidates that we may successfully develop and for which we may obtain regulatory approval, any anticipated revenue from and growth prospects for those products in the EU could be negatively affected. In light of the fact that the U.K. has left the EU, the HTA Regulation does not apply in the U.K. However, the U.K. MHRA is working with U.K. HTA bodies and other national organizations, such as the Scottish Medicines Consortium, the National Institute for Health and Care Excellence, and the All-Wales Medicines Strategy Group, to introduce new pathways supporting innovative approaches to the safe, timely and efficient development of medicinal products. There can be no assurance that we will be able to obtain or sustain favorable pricing or reimbursement in the U.K. under these evolving frameworks, and any such inability could materially and adversely affect our anticipated revenues and growth prospects in that market.</w:t>
      </w:r>
    </w:p>
    <w:p>
      <w:pPr>
        <w:spacing w:after="0" w:line="205"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If reimbursement of our products is unavailable or limited in scope or amount, or if pricing is set at unsatisfactory levels, our business could be harmed.</w:t>
      </w:r>
    </w:p>
    <w:p>
      <w:pPr>
        <w:spacing w:after="0" w:line="158"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product candidates that receive marketing approval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such authorities do not grant such products appropriate periods of data exclusivity before approving generic versions of such products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sales of such products could be adversely affected</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generally must show that its product has the same active ingredient(s), dosage form, strength, route of administration and conditions of use or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labeling as the reference-listed drug and that the generic version is bioequivalent to the reference-listed drug, meaning, in part, that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 and the price of the branded product may be lowered.</w:t>
      </w:r>
    </w:p>
    <w:p>
      <w:pPr>
        <w:spacing w:after="0" w:line="187" w:lineRule="exact"/>
        <w:rPr>
          <w:sz w:val="20"/>
          <w:szCs w:val="20"/>
          <w:color w:val="auto"/>
        </w:rPr>
      </w:pPr>
    </w:p>
    <w:p>
      <w:pPr>
        <w:jc w:val="both"/>
        <w:ind w:left="60" w:right="399" w:firstLine="648"/>
        <w:spacing w:after="0" w:line="272" w:lineRule="auto"/>
        <w:rPr>
          <w:sz w:val="20"/>
          <w:szCs w:val="20"/>
          <w:color w:val="auto"/>
        </w:rPr>
      </w:pPr>
      <w:r>
        <w:rPr>
          <w:rFonts w:ascii="Times New Roman" w:cs="Times New Roman" w:eastAsia="Times New Roman" w:hAnsi="Times New Roman"/>
          <w:sz w:val="17"/>
          <w:szCs w:val="17"/>
          <w:color w:val="auto"/>
        </w:rPr>
        <w:t>The FDA may not accept for review or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w:t>
      </w:r>
    </w:p>
    <w:p>
      <w:pPr>
        <w:spacing w:after="0" w:line="2"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Three-year exclusivity is given to a non-NCE drug if the NDA includes reports of one or more new clinical investigations, other than bioavailability or bioequivalence studies, that were conducted by or for the applicant and are essential to the approval of the NDA. Manufacturers may seek to launch these generic products following the expiration of the applicable marketing exclusivity period, even if we still have patent protection for our product.</w:t>
      </w:r>
    </w:p>
    <w:p>
      <w:pPr>
        <w:spacing w:after="0" w:line="19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Competition that our products may face from generic versions of our products could negatively impact our future revenue, profitability and cash flows and substantially limit our ability to obtain a return on our investments in those product candidates.</w:t>
      </w:r>
    </w:p>
    <w:p>
      <w:pPr>
        <w:spacing w:after="0" w:line="172" w:lineRule="exact"/>
        <w:rPr>
          <w:sz w:val="20"/>
          <w:szCs w:val="20"/>
          <w:color w:val="auto"/>
        </w:rPr>
      </w:pPr>
    </w:p>
    <w:p>
      <w:pPr>
        <w:jc w:val="both"/>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directly or indirectly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to federal and state healthcare fraud and abuse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false claims laws health information privacy and security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other health care laws and regulations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we are unable to comply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have not fully complied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with such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could face substantial penalties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U.S. federal and state fraud and abuse laws and regulations, including, without limitation, the federal Health Care Program Anti-Kickback Statute, or Anti-Kickback Statute, the federal civil and criminal False Claims Act and Physician Payments Sunshine Act and regulations.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our business. The laws that will affect our operations include, but are not limited to:</w:t>
      </w:r>
    </w:p>
    <w:p>
      <w:pPr>
        <w:spacing w:after="0" w:line="192" w:lineRule="exact"/>
        <w:rPr>
          <w:sz w:val="20"/>
          <w:szCs w:val="20"/>
          <w:color w:val="auto"/>
        </w:rPr>
      </w:pPr>
    </w:p>
    <w:p>
      <w:pPr>
        <w:ind w:left="1040" w:right="99" w:hanging="315"/>
        <w:spacing w:after="0" w:line="25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arrangement, or recommendation of any good, facility, item or service for which payment may be made, in whole or in part, under a federal healthcare program, such as the Medicare and Medicaid programs. “Remuneration” has been interpreted broadly to include anything of value. A person or entity does not need to have actual knowledge of the Anti-Kickback Statute or specific intent to violate it to have committed a violation. In addition, the government may assert that a claim including items or services resulting from a violation of the Anti-Kickback Statute constitutes a false or fraudulent claim for purposes of the federal False Claims Act, or FCA, or federal civil money penalties. The Anti-Kickback Statute has been interpreted to apply to arrangements between pharmaceutical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19"/>
        <w:spacing w:after="0" w:line="258" w:lineRule="auto"/>
        <w:rPr>
          <w:sz w:val="20"/>
          <w:szCs w:val="20"/>
          <w:color w:val="auto"/>
        </w:rPr>
      </w:pPr>
      <w:r>
        <w:rPr>
          <w:rFonts w:ascii="Times New Roman" w:cs="Times New Roman" w:eastAsia="Times New Roman" w:hAnsi="Times New Roman"/>
          <w:sz w:val="18"/>
          <w:szCs w:val="18"/>
          <w:color w:val="auto"/>
        </w:rPr>
        <w:t>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w:t>
      </w:r>
    </w:p>
    <w:p>
      <w:pPr>
        <w:spacing w:after="0" w:line="183" w:lineRule="exact"/>
        <w:rPr>
          <w:sz w:val="20"/>
          <w:szCs w:val="20"/>
          <w:color w:val="auto"/>
        </w:rPr>
      </w:pPr>
    </w:p>
    <w:p>
      <w:pPr>
        <w:ind w:left="1040" w:right="99" w:hanging="315"/>
        <w:spacing w:after="0" w:line="254"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civil and criminal false claims laws, including the FCA, and civil monetary penalty law, which impose criminal and civil penalties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188" w:lineRule="exact"/>
        <w:rPr>
          <w:rFonts w:ascii="Times New Roman" w:cs="Times New Roman" w:eastAsia="Times New Roman" w:hAnsi="Times New Roman"/>
          <w:sz w:val="18"/>
          <w:szCs w:val="18"/>
          <w:color w:val="auto"/>
        </w:rPr>
      </w:pPr>
    </w:p>
    <w:p>
      <w:pPr>
        <w:ind w:left="1040" w:right="379" w:hanging="315"/>
        <w:spacing w:after="0" w:line="277" w:lineRule="auto"/>
        <w:tabs>
          <w:tab w:leader="none" w:pos="10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beneficiary inducement provisions of the civil monetary penalty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67" w:lineRule="exact"/>
        <w:rPr>
          <w:rFonts w:ascii="Times New Roman" w:cs="Times New Roman" w:eastAsia="Times New Roman" w:hAnsi="Times New Roman"/>
          <w:sz w:val="17"/>
          <w:szCs w:val="17"/>
          <w:color w:val="auto"/>
        </w:rPr>
      </w:pPr>
    </w:p>
    <w:p>
      <w:pPr>
        <w:ind w:left="1040" w:right="179" w:hanging="315"/>
        <w:spacing w:after="0" w:line="253"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Anti-Kickback Statute, a person or entity does not need to have actual knowledge of the statute or specific intent to violate it in order to have committed a violation;</w:t>
      </w:r>
    </w:p>
    <w:p>
      <w:pPr>
        <w:spacing w:after="0" w:line="194" w:lineRule="exact"/>
        <w:rPr>
          <w:rFonts w:ascii="Times New Roman" w:cs="Times New Roman" w:eastAsia="Times New Roman" w:hAnsi="Times New Roman"/>
          <w:sz w:val="18"/>
          <w:szCs w:val="18"/>
          <w:color w:val="auto"/>
        </w:rPr>
      </w:pPr>
    </w:p>
    <w:p>
      <w:pPr>
        <w:ind w:left="1040" w:right="79" w:hanging="315"/>
        <w:spacing w:after="0" w:line="255"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requirements on certain healthcare providers, health plans, and healthcare clearinghouses, known as covered entities, as well as their respective business associates, individuals and entities that perform services on their behalf that involve the use or disclosure of individually identifiable health information, and their subcontractors that use disclose or otherwise process individually identifiable health information, relating to the privacy, security and transmission of individually identifiable health information;</w:t>
      </w:r>
    </w:p>
    <w:p>
      <w:pPr>
        <w:spacing w:after="0" w:line="188" w:lineRule="exact"/>
        <w:rPr>
          <w:rFonts w:ascii="Times New Roman" w:cs="Times New Roman" w:eastAsia="Times New Roman" w:hAnsi="Times New Roman"/>
          <w:sz w:val="18"/>
          <w:szCs w:val="18"/>
          <w:color w:val="auto"/>
        </w:rPr>
      </w:pPr>
    </w:p>
    <w:p>
      <w:pPr>
        <w:ind w:left="1040" w:right="139" w:hanging="315"/>
        <w:spacing w:after="0" w:line="254"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transparency requirements under the ACA, including the provision commonly referred to as the Physician Payments Sunshine Act, which requires applicable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the physicians described above and their immediate family members;</w:t>
      </w:r>
    </w:p>
    <w:p>
      <w:pPr>
        <w:spacing w:after="0" w:line="191" w:lineRule="exact"/>
        <w:rPr>
          <w:rFonts w:ascii="Times New Roman" w:cs="Times New Roman" w:eastAsia="Times New Roman" w:hAnsi="Times New Roman"/>
          <w:sz w:val="18"/>
          <w:szCs w:val="18"/>
          <w:color w:val="auto"/>
        </w:rPr>
      </w:pPr>
    </w:p>
    <w:p>
      <w:pPr>
        <w:ind w:left="1040" w:right="55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government price reporting laws, which require us to calculate and report complex pricing metrics in an accurate and timely manner to government programs;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5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consumer protection and unfair competition laws, which broadly regulate marketplace activities and activities that potentially harm consumers.</w:t>
      </w:r>
    </w:p>
    <w:p>
      <w:pPr>
        <w:spacing w:after="0" w:line="16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Additionally, we are subject to U.S. state and foreign equivalents of each of the healthcare laws and regulations described above, among others, some of which may be broader in scope and may apply regardless of the payor. Many U.S. states have adopted laws similar to the Anti-Kickback Statute and FCA,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Certain states and local jurisdictions also require certain regulatory licenses to manufacture or distribute products commercially and/or the registration of pharmaceutical sales representatives. There are ambiguities as to what is required to comply with these state requirements, and if we fail to comply with an applicable state law requirement we could be subject to significant penalties. Finally, there are state and foreign laws governing the privacy and security of health information, many of which differ from each other in significant ways and often are not preempted by HIPAA, thus complicating compliance efforts. For further information concerning additional data privacy and security laws we may be subject to and our processing of personal data, see the risk factor titled “</w:t>
      </w:r>
      <w:r>
        <w:rPr>
          <w:rFonts w:ascii="Times New Roman" w:cs="Times New Roman" w:eastAsia="Times New Roman" w:hAnsi="Times New Roman"/>
          <w:sz w:val="18"/>
          <w:szCs w:val="18"/>
          <w:i w:val="1"/>
          <w:iCs w:val="1"/>
          <w:color w:val="auto"/>
        </w:rPr>
        <w:t>We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third parties with whom we work are subject to stringent and evolving U.S. and foreign laws, regulations, rules, contractual obligations, policies and other obligations related to data privacy and security. Our (and the third parties with whom we work) actual or perceived failure to comply with such obligations could lead to regulatory investigations or actions, litigation, fines and penalties, disruptions of our business operations, reputational harm, loss of revenues or profits, and other adverse business consequences.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If our operations, including our arrangements with physicians and other healthcare providers are found to be in violation of any of such laws or any other governmental regulations that apply to us, we may be subject to penalties, including, without limitation, significant administrative, civil and criminal penalties, damages, fines, disgorgement, contractual damages, reputational harm, diminished profits and future earnings, the curtailment or restructuring of our operations, imprisonment, exclusion from participation in federal and state healthcare programs (such as Medicare and Medicaid), additional reporting requirements and/or oversight if we become subject to a corporate integrity agreement or similar agreement to resolve allegations of non-compliance with these laws, and imprisonment, any of which could adversely affect our ability to operate our business and our financial results. Any action for violation of these laws, even if successfully defended, could cause a 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negative impact on our business and results of operations.</w:t>
      </w:r>
    </w:p>
    <w:p>
      <w:pPr>
        <w:spacing w:after="0" w:line="229"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w:t>
      </w:r>
    </w:p>
    <w:p>
      <w:pPr>
        <w:spacing w:after="0" w:line="5" w:lineRule="exact"/>
        <w:rPr>
          <w:sz w:val="20"/>
          <w:szCs w:val="20"/>
          <w:color w:val="auto"/>
        </w:rPr>
      </w:pPr>
    </w:p>
    <w:p>
      <w:pPr>
        <w:jc w:val="both"/>
        <w:ind w:left="60" w:right="199" w:hanging="10"/>
        <w:spacing w:after="0" w:line="255" w:lineRule="auto"/>
        <w:tabs>
          <w:tab w:leader="none" w:pos="3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 on coverage, reimbursement, and pricing for our products, (v) transparency reporting obligations regarding transfers of value to health care professionals or (vi) additional record-keeping requirements. If any such changes were to be imposed, they could adversely affect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Among policy makers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the Patient Protection and Affordable Care Act, as amended by the Health Care and Education Reconciliation Act, or collectively, the ACA, which was signed into law in 2010, is a sweeping law intended to broaden access to health insurance, reduce or constrain the growth of health care spending, enhance remedies against fraud and abuse, add new transparency requirements for the health care and health insurance industries, impose new taxes and fees on the health industry and impose additional health policy reforms.</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and amendments to certain aspects of ACA. For example, on July 4, 2025,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Other legislative changes have been approved and adopted since the ACA was enacted, including aggregate reductions to Medicare payments to providers of 2% per fiscal year, which began in 2013, and will remain in effect through 2032 unless additional Congressional action is taken.</w:t>
      </w:r>
    </w:p>
    <w:p>
      <w:pPr>
        <w:spacing w:after="0" w:line="187"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certain pharmaceutical companies that require the drug manufacturers to offer, through a direct-to-consumer platform, or TrumpRx, U.S. patients and Medicaid programs prescription drug Most-Favored-Nation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certain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Most-Favored-Nation pricing, lower government subsidies to private insurance companies, increase healthcare price transparency, expand pharmaceutical drugs available for over-the-counter purchase, and enact restrictions on pharmacy benefit manager payment methodologies, among other things. As part of these Most-Favored Nation pricing initiatives, the administration is implementing or considering various CMS Center for Medicare and Medicaid Innovation models, under which manufacturers may owe rebates for certain prescription drugs under Medicaid or Medicare if the price of a drug included in an applicable model exceeds an international benchmark calculated based on prices available in certain reference countries. These include, among others, the finalized GLOBE Model for certain Medicare Part B drugs; and the proposed GUARD Model for certain Medicare Part D drugs. These actions and policies may significantly reduce U.S. drug prices, potentially impacting manufacturers’ global pricing strategies and profitability, while increasing their operational costs and compliance risks. In addition, the U.S. Supreme Court recently greatly reduced judicial deference to regulatory agencies, which could increase successful legal challenges to federal regulations affecting our operations. Congress may introduce and ultimately pass healthcare-related legislation that could impact the drug approval process and make changes to the Medicare Drug Price Negotiation Program. Any reduction in reimbursement from Medicare or other government programs may result in a similar reduction in payments from private payors.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There have been, and likely will continue to be, healthcare reform measures, including legislative and regulatory proposals at the foreign, federal and state levels directed at broadening the availability of healthcare and containing or lowering the cost of healthcare. The implementation of healthcare reform and other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85"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Bribery Act 2010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the Bribery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Foreign Corrupt Practices Act of 1977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as amended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the FCPA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other anti-corruption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as well as export control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import and customs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trade and economic sanctions laws and other laws governing our operations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Bribery Act, the FCPA, the U.S. domestic bribery statute contained in 18 U.S.C. §201, the U.S. Travel Act, and other anti-corruption laws that apply in countries where we do business. The Bribery Act, the FCPA and these other laws generally prohibit us, our employees and our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We and our commercial partners operate in a number of jurisdictions that pose a high risk of potential Bribery Act or FCPA violations, and we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spacing w:after="0" w:line="190"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w:t>
      </w:r>
    </w:p>
    <w:p>
      <w:pPr>
        <w:spacing w:after="0" w:line="183"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the United Kingdom, United States or other authorities could also have an adverse impact on our reputation, our business, results of operations and financial condition.</w:t>
      </w:r>
    </w:p>
    <w:p>
      <w:pPr>
        <w:spacing w:after="0" w:line="188" w:lineRule="exact"/>
        <w:rPr>
          <w:sz w:val="20"/>
          <w:szCs w:val="20"/>
          <w:color w:val="auto"/>
        </w:rPr>
      </w:pPr>
    </w:p>
    <w:p>
      <w:pPr>
        <w:ind w:left="60" w:right="2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rules, contractual obligations, industry standards, policies and other obligations related to data privacy and security. Our (and third parties with whom we work) actual or perceived failure to comply with such obligations could lead to regulatory investigations or actions, litigation (including class claims), fines and penalties, disruptions of our business operations, reputational harm, loss of revenue or profits, and other adverse business consequences.</w:t>
      </w:r>
    </w:p>
    <w:p>
      <w:pPr>
        <w:spacing w:after="0" w:line="183"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or confidential information, including proprietary and confidential business data, trade secrets, intellectual property, data we collect about trial participants in connection with clinical trials, and sensitive third-party data (collectively, sensitive information).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To the extent applicable,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referred to collectively as CCPA, applies to personal data of consumers, business representatives, and employees who are California residents, and requires businesses to provide specific disclosures in privacy notices and honor requests of such individuals to exercise certain privacy rights. The CCPA allows for fines for noncompliance and allows private litigants affected by certain data breaches to recover significant statutory damages. Although the CCPA and other comprehensive U.S. state privacy laws exempt some data processed in the context of clinical trials, these developments may further complicate compliance efforts, and increase compliance costs and potential liability for us and the third parties with whom we work. Similar laws are being considered in several other states, as well as at the federal and local levels, and we expect more states to pass similar laws in the future.</w:t>
      </w:r>
    </w:p>
    <w:p>
      <w:pPr>
        <w:spacing w:after="0" w:line="18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Outside of the United States, an increasing number of laws, regulations, and industry standards may govern data privacy and security. For example, the European Union’s General Data Protection Regulation, or EU GDPR, and the United Kingdom’s GDPR, or U.K. GDPR, impose strict requirements for processing personal data. For example,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may be subject to new laws governing the privacy of consumer health data, including reproductive, sexual orientation, and gender identity privacy rights. For example, Washington’s My Health My Data Act, or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have passed, are considering, and may adopt similar laws.</w:t>
      </w:r>
    </w:p>
    <w:p>
      <w:pPr>
        <w:spacing w:after="0" w:line="18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employees and personnel use generative artificial intelligence, or AI, technologies to perform their work, and the disclosure and use of personal data in generative AI technologies is subject to various privacy laws and other privacy obligations. Governments have passed and are likely to pass additional laws and regulations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3"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or the EEA, and the U.K., have significantly restricted the transfer of personal data to the United States and other countries whose privacy laws they generally believe are inadequate. Other jurisdictions may adopt similarly stringent interpretations of their data localization and cross-border transfer laws. Although there are currently various mechanisms that may be used to transfer personal data from the EEA and U.K. to the United States in compliance with law, such as the European Commission’s Standard Contractual Clauses, the U.K. International Data Transfer Agreement and the U.K. Transfer Addendum, the EU-U.S. Data Privacy Framework and the U.K.’s Extension to that Framework (which allows for transfers for relevant U.S.-based organizations who self-certify compliance and participate in the relevant Framework and/or Extension), these mechanisms are subject to potential legal challenges, and there is no assurance that we can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0" w:lineRule="auto"/>
        <w:rPr>
          <w:sz w:val="20"/>
          <w:szCs w:val="20"/>
          <w:color w:val="auto"/>
        </w:rPr>
      </w:pPr>
      <w:r>
        <w:rPr>
          <w:rFonts w:ascii="Times New Roman" w:cs="Times New Roman" w:eastAsia="Times New Roman" w:hAnsi="Times New Roman"/>
          <w:sz w:val="17"/>
          <w:szCs w:val="17"/>
          <w:color w:val="auto"/>
        </w:rPr>
        <w:t>satisfy or rely on these measures to lawfully transfer personal data to the United States. If there is no lawful manner for us to transfer personal data from the EEA,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77"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spacing w:after="0" w:line="194" w:lineRule="exact"/>
        <w:rPr>
          <w:sz w:val="20"/>
          <w:szCs w:val="20"/>
          <w:color w:val="auto"/>
        </w:rPr>
      </w:pPr>
    </w:p>
    <w:p>
      <w:pPr>
        <w:ind w:left="60" w:right="459" w:firstLine="648"/>
        <w:spacing w:after="0" w:line="312" w:lineRule="auto"/>
        <w:rPr>
          <w:sz w:val="20"/>
          <w:szCs w:val="20"/>
          <w:color w:val="auto"/>
        </w:rPr>
      </w:pPr>
      <w:r>
        <w:rPr>
          <w:rFonts w:ascii="Times New Roman" w:cs="Times New Roman" w:eastAsia="Times New Roman" w:hAnsi="Times New Roman"/>
          <w:sz w:val="17"/>
          <w:szCs w:val="17"/>
          <w:color w:val="auto"/>
        </w:rPr>
        <w:t>In addition to data privacy and security laws, we are also bound by other contractual and industry obligations related to data privacy and security, and our efforts to comply with such obligations may not be successful.</w:t>
      </w:r>
    </w:p>
    <w:p>
      <w:pPr>
        <w:spacing w:after="0" w:line="140" w:lineRule="exact"/>
        <w:rPr>
          <w:sz w:val="20"/>
          <w:szCs w:val="20"/>
          <w:color w:val="auto"/>
        </w:rPr>
      </w:pPr>
    </w:p>
    <w:p>
      <w:pPr>
        <w:ind w:left="60" w:right="199" w:firstLine="648"/>
        <w:spacing w:after="0" w:line="281" w:lineRule="auto"/>
        <w:rPr>
          <w:sz w:val="20"/>
          <w:szCs w:val="20"/>
          <w:color w:val="auto"/>
        </w:rPr>
      </w:pPr>
      <w:r>
        <w:rPr>
          <w:rFonts w:ascii="Times New Roman" w:cs="Times New Roman" w:eastAsia="Times New Roman" w:hAnsi="Times New Roman"/>
          <w:sz w:val="17"/>
          <w:szCs w:val="17"/>
          <w:color w:val="auto"/>
        </w:rPr>
        <w:t>We publish privacy policies, marketing materials, whitepapers,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64"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conflicting among jurisdictions. Preparing for and complying with these obligations requires us to devote significant resources and may necessitate changes to our services, information technologies, systems, and practices and to those of any third parties with whom we work.</w:t>
      </w:r>
    </w:p>
    <w:p>
      <w:pPr>
        <w:spacing w:after="0" w:line="183"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Such failures can subject us to potential foreign, local, state and federal action if they are found to be deceptive, unfair, misleading or misrepresentative of our actual practices, which could negatively impact our business operations and compliance posture. If we or the third parties with whom we work fail, or are perceived to have failed, to address or comply with applicable data privacy or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operate in certain jurisdictions; limited ability to develop or commercialize our products; expenditure of time and resources to defend any claim or inquiry; adverse publicity; or substantial changes to our business model or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activities subject us to various laws relating to foreign investment and the export of certain technologies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our failure to comply with these laws or adequately monitor the compliance of our suppliers and others we do business with could subject us to substantial fines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penalties and even injunctions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imposition of which on us could have a material adverse effect on the success of our business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are subject to laws that regulate certain transactions and access to technology. In the United States, these laws include section 721 of the Defense Production Act of 1950, as amended by the Foreign Investment Risk Review Modernization Act of 2018, and the regulations at 31 C.F.R. Parts 800 and 801, as amended, administered by the Committee on Foreign Investment in the United States; and the Export Control Reform Act of 2018, which is being implemented in part through Commerce Department rulemakings to impose new export control restrictions on “emerging and foundational technologies” yet to be fully identified. Application of these laws, including as they are implemented through regulations being developed, may negatively impact our business in various ways, including by restricting our access to capital and markets; limiting the collaborations we may pursue; regulating the export of our products, services, and technology from the United States and abroad; increasing our costs and the time necessary to obtain required authorizations and to ensure compliance; and threatening monetary fines and other penalties if we do not.</w:t>
      </w:r>
    </w:p>
    <w:p>
      <w:pPr>
        <w:spacing w:after="0" w:line="190"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health and safety laws and regulations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could become subject to fines or penalties or incur costs that could have a material adverse effect on the success of our business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90" w:lineRule="exact"/>
        <w:rPr>
          <w:sz w:val="20"/>
          <w:szCs w:val="20"/>
          <w:color w:val="auto"/>
        </w:rPr>
      </w:pPr>
    </w:p>
    <w:p>
      <w:pPr>
        <w:jc w:val="both"/>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International Operations</w:t>
      </w:r>
    </w:p>
    <w:p>
      <w:pPr>
        <w:spacing w:after="0" w:line="225"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with operations outside of the United States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are subject to economic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political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regulatory and other risks associated with international operations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As a company with operations in the U.K., our business is subject to risks associated with conducting business outside of the United States. Many of our suppliers and clinical trial relationships are located outside the United States. Accordingly, our future results could be harmed by a variety of factors, including:</w:t>
      </w:r>
    </w:p>
    <w:p>
      <w:pPr>
        <w:spacing w:after="0" w:line="176" w:lineRule="exact"/>
        <w:rPr>
          <w:sz w:val="20"/>
          <w:szCs w:val="20"/>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changing regulatory requirements for product approvals;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could present different issues for securing, maintaining or obtaining freedom to operate in such jurisdictions;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61"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different, complex and changing laws, regulations and court systems of multiple jurisdictions and compliance with a wide variety of foreign laws, treaties and regulations, including, without limitation, restrictive regulations such as the EU GDPR and U.K. GDPR governing the use, processing, and cross-border transfer of personal data;</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regulations and customs, tariffs and trade barriers;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of the pound sterling, U.S. dollar, euro and currency controls;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225" w:lineRule="exact"/>
        <w:rPr>
          <w:rFonts w:ascii="Times New Roman" w:cs="Times New Roman" w:eastAsia="Times New Roman" w:hAnsi="Times New Roman"/>
          <w:sz w:val="18"/>
          <w:szCs w:val="18"/>
          <w:color w:val="auto"/>
        </w:rPr>
      </w:pPr>
    </w:p>
    <w:p>
      <w:pPr>
        <w:ind w:left="1040" w:right="101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governments;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non-U.S. markets;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66"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 including, for example, the variable tax treatment in different jurisdictions of options granted under our share option schemes or equity incentive plans;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associated with staffing and managing international operations, including differing labor relations;</w:t>
      </w:r>
    </w:p>
    <w:p>
      <w:pPr>
        <w:spacing w:after="0" w:line="236" w:lineRule="exact"/>
        <w:rPr>
          <w:rFonts w:ascii="Times New Roman" w:cs="Times New Roman" w:eastAsia="Times New Roman" w:hAnsi="Times New Roman"/>
          <w:sz w:val="17"/>
          <w:szCs w:val="17"/>
          <w:color w:val="auto"/>
        </w:rPr>
      </w:pPr>
    </w:p>
    <w:p>
      <w:pPr>
        <w:ind w:left="1040" w:right="27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61"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natural disasters, including earthquakes, typhoons, floods and fires, or public health crises.</w:t>
      </w:r>
    </w:p>
    <w:p>
      <w:pPr>
        <w:spacing w:after="0" w:line="16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Any or all of these factors could have a material adverse impact on our business, financial condition and results of operations. Moreover, global instability may continue as a result of geopolitical risks, including evolving impacts from tariffs, sanctions or other trade tensions between the United States and other countries, or demand or supply shocks from events such as major terrorist attacks, war, natural disasters or actual or threatened public health pandemics or other emergencies. These events could have a lasting impact on regional and global economies, any or all of which could disrupt our supply chain and increase the costs associated with or otherwise adversely affect our ability to conduct ongoing and future clinical trials of our product candidates. In addition, continued instability may adversely impact our ability to raise capital in the future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59"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affect our business, results of operations, financial conditions and prospects. For example, in February 2026, the U.S. Supreme Court invalidated certain tariffs imposed by the U.S. government under emergency statutory authority in 2025. Shortly thereafter, President Trump signed an executive order implementing a new 10% global tariff pursuant to an alternative statutory authority, which may be raised up to 15%. In April 2026, President Trump issued a Proclamation invoking Section 232 of the Trade Expansion Act of 1962 to impose tariffs on imports of patented pharmaceuticals, biologics, and associated ingredients into the United States. The action affects pharmaceutical manufacturers, importers, and supply chain participants. Specifically, beginning July 31, 2026, a 100% tariff will apply to pharmaceutical articles that are subject to a valid, unexpired U.S. patents and are listed in the FDA’s Approved Drug Products with Therapeutic Equivalence Evaluations or are listed in the FDA’s Lists of Licensed Biological Products. The 100% tariff also applies to active pharmaceutical ingredients and key starting materials for such articles. Certain categories of products are exempt from these tariffs, including generic pharmaceuticals and biosimilars; U.S.-origin pharmaceutical products, active pharmaceutical ingredients and key starting materials; products classified in certain 10-digit tariff codes, listed in Annex IV of the Proclamation; drugs and associated ingredients for all approved indications that are designated as orphan pursuant to the Orphan Drug Act; drugs for certain specific uses, including nuclear medicines; plasma-derived therapies; fertility treatments; cell and gene therapies; antibody drug conjugates; medical countermeasures related to chemical, biological, radiological, and nuclear threats; animal health; and other specialty pharmaceutical products to be later identified by the Secretary of Commerce; and goods that qualify as “prototypes to be used exclusively for development, testing, product evaluation, or quality control purposes,” may be excluded from the additional tariffs.</w:t>
      </w:r>
    </w:p>
    <w:p>
      <w:pPr>
        <w:spacing w:after="0" w:line="20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Current or future tariffs or other trade barriers may result in increased research and development expenses, including with respect to increased costs associated with active pharmaceutical ingredients, raw materials, laboratory equipment and research materials and components. In addition, such tariffs may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spacing w:after="0" w:line="192"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19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do not own or operate any manufacturing facilities for production of clinical or commercial supply. We currently rely, and expect to continue to rely on third parties, including those located in China, for supply of our product candidates, as well as for manufacture of any products that we may commercialize, if approved. For further information concerning our reliance on third parties, see the risk factor titled “</w:t>
      </w:r>
      <w:r>
        <w:rPr>
          <w:rFonts w:ascii="Times New Roman" w:cs="Times New Roman" w:eastAsia="Times New Roman" w:hAnsi="Times New Roman"/>
          <w:sz w:val="18"/>
          <w:szCs w:val="18"/>
          <w:i w:val="1"/>
          <w:iCs w:val="1"/>
          <w:color w:val="auto"/>
        </w:rPr>
        <w:t>Risks Related to Our Dependence on Third Parties—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intend to rely on third parties to manufacture product candidates and supply raw materials used in our product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right="99"/>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candidates, such as </w:t>
      </w:r>
      <w:r>
        <w:rPr>
          <w:rFonts w:ascii="Times New Roman" w:cs="Times New Roman" w:eastAsia="Times New Roman" w:hAnsi="Times New Roman"/>
          <w:sz w:val="26"/>
          <w:szCs w:val="26"/>
          <w:i w:val="1"/>
          <w:iCs w:val="1"/>
          <w:color w:val="auto"/>
          <w:vertAlign w:val="superscript"/>
        </w:rPr>
        <w:t>212</w:t>
      </w:r>
      <w:r>
        <w:rPr>
          <w:rFonts w:ascii="Times New Roman" w:cs="Times New Roman" w:eastAsia="Times New Roman" w:hAnsi="Times New Roman"/>
          <w:sz w:val="18"/>
          <w:szCs w:val="18"/>
          <w:i w:val="1"/>
          <w:iCs w:val="1"/>
          <w:color w:val="auto"/>
        </w:rPr>
        <w:t>Pb, which increases the risk that we will not have sufficient quantities of such product candidates or products or such quantities at an acceptable cost, which could delay, prevent or impair our development or commercialization efforts.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Cyber-attacks, failures in or interruptions of, or other compromise to our information technology systems, or those of third parties with whom we work, or our data could result in adverse consequences that materially affect our business, including without limitation, regulatory investigations or actions, litigation, fines and penalties, information theft, data corruption, harm to our reputation and brand, significant disruption of our business operations, and other adverse consequences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ind w:left="60" w:right="99" w:firstLine="648"/>
        <w:spacing w:after="0" w:line="274" w:lineRule="auto"/>
        <w:rPr>
          <w:sz w:val="20"/>
          <w:szCs w:val="20"/>
          <w:color w:val="auto"/>
        </w:rPr>
      </w:pPr>
      <w:r>
        <w:rPr>
          <w:rFonts w:ascii="Times New Roman" w:cs="Times New Roman" w:eastAsia="Times New Roman" w:hAnsi="Times New Roman"/>
          <w:sz w:val="17"/>
          <w:szCs w:val="17"/>
          <w:color w:val="auto"/>
        </w:rPr>
        <w:t>In the ordinary course of business, we and the third parties with whom we work process sensitive information.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73"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conduct our research and development programs and our clinical trials. We and the third parties with whom we work may be subject to a variety of evolving threats, including but not limited to social-engineering attacks (including through phishing attacks and deep fakes, which may be increasingly more difficult to identify as fake),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attacks enhanced or facilitated by AI and other similar threats. In particular, severe ransomware attacks are becoming increasingly prevalent and severe and can lead to significant interruptions in our operations, disruption of clinical trials, loss of sensitive data (including data related to clinical trials), loss of income, reputational harm, and diversion of funds. Extortion payments may alleviate the negative impact of a ransomware attack, but we may be unwilling or unable to make such payments due to, for example, applicable laws or regulations prohibiting such payments. Remote work has increased risks to our information technology systems and data, as more of our employees utilize network connections, computers, and devices outside of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0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sensitive information in a variety of contexts, including, without limitation, third-party providers of information technology infrastructure, cloud-based infrastructure, encryption and authentication technology, employee email, content delivery to customers, CROs for managing clinical trial data, and other functions. We also rely on third-party service providers to provide other products, services, parts, or otherwise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the liability of such third party may be limited such that any award may be insufficient to cover our damages, or we may be unable to recover any such award. In addition, supply-chain attacks have increased in frequency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and severity, and we cannot guarantee that third parties’ infrastructure in our supply chain or our third-party partners’ supply chains have not been compromised.</w:t>
      </w:r>
    </w:p>
    <w:p>
      <w:pPr>
        <w:spacing w:after="0" w:line="16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We may expend significant resources or modify certain of our business activities (which could include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8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While we have established physical, electronic and organizational security measures designed to safeguard and secure our systems against security incidents, there can be no assurance that these measures will be effective. We take steps designed to detect, mitigate and remediate vulnerabilities in our information technology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we expect such attempts will continue in the future. A security incident or other interruption could disrupt our ability (and that of third parties with whom we work) to provide our products or services. For example, the loss of clinical trial data from completed or ongoing or planned clinical trials could result in delays in our regulatory approval efforts and significantly increase our costs to recover or reproduce the data.</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material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class-action claims); indemnification obligations; negative publicity; reputational harm; monetary fund diversions; interruptions in our operations (including availability of data); financial loss; and other similar harms. Security incidents and attendant material consequences may cause customers to stop using our services, deter new customers from using our services, and negatively impact our ability to grow and operate our business.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93"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Additionally, our sensitive information, including personal data, could be leaked, disclosed or revealed as a result of, or in connection with, our employees’, personnel’s, or vendors’ use of generative AI technologies.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Social media platforms and artificial intelligence-based platforms present new risks and challenges to our business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Social media is increasingly being used to communicate information about us, our programs and the diseases our therapeutics are being developed to treat.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Additionally, AI-based platforms are increasingly being used in the pharmaceutical industry and we are expanding the use of AI-based platforms in our operations for data analysis, summarization and automation, which subjects us to a variety of risks, including potential cybersecurity vulnerabilities, breaches of data privacy and the potential for inadvertent or unauthorized disclosure of our confidential information and intellectual property. Our use, or the use by our vendors, suppliers and contractors with access to our proprietary and confidential information, including trade secrets, may lead to the release of our proprietary and confidential information, which may negatively impact our company, including our ability to realize the benefit of our intellectual property. Moreover, AI-based platforms may create flawed, incomplete, or inaccurate outputs, some of which may appear correct. This may happen if the inputs that the model relied on were inaccurate, incomplete or flawed (including if a bad actor “poisons” the AI-based platform with bad inputs or logic), or if the logic of the AI-based platform is flawed (a so-called “hallucination”).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materially affect our results of operations and financial condition</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Owing to the international scope of our operations, fluctuations in exchange rates, particularly between the pound sterling and the U.S. dollar, may adversely affect us. Although we are based in the U.K., we source research and development, manufacturing, consulting and other services from the United States, European Union and Asia that are billed in U.S. dollars. Further, potential future revenue may be derived from abroad, particularly from the United States. As a result, our business and the price of our ADSs may be affected by fluctuations in foreign exchange rates not only between the pound sterling and the U.S. dollar, but also the euro, which may have a significant impact on our results of operations and cash flows from period to period. Currently, we do not have any exchange rate hedging arrangements in place. Any fluctuation in the exchange rate of these foreign currencies may negatively impact our business, financial condition and operating results. Global economic events have and may continue to significantly impact local economies and the foreign exchange markets, which may increase the risks associated with sales denominated in foreign currencies.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For certain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depend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may depend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on development and commercialization collaboration partners to develop, conduct clinical trials for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obtain regulatory approvals 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if approved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commercialize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If such partnerships fail to perform as expected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potential for us to generate future revenue from such product candidates would be significantly reduced and our business would be harmed</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enter into collaboration agreements with third parties, such as our existing collaboration with Ionis, in which we were responsible for identifying and optimizing Bicycle peptides related to collaboration targets and our collaborators are responsible for further development and product commercialization after we complete the defined research screening and compound optimization. We depend on these collaborators to develop and, where applicable, commercialize products based on Bicycle peptides, and the success of their efforts directly impacts the milestones and royalties we will receive. We cannot provide assurance that our collaborators will be successful in or that they will devote sufficient resources to the development or commercialization of their products.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also explore partnership opportunities for certain of our product candidates. However there can be no assurance that we will be able to do so, or that such relationships, if established, will be successful or on favorable terms.</w:t>
      </w:r>
    </w:p>
    <w:p>
      <w:pPr>
        <w:spacing w:after="0" w:line="176"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Our current collaborations and any future collaborations or partnerships that we enter into are subject to numerous risks, including:</w:t>
      </w:r>
    </w:p>
    <w:p>
      <w:pPr>
        <w:spacing w:after="0" w:line="162" w:lineRule="exact"/>
        <w:rPr>
          <w:sz w:val="20"/>
          <w:szCs w:val="20"/>
          <w:color w:val="auto"/>
        </w:rPr>
      </w:pPr>
    </w:p>
    <w:p>
      <w:pPr>
        <w:ind w:left="1040" w:right="29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 collaborations;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 or fail to fulfill their responsibilities in a timely manner, or at all;</w:t>
      </w:r>
    </w:p>
    <w:p>
      <w:pPr>
        <w:spacing w:after="0" w:line="161" w:lineRule="exact"/>
        <w:rPr>
          <w:rFonts w:ascii="Times New Roman" w:cs="Times New Roman" w:eastAsia="Times New Roman" w:hAnsi="Times New Roman"/>
          <w:sz w:val="18"/>
          <w:szCs w:val="18"/>
          <w:color w:val="auto"/>
        </w:rPr>
      </w:pPr>
    </w:p>
    <w:p>
      <w:pPr>
        <w:ind w:left="1040" w:right="79" w:hanging="315"/>
        <w:spacing w:after="0" w:line="261"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spacing w:after="0" w:line="179" w:lineRule="exact"/>
        <w:rPr>
          <w:rFonts w:ascii="Times New Roman" w:cs="Times New Roman" w:eastAsia="Times New Roman" w:hAnsi="Times New Roman"/>
          <w:sz w:val="18"/>
          <w:szCs w:val="18"/>
          <w:color w:val="auto"/>
        </w:rPr>
      </w:pPr>
    </w:p>
    <w:p>
      <w:pPr>
        <w:ind w:left="1040" w:right="239" w:hanging="315"/>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175" w:lineRule="exact"/>
        <w:rPr>
          <w:rFonts w:ascii="Times New Roman" w:cs="Times New Roman" w:eastAsia="Times New Roman" w:hAnsi="Times New Roman"/>
          <w:sz w:val="18"/>
          <w:szCs w:val="18"/>
          <w:color w:val="auto"/>
        </w:rPr>
      </w:pPr>
    </w:p>
    <w:p>
      <w:pPr>
        <w:ind w:left="1040" w:right="339" w:hanging="315"/>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shareholders about the status of such product candidates;</w:t>
      </w:r>
    </w:p>
    <w:p>
      <w:pPr>
        <w:spacing w:after="0" w:line="175" w:lineRule="exact"/>
        <w:rPr>
          <w:rFonts w:ascii="Times New Roman" w:cs="Times New Roman" w:eastAsia="Times New Roman" w:hAnsi="Times New Roman"/>
          <w:sz w:val="18"/>
          <w:szCs w:val="18"/>
          <w:color w:val="auto"/>
        </w:rPr>
      </w:pPr>
    </w:p>
    <w:p>
      <w:pPr>
        <w:ind w:left="1040" w:right="259" w:hanging="315"/>
        <w:spacing w:after="0" w:line="261"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79"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collaborations may not result in product candidates to develop and/or preclinical studies or clinical trials conducted as part of the collaborations may not be successful;</w:t>
      </w:r>
    </w:p>
    <w:p>
      <w:pPr>
        <w:spacing w:after="0" w:line="161" w:lineRule="exact"/>
        <w:rPr>
          <w:rFonts w:ascii="Times New Roman" w:cs="Times New Roman" w:eastAsia="Times New Roman" w:hAnsi="Times New Roman"/>
          <w:sz w:val="18"/>
          <w:szCs w:val="18"/>
          <w:color w:val="auto"/>
        </w:rPr>
      </w:pPr>
    </w:p>
    <w:p>
      <w:pPr>
        <w:ind w:left="1040" w:right="319" w:hanging="315"/>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175" w:lineRule="exact"/>
        <w:rPr>
          <w:rFonts w:ascii="Times New Roman" w:cs="Times New Roman" w:eastAsia="Times New Roman" w:hAnsi="Times New Roman"/>
          <w:sz w:val="18"/>
          <w:szCs w:val="18"/>
          <w:color w:val="auto"/>
        </w:rPr>
      </w:pPr>
    </w:p>
    <w:p>
      <w:pPr>
        <w:ind w:left="1040" w:right="319" w:hanging="315"/>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any such product candidate;</w:t>
      </w:r>
    </w:p>
    <w:p>
      <w:pPr>
        <w:spacing w:after="0" w:line="17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global economic events, including public health crises, could materially affect our operations as well as causing significant disruption in the operations and business of our collaborators and the third-party manufacturers, CROs and other service providers that we and/or our collaborators conduct business with; and</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76" w:lineRule="exact"/>
        <w:rPr>
          <w:sz w:val="20"/>
          <w:szCs w:val="20"/>
          <w:color w:val="auto"/>
        </w:rPr>
      </w:pPr>
    </w:p>
    <w:p>
      <w:pPr>
        <w:ind w:left="60" w:right="379" w:firstLine="648"/>
        <w:spacing w:after="0" w:line="289" w:lineRule="auto"/>
        <w:rPr>
          <w:sz w:val="20"/>
          <w:szCs w:val="20"/>
          <w:color w:val="auto"/>
        </w:rPr>
      </w:pPr>
      <w:r>
        <w:rPr>
          <w:rFonts w:ascii="Times New Roman" w:cs="Times New Roman" w:eastAsia="Times New Roman" w:hAnsi="Times New Roman"/>
          <w:sz w:val="17"/>
          <w:szCs w:val="17"/>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In that</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event,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185"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with our development and commercialization collaborators or licensors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they may act in their own self-interest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may be adverse to the interests of our company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We may in the future experience disagreements with our development and commercialization collaborators or licensors. Conflicts may arise in our collaboration and license arrangements with third parties due to one or more of the following:</w:t>
      </w:r>
    </w:p>
    <w:p>
      <w:pPr>
        <w:spacing w:after="0" w:line="176" w:lineRule="exact"/>
        <w:rPr>
          <w:sz w:val="20"/>
          <w:szCs w:val="20"/>
          <w:color w:val="auto"/>
        </w:rPr>
      </w:pPr>
    </w:p>
    <w:p>
      <w:pPr>
        <w:ind w:left="1040" w:right="439" w:hanging="315"/>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respect to milestone, royalty and other payments that are believed due under the applicable agreements;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respect to the ownership of intellectual property rights or scope of licenses;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respect to the scope of any reporting obligations;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unwillingness on the part of a collaborator to keep us informed regarding the progress of its development and commercialization activities, or to permit public disclosure of these activities; and</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respect to a collaborator’s or our development or commercialization efforts with respect to our products and product candidates.</w:t>
      </w:r>
    </w:p>
    <w:p>
      <w:pPr>
        <w:spacing w:after="0" w:line="162"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For example, we were previously involved in litigation with Pepscan Systems B.V., and its affiliates, or Pepscan, related to a non-exclusive patent license agreement that our subsidiary, BicycleRD Limited, or BicycleRD, entered into with Pepscan in 2009.</w:t>
      </w:r>
    </w:p>
    <w:p>
      <w:pPr>
        <w:spacing w:after="0" w:line="17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Conflicts with our development and commercialization collaborators or licensors could materially adversely affect our business, financial condition or results of operations and future growth prospects. If we are unable to prevail against these challenges, our intellectual property estate may be materially harmed, which would impair our ability to establish competitive barriers to entry in the form of intellectual property protections.</w:t>
      </w:r>
    </w:p>
    <w:p>
      <w:pPr>
        <w:spacing w:after="0" w:line="176" w:lineRule="exact"/>
        <w:rPr>
          <w:sz w:val="20"/>
          <w:szCs w:val="20"/>
          <w:color w:val="auto"/>
        </w:rPr>
      </w:pPr>
    </w:p>
    <w:p>
      <w:pPr>
        <w:jc w:val="both"/>
        <w:ind w:left="60" w:right="2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including independent clinical investigators and CROs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to conduct and sponsor some of the clinical trials of our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Any failure by a third party to meet its obligations with respect to the clinical development of our product candidates may delay or impair our ability to obtain regulatory approval for our product candidates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academic partners,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We also utilize CROs to perform toxicology studies related to our preclinical activities. While we will have agreements governing the activities of such third parties, we will control only certain aspects of their activities and have limited influence over their actual performance. Given the breadth of clinical therapeutic areas for which we believe Bicycle molecules may have utility, we intend to continue to rely on external service providers.</w:t>
      </w:r>
    </w:p>
    <w:p>
      <w:pPr>
        <w:spacing w:after="0" w:line="192"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could negatively impact our ability to meet our expected clinical development timelines and harm our business, financial condition and prospects.</w:t>
      </w:r>
    </w:p>
    <w:p>
      <w:pPr>
        <w:spacing w:after="0" w:line="162"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EEA countries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195"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any of the third parties conducting clinical trials on our behalf, including clinical investigators, do not successfully carry out their contractual duties for any reason,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194"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manufacturing issues,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intend to rely on third parties to manufacture product candidates and supply raw materials used in our product candidates, such as </w:t>
      </w:r>
      <w:r>
        <w:rPr>
          <w:rFonts w:ascii="Times New Roman" w:cs="Times New Roman" w:eastAsia="Times New Roman" w:hAnsi="Times New Roman"/>
          <w:sz w:val="26"/>
          <w:szCs w:val="26"/>
          <w:b w:val="1"/>
          <w:bCs w:val="1"/>
          <w:i w:val="1"/>
          <w:iCs w:val="1"/>
          <w:color w:val="auto"/>
          <w:vertAlign w:val="superscript"/>
        </w:rPr>
        <w:t>212</w:t>
      </w:r>
      <w:r>
        <w:rPr>
          <w:rFonts w:ascii="Times New Roman" w:cs="Times New Roman" w:eastAsia="Times New Roman" w:hAnsi="Times New Roman"/>
          <w:sz w:val="18"/>
          <w:szCs w:val="18"/>
          <w:b w:val="1"/>
          <w:bCs w:val="1"/>
          <w:i w:val="1"/>
          <w:iCs w:val="1"/>
          <w:color w:val="auto"/>
        </w:rPr>
        <w:t>Pb</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increases the risk that we will not have sufficient quantities of such product candidates or products or such quantities at an acceptable cost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could delay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prevent or impair our development or commercialization efforts</w:t>
      </w:r>
      <w:r>
        <w:rPr>
          <w:rFonts w:ascii="Times New Roman" w:cs="Times New Roman" w:eastAsia="Times New Roman" w:hAnsi="Times New Roman"/>
          <w:sz w:val="18"/>
          <w:szCs w:val="18"/>
          <w:i w:val="1"/>
          <w:iCs w:val="1"/>
          <w:color w:val="auto"/>
        </w:rPr>
        <w:t>.</w:t>
      </w:r>
    </w:p>
    <w:p>
      <w:pPr>
        <w:spacing w:after="0" w:line="199"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supplies of the product candidates that we are developing or evaluating in our development programs. We lack the resources and the capabilities to manufacture any of our product candidates on a clinical or commercial scale. We rely on third parties, including those located in China, for supply of our product candidates, and our strategy is to outsource all manufacturing of our product candidates and products to third parties. For any activities conducted in China, we are exposed to the increased possibility of supply disruptions and higher costs in the event of changes in the policies of the U.S. or Chinese governments including tariffs, political unrest or unstable economic conditions including sanctions on China or any of our China-based suppliers. Our manufacturing costs could also increase as a result of future appreciation of the local currency in China or increased labor costs if the demand for skilled laborers increases and/or the availability of skilled labor declines in China. In addition, certain Chinese biotechnology companies may become subject to trade restrictions, sanctions, other regulatory requirements, or proposed legislation by the U.S. government, which could restrict or even prohibit our ability to work with such entities, thereby potentially disrupting the supply of material to us. Such disruption could have adverse effects on the development of our product candidates and our business operations. For example, the United States has recently passed legislation, namely the BIOSECURE Act, to prohibit U.S. federal executive agencies from procuring or obtaining any biotechnology equipment or service produced or provided by a “biotechnology company of concern,” or BCC, or entering into or renewing a contract, loan, or grant with an entity that uses such biotechnology equipment or service. Specifically,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BCC; entering into, extending, or renewing government contracts with an entity that directly or indirectly uses biotechnology equipment or services from a BCC in performance of that federal contract; and/or issuing grants or loans to purchase, obtain, or use biotechnology equipment or services produced by a BCC. The BIOSECURE Act also prohibits U.S. government loan and grant recipients from using federal loan or grant money to enter into contracts with entities that use equipment from BCCs in the performance of any federal prime contract or subcontract. Companies designated as a BCC include (i) certain entities that are identified on the U.S. Department of Defense’s annual List of Chinese Military Companies, also known as the 1260H List, (ii) companies that the U.S. government designates as BCCs pursuant to certain criteria and (iii) certain subsidiaries or parent or successor entities of the foregoing. There is a “safe harbor” provision providing that the restrictions do not apply to equipment or services that were formerly but are no longer provided by a BCC, as well as a “grandfathering” provision providing that the prohibitions shall not apply for a five-year period to biotechnology equipment or services produced or provided under a contract or agreement entered into before the applicable effective date. Given the BIOSECURE Act, we may be restricted in our ability to work with certain Chinese biotechnology companies to the extent we would contract with, or otherwise receive funding from, the U.S. government.</w:t>
      </w:r>
    </w:p>
    <w:p>
      <w:pPr>
        <w:spacing w:after="0" w:line="201" w:lineRule="exact"/>
        <w:rPr>
          <w:sz w:val="20"/>
          <w:szCs w:val="20"/>
          <w:color w:val="auto"/>
        </w:rPr>
      </w:pPr>
    </w:p>
    <w:p>
      <w:pPr>
        <w:ind w:left="60" w:right="339" w:firstLine="648"/>
        <w:spacing w:after="0" w:line="227" w:lineRule="auto"/>
        <w:rPr>
          <w:sz w:val="20"/>
          <w:szCs w:val="20"/>
          <w:color w:val="auto"/>
        </w:rPr>
      </w:pPr>
      <w:r>
        <w:rPr>
          <w:rFonts w:ascii="Times New Roman" w:cs="Times New Roman" w:eastAsia="Times New Roman" w:hAnsi="Times New Roman"/>
          <w:sz w:val="18"/>
          <w:szCs w:val="18"/>
          <w:color w:val="auto"/>
        </w:rPr>
        <w:t xml:space="preserve">We are substantially dependent on third parties for supply of our raw material used in our product candidates. Although we believe our present suppliers have adequate quantities of raw material to meet our current needs, we may encounter supply shortages which could adversely affect our business. There can be no assurance that our suppliers will renew contracts on acceptable terms, or at all. In addition, as it relates to our BRC and BIA molecules, we expect future product candidates to include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 xml:space="preserve">Pb or other radioisotopes. While we have announced arrangements with the United Kingdom Nuclear Decommissioning Authority, United Kingdom National Nuclear Laboratory and SpectronRx for the ultimate supply of </w:t>
      </w:r>
      <w:r>
        <w:rPr>
          <w:rFonts w:ascii="Times New Roman" w:cs="Times New Roman" w:eastAsia="Times New Roman" w:hAnsi="Times New Roman"/>
          <w:sz w:val="26"/>
          <w:szCs w:val="26"/>
          <w:color w:val="auto"/>
          <w:vertAlign w:val="superscript"/>
        </w:rPr>
        <w:t>212</w:t>
      </w:r>
      <w:r>
        <w:rPr>
          <w:rFonts w:ascii="Times New Roman" w:cs="Times New Roman" w:eastAsia="Times New Roman" w:hAnsi="Times New Roman"/>
          <w:sz w:val="18"/>
          <w:szCs w:val="18"/>
          <w:color w:val="auto"/>
        </w:rPr>
        <w:t>Pb and Eckert &amp; Ziegler for a range of radioisotopes, there are not many alternatives to these suppliers, and finding any replacement suppliers would divert management resources.</w:t>
      </w:r>
    </w:p>
    <w:p>
      <w:pPr>
        <w:spacing w:after="0" w:line="204"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In order to conduct clinical trials of product candidates, we will need to have them manufactured in potentially large quantities. Our third-party manufacturers may be unable to successfully increase the manufacturing capacity for any of our product candidates in a timely or cost-effective manner, or at all. In addition, quality issues may arise during scale-up activities and at any other time. For example, ongoing data on the stability of our product candidates may shorten the expiry of our product candidates and lead to clinical trial material supply shortages, and potentially clinical trial delays. Additionally, our manufacturers may experience delays as a result of impacts due to geopolitical risks,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including evolving impacts from tariffs, sanctions or other trade tensions between the United States and other countries, or demand or supply shocks from events such as major terrorist attacks, war, natural disasters or actual or threatened public health pandemics or other emergencies. For example, the United States has announced tariffs on many goods imported from specified nations, including China and those in the European Union. In addition, there are currently discussions concerning potential increased tariffs for pharmaceutical products, which may impact our supply chain and create uncertainty in the broader pharmaceutical industry. While certain tariffs have been suspended, modified or temporarily reduced, we cannot predict the results of the U.S. government’s trade negotiations or the outcome of ongoing legal challenges to specific tariff policies. If our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9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Our use of new third-party manufacturers increases the risk of delays in production or insufficient supplies of our product candidates as we transfer our manufacturing technology to these manufacturers and as they gain experience manufacturing our product candidates. Even after a third-party manufacturer has gained significant experience in manufacturing our product candidates or even if we believe we have succeeded in optimizing the manufacturing process, there can be no assurance that such manufacturer will produce sufficient quantities of our product candidates in a timely manner or continuously over time, or at all.</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76"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operate an outsourced model for the manufacture of our product candidates, and contract with cGMP licensed pharmaceutical contract development and manufacturing organizations. While we have engaged several third-party vendors to provide clinical and non-clinical supplies and fill-finish services, we do not currently have any agreements with third-party manufacturers for long-term commercial supplies. In the future, we may be unable to enter into agreements with third-party manufacturers for commercial supplies of any product candidate that we develop, or may be unable to do so on acceptable terms. Even if we are able to establish and maintain arrangements with third-party manufacturers, reliance on third-party manufacturers entails risks, including:</w:t>
      </w:r>
    </w:p>
    <w:p>
      <w:pPr>
        <w:spacing w:after="0" w:line="189" w:lineRule="exact"/>
        <w:rPr>
          <w:sz w:val="20"/>
          <w:szCs w:val="20"/>
          <w:color w:val="auto"/>
        </w:rPr>
      </w:pPr>
    </w:p>
    <w:p>
      <w:pPr>
        <w:ind w:left="1040" w:right="79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manufacturing process development, regulatory compliance and quality assurance;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and scheduling constraints of third parties;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factors beyond our control; and</w:t>
      </w:r>
    </w:p>
    <w:p>
      <w:pPr>
        <w:spacing w:after="0" w:line="22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manufacturing agreements by the third party, at a time that is costly or inconvenient to us.</w:t>
      </w:r>
    </w:p>
    <w:p>
      <w:pPr>
        <w:spacing w:after="0" w:line="16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In addition, some of the product candidates we intend to develop, including nuzefatide pevedotin, use toxins or other substances that can be produced only in specialized facilities with specific authorizations and permits, and there can be no guarantee that we or our manufacturers can maintain such authorizations and permits. These specialized requirements may also limit the number of potential manufacturers that we can engage to produce our product candidates and impair any efforts to transition to replacement manufacturers.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Our future product candidates and any products that we may develop may compete with other product candidates and products for access to manufacturing facilities. There are a limited number of manufacturers that operate under cGMP requirements that might be capable of manufacturing for us.</w:t>
      </w:r>
    </w:p>
    <w:p>
      <w:pPr>
        <w:spacing w:after="0" w:line="17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If the third parties that we engage to supply any materials or manufacture product for our preclinical tests and clinical trials should cease to continue to do so for any reason, including as a result of the impacts of public health crises on the global workforce and manufacturing operations,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w:t>
      </w:r>
    </w:p>
    <w:p>
      <w:pPr>
        <w:spacing w:after="0" w:line="189"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adversely affect our future profit margins and our ability to develop product candidates and commercialize any products that receive marketing approval on a timely and competitive basis.</w:t>
      </w:r>
    </w:p>
    <w:p>
      <w:pPr>
        <w:spacing w:after="0" w:line="172"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increases the possibility that a competitor will discover them or that our trade secrets will be misappropriated or disclosed</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8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products and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if the scope of the patent and other intellectual property protection obtained is not sufficiently broad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competitors could develop and commercialize products similar or identical to ours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our ability to successfully commercialize our products and product candidates may be adversely affected</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Our ability to compete effectively will depend, in part, on our ability to maintain the proprietary nature of our technology and manufacturing processes. We rely on research, manufacturing and other know-how, patents, trade secrets, license agreements and contractual provisions to establish our intellectual property rights and protect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products and product candidates. These legal means, however, afford only limited protection and may not adequately protect our rights.</w:t>
      </w:r>
    </w:p>
    <w:p>
      <w:pPr>
        <w:spacing w:after="0" w:line="16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In certain situations and as considered appropriate, we have sought, and we intend to continue to seek to protect our proprietary position by filing patent applications in the United States and, in at least some cases, one or more countries outside the United States relating to current and future products and product candidates that are important to our business. However, we cannot predict whether the patent applications currently being pursued will issue as patents, or whether the claims of any resulting patents will provide us with a competitive advantage or whether we will be able to successfully pursue patent applications in the future relating to our current or future products and product candidates. Moreover, the patent application and approval process is expensive and time-consuming. We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 It is possible that defects of form in the preparation or filing of patent applications may exist, or may arise in the future, for example with respect to proper priority claims, inventorship, claim scope, or requests for patent term adjustments. If we fail to establish, maintain or protect such patents and other intellectual property rights, such rights may be reduced or eliminated. If there are material defects in the form, preparation, prosecution or enforcement of our patents or patent applications, such patents may be invalid and/or unenforceable, and such applications may never result in valid, enforceable patents.</w:t>
      </w:r>
    </w:p>
    <w:p>
      <w:pPr>
        <w:spacing w:after="0" w:line="19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Even if they are unchallenged, our patents and patent applications, if issued, may not provide us with any meaningful protection or prevent competitors from designing around our patent claims by developing similar or alternative technologies or therapeutics in a non-infringing manner. For example, a third party may develop a competitive therapy that provides benefits similar to one or more of our product candidates but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w:t>
      </w:r>
    </w:p>
    <w:p>
      <w:pPr>
        <w:spacing w:after="0" w:line="18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Other parties, many of whom have substantially greater resources and have made significant investments in competing technologies, have developed or may develop technologies that may be related or competitive with our approach, and may have filed or may file patent applications and may have been issued or may be issued patents with claims that overlap or conflict with our patent applications, either by claiming the same compositions, formulations or methods or by claiming subject matter that could dominate our patent position. In addition, the laws of foreign countries may not protect our rights to the same extent as the laws of the United States. As a result, any patents we may obtain in the future may not provide us with adequate and continuing patent protection sufficient to exclude others from commercializing products similar to our products and product candidates.</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has in recent years been the subject of much litigation. As a result, the issuance, scope, validity, enforceability and commercial value of our patent rights are highly uncertain. Our competitors may also seek approval to market their own products similar to or otherwise competitive with our products. Alternatively, our competitors may seek to market generic versions of any approved products by submitting ANDAs to the FDA in which they claim that our patents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87"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In the future, one or more of our products and product candidates may be in-licensed from third parties. Accordingly, in some cases, the availability and scope of potential patent protection is limited based on prior decisions by our licensors or the inventors, such as decisions on when to file patent applications or whether to file patent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applications at all. Our failure to obtain, maintain, enforce or defend such intellectual property rights, for any reason, could allow third parties, in particular, other established and better financed competitors having established development, manufacturing and distribution capabilities, to make competing products or impact our ability to develop, manufacture and market our products and product candidates, even if approved, on a commercially viable basis, if at all, which could have a material adverse effect on our business.</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also rely heavily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8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addition, our employees use generative AI technologies in certain circumstances to perform portions of their work. There can be no assurance that employees will not inadvertently or improperly input information that is proprietary, confidential or sensitive, including trade secrets, into AI systems in a manner that results in unauthorized disclosure or loss of confidentiality. Many generative AI tools are provided by third-party vendors, and we may have limited ability to control or verify how information submitted by employees is processed, stored, retained, or used by such providers, including whether such information may be incorporated into model training or otherwise accessed or disclosed. Any failure to adequately prevent the disclosure or misuse of our proprietary or confidential information, whether due to employee error, inadequate controls, evolving AI system functionality, or third-party practices, could result in the loss of trade secret protection and the disclosure of confidential information related to our inventions and product candidates, which could preclude us from obtaining patents covering disclosed inventions and product candidates, all of which could adversely affect our business.</w:t>
      </w:r>
    </w:p>
    <w:p>
      <w:pPr>
        <w:spacing w:after="0" w:line="188"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and product candidates could be found invalid or unenforceable if challenged in court or in administrative proceedings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may not be able to protect our trade secrets in court</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we initiate legal proceedings against a third-party to enforce a patent covering one of our products or product candidates, should such a patent issue, the defendant could counterclaim that the patent covering our product or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United States Patent and Trademark Office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An adverse determination in any of the foregoing proceedings could result in the revocation or cancellation of, or amendment to, our patents in such a way that they no longer cover our products or product candidates. As an example of the foregoing risks, the validity of our European Patent No. 4464721 has been challenged by an opponent at the European Patent Office. Proceedings are ongoing, during which the patent may be maintained, narrowed or invalidated. The outcome following legal assertions of invalidity and unenforceability is unpredictable. With respect to the validity question, for example, we cannot be certain that there is no invalidating prior art, of which the patent examiner and we were unaware during prosecution. If a defendant or third party were to prevail on a legal assertion of invalidity or unenforceability, we could lose at least part, and perhaps all, of the patent protection on one or more of our products and product candidates. Such a loss of patent protection may materially harm our intellectual property estate, which would impair our ability to establish competitive barriers to entry in the form of intellectual property protections.</w:t>
      </w:r>
    </w:p>
    <w:p>
      <w:pPr>
        <w:spacing w:after="0" w:line="18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our trade secrets may otherwise become known or be independently discovered by competitors. Competitors and other third parties could purchase our products and product candidates and attempt to replicate some or all of the competitive advantages we derive from our development efforts, willfully infringe, misappropriate or otherwise violate our intellectual property rights, design around our protected technology or develop their own competitive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our trade secrets are not adequately protected or sufficient to provide an advantage over our competitors, our competitive position could be adversely affected, as could our business. Additionally, if the steps taken to maintain our trade secrets are deemed inadequate, we may have insufficient recourse against third parties for misappropriating our trade secrets.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the patents and other intellectual property</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79" w:firstLine="648"/>
        <w:spacing w:after="0" w:line="270"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ownership interest in the patents and intellectual property that we own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or such assignments may not be self-executing or may be breached. We could be subject to ownership disputes arising, for example, from conflicting obligations of employees, consultants or others who are involved in developing our products or product candidates. Litigation may be necessary to defend against any claims challenging inventorship or ownership. If we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173"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document submission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fee payment and other requirements imposed by governmental patent agencies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our patent protection could be reduced or eliminated for non-compliance with these requirements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 The terms of one or more licenses that we enter into the future may not provide us with the ability to maintain or prosecute patents in the portfolio, and must therefore rely on third parties to do so.</w:t>
      </w:r>
    </w:p>
    <w:p>
      <w:pPr>
        <w:spacing w:after="0" w:line="188"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our products and product candidates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business may be materially harmed</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the future, if we obtain an issued patent covering one of our present or future product candidates, depending upon the timing, duration and specifics of any FDA marketing approval of such product candidates, such patent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failure to obtain a granted patent before approval of a product candidate, failure to exercise due diligence during the testing phase or regulatory review process, failure to apply within applicable deadlines, failure to apply prior to expiration of relevant patents or otherwise our failure to satisfy applicable requirements. A patent licensed to us by a third party may not be available for patent term extension.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w:t>
      </w:r>
    </w:p>
    <w:p>
      <w:pPr>
        <w:spacing w:after="0" w:line="192"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thereby impairing our ability to protect our products and product candidates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in development and commercialization of biologics and pharmaceuticals are uncertain. Changes in either the patent laws or the interpretation of the patent laws in the United States or other jurisdictions could further increase the uncertainties and costs surrounding the prosecution of patent applications and the enforcement or defense of issued patents. For example, recent rulings from the U.S. Court of Appeals for the Federal Circuit and the U.S. Supreme Court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94"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cannot provide assurance that our efforts to seek patent protection for one or more of our products and product candidates will not be negatively impacted by the decisions described above, rulings in other cases or changes in guidance or procedures issued by the USPTO. We cannot fully predict what impact courts’ decisions in historical and future cases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Filing, prosecuting, maintaining, defending and enforcing patents on products and product candidates in all countries throughout the world would be prohibitively expensive, and our intellectual property rights in some countries outside the United States could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There can be no assurance that we will obtain or maintain patent rights in or outside the United States under any future license agreements.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even in jurisdictions where we pursue patent protection, or from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selling or importing products made using our inventions in and into the United States or other jurisdictions. 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products and product candidates and our patents or other intellectual property rights may not be effective or sufficient to prevent them from competing.</w:t>
      </w:r>
    </w:p>
    <w:p>
      <w:pPr>
        <w:spacing w:after="0" w:line="18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foreign countries have compulsory licensing laws under which a patent owner must grant licenses to third parties.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While we intend to protect our intellectual property rights in major markets for our products, we cannot ensure that we will be able to initiate or maintain similar efforts in all jurisdictions in which we may wish to market our products. Accordingly, our efforts to enforce our intellectual property rights around the world may be inadequate to obtain a significant commercial advantage from the intellectual property that we develop.</w:t>
      </w:r>
    </w:p>
    <w:p>
      <w:pPr>
        <w:spacing w:after="0" w:line="193"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such litigation could be costly and time consuming and could prevent or delay us from developing or commercializing our product candidates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without infringing the intellectual property and other proprietary rights of third parties. Third parties may have U.S. and non-U.S. issued patents and pending patent applications relating to compounds, methods of manufacturing compounds and/or methods of use for the treatment of the disease indications for which we are developing our product candidates. If any third-party patents or patent applications are found to cover our product candidates or their methods of use or manufacture, we and our collaborators or sublicensees may not be free to manufacture or market our product candidates as planned without obtaining a license, which may not be available on commercially reasonable terms, or at all. We may also be required to indemnify our collaborators or sublicensees in such an event.</w:t>
      </w:r>
    </w:p>
    <w:p>
      <w:pPr>
        <w:spacing w:after="0" w:line="19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were previously party to protracted litigation with Pepscan, which we settled in 2020. We may become party to, or be threatened with, litigation or other adversarial proceedings regarding intellectual property rights with respect to our products candidates, including interference and post-grant proceedings before the USPTO. There may be third-party patents or patent applications with claims to materials, formulations, methods of manufacture or methods for treatment related to the composition, use or manufacture of our product candidates. We cannot guarantee that any of our patent searches or analyses including, but not limited to, the identification of relevant patents, the scope of patent claims or the expiration of relevant patents are complete or thorough, nor can we be certain that we have identified each and every patent and pending application in the United States and abroad that is relevant to or necessary for the commercialization of our product candidates in any jurisdiction. Because patent applications can take many years to issue, there may be currently pending patent applications which may later result in issued patents that our product candidates may be accused of infringing. In addition, third parties may obtain patents in the future and claim that use of our technologies infringes upon these patents. Accordingly, third parties may assert infringement claims against us based on intellectual property rights that exist now or arise in the future.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or manufacture. The scope of protection afforded by a patent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 Claims that we have misappropriated the confidential information or trade secrets of third parties could have a similar negative impact on our business.</w:t>
      </w:r>
    </w:p>
    <w:p>
      <w:pPr>
        <w:spacing w:after="0" w:line="18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or claiming ownership of what we regard as our own intellectual property</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Many of our current and former employees, including our senior management, were previously employed at universities or at other biotechnology or pharmaceutical companies, including some which may be competitors or potential competitors. Some of these employees may be subject to proprietary rights, non-disclosure and non-competition agreements, or similar agreements, in connection with such previous employment. Although we try to ensure that our employees do not use the proprietary information or know-how of others in their work for us, we have been in the past and may be subject in the future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190"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8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could be expensive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time-consuming and unsuccessful</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In addition, our patents may become involved in inventorship, priority, or validity disputes. To counter or defend against such claims can be expensive and time-consuming, and our adversaries may have the ability to dedicate substantially greater resources to prosecuting these legal actions than we can. Any claims we assert against perceived infringers could provoke these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parties to assert counterclaims against us alleging that we infringe their patents, in addition to counterclaims asserting that our patents are invalid or unenforceable, or both.</w:t>
      </w:r>
    </w:p>
    <w:p>
      <w:pPr>
        <w:spacing w:after="0" w:line="16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an infringement proceeding, a court may decide that a patent is invalid or unenforceable, or may refuse to stop the other party from using the technology at issue on the grounds that our patents do not cover the technology in question. Accordingly, despite our efforts, we may not be able to prevent third parties from infringing upon or misappropriating intellectual property rights we own or control. An adverse result in any litigation proceeding could put one or more of our owned or in-licensed patents at risk of being invalidated or interpreted narrowly. Further, because of the substantial amount of discovery required in connection with intellectual property litigation, there is a risk that some of our confidential information could be compromised by disclosure during this type of litigation.</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Even if resolved in our favor, the court may decide not to grant an injunction against further infringing activity and instead award only monetary damages, which may or may not be an adequate remedy.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ADSs. Such litigation or proceedings could substantially increase our operating losses and reduce the resources available for development activities or any future sales, marketing, or distribution activities.</w:t>
      </w:r>
    </w:p>
    <w:p>
      <w:pPr>
        <w:spacing w:after="0" w:line="19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79"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future intellectual property licenses with third parties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could lose license rights that are important to our business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efforts to build our product candidate pipeline, we may enter into license agreements in the future. We expect that such license agreements will impose various diligence, milestone payment, royalty, insurance and other obligations on us. If we fail to comply with our obligations under these licenses, our licensors may have the right to terminate these license agreements, in which event we might not be able to market any product that is covered by these agreements, or our licensors may convert the license to a non-exclusive license, which could negatively impact the value of the product candidate being developed under the license agreement. Termination of these license agreements or reduction or elimination of our licensed rights may also result in our having to negotiate new or reinstated licenses with less favorable terms.</w:t>
      </w:r>
    </w:p>
    <w:p>
      <w:pPr>
        <w:spacing w:after="0" w:line="18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then we may not be able to build name recognition in our marks of interest and our business may be adversely affected</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invalid,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objections. Although we would be given an opportunity to respond to those objections, we may be unable to overcome such objections.</w:t>
      </w:r>
    </w:p>
    <w:p>
      <w:pPr>
        <w:spacing w:after="0" w:line="18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addition, in the USPTO and in comparable Intellectual Property Offices in many foreign jurisdictions, third parties are given an opportunity to oppose pending trademark applications and to seek to cancel registered trademarks. Opposition or cancellation proceedings have been and may in the future be filed against our trademarks, and our trademarks may not survive such proceedings. For example, our U.K. trademark application for “TICA” was successfully opposed in the U.K., Japan and the EU for the majority of goods and services for which we originally applied, and we have abandoned our trademark application for “TICA” in the United States as a result. If we are unable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to establish name recognition based on our trademarks and trade names, we may not be able to compete effectively and our business may be adversely affected.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workforce reductions were undertaken to significantly reduce our ongoing operating expenses, but they may not result in our intended outcomes and may yield unintended consequences and additional costs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In August 2025, we announced cost reduction initiatives that are expected to reduce planned operating costs, primarily through a workforce reduction. This workforce reduction was substantially completed in the fourth quarter of 2025.</w:t>
      </w:r>
    </w:p>
    <w:p>
      <w:pPr>
        <w:spacing w:after="0" w:line="176" w:lineRule="exact"/>
        <w:rPr>
          <w:sz w:val="20"/>
          <w:szCs w:val="20"/>
          <w:color w:val="auto"/>
        </w:rPr>
      </w:pPr>
    </w:p>
    <w:p>
      <w:pPr>
        <w:ind w:left="60" w:right="339" w:firstLine="648"/>
        <w:spacing w:after="0" w:line="256" w:lineRule="auto"/>
        <w:rPr>
          <w:sz w:val="20"/>
          <w:szCs w:val="20"/>
          <w:color w:val="auto"/>
        </w:rPr>
      </w:pPr>
      <w:r>
        <w:rPr>
          <w:rFonts w:ascii="Times New Roman" w:cs="Times New Roman" w:eastAsia="Times New Roman" w:hAnsi="Times New Roman"/>
          <w:sz w:val="18"/>
          <w:szCs w:val="18"/>
          <w:color w:val="auto"/>
        </w:rPr>
        <w:t>In addition, in conjunction with our strategic reprioritization announced in March 2026, we announced a workforce reduction of approximately 30% of our workforce. Together, the workforce reduction and strategic reprioritization are expected to reduce our annual operating expenses by approximately 50% based on our current plans. We expect this workforce reduction to be substantially completed by the end of 2026, and that we will incur aggregate charges, representing cash expenditure for severance and other employee termination benefits, of approximately $6.1 million.</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These recent workforce reductions may result in unintended consequences and costs, such as the loss of institutional knowledge and expertise, attrition beyond the intended number of employees, decreased morale among our remaining employees, and the risk that we may not achieve the anticipated benefits of the workforce reductions. In addition, we may be unsuccessful in distributing the duties and obligations of departed employees among our remaining employees or to contractors or other partners. The workforce reductions could also make it difficult for us to pursue, or prevent us from pursuing, new opportunities and initiatives due to insufficient personnel, or require us to incur additional and unanticipated costs to hire new personnel to pursue such opportunities or initiatives. Further, inflationary pressure may increase our costs, including employee compensation costs, or result in employee attrition to the extent our compensation does not keep up with inflation, particularly if our competitors’ compensation does. If we are unable to realize the anticipated benefits from the workforce reductions, if we experience significant adverse consequences from the workforce reductions, or if we are otherwise unable to retain our employees, our business, financial condition, and results of operations may be materially adversely affected.</w:t>
      </w:r>
    </w:p>
    <w:p>
      <w:pPr>
        <w:spacing w:after="0" w:line="186"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consultants and advisors and to attract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retain and motivate qualified personnel</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We do not maintain “key person” insurance policies on the lives of these individuals or the lives of any of our other employees. The loss of the services of one or more of our current key employees might impede the achievement of our research, development and commercialization objectives.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Recruiting and retaining other qualified employees, consultants and advisors for our business, including scientific and technical personnel, will also be critical to our success. There is currently a shortage of skilled executives and personnel in our industry, which is likely to continue. As a result, competition for skilled personnel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w:t>
      </w:r>
    </w:p>
    <w:p>
      <w:pPr>
        <w:spacing w:after="0" w:line="187"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may limit their availability to us. If we are unable to continue to attract and retain highly qualified personnel, our ability to develop and commercialize our product candidates will be limited.</w:t>
      </w:r>
    </w:p>
    <w:p>
      <w:pPr>
        <w:spacing w:after="0" w:line="162"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Particularly in light of our recent workforce reductions, we may find it difficult to maintain valuable aspects of our culture, to prevent a negative effect on employee morale or attrition beyond our planned reduction in headcount, and to attract and retain competent personnel. If we are not able to continue to retain, on acceptable terms, the qualified personnel necessary for the continued operation of our business, we may not be able to sustain our operations. The inability to recruit or the loss of the services of any executive, key employee, consultant or advisor may impede the progress of our research, development and commercialization objectives.</w:t>
      </w:r>
    </w:p>
    <w:p>
      <w:pPr>
        <w:spacing w:after="0" w:line="183" w:lineRule="exact"/>
        <w:rPr>
          <w:sz w:val="20"/>
          <w:szCs w:val="20"/>
          <w:color w:val="auto"/>
        </w:rPr>
      </w:pPr>
    </w:p>
    <w:p>
      <w:pPr>
        <w:ind w:left="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independent contractors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consultants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collaborators and CROs may engage in misconduct or other improper activities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including non-compliance with regulatory standards and requirements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could cause significant liability for us and harm our reputation</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and contract research organizations may engage in fraudulent conduct or other illegal activity. Misconduct by those parties could include intentional, reckless and/or negligent conduct or disclosure of unauthorized activities to us that violates: (1) FDA regulations or similar regulations of comparable non-U.S. regulatory authorities, including those laws requiring the reporting of true, complete and accurate information to such authorities; (2) manufacturing standards; (3) federal and state healthcare fraud and abuse laws and regulations and similar laws and regulations established and enforced by comparable non-U.S. regulatory authorities; and (4) laws that require the reporting of financial information or data accurately. In particular, sales, marketing and business arrangements in the healthcare industry are subject to extensive laws and regulations intended to prevent fraud, misconduct, kickbacks, self-dealing, bribery and other abusive practices. These laws and regulations restrict or prohibit a wide range of pricing, discounting, marketing and promotion, sales commission, customer incentive programs and other business arrangements. Employee or collaborator misconduct could also involve the improper use of, including trading on, information obtained in the course of clinical trials, which could result in regulatory sanctions and serious harm to our reputation. Further, because of our hybrid work environment, information that is normally protected, including company confidential information, may be less secure. We have adopted a code of conduct and business ethics to which all of our employees must adhere,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imprisonment, contractual damages, reputational harm, diminished profits and future earnings, and curtailment of our operations, any of which could have a material adverse effect on our ability to operate our business and our results of operations.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could disrupt our operations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recent years, we have experienced significant fluctuations in the number of our employees and growth in the scope of our operations and over the long term we expect to expand, particularly in the areas of drug manufacturing, supply chain, clinical development, sales, marketing, as well as to support our public company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its time and attention to managing both rightsizing and growth activities.</w:t>
      </w:r>
    </w:p>
    <w:p>
      <w:pPr>
        <w:spacing w:after="0" w:line="187"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Our potential growth over the long term may also require us to relocate to geographic areas beyond those where we have been historically located. For example, we maintain office and laboratory space in Cambridge, U.K. and in Massachusetts, U.S. Due to our limited resources, we may not be able to effectively manage the potential expansion or relocation of our operations, retain key employees, or identify, recruit and train additional qualified personnel.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inability to effectively manage changes in the size of our workforce and other operations effectively may result in weaknesses in our infrastructure, give rise to operational mistakes, loss of business opportunities, loss of employees and reduced productivity among remaining employees. Our potential growth could also require significant capital expenditures and may divert financial resources from other projects, such as the development of additional product candidates. If we are unable to effectively manage our potential growth, our expenses may increase more than expected, our ability to generate revenues could be reduced and we may not be able to implement our business strategy, including the successful commercialization of our product candidates.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ADSs is highly volatile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and holders of our ADSs may not be able to resell their ADSs at or above the price at which they purchased their ADSs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market price of our ADSs is highly volatile. Since our initial public offering, or IPO, in May 2019, through October 26, 2026, the trading price of our ADSs has ranged from $3.38 to $62.08. The stock market in general, and the market for pharmaceutical companies in particular, has experienced extreme volatility that has often been unrelated to the operating performance of particular companies. As a result of this volatility, holders of our ADSs may not be able to sell their ADSs at or above the price at which they purchased their ADSs. The market price for our ADSs may be influenced by many factors, including:</w:t>
      </w:r>
    </w:p>
    <w:p>
      <w:pPr>
        <w:spacing w:after="0" w:line="187" w:lineRule="exact"/>
        <w:rPr>
          <w:sz w:val="20"/>
          <w:szCs w:val="20"/>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or clinical trials;</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adverse events in products similar or perceived to be similar to those we are developing or clinical trials of such products;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successfully develop and commercialize our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our existing strategic collaborations or enter into new collaborations;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identify additional product candidates for our pipeline;</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licensors and strategic partners to prosecute, maintain or enforce our intellectual property rights;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future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1040" w:right="83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adequate product supply for our product candidates or the inability to do so at acceptable prices;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services or technologies by our competitors;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meet or exceed financial projections we may provide to the public;</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meet or exceed the financial projections of the investment community;</w:t>
      </w:r>
    </w:p>
    <w:p>
      <w:pPr>
        <w:spacing w:after="0" w:line="225" w:lineRule="exact"/>
        <w:rPr>
          <w:rFonts w:ascii="Times New Roman" w:cs="Times New Roman" w:eastAsia="Times New Roman" w:hAnsi="Times New Roman"/>
          <w:sz w:val="18"/>
          <w:szCs w:val="18"/>
          <w:color w:val="auto"/>
        </w:rPr>
      </w:pPr>
    </w:p>
    <w:p>
      <w:pPr>
        <w:ind w:left="1040" w:right="59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right="279" w:hanging="315"/>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our strategic partners or our competitors;</w:t>
      </w:r>
    </w:p>
    <w:p>
      <w:pPr>
        <w:spacing w:after="0" w:line="161"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shareholder litigation;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ADSs or ordinary shares by us or our shareholders in the future;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ADSs.</w:t>
      </w:r>
    </w:p>
    <w:p>
      <w:pPr>
        <w:spacing w:after="0" w:line="22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among other things, severely diminished liquidity and credit availability, declines in consumer confidence, declines in economic growth, increases in unemployment rates, supply chain shortages, increases in inflation rates, higher interest rates and uncertainty about economic stability. Similarly, geopolitical risks, including evolving impacts from tariffs, sanctions or other trade tensions between the United States and other countries, or demand or supply shocks from events such as major terrorist attacks, war, natural disasters or actual or threatened public health pandemics or other emergencies have created extreme volatility in the global capital markets and may have further global economic consequences, including further disruptions of the global supply chain and energy markets. Any such volatility and disruptions may have adverse consequences on us or the third parties on whom we rely. If the equity and credit markets continue to deteriorate, it may make any necessary debt or equity financings more difficult to obtain in a timely manner or on favorable terms, more costly or more dilutive. Increased inflation rates and macroeconomic turmoil can adversely affect us by increasing our costs and the costs of our contract manufacturing organizations, or CMOs, and other suppliers. These factors may negatively affect the market price of our ADSs, regardless of our actual operating performance.</w:t>
      </w:r>
    </w:p>
    <w:p>
      <w:pPr>
        <w:spacing w:after="0" w:line="183"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shares may limit your ability to influence corporate matters and may limit your visibility with respect to certain transactions.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of October 26, 2026, we had 50,655,817 ordinary shares, nominal value £0.01 per share, and 19,437,944 non-voting ordinary shares, nominal value £0.01 per share, outstanding. The dual class structure of our shares may limit your ability to influence corporate matters. Holders of our ordinary shares are entitled to one vote per share, while holders of our non-voting ordinary shares are not entitled to any votes. Nevertheless, non-voting ordinary shares may be re-designated at any time as ordinary shares at the option of the holder by providing written notice to us, subject to certain restrictions. Such restrictions include prohibitions on a holder from re-designating the non-voting ordinary shares as ordinary shares if such re-designation would result in such holder beneficially owning (when aggregated with “affiliates” and “group” members) in excess of 9.9% of any class of our securities registered under the Exchange Act, or upon at least 61 days’ notice, not in excess of 19.9%. Any re-designation of non-voting ordinary shares as ordinary shares will have the effect of increasing the relative voting power of those prior holders of our non-voting ordinary shares, and correspondingly decreasing the voting power of the holders of our ordinary shares, which may limit your ability to influence corporate matters. The ordinary shares currently have 100% of the voting power, but if the holders of non-voting ordinary shares were to re-designate all of their non-voting ordinary shares as ordinary shares (assuming, for these purposes, that they were able to do so in compliance with the beneficial ownership limitation), based on the number of ordinary shares and non-voting ordinary shares outstanding on September 30, 2026, the ordinary shares outstanding prior to the re-designation would have approximately 72% of the voting power and the former non-voting ordinary shares would represent approximately 28% of the voting power.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issuances of shares of our ordinary shares or ADSs or other equity-related securities could adversely affect the price of our ADSs and dilute shareholders.</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ordinary shares or ADSs, and sales by our management, our directors, their affiliates, or significant shareholders, could occur at any time. Based on information available to us, entities affiliated with Baker Bros. Advisors LP, or the Baker Entities, beneficially own approximately 21.6% of our ordinary shares. If these shares are sold in the market in transactions that occur at about the same time, such transactions could depress the market of our ADSs and could also affect our ability to raise equity capital through the sale of additional equity or equity-related securities, including non-voting ordinary shares, to meet our capital needs, including in connection with funding potential future acquisition or licensing opportunities, capital expenditures or product development costs. Our registration obligations pursuant to the Registration Rights Agreement with the Baker Entities also cover all shares thereafter acquired by the Baker Entities, for up to 10 years, and include our obligation to facilitate certain underwritten public offerings of our ordinary shares or ADSs by the Baker Entities in the future. In addition, ordinary shares subject to outstanding options under our equity incentive plans and the ordinary shares reserved for future issuance under our equity incentive plans will become eligible for sale in the public market in the future, subject to certain legal and contractual limitations, which will dilute current holders.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consult with our management and have various impacts on our business affairs.</w:t>
      </w:r>
    </w:p>
    <w:p>
      <w:pPr>
        <w:spacing w:after="0" w:line="229"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While our shareholder base and relative holdings may change over time, the Baker Entities hold the largest ownership position in our outstanding ordinary shares and non-voting ordinary shares. In addition, Felix J. Baker, Chairman of our board of directors, is a managing member of Baker Bros. Advisors (GP) LLC, which is the sole general partner of Baker Bros. Advisors LP. The interests of the Baker Entities and its affiliates may not always coincide with the interests of other shareholders, and any influence exerted over our business and affairs by these entities may not coincide with the wishes of other shareholders.</w:t>
      </w:r>
    </w:p>
    <w:p>
      <w:pPr>
        <w:spacing w:after="0" w:line="18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addition, the Baker Entities, together with our executive officers and directors and other holders of greater than five percent of our outstanding ordinary shares, beneficially owned approximately 48% of our voting power as of October 26, 2026. As a result, these shareholders in aggregate are able to exert substantial influence over our management and affairs and matters requiring shareholder approval, including the election of directors and approval of significant corporate transactions, such as mergers, consolidations or the sale of substantially all of our assets. Consequently, this concentration of ownership may result in our taking corporate actions that our other shareholders may not consider to be in their best interest. For example, it may have the effect of delaying, deferring or preventing a change in control, including a merger, consolidation, takeover or other business combination involving us or discourage a potential acquirer from making a tender offer or otherwise attempting to obtain control, which might affect the market price of our ADSs.</w:t>
      </w:r>
    </w:p>
    <w:p>
      <w:pPr>
        <w:spacing w:after="0" w:line="184" w:lineRule="exact"/>
        <w:rPr>
          <w:sz w:val="20"/>
          <w:szCs w:val="20"/>
          <w:color w:val="auto"/>
        </w:rPr>
      </w:pPr>
    </w:p>
    <w:p>
      <w:pPr>
        <w:jc w:val="both"/>
        <w:ind w:left="60" w:right="1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do not anticipate paying any cash dividends on our ADSs in the foreseeable future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capital appreciation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if any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will be the sole source of gains for holders of our ADSs, and they may never receive a return on their investment</w:t>
      </w:r>
      <w:r>
        <w:rPr>
          <w:rFonts w:ascii="Times New Roman" w:cs="Times New Roman" w:eastAsia="Times New Roman" w:hAnsi="Times New Roman"/>
          <w:sz w:val="17"/>
          <w:szCs w:val="17"/>
          <w:i w:val="1"/>
          <w:iCs w:val="1"/>
          <w:color w:val="auto"/>
        </w:rPr>
        <w:t>.</w:t>
      </w:r>
    </w:p>
    <w:p>
      <w:pPr>
        <w:spacing w:after="0" w:line="136"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Under current English law, a company’s accumulated realized profits must exceed its accumulated realized losses (on a non-consolidated basis) before dividends can be declared and paid. Therefore, we must have distributable profits before declaring and paying a dividend. We have not paid dividends in the past on our ordinary shares. We intend to retain earnings, if any, for use in our business and do not anticipate paying any cash dividends in the foreseeable future. As a result, capital appreciation, if any, on our ADSs will be a holder’s sole source of gains for the foreseeable future, and holders will suffer a loss on their investment if they are unable to sell their ADSs at or above the original purchase price.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Incorporation Under the Laws of England and Wales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Claims of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civil liabilities may not be enforceable against us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We are incorporated under English law. Certain members of our board of directors and senior management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United States and the U.K.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U.K. In addition, uncertainty exists as to whether U.K. courts would entertain original actions brought in the U.K. against us or our directors or senior management predicated upon the securities laws of the United States or any state in the United States. Any final and conclusive monetary judgment for a definite sum obtained against us in U.S. courts would be treated by the courts of the U.K.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187"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there could be adverse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federal income tax consequences to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i w:val="1"/>
          <w:iCs w:val="1"/>
          <w:color w:val="auto"/>
        </w:rPr>
        <w:t>.</w:t>
      </w:r>
    </w:p>
    <w:p>
      <w:pPr>
        <w:spacing w:after="0" w:line="20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Code, we will be a passive foreign investment company, or PFIC, for any taxable year in which (1) 75% or more of our gross income consists of passive income or (2) 50% or more of the average quarterly value of our assets consists of assets that produce, or are held for the production of, passive income, including cash.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a PFIC for any taxable year during which a United States person holds our shares, such U.S. shareholder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spacing w:after="0" w:line="194"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Based on our analysis of our income, assets, activities and market capitalization, we believe that we were a PFIC in the 2025 taxable year. In addition, no assurances can be provided that we will not be a PFIC for any future taxable year or that we have not been a PFIC in any prior taxable years. The determination of whether we are a PFIC is a fact-intensive determination made on an annual basis applying principles and methodologies that in some circumstances are unclear and subject to varying interpretation. As a result, there can be no assurance regarding if we will be PFIC or will not be a PFIC in the future. In addition, the total value of our assets for PFIC testing purposes may be determined in part by reference to the market price of our ordinary shares or ADSs from time to time, which may fluctuate considerably. Under the income test, our status as a PFIC depends on the composition of our income which will depend on the transactions we enter into and our corporate structure. In the event we are a PFIC, we intend to provide the information necessary for U.S. holders to make a qualified electing fund election.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use net operating loss and tax credit carryforwards and certain built-in losses to reduce future tax payments or benefit from favorable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tax legislation</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As an entity incorporated and tax resident in the U.K., we are subject to U.K. corporate taxation. Due to the nature of our business, we have generated losses since inception and therefore have not paid any U.K. corporation tax. Subject to numerous utilization criteria and restrictions (including the Corporate Income Loss Restriction and the Corporate Capital Loss Restriction that, broadly, restrict the amount of carried forward losses that can be utilized to 50% of group profits or gains arising above £5.0 million per tax year, we expect losses to be eligible for carry forward and utilization against future operating profits. In addition, if we were to have a major change in the nature of the conduct or the conduct of our trade, loss carryforwards may be restricted or extinguished.</w:t>
      </w:r>
    </w:p>
    <w:p>
      <w:pPr>
        <w:spacing w:after="0" w:line="18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As a group that carries out extensive research and development, or R&amp;D, activities, we seek to benefit from the U.K. R&amp;D tax credit regime. In respect of accounting periods in which we qualify as a SME and in which our relevant R&amp;D expenditure represents 30% or more of the total relevant expenditure (meaning we also qualify as “R&amp;D intensive” during such accounting period), we may, under this regime, surrender the trading losses that arise from our R&amp;D activities for a cash rebate of up to 26.97% of qualifying R&amp;D expenditure. Accordingly, if we cease to qualify as an R&amp;D-intensive SME in the future, we will either cease to be able to claim cash rebates in respect of our R&amp;D activities, or only be able to receive cash payments or other tax relief (under other provisions of the U.K. R&amp;D tax credit regime) at a significantly lower rate than at present. Further, the regime’s rules are complex, and if a tax authority were to challenge or seek to disallow our claims (in whole or in part), for example by asserting that we do not (or the relevant expenditure does not) meet the technical conditions to be granted tax credits (or cash rebates), then such challenge or disallowance, if successful, could have a material impact on our cash-flow and financial performance. In addition, future changes to the U.K. R&amp;D tax credit regime may mean that we no longer qualify for it or have a material impact on the extent to which we can make claims (or benefit from them).</w:t>
      </w:r>
    </w:p>
    <w:p>
      <w:pPr>
        <w:spacing w:after="0" w:line="18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may benefit in the future from the United Kingdom’s “patent box” regime, which allows certain profits attributable to revenues from patented products (and other qualifying income) to be taxed at an effective rate of 10% by giving an additional tax deduction. We are the exclusive licensee or owner of several patent applications which, if issued, would cover our product candidates, and accordingly, future upfront fees, milestone fees, product revenues and royalties could be eligible for this tax deduction. When taken in combination with the enhanced relief available on our R&amp;D expenditures, we expect a long-term rate of corporation tax lower than the statutory rate to apply to us. If, however, there are unexpected adverse changes to the U.K. R&amp;D tax relief programs or the “patent box” regime, or for any reason we are unable to qualify for such advantageous tax legislation, or we are unable to use net operating loss and tax credit carryforwards and certain built-in losses to reduce future tax payments then our business, results of operations and financial condition may be adversely affected. This may impact our ongoing requirement for investment and the timeframes within which additional investment is required.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company and reduce net returns to our shareholders</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 tax treatment of the company is, and our ADSs and ordinary shares are, subject to changes in tax laws, regulations and treaties, or the interpretation thereof, tax policy initiatives and reforms under consideration or being implemented by tax authorities in jurisdictions in which we operate, including in connection with tax policy initiatives and reforms led by the Organization for Economic Co-Operation and Development’s, or OECD, Base Erosion and Profit Shifting, or BEPS, Project (including “BEPS 2.0”) and the European Commission. Such changes may include (but are not limited to) the taxation of operating income, investment income, dividends received or (in the specific context of withholding tax) dividends paid, or the stamp duty or stamp duty reserve tax treatment of our ADSs or ordinary shares.</w:t>
      </w:r>
    </w:p>
    <w:p>
      <w:pPr>
        <w:spacing w:after="0" w:line="18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IRA includes a minimum tax equal to 15% of the adjusted financial statement income of certain corporations, as well as a 1% excise tax on share buybacks. In addition, the OBBBA includes provisions affecting corporate tax rates on specified eligible income, timing of tax deductibility of depreciation, interest expense and research and development costs, and the taxation of foreign income. For example, for tax years beginning after December 31, 2024, the OBBBA restores the tax deductibility of domestic research and development expenses in the year incurred, which expenses had been required under prior legislation to be capitalized and subsequently amortized over five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OBBBA did not change the tax treatment of expenses incurred in research and development activities conducted outside the United States, which expenses continue to be required to be capitalized and amortized over 15 years. Future guidance from the Internal Revenue Service and other tax authorities with respect to any legislation may affect us, and certain aspects of such legislation could be repealed or modified in future legislation or sunset in future years.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20" w:lineRule="exact"/>
        <w:rPr>
          <w:sz w:val="20"/>
          <w:szCs w:val="20"/>
          <w:color w:val="auto"/>
        </w:rPr>
      </w:pPr>
    </w:p>
    <w:p>
      <w:pPr>
        <w:ind w:left="60" w:right="2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Tax authorities may disagree with our positions and conclusions regarding certain tax positions, or may apply existing rules in an unforeseen manner, resulting in unanticipated costs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taxes or non-realization of expected benefits</w:t>
      </w:r>
      <w:r>
        <w:rPr>
          <w:rFonts w:ascii="Times New Roman" w:cs="Times New Roman" w:eastAsia="Times New Roman" w:hAnsi="Times New Roman"/>
          <w:sz w:val="17"/>
          <w:szCs w:val="17"/>
          <w:i w:val="1"/>
          <w:iCs w:val="1"/>
          <w:color w:val="auto"/>
        </w:rPr>
        <w:t>.</w:t>
      </w:r>
    </w:p>
    <w:p>
      <w:pPr>
        <w:spacing w:after="0" w:line="6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while we believe that we operate in compliance with applicable transfer pricing laws and intend to continue to do so, our transfer pricing procedures are not binding on applicable tax authorities. HMRC,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U.K. City Code on Takeovers and Mergers that may have anti-takeover effects do not apply to us.</w:t>
      </w:r>
    </w:p>
    <w:p>
      <w:pPr>
        <w:spacing w:after="0" w:line="16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Under transitional provisions that apply until February 2, 2027, the U.K. City Code on Takeovers and Mergers, or the Takeover Code, can apply to an offer for, among other things, a public company whose registered office is in the United Kingdom (but is not listed in the United Kingdom) if the company is considered by the Panel on Takeovers and Mergers, or the Takeover Panel, to have its place of central management and control in the United Kingdom (or the Channel Islands or the Isle of Man). This is known as the “residency test.” The test for central management and control under the Takeover Code is different from that used by the U.K. tax authorities. Under the Takeover Code, the Takeover Panel will determine whether we have our place of central management and control in the United Kingdom by looking at various factors, primarily where the directors are resident.</w:t>
      </w:r>
    </w:p>
    <w:p>
      <w:pPr>
        <w:spacing w:after="0" w:line="124"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In September 2019, the Takeover Panel Executive confirmed that, based on our current circumstances, we are not subject to the Takeover Code. As a result, our shareholders are not entitled to the benefit of certain takeover offer protections provided under the Takeover Code. We believe that this position is unlikely to change at any time in the near future but, in accordance with good practice, we will review the situation on a regular basis and consult with the Takeover Panel if there is any change in our circumstances which may have a bearing on whether the Takeover Panel would determine our place of central management and control to be in the United Kingdom.</w:t>
      </w:r>
    </w:p>
    <w:p>
      <w:pPr>
        <w:spacing w:after="0" w:line="106"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Following the end of the transitional period, with effect from February 3, 2027, the “residency test” will be abolished in its entirety and we expect we will no longer be subject to the jurisdiction of the Takeover Code at all from that time, unless our securities are listed in the United Kingdom.</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corporation</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ind w:left="60" w:right="499" w:firstLine="648"/>
        <w:spacing w:after="0" w:line="312" w:lineRule="auto"/>
        <w:rPr>
          <w:sz w:val="20"/>
          <w:szCs w:val="20"/>
          <w:color w:val="auto"/>
        </w:rPr>
      </w:pPr>
      <w:r>
        <w:rPr>
          <w:rFonts w:ascii="Times New Roman" w:cs="Times New Roman" w:eastAsia="Times New Roman" w:hAnsi="Times New Roman"/>
          <w:sz w:val="17"/>
          <w:szCs w:val="17"/>
          <w:color w:val="auto"/>
        </w:rPr>
        <w:t>We are incorporated under English law. The rights of holders of ordinary shares and, therefore, certain of the rights of holders of ADSs, are governed by English law, including the provisions of the U.K. Companies Act 2006, or</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59"/>
        <w:spacing w:after="0" w:line="282" w:lineRule="auto"/>
        <w:rPr>
          <w:sz w:val="20"/>
          <w:szCs w:val="20"/>
          <w:color w:val="auto"/>
        </w:rPr>
      </w:pPr>
      <w:r>
        <w:rPr>
          <w:rFonts w:ascii="Times New Roman" w:cs="Times New Roman" w:eastAsia="Times New Roman" w:hAnsi="Times New Roman"/>
          <w:sz w:val="18"/>
          <w:szCs w:val="18"/>
          <w:color w:val="auto"/>
        </w:rPr>
        <w:t>the Companies Act, and by our Articles of Association. These rights differ in certain respects from the rights of shareholders in typical U.S. corporations. The principal differences include the following:</w:t>
      </w:r>
    </w:p>
    <w:p>
      <w:pPr>
        <w:spacing w:after="0" w:line="94" w:lineRule="exact"/>
        <w:rPr>
          <w:sz w:val="20"/>
          <w:szCs w:val="20"/>
          <w:color w:val="auto"/>
        </w:rPr>
      </w:pPr>
    </w:p>
    <w:p>
      <w:pPr>
        <w:ind w:left="1040" w:right="199" w:hanging="315"/>
        <w:spacing w:after="0" w:line="266"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108" w:lineRule="exact"/>
        <w:rPr>
          <w:rFonts w:ascii="Times New Roman" w:cs="Times New Roman" w:eastAsia="Times New Roman" w:hAnsi="Times New Roman"/>
          <w:sz w:val="18"/>
          <w:szCs w:val="18"/>
          <w:color w:val="auto"/>
        </w:rPr>
      </w:pPr>
    </w:p>
    <w:p>
      <w:pPr>
        <w:ind w:left="1040" w:right="379" w:hanging="315"/>
        <w:spacing w:after="0" w:line="266"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the number of shares determines the number of votes a holder may cast only on a poll. However, the voting rights of ADSs are also governed by the provisions of a deposit agreement with our depositary bank;</w:t>
      </w:r>
    </w:p>
    <w:p>
      <w:pPr>
        <w:spacing w:after="0" w:line="108" w:lineRule="exact"/>
        <w:rPr>
          <w:rFonts w:ascii="Times New Roman" w:cs="Times New Roman" w:eastAsia="Times New Roman" w:hAnsi="Times New Roman"/>
          <w:sz w:val="18"/>
          <w:szCs w:val="18"/>
          <w:color w:val="auto"/>
        </w:rPr>
      </w:pPr>
    </w:p>
    <w:p>
      <w:pPr>
        <w:ind w:left="1040" w:right="259" w:hanging="315"/>
        <w:spacing w:after="0" w:line="281" w:lineRule="auto"/>
        <w:tabs>
          <w:tab w:leader="none" w:pos="10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96" w:lineRule="exact"/>
        <w:rPr>
          <w:rFonts w:ascii="Times New Roman" w:cs="Times New Roman" w:eastAsia="Times New Roman" w:hAnsi="Times New Roman"/>
          <w:sz w:val="17"/>
          <w:szCs w:val="17"/>
          <w:color w:val="auto"/>
        </w:rPr>
      </w:pPr>
    </w:p>
    <w:p>
      <w:pPr>
        <w:ind w:left="1040" w:right="79" w:hanging="315"/>
        <w:spacing w:after="0" w:line="256"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119" w:lineRule="exact"/>
        <w:rPr>
          <w:rFonts w:ascii="Times New Roman" w:cs="Times New Roman" w:eastAsia="Times New Roman" w:hAnsi="Times New Roman"/>
          <w:sz w:val="18"/>
          <w:szCs w:val="18"/>
          <w:color w:val="auto"/>
        </w:rPr>
      </w:pPr>
    </w:p>
    <w:p>
      <w:pPr>
        <w:ind w:left="1040" w:right="99" w:hanging="315"/>
        <w:spacing w:after="0" w:line="253"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Kingdom, takeovers may be structured as takeover offers or as schemes of arrangement. Under English law, if we were to be subject to the Takeover Code,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as well as the sanction of the U.K. court; and</w:t>
      </w:r>
    </w:p>
    <w:p>
      <w:pPr>
        <w:spacing w:after="0" w:line="126" w:lineRule="exact"/>
        <w:rPr>
          <w:rFonts w:ascii="Times New Roman" w:cs="Times New Roman" w:eastAsia="Times New Roman" w:hAnsi="Times New Roman"/>
          <w:sz w:val="18"/>
          <w:szCs w:val="18"/>
          <w:color w:val="auto"/>
        </w:rPr>
      </w:pPr>
    </w:p>
    <w:p>
      <w:pPr>
        <w:ind w:left="1040" w:right="279" w:hanging="315"/>
        <w:spacing w:after="0" w:line="256"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we may not be able to accurately report our financial results or prevent fraud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As a result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shareholders could lose confidence in our financial and other public reporting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which would harm our business and the trading price of our ADSs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Our management is required to assess the effectiveness of our controls over financial reporting annually. Pursuant to Section 404, we are also required to furnish a report by our management on our internal control over financial reporting, including an attestation report on internal control over financial reporting issued by our independent registered public accounting firm. Any testing by us conducted in connection with Section 404, or any subsequent testing by our independent registered public accounting firm, may reveal deficiencies in our internal controls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ADSs.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76"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our ADS price and trading volume could decline</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ADSs depends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ADSs or change their opinion of our ADSs, our ADS price would likely decline. In addition, if one or more analysts cease coverage of our company or fail to regularly publish reports on us, we could lose visibility in the financial markets, which could cause our ADS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6399"/>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our directors and officers (as defined in Rule 16a-1(f) under the Exchange Act) adopted or terminated the contracts, instructions or written plans for the purchase or sale of our securities set forth in the table below, each of which is intended to satisfy the affirmative defense conditions of Rule 10b5-1(c) under the Exchange Act (“Rule 10b5-1 Plan”).</w:t>
      </w:r>
    </w:p>
    <w:p>
      <w:pPr>
        <w:spacing w:after="0" w:line="191" w:lineRule="exact"/>
        <w:rPr>
          <w:sz w:val="20"/>
          <w:szCs w:val="20"/>
          <w:color w:val="auto"/>
        </w:rPr>
      </w:pPr>
    </w:p>
    <w:tbl>
      <w:tblPr>
        <w:tblLayout w:type="fixed"/>
        <w:tblInd w:w="50" w:type="dxa"/>
        <w:tblCellMar>
          <w:top w:w="0" w:type="dxa"/>
          <w:left w:w="0" w:type="dxa"/>
          <w:bottom w:w="0" w:type="dxa"/>
          <w:right w:w="0" w:type="dxa"/>
        </w:tblCellMar>
      </w:tblPr>
      <w:tr>
        <w:trPr>
          <w:trHeight w:val="207"/>
        </w:trPr>
        <w:tc>
          <w:tcPr>
            <w:tcW w:w="1540" w:type="dxa"/>
            <w:vAlign w:val="bottom"/>
            <w:tcBorders>
              <w:top w:val="single" w:sz="8" w:color="auto"/>
              <w:left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1980" w:type="dxa"/>
            <w:vAlign w:val="bottom"/>
            <w:tcBorders>
              <w:top w:val="single" w:sz="8" w:color="auto"/>
              <w:right w:val="single" w:sz="8" w:color="auto"/>
            </w:tcBorders>
          </w:tcPr>
          <w:p>
            <w:pPr>
              <w:spacing w:after="0"/>
              <w:rPr>
                <w:sz w:val="18"/>
                <w:szCs w:val="18"/>
                <w:color w:val="auto"/>
              </w:rPr>
            </w:pPr>
          </w:p>
        </w:tc>
        <w:tc>
          <w:tcPr>
            <w:tcW w:w="20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Type of Trading</w:t>
            </w:r>
          </w:p>
        </w:tc>
        <w:tc>
          <w:tcPr>
            <w:tcW w:w="122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r>
      <w:tr>
        <w:trPr>
          <w:trHeight w:val="238"/>
        </w:trPr>
        <w:tc>
          <w:tcPr>
            <w:tcW w:w="154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2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r>
      <w:tr>
        <w:trPr>
          <w:trHeight w:val="187"/>
        </w:trPr>
        <w:tc>
          <w:tcPr>
            <w:tcW w:w="154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100" w:type="dxa"/>
            <w:vAlign w:val="bottom"/>
            <w:tcBorders>
              <w:right w:val="single" w:sz="8" w:color="auto"/>
            </w:tcBorders>
          </w:tcPr>
          <w:p>
            <w:pPr>
              <w:spacing w:after="0"/>
              <w:rPr>
                <w:sz w:val="16"/>
                <w:szCs w:val="16"/>
                <w:color w:val="auto"/>
              </w:rPr>
            </w:pP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Borders>
              <w:right w:val="single" w:sz="8" w:color="auto"/>
            </w:tcBorders>
          </w:tcPr>
          <w:p>
            <w:pPr>
              <w:spacing w:after="0"/>
              <w:rPr>
                <w:sz w:val="18"/>
                <w:szCs w:val="18"/>
                <w:color w:val="auto"/>
              </w:rPr>
            </w:pP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100" w:type="dxa"/>
            <w:vAlign w:val="bottom"/>
            <w:tcBorders>
              <w:right w:val="single" w:sz="8" w:color="auto"/>
            </w:tcBorders>
          </w:tcPr>
          <w:p>
            <w:pPr>
              <w:spacing w:after="0"/>
              <w:rPr>
                <w:sz w:val="18"/>
                <w:szCs w:val="18"/>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and</w:t>
            </w:r>
          </w:p>
        </w:tc>
        <w:tc>
          <w:tcPr>
            <w:tcW w:w="1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Adoption/Termination</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Non-Rule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to be</w:t>
            </w:r>
          </w:p>
        </w:tc>
        <w:tc>
          <w:tcPr>
            <w:tcW w:w="11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38"/>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1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10b5-1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10b5-1</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110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r>
      <w:tr>
        <w:trPr>
          <w:trHeight w:val="191"/>
        </w:trPr>
        <w:tc>
          <w:tcPr>
            <w:tcW w:w="15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Michael Skynner,</w:t>
            </w:r>
          </w:p>
        </w:tc>
        <w:tc>
          <w:tcPr>
            <w:tcW w:w="11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Adoption</w:t>
            </w:r>
          </w:p>
        </w:tc>
        <w:tc>
          <w:tcPr>
            <w:tcW w:w="19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September 21, 2026</w:t>
            </w:r>
          </w:p>
        </w:tc>
        <w:tc>
          <w:tcPr>
            <w:tcW w:w="8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X</w:t>
            </w:r>
          </w:p>
        </w:tc>
        <w:tc>
          <w:tcPr>
            <w:tcW w:w="11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right"/>
              <w:ind w:right="470"/>
              <w:spacing w:after="0" w:line="191" w:lineRule="exact"/>
              <w:rPr>
                <w:sz w:val="20"/>
                <w:szCs w:val="20"/>
                <w:color w:val="auto"/>
              </w:rPr>
            </w:pPr>
            <w:r>
              <w:rPr>
                <w:rFonts w:ascii="Times New Roman" w:cs="Times New Roman" w:eastAsia="Times New Roman" w:hAnsi="Times New Roman"/>
                <w:sz w:val="18"/>
                <w:szCs w:val="18"/>
                <w:color w:val="auto"/>
              </w:rPr>
              <w:t>128,000</w:t>
            </w:r>
          </w:p>
        </w:tc>
        <w:tc>
          <w:tcPr>
            <w:tcW w:w="1100" w:type="dxa"/>
            <w:vAlign w:val="bottom"/>
            <w:tcBorders>
              <w:right w:val="single" w:sz="8" w:color="auto"/>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December</w:t>
            </w:r>
          </w:p>
        </w:tc>
      </w:tr>
      <w:tr>
        <w:trPr>
          <w:trHeight w:val="216"/>
        </w:trPr>
        <w:tc>
          <w:tcPr>
            <w:tcW w:w="1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Chief Scientific</w:t>
            </w:r>
          </w:p>
        </w:tc>
        <w:tc>
          <w:tcPr>
            <w:tcW w:w="1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20, 2027</w:t>
            </w:r>
          </w:p>
        </w:tc>
      </w:tr>
      <w:tr>
        <w:trPr>
          <w:trHeight w:val="234"/>
        </w:trPr>
        <w:tc>
          <w:tcPr>
            <w:tcW w:w="1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Officer</w:t>
            </w:r>
          </w:p>
        </w:tc>
        <w:tc>
          <w:tcPr>
            <w:tcW w:w="110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  ​​​</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380" w:type="dxa"/>
            <w:vAlign w:val="bottom"/>
            <w:gridSpan w:val="7"/>
          </w:tcPr>
          <w:p>
            <w:pPr>
              <w:ind w:left="2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2"/>
                <w:szCs w:val="22"/>
                <w:color w:val="auto"/>
              </w:rPr>
            </w:pPr>
          </w:p>
        </w:tc>
        <w:tc>
          <w:tcPr>
            <w:tcW w:w="7600" w:type="dxa"/>
            <w:vAlign w:val="bottom"/>
            <w:gridSpan w:val="10"/>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Articles of Association, dated May 16, 2024 (incorporated by reference to Exhibit 3.1 to the Quarterly</w:t>
              </w:r>
            </w:hyperlink>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Report on Form 10-Q (File No. 001-38916) filed with the Securities and Exchange Commission on</w:t>
              </w:r>
            </w:hyperlink>
          </w:p>
        </w:tc>
        <w:tc>
          <w:tcPr>
            <w:tcW w:w="2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August 6, 2024).</w:t>
              </w:r>
            </w:hyperlink>
          </w:p>
        </w:tc>
        <w:tc>
          <w:tcPr>
            <w:tcW w:w="5920" w:type="dxa"/>
            <w:vAlign w:val="bottom"/>
            <w:tcBorders>
              <w:top w:val="single" w:sz="8" w:color="0000EE"/>
            </w:tcBorders>
            <w:gridSpan w:val="4"/>
          </w:tcPr>
          <w:p>
            <w:pPr>
              <w:spacing w:after="0"/>
              <w:rPr>
                <w:sz w:val="17"/>
                <w:szCs w:val="17"/>
                <w:color w:val="auto"/>
              </w:rPr>
            </w:pPr>
          </w:p>
        </w:tc>
        <w:tc>
          <w:tcPr>
            <w:tcW w:w="460" w:type="dxa"/>
            <w:vAlign w:val="bottom"/>
            <w:gridSpan w:val="3"/>
          </w:tcPr>
          <w:p>
            <w:pPr>
              <w:spacing w:after="0"/>
              <w:rPr>
                <w:sz w:val="17"/>
                <w:szCs w:val="17"/>
                <w:color w:val="auto"/>
              </w:rPr>
            </w:pPr>
          </w:p>
        </w:tc>
      </w:tr>
      <w:tr>
        <w:trPr>
          <w:trHeight w:val="2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76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w:t>
            </w:r>
          </w:p>
        </w:tc>
      </w:tr>
      <w:tr>
        <w:trPr>
          <w:trHeight w:val="20"/>
        </w:trPr>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2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of 1934, as Adopted Pursuant to Section 302 of the Sarbanes-Oxley Act of</w:t>
            </w: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2002</w:t>
            </w:r>
            <w:r>
              <w:rPr>
                <w:rFonts w:ascii="Times New Roman" w:cs="Times New Roman" w:eastAsia="Times New Roman" w:hAnsi="Times New Roman"/>
                <w:sz w:val="18"/>
                <w:szCs w:val="18"/>
                <w:color w:val="000000"/>
              </w:rPr>
              <w:t>.</w:t>
            </w:r>
          </w:p>
        </w:tc>
        <w:tc>
          <w:tcPr>
            <w:tcW w:w="49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r>
      <w:tr>
        <w:trPr>
          <w:trHeight w:val="2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69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w:t>
            </w:r>
          </w:p>
        </w:tc>
        <w:tc>
          <w:tcPr>
            <w:tcW w:w="64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of 1934, as Adopted Pursuant to Section 302 of the Sarbanes-Oxley Act of</w:t>
            </w: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2002</w:t>
            </w:r>
            <w:r>
              <w:rPr>
                <w:rFonts w:ascii="Times New Roman" w:cs="Times New Roman" w:eastAsia="Times New Roman" w:hAnsi="Times New Roman"/>
                <w:sz w:val="18"/>
                <w:szCs w:val="18"/>
                <w:color w:val="000000"/>
              </w:rPr>
              <w:t>.</w:t>
            </w:r>
          </w:p>
        </w:tc>
        <w:tc>
          <w:tcPr>
            <w:tcW w:w="49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r>
      <w:tr>
        <w:trPr>
          <w:trHeight w:val="2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70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and Principal Financial Officer Pursuant to 18 U.S.C.</w:t>
            </w:r>
          </w:p>
        </w:tc>
        <w:tc>
          <w:tcPr>
            <w:tcW w:w="580" w:type="dxa"/>
            <w:vAlign w:val="bottom"/>
            <w:gridSpan w:val="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 Section 906 of the Sarbanes-Oxley Act of 2002</w:t>
            </w:r>
            <w:r>
              <w:rPr>
                <w:rFonts w:ascii="Times New Roman" w:cs="Times New Roman" w:eastAsia="Times New Roman" w:hAnsi="Times New Roman"/>
                <w:sz w:val="18"/>
                <w:szCs w:val="18"/>
                <w:color w:val="000000"/>
              </w:rPr>
              <w:t>.</w:t>
            </w:r>
          </w:p>
        </w:tc>
      </w:tr>
      <w:tr>
        <w:trPr>
          <w:trHeight w:val="20"/>
        </w:trPr>
        <w:tc>
          <w:tcPr>
            <w:tcW w:w="1300" w:type="dxa"/>
            <w:vAlign w:val="bottom"/>
            <w:gridSpan w:val="2"/>
          </w:tcPr>
          <w:p>
            <w:pPr>
              <w:spacing w:after="0" w:line="20" w:lineRule="exact"/>
              <w:rPr>
                <w:sz w:val="1"/>
                <w:szCs w:val="1"/>
                <w:color w:val="auto"/>
              </w:rPr>
            </w:pPr>
          </w:p>
        </w:tc>
        <w:tc>
          <w:tcPr>
            <w:tcW w:w="6180" w:type="dxa"/>
            <w:vAlign w:val="bottom"/>
            <w:gridSpan w:val="4"/>
            <w:shd w:val="clear" w:color="auto" w:fill="0000EE"/>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r>
      <w:tr>
        <w:trPr>
          <w:trHeight w:val="313"/>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7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as its</w:t>
            </w:r>
          </w:p>
        </w:tc>
      </w:tr>
      <w:tr>
        <w:trPr>
          <w:trHeight w:val="234"/>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311"/>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7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76" w:lineRule="exact"/>
        <w:rPr>
          <w:sz w:val="20"/>
          <w:szCs w:val="20"/>
          <w:color w:val="auto"/>
        </w:rPr>
      </w:pPr>
    </w:p>
    <w:p>
      <w:pPr>
        <w:ind w:left="60" w:right="2739" w:hanging="4"/>
        <w:spacing w:after="0" w:line="438" w:lineRule="auto"/>
        <w:tabs>
          <w:tab w:leader="none" w:pos="137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-261620</wp:posOffset>
            </wp:positionV>
            <wp:extent cx="141414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380" w:right="59" w:hanging="330"/>
        <w:spacing w:after="0" w:line="261" w:lineRule="auto"/>
        <w:tabs>
          <w:tab w:leader="none" w:pos="3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accompanying this Quarterly Report is not deemed filed with the Securities and Exchange Commission and is not to be incorporated by reference into any filing of the Company under the Securities Act of 1933, as amended, or the Securities Exchange Act of 1934, as amended, whether made before or after the date of this Quarterly Report, irrespective of any general incorporation language contained in such filing.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BICYCLE THERAPEUTICS PLC</w:t>
      </w:r>
    </w:p>
    <w:p>
      <w:pPr>
        <w:spacing w:after="0" w:line="225" w:lineRule="exact"/>
        <w:rPr>
          <w:sz w:val="20"/>
          <w:szCs w:val="20"/>
          <w:color w:val="auto"/>
        </w:rPr>
      </w:pPr>
    </w:p>
    <w:p>
      <w:pPr>
        <w:ind w:left="60"/>
        <w:spacing w:after="0"/>
        <w:tabs>
          <w:tab w:leader="none" w:pos="4500" w:val="left"/>
          <w:tab w:leader="none" w:pos="640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5971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b w:val="1"/>
          <w:bCs w:val="1"/>
          <w:color w:val="auto"/>
        </w:rPr>
        <w:t>Kevin Lee, Ph.D., MBA</w:t>
      </w:r>
    </w:p>
    <w:p>
      <w:pPr>
        <w:spacing w:after="0" w:line="23"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0"/>
        <w:spacing w:after="0"/>
        <w:tabs>
          <w:tab w:leader="none" w:pos="4500" w:val="left"/>
          <w:tab w:leader="none" w:pos="614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Travis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597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b w:val="1"/>
          <w:bCs w:val="1"/>
          <w:color w:val="auto"/>
        </w:rPr>
        <w:t>Travis Thompson</w:t>
      </w:r>
    </w:p>
    <w:p>
      <w:pPr>
        <w:spacing w:after="0" w:line="23"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802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40" w:right="59"/>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Kevin Lee, certify that:</w:t>
      </w:r>
    </w:p>
    <w:p>
      <w:pPr>
        <w:spacing w:after="0" w:line="225" w:lineRule="exact"/>
        <w:rPr>
          <w:sz w:val="20"/>
          <w:szCs w:val="20"/>
          <w:color w:val="auto"/>
        </w:rPr>
      </w:pPr>
    </w:p>
    <w:p>
      <w:pPr>
        <w:ind w:left="380" w:hanging="330"/>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Bicycle Therapeutics plc;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339" w:hanging="330"/>
        <w:spacing w:after="0" w:line="266"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26"/>
        <w:spacing w:after="0" w:line="261" w:lineRule="auto"/>
        <w:tabs>
          <w:tab w:leader="none" w:pos="7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139" w:hanging="326"/>
        <w:spacing w:after="0" w:line="261" w:lineRule="auto"/>
        <w:tabs>
          <w:tab w:leader="none" w:pos="7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99" w:hanging="326"/>
        <w:spacing w:after="0" w:line="266" w:lineRule="auto"/>
        <w:tabs>
          <w:tab w:leader="none" w:pos="7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26"/>
        <w:spacing w:after="0" w:line="261" w:lineRule="auto"/>
        <w:tabs>
          <w:tab w:leader="none" w:pos="7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80" w:right="119" w:hanging="330"/>
        <w:spacing w:after="0" w:line="266"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39" w:hanging="326"/>
        <w:spacing w:after="0" w:line="266" w:lineRule="auto"/>
        <w:tabs>
          <w:tab w:leader="none" w:pos="7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October 29, 2026</w:t>
            </w: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 /s/ Kevin Lee</w:t>
            </w:r>
          </w:p>
        </w:tc>
      </w:tr>
      <w:tr>
        <w:trPr>
          <w:trHeight w:val="191"/>
        </w:trPr>
        <w:tc>
          <w:tcPr>
            <w:tcW w:w="30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Kevin Lee, Ph.D., MBA</w:t>
            </w:r>
          </w:p>
        </w:tc>
      </w:tr>
      <w:tr>
        <w:trPr>
          <w:trHeight w:val="216"/>
        </w:trPr>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30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7" w:name="page108"/>
    <w:bookmarkEnd w:id="107"/>
    <w:p>
      <w:pPr>
        <w:ind w:left="8020"/>
        <w:spacing w:after="0"/>
        <w:rPr>
          <w:sz w:val="20"/>
          <w:szCs w:val="20"/>
          <w:color w:val="auto"/>
        </w:rPr>
      </w:pPr>
      <w:r>
        <w:rPr>
          <w:rFonts w:ascii="Times New Roman" w:cs="Times New Roman" w:eastAsia="Times New Roman" w:hAnsi="Times New Roman"/>
          <w:sz w:val="18"/>
          <w:szCs w:val="18"/>
          <w:b w:val="1"/>
          <w:bCs w:val="1"/>
          <w:color w:val="auto"/>
        </w:rPr>
        <w:t>Exhibit 31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p>
    <w:p>
      <w:pPr>
        <w:spacing w:after="0" w:line="225" w:lineRule="exact"/>
        <w:rPr>
          <w:sz w:val="20"/>
          <w:szCs w:val="20"/>
          <w:color w:val="auto"/>
        </w:rPr>
      </w:pPr>
    </w:p>
    <w:p>
      <w:pPr>
        <w:jc w:val="center"/>
        <w:ind w:left="40" w:right="59"/>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Travis Thompson, certify that:</w:t>
      </w:r>
    </w:p>
    <w:p>
      <w:pPr>
        <w:spacing w:after="0" w:line="225" w:lineRule="exact"/>
        <w:rPr>
          <w:sz w:val="20"/>
          <w:szCs w:val="20"/>
          <w:color w:val="auto"/>
        </w:rPr>
      </w:pPr>
    </w:p>
    <w:p>
      <w:pPr>
        <w:ind w:left="380" w:hanging="330"/>
        <w:spacing w:after="0"/>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Bicycle Therapeutics plc;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339" w:hanging="330"/>
        <w:spacing w:after="0" w:line="266"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26"/>
        <w:spacing w:after="0" w:line="261" w:lineRule="auto"/>
        <w:tabs>
          <w:tab w:leader="none" w:pos="7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139" w:hanging="326"/>
        <w:spacing w:after="0" w:line="261" w:lineRule="auto"/>
        <w:tabs>
          <w:tab w:leader="none" w:pos="7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99" w:hanging="326"/>
        <w:spacing w:after="0" w:line="266" w:lineRule="auto"/>
        <w:tabs>
          <w:tab w:leader="none" w:pos="7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26"/>
        <w:spacing w:after="0" w:line="261" w:lineRule="auto"/>
        <w:tabs>
          <w:tab w:leader="none" w:pos="7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80" w:right="119" w:hanging="330"/>
        <w:spacing w:after="0" w:line="266"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39" w:hanging="326"/>
        <w:spacing w:after="0" w:line="266" w:lineRule="auto"/>
        <w:tabs>
          <w:tab w:leader="none" w:pos="7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October 29, 2026</w:t>
            </w: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 /s/ Travis Thompson</w:t>
            </w:r>
          </w:p>
        </w:tc>
      </w:tr>
      <w:tr>
        <w:trPr>
          <w:trHeight w:val="191"/>
        </w:trPr>
        <w:tc>
          <w:tcPr>
            <w:tcW w:w="30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Travis Thompson</w:t>
            </w:r>
          </w:p>
        </w:tc>
      </w:tr>
      <w:tr>
        <w:trPr>
          <w:trHeight w:val="216"/>
        </w:trPr>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30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8" w:name="page109"/>
    <w:bookmarkEnd w:id="10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w:t>
      </w:r>
    </w:p>
    <w:p>
      <w:pPr>
        <w:spacing w:after="0" w:line="225" w:lineRule="exact"/>
        <w:rPr>
          <w:sz w:val="20"/>
          <w:szCs w:val="20"/>
          <w:color w:val="auto"/>
        </w:rPr>
      </w:pPr>
    </w:p>
    <w:p>
      <w:pPr>
        <w:jc w:val="center"/>
        <w:ind w:left="50" w:right="7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1350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 ADOPTED PURSUANT TO SECTION 906 OF THE SARBANES-OXLEY ACT OF 2002</w:t>
      </w:r>
    </w:p>
    <w:p>
      <w:pPr>
        <w:spacing w:after="0" w:line="175"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Kevin Lee, Chief Executive Officer of Bicycle Therapeutics plc (the “Company”), and Travis Thompson, Chief Financial Officer of the Company, each hereby certifies that, to the best of their knowledge:</w:t>
      </w:r>
    </w:p>
    <w:p>
      <w:pPr>
        <w:spacing w:after="0" w:line="180" w:lineRule="exact"/>
        <w:rPr>
          <w:sz w:val="20"/>
          <w:szCs w:val="20"/>
          <w:color w:val="auto"/>
        </w:rPr>
      </w:pPr>
    </w:p>
    <w:p>
      <w:pPr>
        <w:jc w:val="both"/>
        <w:ind w:left="700" w:right="819" w:hanging="650"/>
        <w:spacing w:after="0" w:line="266" w:lineRule="auto"/>
        <w:tabs>
          <w:tab w:leader="none" w:pos="7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Quarterly Report on Form 10-Q for the period ended September 30, 2026, to which this Certification is attached as Exhibit 32.1 (the “Periodic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b w:val="1"/>
          <w:bCs w:val="1"/>
          <w:color w:val="auto"/>
        </w:rPr>
      </w:pPr>
    </w:p>
    <w:p>
      <w:pPr>
        <w:ind w:left="700" w:right="279" w:hanging="650"/>
        <w:spacing w:after="0" w:line="282" w:lineRule="auto"/>
        <w:tabs>
          <w:tab w:leader="none" w:pos="7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October 29, 2026</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Kevin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5971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Kevin Lee, Ph.D., MBA</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Travis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5971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Travis Thompson</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5"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This certification accompanies the Form 10-Q to which it relates, is not deemed filed with the Securities and Exchange Commission and is not to be incorporated by reference into any filing of Bicycle Therapeutics plc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332740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lowerRoman"/>
      <w:start w:val="2"/>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lowerRoman"/>
      <w:start w:val="4"/>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lvl w:ilvl="1">
      <w:lvlJc w:val="left"/>
      <w:lvlText w:val="%2"/>
      <w:numFmt w:val="decimal"/>
      <w:start w:val="104"/>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0" Type="http://schemas.openxmlformats.org/officeDocument/2006/relationships/hyperlink" Target="https://www.sec.gov/Archives/edgar/data/1761612/000155837024010949/bcyc-20240630x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2026-10-29T06:17:06Z</dcterms:created>
  <dcterms:modified xsi:type="dcterms:W3CDTF">2026-10-29T06:17:06Z</dcterms:modified>
</cp:coreProperties>
</file>