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62026_041011.xml.htm"/>
      <w:bookmarkStart w:id="1" w:name="ksform410062026_0410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Swanton Robert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BICYCLE THERAPEUTICS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BLOCKS A &amp; B, PORTWAY BUILDING</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CB21 6GS</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BICYCLE THERAPEUTICS PLC</w:t>
              </w:r>
            </w:hyperlink>
            <w:r>
              <w:rPr/>
              <w:t xml:space="preserve"> [ </w:t>
            </w:r>
            <w:r>
              <w:rPr>
                <w:rFonts w:ascii="Times;serif" w:hAnsi="Times;serif"/>
                <w:color w:val="0000FF"/>
                <w:sz w:val="24"/>
                <w:shd w:fill="FFFFFF" w:val="clear"/>
              </w:rPr>
              <w:t>BCYC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1"/>
        <w:gridCol w:w="904"/>
        <w:gridCol w:w="773"/>
        <w:gridCol w:w="600"/>
        <w:gridCol w:w="351"/>
        <w:gridCol w:w="855"/>
        <w:gridCol w:w="462"/>
        <w:gridCol w:w="717"/>
        <w:gridCol w:w="1176"/>
        <w:gridCol w:w="1007"/>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3,431</w:t>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3.47</w:t>
            </w:r>
            <w:r>
              <w:rPr>
                <w:rFonts w:ascii="Times;serif" w:hAnsi="Times;serif"/>
                <w:color w:val="008000"/>
                <w:position w:val="7"/>
                <w:sz w:val="16"/>
                <w:sz w:val="20"/>
                <w:shd w:fill="FFFFFF" w:val="clear"/>
              </w:rPr>
              <w:t>(2)</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15,782</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to cover the statutory tax withholding obligations in connection with the vesting and settlement of the RSUs. This sale is mandated by the Reporting Person's award agreement that requires the satisfaction of minimum statutory tax withholding obligations to be funded by a "sell to cover" transaction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$3.41 to $3.525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Travis Thompson,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9922" TargetMode="External"/><Relationship Id="rId5" Type="http://schemas.openxmlformats.org/officeDocument/2006/relationships/hyperlink" Target="http://www.sec.gov/cgi-bin/browse-edgar?action=getcompany&amp;CIK=00017616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709</Words>
  <Characters>3853</Characters>
  <CharactersWithSpaces>4494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