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April 20, 2026, Bicycle Therapeutics plc (the “Company”) issued a press release providing updates on its nuzefatide pevedotin program and the Company’s EphA2 pipeline. A copy of the press release is attached as Exhibit 99.1 to this Current Report on Form 8-K and is incorporated into this Item 8.01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333333"/>
        </w:rPr>
        <w:t>Item 9.01.</w:t>
      </w:r>
      <w:r>
        <w:rPr>
          <w:sz w:val="20"/>
          <w:szCs w:val="20"/>
          <w:color w:val="auto"/>
        </w:rPr>
        <w:tab/>
      </w:r>
      <w:r>
        <w:rPr>
          <w:rFonts w:ascii="Times New Roman" w:cs="Times New Roman" w:eastAsia="Times New Roman" w:hAnsi="Times New Roman"/>
          <w:sz w:val="18"/>
          <w:szCs w:val="18"/>
          <w:b w:val="1"/>
          <w:bCs w:val="1"/>
          <w:color w:val="333333"/>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333333"/>
              </w:rPr>
              <w:t>Exhibit No.</w:t>
            </w:r>
          </w:p>
        </w:tc>
        <w:tc>
          <w:tcPr>
            <w:tcW w:w="2580" w:type="dxa"/>
            <w:vAlign w:val="bottom"/>
          </w:tcPr>
          <w:p>
            <w:pPr>
              <w:spacing w:after="0"/>
              <w:rPr>
                <w:sz w:val="20"/>
                <w:szCs w:val="20"/>
                <w:color w:val="auto"/>
              </w:rPr>
            </w:pPr>
          </w:p>
        </w:tc>
        <w:tc>
          <w:tcPr>
            <w:tcW w:w="75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333333"/>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April 20,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20,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Provides Update on Nuzefatide Pevedotin and EphA2 Pipeline at the AACR Annual Meeting 2026</w:t>
      </w:r>
    </w:p>
    <w:p>
      <w:pPr>
        <w:spacing w:after="0" w:line="231"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Phase 1 combination data of 6.5mg/m</w:t>
      </w: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 xml:space="preserve"> Q2W nuzefatide pevedotin plus nivolumab demonstrate an encouraging preliminary efficacy profile with a differentiated tolerability profile in previously treated metastatic urothelial cancer</w:t>
      </w:r>
    </w:p>
    <w:p>
      <w:pPr>
        <w:spacing w:after="0" w:line="19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Nuzefatide pevedotin demonstrates potent preclinical anti-tumor activity across a broad range of pancreatic ductal adenocarcinoma (PDAC) and head and neck squamous cell carcinoma xenograft models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Dose range finding studies identify 8mg/m</w:t>
      </w: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 xml:space="preserve"> Q2W as the preferred dose for monotherapy and first patient dosed in 2L+ PDAC Phase 2 trial</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Human imaging data provides further evidence of the potential of EphA2 as a novel cancer target and the positive properties of Bicycle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radioligand</w:t>
      </w:r>
    </w:p>
    <w:p>
      <w:pPr>
        <w:jc w:val="center"/>
        <w:spacing w:after="0"/>
        <w:rPr>
          <w:sz w:val="20"/>
          <w:szCs w:val="20"/>
          <w:color w:val="auto"/>
        </w:rPr>
      </w:pPr>
      <w:r>
        <w:rPr>
          <w:rFonts w:ascii="Times New Roman" w:cs="Times New Roman" w:eastAsia="Times New Roman" w:hAnsi="Times New Roman"/>
          <w:sz w:val="18"/>
          <w:szCs w:val="18"/>
          <w:i w:val="1"/>
          <w:iCs w:val="1"/>
          <w:color w:val="auto"/>
        </w:rPr>
        <w:t>molecules for radiopharmaceutical use</w:t>
      </w:r>
    </w:p>
    <w:p>
      <w:pPr>
        <w:spacing w:after="0" w:line="205"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CAMBRIDGE, England &amp; BOSTON, April 20, 2026 – Bicycle Therapeutics plc (NASDAQ: BCYC), a pharmaceutical company pioneering a new and 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announced updates from its EphA2 pipeline at the American Association for Cancer Research (AACR) Annual Meeting 2026.</w:t>
      </w:r>
    </w:p>
    <w:p>
      <w:pPr>
        <w:spacing w:after="0" w:line="2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“EphA2 is a potentially high value target that is widely expressed in cancer and has been considered undruggable following the failure of multiple antibody-based approaches due to toxicity or insufficient efficacy. Encouraging results presented at AACR demonstrate the potential of our Bicycle platform to drug this target with a generally well tolerated and differentiated safety profile and enhances our understanding of how best to deploy EphA2-targeted therapeutics,” said Bicycle Therapeutics CEO Kevin Lee, Ph.D. “Nuzefatide pevedotin has demonstrated an emerging differentiated safety profile as a monotherapy and in combination with a checkpoint inhibitor, in over 150 patients to date. Consequently, using a combination of expression analysis, preclinical patient-derived xenograft efficacy studies, and human patient imaging, we have identified significant opportunities for this molecule in a number of cancers, including pancreatic cancer.”</w:t>
      </w:r>
    </w:p>
    <w:p>
      <w:pPr>
        <w:spacing w:after="0" w:line="19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Dr. Lee added: “We have now identified 8mg/m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Q2W as the preferred dose for monotherapy. Our strategy is to initially develop nuzefatide in pancreatic cancer where patients have limited available treatment options, and in parallel, to bring forward the next generation of EphA2-targeted radiotherapeutics to build on our foundational work in bladder and other EphA2-expressing tumors. Following this strategy, I am very pleased to announce that the first patient in our 2L+ pancreatic ductal adenocarcinoma Phase 2 study has been successfully dosed.”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AACR Annual Meeting 2026 Data Highlights</w:t>
      </w:r>
    </w:p>
    <w:p>
      <w:pPr>
        <w:spacing w:after="0" w:line="229" w:lineRule="exact"/>
        <w:rPr>
          <w:sz w:val="20"/>
          <w:szCs w:val="20"/>
          <w:color w:val="auto"/>
        </w:rPr>
      </w:pPr>
    </w:p>
    <w:p>
      <w:pPr>
        <w:ind w:left="660" w:hanging="328"/>
        <w:spacing w:after="0" w:line="213"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Nuzefatide pevedotin (nuzefatide), formerly BT5528, a potentially first-in-class EphA2 targeting Bicycle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Drug Conjugate (BDC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Phase 1/2 data in combination with nivolumab in metastatic urothelial cancer (mUC) patients. </w:t>
      </w:r>
      <w:r>
        <w:rPr>
          <w:rFonts w:ascii="Times New Roman" w:cs="Times New Roman" w:eastAsia="Times New Roman" w:hAnsi="Times New Roman"/>
          <w:sz w:val="18"/>
          <w:szCs w:val="18"/>
          <w:color w:val="auto"/>
        </w:rPr>
        <w:t>As of the February 9, 2026 data cutoff, results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Phase 1/2 trial evaluating nuzefatide 6.5mg/m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once every two weeks (Q2W) plus nivolumab 480mg once every four weeks (Q4W) in 14 patients with mUC who had previously progressed on a checkpoint inhibitor (10 while on enfortumab vedotin) showed:</w:t>
      </w:r>
    </w:p>
    <w:p>
      <w:pPr>
        <w:spacing w:after="0" w:line="202" w:lineRule="exact"/>
        <w:rPr>
          <w:sz w:val="20"/>
          <w:szCs w:val="20"/>
          <w:color w:val="auto"/>
        </w:rPr>
      </w:pPr>
    </w:p>
    <w:p>
      <w:pPr>
        <w:ind w:left="1300" w:right="40" w:hanging="320"/>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confirmed overall response rate (ORR) (4/10) among patients with EphA2+ tumors and 100% confirmed ORR (3/3) among patients with EphA2+ tumors that were monomethyl auristatin E (MMAE)-naïve.</w:t>
      </w:r>
    </w:p>
    <w:p>
      <w:pPr>
        <w:ind w:left="1300" w:right="16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achieved a partial response (PR) or at least 16 weeks of stable disease (SD) were on treatment for a minimum of 56 weeks and most continued on treatment at the time of the data cut-off.</w:t>
      </w:r>
    </w:p>
    <w:p>
      <w:pPr>
        <w:ind w:left="1300" w:right="60" w:hanging="320"/>
        <w:spacing w:after="0" w:line="255"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Nuzefatide in combination with nivolumab was generally well tolerated with no Grade ≥3 treatment-related adverse events (TRAEs) of clinical interest and no TRAEs of haemorrhage observed. Only one dose-limiting toxicity of Grade 3 fatigue that lasted for five days was reported and improved to Grade 1 without dose reduction.</w:t>
      </w:r>
    </w:p>
    <w:p>
      <w:pPr>
        <w:spacing w:after="0" w:line="186" w:lineRule="exact"/>
        <w:rPr>
          <w:sz w:val="20"/>
          <w:szCs w:val="20"/>
          <w:color w:val="auto"/>
        </w:rPr>
      </w:pPr>
    </w:p>
    <w:p>
      <w:pPr>
        <w:ind w:left="660" w:right="140"/>
        <w:spacing w:after="0" w:line="226" w:lineRule="auto"/>
        <w:rPr>
          <w:sz w:val="20"/>
          <w:szCs w:val="20"/>
          <w:color w:val="auto"/>
        </w:rPr>
      </w:pPr>
      <w:r>
        <w:rPr>
          <w:rFonts w:ascii="Times New Roman" w:cs="Times New Roman" w:eastAsia="Times New Roman" w:hAnsi="Times New Roman"/>
          <w:sz w:val="18"/>
          <w:szCs w:val="18"/>
          <w:color w:val="auto"/>
        </w:rPr>
        <w:t>In contrast to other EphA2-targeted agents, nuzefatide has demonstrated a positive emerging efficacy and safety profile in over 150 patients with hard-to-treat tumors to date. Further work has led Bicycle Therapeutics to determine 8mg/m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Q2W as the preferred dose for the Phase 2 trial in patients with recurrent pancreatic ductal adenocarcinoma (PDAC).</w:t>
      </w:r>
    </w:p>
    <w:p>
      <w:pPr>
        <w:spacing w:after="0" w:line="200" w:lineRule="exact"/>
        <w:rPr>
          <w:sz w:val="20"/>
          <w:szCs w:val="20"/>
          <w:color w:val="auto"/>
        </w:rPr>
      </w:pPr>
    </w:p>
    <w:p>
      <w:pPr>
        <w:ind w:left="660" w:right="100" w:hanging="328"/>
        <w:spacing w:after="0" w:line="249" w:lineRule="auto"/>
        <w:tabs>
          <w:tab w:leader="none" w:pos="660" w:val="left"/>
        </w:tabs>
        <w:numPr>
          <w:ilvl w:val="0"/>
          <w:numId w:val="6"/>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Additional human imaging data of a Bicycle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b w:val="1"/>
          <w:bCs w:val="1"/>
          <w:color w:val="auto"/>
        </w:rPr>
        <w:t xml:space="preserve"> Imaging Agent (BIA) targeting EphA2 in patients with PDAC. </w:t>
      </w:r>
      <w:r>
        <w:rPr>
          <w:rFonts w:ascii="Times New Roman" w:cs="Times New Roman" w:eastAsia="Times New Roman" w:hAnsi="Times New Roman"/>
          <w:sz w:val="17"/>
          <w:szCs w:val="17"/>
          <w:color w:val="auto"/>
        </w:rPr>
        <w:t>The German Cancer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Consortium (DKTK), part of a cooperative network with the German Cancer Research Center (DKFZ), presented human imaging data conducted with a Bicycle molecule targeting EphA2 labelled with gallium-68 (EphA2 BIA). Seven patients with histologically confirmed PDAC underwent PET/CT imaging up to three hours post injection of the EphA2 BIA. Data demonstrated rapid tumor uptake and excretion primarily via the kidneys in six out of seven patients. EphA2 BIA PET imaging successfully detected multiple liver, bone, lymph node, and peritoneal metastases.</w:t>
      </w:r>
    </w:p>
    <w:p>
      <w:pPr>
        <w:spacing w:after="0" w:line="191" w:lineRule="exact"/>
        <w:rPr>
          <w:rFonts w:ascii="Arial" w:cs="Arial" w:eastAsia="Arial" w:hAnsi="Arial"/>
          <w:sz w:val="17"/>
          <w:szCs w:val="17"/>
          <w:b w:val="1"/>
          <w:bCs w:val="1"/>
          <w:color w:val="auto"/>
        </w:rPr>
      </w:pPr>
    </w:p>
    <w:p>
      <w:pPr>
        <w:ind w:left="660" w:right="280"/>
        <w:spacing w:after="0" w:line="294" w:lineRule="auto"/>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These data are representative of the results seen in 15 out of 18 patients with PDAC who have undergone EphA2 BIA imaging to date. Bicycle Therapeutics believes these data validate the potential of EphA2 as a novel target in the treatment of cancer, demonstrate the translatability of preclinical data and highlight the potential of Bicycle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color w:val="auto"/>
        </w:rPr>
        <w:t xml:space="preserve"> molecules for targeted radioligand therapies and radiopharmaceutical imaging.</w:t>
      </w:r>
    </w:p>
    <w:p>
      <w:pPr>
        <w:spacing w:after="0" w:line="27" w:lineRule="exact"/>
        <w:rPr>
          <w:rFonts w:ascii="Arial" w:cs="Arial" w:eastAsia="Arial" w:hAnsi="Arial"/>
          <w:sz w:val="17"/>
          <w:szCs w:val="17"/>
          <w:b w:val="1"/>
          <w:bCs w:val="1"/>
          <w:color w:val="auto"/>
        </w:rPr>
      </w:pPr>
    </w:p>
    <w:p>
      <w:pPr>
        <w:ind w:left="660" w:right="80" w:hanging="328"/>
        <w:spacing w:after="0" w:line="26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Preclinical assessment of nuzefatide anti-tumor activity in patient-derived xenograft (PDX) models of PDAC. </w:t>
      </w:r>
      <w:r>
        <w:rPr>
          <w:rFonts w:ascii="Times New Roman" w:cs="Times New Roman" w:eastAsia="Times New Roman" w:hAnsi="Times New Roman"/>
          <w:sz w:val="18"/>
          <w:szCs w:val="18"/>
          <w:color w:val="auto"/>
        </w:rPr>
        <w:t>Expression of EphA2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 in all 16 PDAC PDX models. Of the 14 PDAC PDX models assessed for anti-tumor activity, 10 models were sensitive to nuzefatide, six of which showed high sensitivity. These data support the potential for nuzefatide to offer a novel option for the treatment of patients with PDAC.</w:t>
      </w:r>
    </w:p>
    <w:p>
      <w:pPr>
        <w:spacing w:after="0" w:line="173" w:lineRule="exact"/>
        <w:rPr>
          <w:rFonts w:ascii="Arial" w:cs="Arial" w:eastAsia="Arial" w:hAnsi="Arial"/>
          <w:sz w:val="18"/>
          <w:szCs w:val="18"/>
          <w:b w:val="1"/>
          <w:bCs w:val="1"/>
          <w:color w:val="auto"/>
        </w:rPr>
      </w:pPr>
    </w:p>
    <w:p>
      <w:pPr>
        <w:ind w:left="660" w:right="48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March 2026, Bicycle Therapeutics began enrolling patients in a Phase 2 clinical trial to evaluate efficacy, safety, and pharmacokinetics of nuzefatide in adult patients with recurrent PDAC, and the first patient was successfully dosed in April 2026.</w:t>
      </w:r>
    </w:p>
    <w:p>
      <w:pPr>
        <w:spacing w:after="0" w:line="157" w:lineRule="exact"/>
        <w:rPr>
          <w:rFonts w:ascii="Arial" w:cs="Arial" w:eastAsia="Arial" w:hAnsi="Arial"/>
          <w:sz w:val="18"/>
          <w:szCs w:val="18"/>
          <w:b w:val="1"/>
          <w:bCs w:val="1"/>
          <w:color w:val="auto"/>
        </w:rPr>
      </w:pPr>
    </w:p>
    <w:p>
      <w:pPr>
        <w:ind w:left="660" w:right="460" w:hanging="328"/>
        <w:spacing w:after="0" w:line="28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Preclinical assessment of nuzefatide anti-tumor activity in cell-line-derived xenograft (CDX) models of head and neck squamous cell carcinoma (HNSCC). </w:t>
      </w:r>
      <w:r>
        <w:rPr>
          <w:rFonts w:ascii="Times New Roman" w:cs="Times New Roman" w:eastAsia="Times New Roman" w:hAnsi="Times New Roman"/>
          <w:sz w:val="18"/>
          <w:szCs w:val="18"/>
          <w:color w:val="auto"/>
        </w:rPr>
        <w:t>Nuzefatide demonstrated potent preclinical anti-tumor activity in EphA2-expressing CDX models of HNSCC.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presentations are available in the Publications section of the Bicycle Therapeutics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7"/>
          <w:szCs w:val="17"/>
          <w:color w:val="auto"/>
        </w:rPr>
        <w:t>Bicycle Therapeutics is a clinical-stage pharmaceutical company developing a novel class of medicines, referred to as Bicycle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ind w:right="20"/>
        <w:spacing w:after="0" w:line="191" w:lineRule="auto"/>
        <w:rPr>
          <w:sz w:val="20"/>
          <w:szCs w:val="20"/>
          <w:color w:val="auto"/>
        </w:rPr>
      </w:pPr>
      <w:r>
        <w:rPr>
          <w:rFonts w:ascii="Times New Roman" w:cs="Times New Roman" w:eastAsia="Times New Roman" w:hAnsi="Times New Roman"/>
          <w:sz w:val="17"/>
          <w:szCs w:val="17"/>
          <w:color w:val="auto"/>
        </w:rPr>
        <w:t>candidates for drug development. The company is evaluating nuzefatide pevedotin, formerly BT5528, a Bicycle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Drug Conjugate (BDC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targeting EphA2, a historically undruggable target; a pipeline of other bicycle-based conjugate molecules, including Bicycle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Radioconjugates (BRC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for radiopharmaceutical use; zelenectide pevedotin (formerly BT8009), a BDC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targeting Nectin-4, a well-validated tumor antigen; BT7480, a Bicycle Tumor-</w:t>
      </w:r>
    </w:p>
    <w:p>
      <w:pPr>
        <w:spacing w:after="0" w:line="2" w:lineRule="exact"/>
        <w:rPr>
          <w:sz w:val="20"/>
          <w:szCs w:val="20"/>
          <w:color w:val="auto"/>
        </w:rPr>
      </w:pPr>
    </w:p>
    <w:p>
      <w:pPr>
        <w:ind w:right="420"/>
        <w:spacing w:after="0" w:line="209" w:lineRule="auto"/>
        <w:rPr>
          <w:sz w:val="20"/>
          <w:szCs w:val="20"/>
          <w:color w:val="auto"/>
        </w:rPr>
      </w:pPr>
      <w:r>
        <w:rPr>
          <w:rFonts w:ascii="Times New Roman" w:cs="Times New Roman" w:eastAsia="Times New Roman" w:hAnsi="Times New Roman"/>
          <w:sz w:val="18"/>
          <w:szCs w:val="18"/>
          <w:color w:val="auto"/>
        </w:rPr>
        <w:t>Targeted Immune Cell Agonist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and agonizing CD137; and, through various partnerships, is exploring the use of Bicycle® technology to develop therapies for diseases in additional therapeutic areas.</w:t>
      </w:r>
    </w:p>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Bicycle Therapeutics is headquartered in Cambridge, UK, with many key functions and members of its leadership team located in Lexington, Mass. For more information, visit bicycletherapeutics.com.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therapeutic benefit of nuzefatide pevedotin, including the reproducibility and durability of any favorable results initially seen in patients dosed to date in clinical trials, and the potential development of nuzefatide pevedotin in a number of cancers, including pancreatic cancer; the progress of Bicycle Therapeutics’ clinical trials, reporting data from Bicycle Therapeutics’ clinical trials, including for nuzefatide pevedotin, the timing of EphA2 human imaging data and updates on future clinical development plans for nuzefatide pevedotin; the potential of EphA2 as a novel cancer target and the positive properties of Bicycle® radioligand molecules for radiopharmaceutical use; the potential of the Bicycle platform to</w:t>
      </w:r>
    </w:p>
    <w:p>
      <w:pPr>
        <w:spacing w:after="0" w:line="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drug EphA2 and to enhance understanding of how best to deploy EphA2 targeted therapeutics; and the development of the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radioligands pipeline, including BRCs and BIAs.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recently announced workforce reduction may take longer or result in more significant charges or cash expenditures than anticipated or otherwise negatively impact Bicycle Therapeutics’ and its business plans during and after the period during which the proposed workforce reduction is being executed; uncertainties related to the benefits of the recently announced strategic reprioritization; uncertainties inherent in research and development and in the initiation, progress and completion of clinical trials and clinical development of Bicycle Therapeutics’ product candidates; the risk that Bicycle Therapeutics may not realize the intended benefits of its technology or partnerships;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the risk that Bicycle Therapeutics’ projections regarding its expected cash runway are inaccurate or that its conduct of its business requires more cash than anticipated; and other important factors, any of which could cause Bicycle Therapeutics’ actual results to differ from those contained in the forward-looking statements, are described in greater detail in the section entitled “Risk Factors” in Bicycle Therapeutics’ Annual Report on Form 10-K filed with the Securities and Exchange Commission (SEC) on March 17, 2026,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media@bicycletx.com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2026-04-20T06:07:30Z</dcterms:created>
  <dcterms:modified xsi:type="dcterms:W3CDTF">2026-04-20T06:07:30Z</dcterms:modified>
</cp:coreProperties>
</file>