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29,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Bicycle Therapeutics plc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7" w:right="339" w:bottom="1440" w:gutter="0" w:footer="0" w:header="0"/>
        </w:sectPr>
      </w:pPr>
    </w:p>
    <w:p>
      <w:pPr>
        <w:spacing w:after="0" w:line="201"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001-38916</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7" w:right="339" w:bottom="1440" w:gutter="0" w:footer="0" w:header="0"/>
          <w:type w:val="continuous"/>
        </w:sectPr>
      </w:pPr>
    </w:p>
    <w:p>
      <w:pPr>
        <w:spacing w:after="0" w:line="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Blocks A &amp; B, Portway Building,</w:t>
      </w:r>
    </w:p>
    <w:p>
      <w:pPr>
        <w:spacing w:after="0" w:line="3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Granta Park Great Abington, Cambridge</w:t>
      </w:r>
    </w:p>
    <w:p>
      <w:pPr>
        <w:spacing w:after="0" w:line="9"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+44 1223 261503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CB21 6GS</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(Zip Code)</w:t>
      </w:r>
    </w:p>
    <w:p>
      <w:pPr>
        <w:spacing w:after="0" w:line="598" w:lineRule="exact"/>
        <w:rPr>
          <w:sz w:val="24"/>
          <w:szCs w:val="24"/>
          <w:color w:val="auto"/>
        </w:rPr>
      </w:pPr>
    </w:p>
    <w:p>
      <w:pPr>
        <w:sectPr>
          <w:pgSz w:w="11900" w:h="16838" w:orient="portrait"/>
          <w:cols w:equalWidth="0" w:num="2">
            <w:col w:w="7300" w:space="720"/>
            <w:col w:w="3220"/>
          </w:cols>
          <w:pgMar w:left="320" w:top="747" w:right="339" w:bottom="1440" w:gutter="0" w:footer="0" w:header="0"/>
          <w:type w:val="continuous"/>
        </w:sectPr>
      </w:pPr>
    </w:p>
    <w:p>
      <w:pPr>
        <w:spacing w:after="0" w:line="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520" w:type="dxa"/>
            <w:vAlign w:val="bottom"/>
            <w:tcBorders>
              <w:top w:val="single" w:sz="8" w:color="auto"/>
              <w:left w:val="single" w:sz="8" w:color="auto"/>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Trading Symbol (s)</w:t>
            </w:r>
          </w:p>
        </w:tc>
        <w:tc>
          <w:tcPr>
            <w:tcW w:w="448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4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57"/>
        </w:trPr>
        <w:tc>
          <w:tcPr>
            <w:tcW w:w="4520" w:type="dxa"/>
            <w:vAlign w:val="bottom"/>
            <w:tcBorders>
              <w:left w:val="single" w:sz="8" w:color="auto"/>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4480" w:type="dxa"/>
            <w:vAlign w:val="bottom"/>
            <w:tcBorders>
              <w:bottom w:val="single" w:sz="8" w:color="auto"/>
              <w:right w:val="single" w:sz="8" w:color="auto"/>
            </w:tcBorders>
          </w:tcPr>
          <w:p>
            <w:pPr>
              <w:spacing w:after="0"/>
              <w:rPr>
                <w:sz w:val="13"/>
                <w:szCs w:val="13"/>
                <w:color w:val="auto"/>
              </w:rPr>
            </w:pPr>
          </w:p>
        </w:tc>
      </w:tr>
      <w:tr>
        <w:trPr>
          <w:trHeight w:val="191"/>
        </w:trPr>
        <w:tc>
          <w:tcPr>
            <w:tcW w:w="45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 one</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BCYC</w:t>
            </w:r>
          </w:p>
        </w:tc>
        <w:tc>
          <w:tcPr>
            <w:tcW w:w="4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 nominal value £0.01 per share</w:t>
            </w:r>
          </w:p>
        </w:tc>
        <w:tc>
          <w:tcPr>
            <w:tcW w:w="224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175"/>
        </w:trPr>
        <w:tc>
          <w:tcPr>
            <w:tcW w:w="4520" w:type="dxa"/>
            <w:vAlign w:val="bottom"/>
            <w:tcBorders>
              <w:left w:val="single" w:sz="8" w:color="auto"/>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4480" w:type="dxa"/>
            <w:vAlign w:val="bottom"/>
            <w:tcBorders>
              <w:bottom w:val="single" w:sz="8" w:color="auto"/>
              <w:right w:val="single" w:sz="8" w:color="auto"/>
            </w:tcBorders>
          </w:tcPr>
          <w:p>
            <w:pPr>
              <w:spacing w:after="0"/>
              <w:rPr>
                <w:sz w:val="15"/>
                <w:szCs w:val="15"/>
                <w:color w:val="auto"/>
              </w:rPr>
            </w:pPr>
          </w:p>
        </w:tc>
      </w:tr>
    </w:tbl>
    <w:p>
      <w:pPr>
        <w:spacing w:after="0" w:line="198" w:lineRule="exact"/>
        <w:rPr>
          <w:sz w:val="24"/>
          <w:szCs w:val="24"/>
          <w:color w:val="auto"/>
        </w:rPr>
      </w:pPr>
    </w:p>
    <w:p>
      <w:pPr>
        <w:ind w:left="460" w:hanging="128"/>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29, 2026, Bicycle Therapeutics plc issued a press release announcing financial results for the fiscal quarter ended September 30, 2026 and other business highlights. A copy of the press release is being furnished as Exhibit 99.1 to this Current Report on Form 8-K and is incorporated herein by reference.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in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333333"/>
        </w:rPr>
        <w:t>Item 9.01.</w:t>
      </w:r>
      <w:r>
        <w:rPr>
          <w:sz w:val="20"/>
          <w:szCs w:val="20"/>
          <w:color w:val="auto"/>
        </w:rPr>
        <w:tab/>
      </w:r>
      <w:r>
        <w:rPr>
          <w:rFonts w:ascii="Times New Roman" w:cs="Times New Roman" w:eastAsia="Times New Roman" w:hAnsi="Times New Roman"/>
          <w:sz w:val="18"/>
          <w:szCs w:val="18"/>
          <w:b w:val="1"/>
          <w:bCs w:val="1"/>
          <w:color w:val="333333"/>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333333"/>
              </w:rPr>
              <w:t>Exhibit No.</w:t>
            </w:r>
          </w:p>
        </w:tc>
        <w:tc>
          <w:tcPr>
            <w:tcW w:w="2780" w:type="dxa"/>
            <w:vAlign w:val="bottom"/>
          </w:tcPr>
          <w:p>
            <w:pPr>
              <w:spacing w:after="0"/>
              <w:rPr>
                <w:sz w:val="20"/>
                <w:szCs w:val="20"/>
                <w:color w:val="auto"/>
              </w:rPr>
            </w:pPr>
          </w:p>
        </w:tc>
        <w:tc>
          <w:tcPr>
            <w:tcW w:w="722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333333"/>
              </w:rPr>
              <w:t>Description</w:t>
            </w: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4"/>
                <w:szCs w:val="14"/>
                <w:color w:val="auto"/>
              </w:rPr>
            </w:pPr>
          </w:p>
        </w:tc>
        <w:tc>
          <w:tcPr>
            <w:tcW w:w="1000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EE"/>
              </w:rPr>
              <w:t>Press Release issued October 29,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7"/>
          <w:szCs w:val="17"/>
          <w:b w:val="1"/>
          <w:bCs w:val="1"/>
          <w:color w:val="auto"/>
        </w:rPr>
        <w:t>BICYCLE THERAPEUTICS PLC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Travis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Travis Thompson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Reports Recent Business Progress and Third Quarter 2026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Nuzefatide pevedotin granted FDA Orphan Drug Designation for the treatment of pancreatic cancer; further updates expected in 2027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Initiation of the first company-sponsored radioligand clinical trial for BT1702, an MT1-MMP- targeting Bicycle</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Radioconjugate, expected in 2H 2027</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Cash and cash equivalents of $469.9 million as of September 30, 2026, with expected cash runway into 2030</w:t>
      </w:r>
    </w:p>
    <w:p>
      <w:pPr>
        <w:spacing w:after="0" w:line="22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CAMBRIDGE, England &amp; BOSTON, October 29, 2026 - Bicycle Therapeutics plc (NASDAQ: BCYC), a pharmaceutical company pioneering a new and differentiated class of therapeutics based on its proprietary bicyclic peptide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technology, today reported financial results for the third quarter ended September 30, 2026, and provided recent corporate updates.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pleased with the continued progress made across our pipeline during the third quarter, as we advance nuzefatide pevedotin in the Phase 2 clinical trial in patients with recurrent pancreatic ductal adenocarcinoma and build our emerging pipeline of next-generation radioligands. We believe the FDA’s Orphan Drug Designation for nuzefatide in pancreatic cancer further supports our development strategy and underscores the significant unmet need in this patient population,” said Bicycle CEO Kevin Lee, Ph.D. “We remain focused on disciplined execution across our prioritized programs and believe our</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growing clinical data continue to demonstrate the potential of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molecules to deliver highly targeted therapies with differentiated benefit/risk profiles. We look forward to advancing our pipeline and reaching important clinical milestones for nuzefatide and initiating our first company-sponsored radioligand clinical trial for BT1702 in the second half of 2027.”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and Recent Events</w:t>
      </w:r>
    </w:p>
    <w:p>
      <w:pPr>
        <w:spacing w:after="0" w:line="229" w:lineRule="exact"/>
        <w:rPr>
          <w:sz w:val="20"/>
          <w:szCs w:val="20"/>
          <w:color w:val="auto"/>
        </w:rPr>
      </w:pPr>
    </w:p>
    <w:p>
      <w:pPr>
        <w:jc w:val="both"/>
        <w:ind w:left="660" w:hanging="328"/>
        <w:spacing w:after="0" w:line="237"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Nuzefatide pevedotin (nuzefatide), a potentially first-in-class EphA2 targeting Bicycle</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Drug Conjugate (BDC</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was granted Orphan Drug Designation (ODD) by the U.S. Food and Drug Administration (FDA) for the treatment of pancreatic cancer. </w:t>
      </w:r>
      <w:r>
        <w:rPr>
          <w:rFonts w:ascii="Times New Roman" w:cs="Times New Roman" w:eastAsia="Times New Roman" w:hAnsi="Times New Roman"/>
          <w:sz w:val="18"/>
          <w:szCs w:val="18"/>
          <w:color w:val="auto"/>
        </w:rPr>
        <w:t>In September 2026,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FDA granted nuzefatide ODD for the treatment of pancreatic cancer. The designation is granted to investigational therapies intended to treat rare diseases affecting fewer than 200,000 patients in the United States. The designation provides development incentives, including eligibility for tax credits on qualified clinical trial costs, exemption from certain FDA user fees, and the potential for seven years of market exclusivity upon regulatory approval.</w:t>
      </w:r>
    </w:p>
    <w:p>
      <w:pPr>
        <w:spacing w:after="0" w:line="201" w:lineRule="exact"/>
        <w:rPr>
          <w:rFonts w:ascii="Arial" w:cs="Arial" w:eastAsia="Arial" w:hAnsi="Arial"/>
          <w:sz w:val="18"/>
          <w:szCs w:val="18"/>
          <w:b w:val="1"/>
          <w:bCs w:val="1"/>
          <w:color w:val="auto"/>
        </w:rPr>
      </w:pPr>
    </w:p>
    <w:p>
      <w:pPr>
        <w:ind w:left="660"/>
        <w:spacing w:after="0" w:line="282"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Bicycle Therapeutics is actively enrolling patients in a Phase 2 clinical trial to evaluate efficacy, safety, and pharmacokinetics of nuzefatide in adult patients with recurrent pancreatic ductal adenocarcinoma (PDAC) and expects to provide further updates in 2027.</w:t>
      </w:r>
    </w:p>
    <w:p>
      <w:pPr>
        <w:spacing w:after="0" w:line="161" w:lineRule="exact"/>
        <w:rPr>
          <w:rFonts w:ascii="Arial" w:cs="Arial" w:eastAsia="Arial" w:hAnsi="Arial"/>
          <w:sz w:val="18"/>
          <w:szCs w:val="18"/>
          <w:b w:val="1"/>
          <w:bCs w:val="1"/>
          <w:color w:val="auto"/>
        </w:rPr>
      </w:pPr>
    </w:p>
    <w:p>
      <w:pPr>
        <w:jc w:val="both"/>
        <w:ind w:left="660" w:hanging="328"/>
        <w:spacing w:after="0" w:line="205"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Bicycle Therapeutics continues to optimize its Bicycle</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Radioconjugate (BRC</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molecules and advance its emerging radioligand pipeline, with initiation of the first company-sponsored radioligand clinical trial for BT1702, an MT1-MMP-targeting BRC</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expected in the second half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left="660" w:hanging="328"/>
        <w:spacing w:after="0" w:line="232"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Zelenectide pevedotin is a BDC</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molecule targeting Nectin-4, a well-validated tumor antigen. </w:t>
      </w:r>
      <w:r>
        <w:rPr>
          <w:rFonts w:ascii="Times New Roman" w:cs="Times New Roman" w:eastAsia="Times New Roman" w:hAnsi="Times New Roman"/>
          <w:sz w:val="18"/>
          <w:szCs w:val="18"/>
          <w:color w:val="auto"/>
        </w:rPr>
        <w:t>Bicycle Therapeutics converted the Duravelo-2 trial to a randomized Phase 2 trial in May 2026 and deprioritized the program for internal development. The company expects to report Duravelo-2 survival data from the randomized Phase 2 trial in previously untreated patients with metastatic urothelial cancer (mUC) in the second half of 2027</w:t>
      </w:r>
      <w:r>
        <w:rPr>
          <w:rFonts w:ascii="Times New Roman" w:cs="Times New Roman" w:eastAsia="Times New Roman" w:hAnsi="Times New Roman"/>
          <w:sz w:val="18"/>
          <w:szCs w:val="18"/>
          <w:b w:val="1"/>
          <w:bCs w:val="1"/>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Results</w:t>
      </w:r>
    </w:p>
    <w:p>
      <w:pPr>
        <w:spacing w:after="0" w:line="229" w:lineRule="exact"/>
        <w:rPr>
          <w:sz w:val="20"/>
          <w:szCs w:val="20"/>
          <w:color w:val="auto"/>
        </w:rPr>
      </w:pPr>
    </w:p>
    <w:p>
      <w:pPr>
        <w:ind w:left="660" w:hanging="328"/>
        <w:spacing w:after="0" w:line="281"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Cash and cash equivalents were $469.9 million as of September 30, 2026, compared to $628.1 million as of December 31, 2025. The decrease in cash and cash equivalents is primarily due to cash used in operations, including cash payments for clinical program activities.</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Collaboration revenue was $34.1 million for the three months ended September 30, 2026, compared to $11.7 million for the three months ended September 30, 2025. The increase in collaboration revenue was primarily due to the recognition of all remaining revenue under Bicycle Therapeutics’ collaboration with Bayer Consumer Care AG upon termination of the underlying collaboration agreement.</w:t>
      </w:r>
    </w:p>
    <w:p>
      <w:pPr>
        <w:spacing w:after="0" w:line="177" w:lineRule="exact"/>
        <w:rPr>
          <w:rFonts w:ascii="Arial" w:cs="Arial" w:eastAsia="Arial" w:hAnsi="Arial"/>
          <w:sz w:val="18"/>
          <w:szCs w:val="18"/>
          <w:b w:val="1"/>
          <w:bCs w:val="1"/>
          <w:color w:val="auto"/>
        </w:rPr>
      </w:pPr>
    </w:p>
    <w:p>
      <w:pPr>
        <w:jc w:val="both"/>
        <w:ind w:left="660" w:hanging="328"/>
        <w:spacing w:after="0" w:line="258"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Research and development (R&amp;D) expenses were $33.4 million for the three months ended September 30, 2026, compared to $58.4 million for the three months ended September 30, 2025. The decrease in expense of $25.0 million was primarily due to decreased clinical program expenses for zelenectide, decreased personnel-related costs and share-based compensation due to our workforce reductions announced in August 2025 and March 2026, as well as decreased discovery, platform and other expenses, offset by lower research and development incentives associated with the corresponding decrease in qualifying research and development expenses period over period.</w:t>
      </w:r>
    </w:p>
    <w:p>
      <w:pPr>
        <w:spacing w:after="0" w:line="18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General and administrative (G&amp;A) expenses were $14.1 million for the three months ended September 30, 2026, compared to $18.9 million for the three months ended September 30, 2025. The decrease in expense of $4.8 million was primarily due to decreased personnel-related costs and share-based compensation due to our workforce reductions announced in August 2025 and March 2026.</w:t>
      </w:r>
    </w:p>
    <w:p>
      <w:pPr>
        <w:spacing w:after="0" w:line="20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loss was $10.5 million, or $(0.15) basic and diluted net loss per share, for the three months ended September 30, 2026, compared to net loss of $59.1 million, or $(0.85) basic and diluted net loss per share, for the three months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Bicycle Therapeutics</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Bicycle Therapeutics is a clinical-stage pharmaceutical company developing a novel class of medicines, referred to as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molecules, for diseases that are underserved by existing therapeutics. Bicycle molecules are fully synthetic short peptides constrained with small molecule scaffolds to form two loops that stabilize their structural geometry. This constraint facilitates target binding with high affinity and selectivity, making Bicycle molecules attractive</w:t>
      </w:r>
    </w:p>
    <w:p>
      <w:pPr>
        <w:spacing w:after="0" w:line="2"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8"/>
          <w:szCs w:val="18"/>
          <w:color w:val="auto"/>
        </w:rPr>
        <w:t>candidates for drug development. The company is evaluating nuzefatide pevedotin, formerly BT5528, a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Drug Conjugate (BDC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targeting EphA2, a historically undruggable target; a pipeline of other bicycle-based conjugate molecules, including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Radioconjugates (BRC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 radiopharmaceutical use; zelenectide pevedotin (formerly BT8009), a BDC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targeting Nectin-4, a well-validated tumor antigen; and, through various partnerships, is exploring the use of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technology to develop therapies for diseases in additional therapeutic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Bicycle Therapeutics is headquartered in Cambridge, UK, with many key functions and members of its leadership team located in Lexington, Mass. For more information, visit bicycletherapeutics.com.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“promising,”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potential therapeutic benefit of nuzefatide pevedotin, including the reproducibility and durability of any favorable results initially seen in patients dosed to date in clinical trials, and the potential development of nuzefatide pevedotin in pancreatic cancer; the clinical and regulatory benefits anticipated from the Orphan Drug Designation granted to nuzefatide pevedotin, including the potential for seven years of market exclusivity upon regulatory approval, eligibility for tax credits and exemption from certain FDA user fees; the progress of Bicycle Therapeutics’ clinical trials, reporting data from Bicycle Therapeutics’ clinical trials, including for nuzefatide pevedotin, and updates on future clinical development plans for nuzefatide pevedotin; the potential of Bicycle molecules to deliver highly targeted therapies with differentiated benefit/risk profiles; the positive properties of Bicycle® radioligand molecules for radiopharmaceutical use; the development of the Bicycle® radioligands pipeline, including BRCs, and the expected initiation of the first company-sponsored radioligand clinical trial for BT1702 in the second half of 2027; communications with and feedback from the FDA and other regulatory agencies; Bicycle Therapeutics’ expected financial runway; and the use of Bicycle Therapeutics’ technology through various partnerships to develop therapies for diseases in additional therapeutic areas. Bicycle Therapeutics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uncertainties related to the benefits and potential unintended consequences of the strategic reprioritization and recent workforce reductions; uncertainties inherent in research and development and in the initiation, progress and completion of clinical trials and clinical development of Bicycle Therapeutics’ product candidates; the risk that Bicycle Therapeutics may not realize the intended benefits of its technology or partnerships; the risk that Bicycle Therapeutics may not achieve any of its clinical development strategies; timing of results from clinical trials; whether the outcomes of preclinical studies and prior clinical trials will be predictive of future clinical trial results; the risk that trials may have unsatisfactory outcomes; potential adverse effects arising from the testing or use of Bicycle Therapeutics’ product candidates; the risk that Bicycle Therapeutics’ projections regarding its expected cash runway are inaccurate or that its conduct of its business requires more cash than anticipated; and other important factors, any of which could cause Bicycle Therapeutics’ actual results to differ from those contained in the forward-looking statements, are described in greater detail in the section entitled “Risk Factors” in Bicycle Therapeutics’ Quarterly Report on Form 10-Q filed with the Securities and Exchange Commission (SEC) on July 30, 2026, as well as in other filings Bicycle Therapeutics may make with the SEC in the future. Any forward-looking statements contained in this press release speak only as of the date hereof, and Bicycle Therapeutics expressly disclaims any obligation to update any forward-looking statements contained herein, whether because of any new information, future events, changed circumstances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9"/>
                <w:szCs w:val="19"/>
                <w:color w:val="auto"/>
              </w:rPr>
            </w:pPr>
          </w:p>
        </w:tc>
        <w:tc>
          <w:tcPr>
            <w:tcW w:w="2520" w:type="dxa"/>
            <w:vAlign w:val="bottom"/>
            <w:gridSpan w:val="6"/>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6"/>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33,422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58,426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123,483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188,513</w:t>
            </w:r>
          </w:p>
        </w:tc>
        <w:tc>
          <w:tcPr>
            <w:tcW w:w="0" w:type="dxa"/>
            <w:vAlign w:val="bottom"/>
          </w:tcPr>
          <w:p>
            <w:pPr>
              <w:spacing w:after="0"/>
              <w:rPr>
                <w:sz w:val="1"/>
                <w:szCs w:val="1"/>
                <w:color w:val="auto"/>
              </w:rPr>
            </w:pPr>
          </w:p>
        </w:tc>
      </w:tr>
      <w:tr>
        <w:trPr>
          <w:trHeight w:val="229"/>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14,112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18,859</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45,608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58,475</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(133,518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(222,357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6,700</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13,450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22,587</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4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 provision</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50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(0.85</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ordinary shares outstanding, basic and diluted</w:t>
            </w:r>
          </w:p>
        </w:tc>
        <w:tc>
          <w:tcPr>
            <w:tcW w:w="4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69,979,934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69,303,746</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69,823,830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69,251,291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 Data</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4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469,928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628,110</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493,097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625,901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567,179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717,597</w:t>
            </w: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Pr>
          <w:p>
            <w:pPr>
              <w:spacing w:after="0"/>
              <w:rPr>
                <w:sz w:val="20"/>
                <w:szCs w:val="20"/>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505,277</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609,977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DeYoung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ir@bicycletx.com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media@bicycletx.com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2026-10-29T06:07:15Z</dcterms:created>
  <dcterms:modified xsi:type="dcterms:W3CDTF">2026-10-29T06:07:15Z</dcterms:modified>
</cp:coreProperties>
</file>