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236" w:lineRule="auto"/>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rPr>
          <w:rFonts w:ascii="Arial" w:cs="Arial" w:eastAsia="Arial" w:hAnsi="Arial"/>
          <w:sz w:val="20"/>
          <w:szCs w:val="20"/>
          <w:u w:val="single" w:color="auto"/>
          <w:color w:val="0000EE"/>
        </w:rPr>
      </w:pPr>
      <w:hyperlink w:anchor="page252">
        <w:r>
          <w:rPr>
            <w:rFonts w:ascii="Arial" w:cs="Arial" w:eastAsia="Arial" w:hAnsi="Arial"/>
            <w:sz w:val="20"/>
            <w:szCs w:val="20"/>
            <w:u w:val="single" w:color="auto"/>
            <w:color w:val="0000EE"/>
          </w:rPr>
          <w:t>BICYCLE THERAPEUTICS LIMITED</w:t>
        </w:r>
      </w:hyperlink>
    </w:p>
    <w:p>
      <w:pPr>
        <w:spacing w:after="0" w:line="192" w:lineRule="exact"/>
        <w:rPr>
          <w:sz w:val="24"/>
          <w:szCs w:val="24"/>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As filed with the Securities and Exchange Commission on April 26, 2019.</w:t>
      </w:r>
    </w:p>
    <w:p>
      <w:pPr>
        <w:spacing w:after="0" w:line="193" w:lineRule="exact"/>
        <w:rPr>
          <w:sz w:val="24"/>
          <w:szCs w:val="24"/>
          <w:color w:val="auto"/>
        </w:rPr>
      </w:pPr>
    </w:p>
    <w:p>
      <w:pPr>
        <w:ind w:left="98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25932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2964815</wp:posOffset>
            </wp:positionH>
            <wp:positionV relativeFrom="paragraph">
              <wp:posOffset>120015</wp:posOffset>
            </wp:positionV>
            <wp:extent cx="1327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S-1</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REGISTRATION STATEMENT</w:t>
      </w:r>
    </w:p>
    <w:p>
      <w:pPr>
        <w:jc w:val="center"/>
        <w:ind w:right="-39"/>
        <w:spacing w:after="0" w:line="235" w:lineRule="auto"/>
        <w:rPr>
          <w:sz w:val="20"/>
          <w:szCs w:val="20"/>
          <w:color w:val="auto"/>
        </w:rPr>
      </w:pPr>
      <w:r>
        <w:rPr>
          <w:rFonts w:ascii="Arial" w:cs="Arial" w:eastAsia="Arial" w:hAnsi="Arial"/>
          <w:sz w:val="13"/>
          <w:szCs w:val="13"/>
          <w:b w:val="1"/>
          <w:bCs w:val="1"/>
          <w:color w:val="auto"/>
        </w:rPr>
        <w:t>UNDER</w:t>
      </w:r>
    </w:p>
    <w:p>
      <w:pPr>
        <w:jc w:val="center"/>
        <w:ind w:right="-39"/>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2964815</wp:posOffset>
            </wp:positionH>
            <wp:positionV relativeFrom="paragraph">
              <wp:posOffset>120015</wp:posOffset>
            </wp:positionV>
            <wp:extent cx="1327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BICYCLE THERAPEUTICS LIMITED*</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2964815</wp:posOffset>
            </wp:positionH>
            <wp:positionV relativeFrom="paragraph">
              <wp:posOffset>120015</wp:posOffset>
            </wp:positionV>
            <wp:extent cx="13277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2920" w:type="dxa"/>
        <w:tblCellMar>
          <w:top w:w="0" w:type="dxa"/>
          <w:left w:w="0" w:type="dxa"/>
          <w:bottom w:w="0" w:type="dxa"/>
          <w:right w:w="0" w:type="dxa"/>
        </w:tblCellMar>
      </w:tblPr>
      <w:tr>
        <w:trPr>
          <w:trHeight w:val="163"/>
        </w:trPr>
        <w:tc>
          <w:tcPr>
            <w:tcW w:w="1840" w:type="dxa"/>
            <w:vAlign w:val="bottom"/>
          </w:tcPr>
          <w:p>
            <w:pPr>
              <w:jc w:val="center"/>
              <w:ind w:right="55"/>
              <w:spacing w:after="0"/>
              <w:rPr>
                <w:sz w:val="20"/>
                <w:szCs w:val="20"/>
                <w:color w:val="auto"/>
              </w:rPr>
            </w:pPr>
            <w:r>
              <w:rPr>
                <w:rFonts w:ascii="Arial" w:cs="Arial" w:eastAsia="Arial" w:hAnsi="Arial"/>
                <w:sz w:val="13"/>
                <w:szCs w:val="13"/>
                <w:b w:val="1"/>
                <w:bCs w:val="1"/>
                <w:color w:val="auto"/>
              </w:rPr>
              <w:t>England and Wales</w:t>
            </w:r>
          </w:p>
        </w:tc>
        <w:tc>
          <w:tcPr>
            <w:tcW w:w="2020" w:type="dxa"/>
            <w:vAlign w:val="bottom"/>
          </w:tcPr>
          <w:p>
            <w:pPr>
              <w:jc w:val="center"/>
              <w:ind w:right="35"/>
              <w:spacing w:after="0"/>
              <w:rPr>
                <w:sz w:val="20"/>
                <w:szCs w:val="20"/>
                <w:color w:val="auto"/>
              </w:rPr>
            </w:pPr>
            <w:r>
              <w:rPr>
                <w:rFonts w:ascii="Arial" w:cs="Arial" w:eastAsia="Arial" w:hAnsi="Arial"/>
                <w:sz w:val="13"/>
                <w:szCs w:val="13"/>
                <w:b w:val="1"/>
                <w:bCs w:val="1"/>
                <w:color w:val="auto"/>
                <w:w w:val="96"/>
              </w:rPr>
              <w:t>2834</w:t>
            </w:r>
          </w:p>
        </w:tc>
        <w:tc>
          <w:tcPr>
            <w:tcW w:w="1500" w:type="dxa"/>
            <w:vAlign w:val="bottom"/>
          </w:tcPr>
          <w:p>
            <w:pPr>
              <w:jc w:val="center"/>
              <w:ind w:left="175"/>
              <w:spacing w:after="0"/>
              <w:rPr>
                <w:sz w:val="20"/>
                <w:szCs w:val="20"/>
                <w:color w:val="auto"/>
              </w:rPr>
            </w:pPr>
            <w:r>
              <w:rPr>
                <w:rFonts w:ascii="Arial" w:cs="Arial" w:eastAsia="Arial" w:hAnsi="Arial"/>
                <w:sz w:val="13"/>
                <w:szCs w:val="13"/>
                <w:b w:val="1"/>
                <w:bCs w:val="1"/>
                <w:color w:val="auto"/>
                <w:w w:val="98"/>
              </w:rPr>
              <w:t>Not Applicable</w:t>
            </w:r>
          </w:p>
        </w:tc>
      </w:tr>
      <w:tr>
        <w:trPr>
          <w:trHeight w:val="147"/>
        </w:trPr>
        <w:tc>
          <w:tcPr>
            <w:tcW w:w="1840" w:type="dxa"/>
            <w:vAlign w:val="bottom"/>
          </w:tcPr>
          <w:p>
            <w:pPr>
              <w:jc w:val="center"/>
              <w:ind w:right="55"/>
              <w:spacing w:after="0" w:line="147" w:lineRule="exact"/>
              <w:rPr>
                <w:sz w:val="20"/>
                <w:szCs w:val="20"/>
                <w:color w:val="auto"/>
              </w:rPr>
            </w:pPr>
            <w:r>
              <w:rPr>
                <w:rFonts w:ascii="Arial" w:cs="Arial" w:eastAsia="Arial" w:hAnsi="Arial"/>
                <w:sz w:val="13"/>
                <w:szCs w:val="13"/>
                <w:color w:val="auto"/>
                <w:w w:val="99"/>
              </w:rPr>
              <w:t>(State or Other Jurisdiction of</w:t>
            </w:r>
          </w:p>
        </w:tc>
        <w:tc>
          <w:tcPr>
            <w:tcW w:w="2020" w:type="dxa"/>
            <w:vAlign w:val="bottom"/>
          </w:tcPr>
          <w:p>
            <w:pPr>
              <w:jc w:val="center"/>
              <w:ind w:right="35"/>
              <w:spacing w:after="0" w:line="147" w:lineRule="exact"/>
              <w:rPr>
                <w:sz w:val="20"/>
                <w:szCs w:val="20"/>
                <w:color w:val="auto"/>
              </w:rPr>
            </w:pPr>
            <w:r>
              <w:rPr>
                <w:rFonts w:ascii="Arial" w:cs="Arial" w:eastAsia="Arial" w:hAnsi="Arial"/>
                <w:sz w:val="13"/>
                <w:szCs w:val="13"/>
                <w:color w:val="auto"/>
              </w:rPr>
              <w:t>(Primary Standard Industrial</w:t>
            </w:r>
          </w:p>
        </w:tc>
        <w:tc>
          <w:tcPr>
            <w:tcW w:w="1500" w:type="dxa"/>
            <w:vAlign w:val="bottom"/>
          </w:tcPr>
          <w:p>
            <w:pPr>
              <w:jc w:val="center"/>
              <w:ind w:left="195"/>
              <w:spacing w:after="0" w:line="147" w:lineRule="exact"/>
              <w:rPr>
                <w:sz w:val="20"/>
                <w:szCs w:val="20"/>
                <w:color w:val="auto"/>
              </w:rPr>
            </w:pPr>
            <w:r>
              <w:rPr>
                <w:rFonts w:ascii="Arial" w:cs="Arial" w:eastAsia="Arial" w:hAnsi="Arial"/>
                <w:sz w:val="13"/>
                <w:szCs w:val="13"/>
                <w:color w:val="auto"/>
              </w:rPr>
              <w:t>(I.R.S. Employer</w:t>
            </w:r>
          </w:p>
        </w:tc>
      </w:tr>
      <w:tr>
        <w:trPr>
          <w:trHeight w:val="156"/>
        </w:trPr>
        <w:tc>
          <w:tcPr>
            <w:tcW w:w="1840" w:type="dxa"/>
            <w:vAlign w:val="bottom"/>
          </w:tcPr>
          <w:p>
            <w:pPr>
              <w:jc w:val="center"/>
              <w:ind w:right="55"/>
              <w:spacing w:after="0"/>
              <w:rPr>
                <w:sz w:val="20"/>
                <w:szCs w:val="20"/>
                <w:color w:val="auto"/>
              </w:rPr>
            </w:pPr>
            <w:r>
              <w:rPr>
                <w:rFonts w:ascii="Arial" w:cs="Arial" w:eastAsia="Arial" w:hAnsi="Arial"/>
                <w:sz w:val="13"/>
                <w:szCs w:val="13"/>
                <w:color w:val="auto"/>
                <w:w w:val="99"/>
              </w:rPr>
              <w:t>Incorporation or Organization)</w:t>
            </w:r>
          </w:p>
        </w:tc>
        <w:tc>
          <w:tcPr>
            <w:tcW w:w="2020" w:type="dxa"/>
            <w:vAlign w:val="bottom"/>
          </w:tcPr>
          <w:p>
            <w:pPr>
              <w:jc w:val="center"/>
              <w:ind w:right="35"/>
              <w:spacing w:after="0"/>
              <w:rPr>
                <w:sz w:val="20"/>
                <w:szCs w:val="20"/>
                <w:color w:val="auto"/>
              </w:rPr>
            </w:pPr>
            <w:r>
              <w:rPr>
                <w:rFonts w:ascii="Arial" w:cs="Arial" w:eastAsia="Arial" w:hAnsi="Arial"/>
                <w:sz w:val="13"/>
                <w:szCs w:val="13"/>
                <w:color w:val="auto"/>
                <w:w w:val="99"/>
              </w:rPr>
              <w:t>Classification Code Number)</w:t>
            </w:r>
          </w:p>
        </w:tc>
        <w:tc>
          <w:tcPr>
            <w:tcW w:w="1500" w:type="dxa"/>
            <w:vAlign w:val="bottom"/>
          </w:tcPr>
          <w:p>
            <w:pPr>
              <w:jc w:val="center"/>
              <w:ind w:left="175"/>
              <w:spacing w:after="0"/>
              <w:rPr>
                <w:sz w:val="20"/>
                <w:szCs w:val="20"/>
                <w:color w:val="auto"/>
              </w:rPr>
            </w:pPr>
            <w:r>
              <w:rPr>
                <w:rFonts w:ascii="Arial" w:cs="Arial" w:eastAsia="Arial" w:hAnsi="Arial"/>
                <w:sz w:val="13"/>
                <w:szCs w:val="13"/>
                <w:color w:val="auto"/>
                <w:w w:val="99"/>
              </w:rPr>
              <w:t>Identification Number)</w:t>
            </w:r>
          </w:p>
        </w:tc>
      </w:tr>
    </w:tbl>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Bicycle Therapeutics Limited</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B900, Babraham Research Campus</w:t>
      </w:r>
    </w:p>
    <w:p>
      <w:pPr>
        <w:jc w:val="center"/>
        <w:ind w:right="-39"/>
        <w:spacing w:after="0" w:line="235" w:lineRule="auto"/>
        <w:rPr>
          <w:sz w:val="20"/>
          <w:szCs w:val="20"/>
          <w:color w:val="auto"/>
        </w:rPr>
      </w:pPr>
      <w:r>
        <w:rPr>
          <w:rFonts w:ascii="Arial" w:cs="Arial" w:eastAsia="Arial" w:hAnsi="Arial"/>
          <w:sz w:val="13"/>
          <w:szCs w:val="13"/>
          <w:b w:val="1"/>
          <w:bCs w:val="1"/>
          <w:color w:val="auto"/>
        </w:rPr>
        <w:t>Cambridge CB22 3AT</w:t>
      </w:r>
    </w:p>
    <w:p>
      <w:pPr>
        <w:jc w:val="center"/>
        <w:ind w:right="-39"/>
        <w:spacing w:after="0" w:line="236" w:lineRule="auto"/>
        <w:rPr>
          <w:sz w:val="20"/>
          <w:szCs w:val="20"/>
          <w:color w:val="auto"/>
        </w:rPr>
      </w:pPr>
      <w:r>
        <w:rPr>
          <w:rFonts w:ascii="Arial" w:cs="Arial" w:eastAsia="Arial" w:hAnsi="Arial"/>
          <w:sz w:val="13"/>
          <w:szCs w:val="13"/>
          <w:b w:val="1"/>
          <w:bCs w:val="1"/>
          <w:color w:val="auto"/>
        </w:rPr>
        <w:t>United Kingdom</w:t>
      </w:r>
    </w:p>
    <w:p>
      <w:pPr>
        <w:jc w:val="center"/>
        <w:ind w:right="-39"/>
        <w:spacing w:after="0" w:line="235" w:lineRule="auto"/>
        <w:rPr>
          <w:sz w:val="20"/>
          <w:szCs w:val="20"/>
          <w:color w:val="auto"/>
        </w:rPr>
      </w:pPr>
      <w:r>
        <w:rPr>
          <w:rFonts w:ascii="Arial" w:cs="Arial" w:eastAsia="Arial" w:hAnsi="Arial"/>
          <w:sz w:val="13"/>
          <w:szCs w:val="13"/>
          <w:b w:val="1"/>
          <w:bCs w:val="1"/>
          <w:color w:val="auto"/>
        </w:rPr>
        <w:t>+44 1223 261503</w:t>
      </w:r>
    </w:p>
    <w:p>
      <w:pPr>
        <w:jc w:val="center"/>
        <w:ind w:right="-39"/>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2964815</wp:posOffset>
            </wp:positionH>
            <wp:positionV relativeFrom="paragraph">
              <wp:posOffset>120015</wp:posOffset>
            </wp:positionV>
            <wp:extent cx="13277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Bicycle Therapeutics Inc.</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4 Hartwell Place</w:t>
      </w:r>
    </w:p>
    <w:p>
      <w:pPr>
        <w:jc w:val="center"/>
        <w:ind w:right="-39"/>
        <w:spacing w:after="0" w:line="235" w:lineRule="auto"/>
        <w:rPr>
          <w:sz w:val="20"/>
          <w:szCs w:val="20"/>
          <w:color w:val="auto"/>
        </w:rPr>
      </w:pPr>
      <w:r>
        <w:rPr>
          <w:rFonts w:ascii="Arial" w:cs="Arial" w:eastAsia="Arial" w:hAnsi="Arial"/>
          <w:sz w:val="13"/>
          <w:szCs w:val="13"/>
          <w:b w:val="1"/>
          <w:bCs w:val="1"/>
          <w:color w:val="auto"/>
        </w:rPr>
        <w:t>Lexington, Massachusetts 02421</w:t>
      </w:r>
    </w:p>
    <w:p>
      <w:pPr>
        <w:jc w:val="center"/>
        <w:ind w:right="-39"/>
        <w:spacing w:after="0" w:line="236" w:lineRule="auto"/>
        <w:rPr>
          <w:sz w:val="20"/>
          <w:szCs w:val="20"/>
          <w:color w:val="auto"/>
        </w:rPr>
      </w:pPr>
      <w:r>
        <w:rPr>
          <w:rFonts w:ascii="Arial" w:cs="Arial" w:eastAsia="Arial" w:hAnsi="Arial"/>
          <w:sz w:val="13"/>
          <w:szCs w:val="13"/>
          <w:b w:val="1"/>
          <w:bCs w:val="1"/>
          <w:color w:val="auto"/>
        </w:rPr>
        <w:t>Attention: Lee Kalowski</w:t>
      </w:r>
    </w:p>
    <w:p>
      <w:pPr>
        <w:jc w:val="center"/>
        <w:ind w:right="-39"/>
        <w:spacing w:after="0" w:line="235" w:lineRule="auto"/>
        <w:rPr>
          <w:sz w:val="20"/>
          <w:szCs w:val="20"/>
          <w:color w:val="auto"/>
        </w:rPr>
      </w:pPr>
      <w:r>
        <w:rPr>
          <w:rFonts w:ascii="Arial" w:cs="Arial" w:eastAsia="Arial" w:hAnsi="Arial"/>
          <w:sz w:val="13"/>
          <w:szCs w:val="13"/>
          <w:b w:val="1"/>
          <w:bCs w:val="1"/>
          <w:color w:val="auto"/>
        </w:rPr>
        <w:t>617-945-8155</w:t>
      </w:r>
    </w:p>
    <w:p>
      <w:pPr>
        <w:jc w:val="center"/>
        <w:ind w:right="-39"/>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2964815</wp:posOffset>
            </wp:positionH>
            <wp:positionV relativeFrom="paragraph">
              <wp:posOffset>120015</wp:posOffset>
            </wp:positionV>
            <wp:extent cx="13277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2280" w:type="dxa"/>
        <w:tblCellMar>
          <w:top w:w="0" w:type="dxa"/>
          <w:left w:w="0" w:type="dxa"/>
          <w:bottom w:w="0" w:type="dxa"/>
          <w:right w:w="0" w:type="dxa"/>
        </w:tblCellMar>
      </w:tblPr>
      <w:tr>
        <w:trPr>
          <w:trHeight w:val="172"/>
        </w:trPr>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60" w:type="dxa"/>
            <w:vAlign w:val="bottom"/>
          </w:tcPr>
          <w:p>
            <w:pPr>
              <w:ind w:left="20"/>
              <w:spacing w:after="0"/>
              <w:rPr>
                <w:sz w:val="20"/>
                <w:szCs w:val="20"/>
                <w:color w:val="auto"/>
              </w:rPr>
            </w:pPr>
            <w:r>
              <w:rPr>
                <w:rFonts w:ascii="Arial" w:cs="Arial" w:eastAsia="Arial" w:hAnsi="Arial"/>
                <w:sz w:val="13"/>
                <w:szCs w:val="13"/>
                <w:b w:val="1"/>
                <w:bCs w:val="1"/>
                <w:color w:val="auto"/>
              </w:rPr>
              <w:t>Copies to:</w:t>
            </w:r>
          </w:p>
        </w:tc>
        <w:tc>
          <w:tcPr>
            <w:tcW w:w="1560" w:type="dxa"/>
            <w:vAlign w:val="bottom"/>
          </w:tcPr>
          <w:p>
            <w:pPr>
              <w:spacing w:after="0"/>
              <w:rPr>
                <w:sz w:val="14"/>
                <w:szCs w:val="14"/>
                <w:color w:val="auto"/>
              </w:rPr>
            </w:pPr>
          </w:p>
        </w:tc>
      </w:tr>
      <w:tr>
        <w:trPr>
          <w:trHeight w:val="342"/>
        </w:trPr>
        <w:tc>
          <w:tcPr>
            <w:tcW w:w="1640" w:type="dxa"/>
            <w:vAlign w:val="bottom"/>
          </w:tcPr>
          <w:p>
            <w:pPr>
              <w:jc w:val="center"/>
              <w:ind w:right="235"/>
              <w:spacing w:after="0"/>
              <w:rPr>
                <w:sz w:val="20"/>
                <w:szCs w:val="20"/>
                <w:color w:val="auto"/>
              </w:rPr>
            </w:pPr>
            <w:r>
              <w:rPr>
                <w:rFonts w:ascii="Arial" w:cs="Arial" w:eastAsia="Arial" w:hAnsi="Arial"/>
                <w:sz w:val="13"/>
                <w:szCs w:val="13"/>
                <w:b w:val="1"/>
                <w:bCs w:val="1"/>
                <w:color w:val="auto"/>
                <w:w w:val="99"/>
              </w:rPr>
              <w:t>Kristopher D. Brown</w:t>
            </w:r>
          </w:p>
        </w:tc>
        <w:tc>
          <w:tcPr>
            <w:tcW w:w="1460" w:type="dxa"/>
            <w:vAlign w:val="bottom"/>
          </w:tcPr>
          <w:p>
            <w:pPr>
              <w:jc w:val="center"/>
              <w:ind w:left="195"/>
              <w:spacing w:after="0"/>
              <w:rPr>
                <w:sz w:val="20"/>
                <w:szCs w:val="20"/>
                <w:color w:val="auto"/>
              </w:rPr>
            </w:pPr>
            <w:r>
              <w:rPr>
                <w:rFonts w:ascii="Arial" w:cs="Arial" w:eastAsia="Arial" w:hAnsi="Arial"/>
                <w:sz w:val="13"/>
                <w:szCs w:val="13"/>
                <w:b w:val="1"/>
                <w:bCs w:val="1"/>
                <w:color w:val="auto"/>
                <w:w w:val="99"/>
              </w:rPr>
              <w:t>Graham Defries</w:t>
            </w:r>
          </w:p>
        </w:tc>
        <w:tc>
          <w:tcPr>
            <w:tcW w:w="2160" w:type="dxa"/>
            <w:vAlign w:val="bottom"/>
          </w:tcPr>
          <w:p>
            <w:pPr>
              <w:jc w:val="center"/>
              <w:ind w:left="275"/>
              <w:spacing w:after="0"/>
              <w:rPr>
                <w:sz w:val="20"/>
                <w:szCs w:val="20"/>
                <w:color w:val="auto"/>
              </w:rPr>
            </w:pPr>
            <w:r>
              <w:rPr>
                <w:rFonts w:ascii="Arial" w:cs="Arial" w:eastAsia="Arial" w:hAnsi="Arial"/>
                <w:sz w:val="13"/>
                <w:szCs w:val="13"/>
                <w:b w:val="1"/>
                <w:bCs w:val="1"/>
                <w:color w:val="auto"/>
                <w:w w:val="99"/>
              </w:rPr>
              <w:t>Ed Lukins</w:t>
            </w:r>
          </w:p>
        </w:tc>
        <w:tc>
          <w:tcPr>
            <w:tcW w:w="1560" w:type="dxa"/>
            <w:vAlign w:val="bottom"/>
          </w:tcPr>
          <w:p>
            <w:pPr>
              <w:jc w:val="center"/>
              <w:ind w:left="255"/>
              <w:spacing w:after="0"/>
              <w:rPr>
                <w:sz w:val="20"/>
                <w:szCs w:val="20"/>
                <w:color w:val="auto"/>
              </w:rPr>
            </w:pPr>
            <w:r>
              <w:rPr>
                <w:rFonts w:ascii="Arial" w:cs="Arial" w:eastAsia="Arial" w:hAnsi="Arial"/>
                <w:sz w:val="13"/>
                <w:szCs w:val="13"/>
                <w:b w:val="1"/>
                <w:bCs w:val="1"/>
                <w:color w:val="auto"/>
                <w:w w:val="99"/>
              </w:rPr>
              <w:t>Divakar Gupta</w:t>
            </w:r>
          </w:p>
        </w:tc>
      </w:tr>
      <w:tr>
        <w:trPr>
          <w:trHeight w:val="147"/>
        </w:trPr>
        <w:tc>
          <w:tcPr>
            <w:tcW w:w="1640" w:type="dxa"/>
            <w:vAlign w:val="bottom"/>
          </w:tcPr>
          <w:p>
            <w:pPr>
              <w:jc w:val="center"/>
              <w:ind w:right="235"/>
              <w:spacing w:after="0" w:line="147" w:lineRule="exact"/>
              <w:rPr>
                <w:sz w:val="20"/>
                <w:szCs w:val="20"/>
                <w:color w:val="auto"/>
              </w:rPr>
            </w:pPr>
            <w:r>
              <w:rPr>
                <w:rFonts w:ascii="Arial" w:cs="Arial" w:eastAsia="Arial" w:hAnsi="Arial"/>
                <w:sz w:val="13"/>
                <w:szCs w:val="13"/>
                <w:b w:val="1"/>
                <w:bCs w:val="1"/>
                <w:color w:val="auto"/>
              </w:rPr>
              <w:t>James Xu</w:t>
            </w:r>
          </w:p>
        </w:tc>
        <w:tc>
          <w:tcPr>
            <w:tcW w:w="1460" w:type="dxa"/>
            <w:vAlign w:val="bottom"/>
          </w:tcPr>
          <w:p>
            <w:pPr>
              <w:jc w:val="center"/>
              <w:ind w:left="195"/>
              <w:spacing w:after="0" w:line="147" w:lineRule="exact"/>
              <w:rPr>
                <w:sz w:val="20"/>
                <w:szCs w:val="20"/>
                <w:color w:val="auto"/>
              </w:rPr>
            </w:pPr>
            <w:r>
              <w:rPr>
                <w:rFonts w:ascii="Arial" w:cs="Arial" w:eastAsia="Arial" w:hAnsi="Arial"/>
                <w:sz w:val="13"/>
                <w:szCs w:val="13"/>
                <w:b w:val="1"/>
                <w:bCs w:val="1"/>
                <w:color w:val="auto"/>
                <w:w w:val="99"/>
              </w:rPr>
              <w:t>Goodwin Procter</w:t>
            </w:r>
          </w:p>
        </w:tc>
        <w:tc>
          <w:tcPr>
            <w:tcW w:w="2160" w:type="dxa"/>
            <w:vAlign w:val="bottom"/>
          </w:tcPr>
          <w:p>
            <w:pPr>
              <w:jc w:val="center"/>
              <w:ind w:left="275"/>
              <w:spacing w:after="0" w:line="147" w:lineRule="exact"/>
              <w:rPr>
                <w:sz w:val="20"/>
                <w:szCs w:val="20"/>
                <w:color w:val="auto"/>
              </w:rPr>
            </w:pPr>
            <w:r>
              <w:rPr>
                <w:rFonts w:ascii="Arial" w:cs="Arial" w:eastAsia="Arial" w:hAnsi="Arial"/>
                <w:sz w:val="13"/>
                <w:szCs w:val="13"/>
                <w:b w:val="1"/>
                <w:bCs w:val="1"/>
                <w:color w:val="auto"/>
                <w:w w:val="99"/>
              </w:rPr>
              <w:t>Edward Dyson</w:t>
            </w:r>
          </w:p>
        </w:tc>
        <w:tc>
          <w:tcPr>
            <w:tcW w:w="1560" w:type="dxa"/>
            <w:vAlign w:val="bottom"/>
          </w:tcPr>
          <w:p>
            <w:pPr>
              <w:jc w:val="center"/>
              <w:ind w:left="235"/>
              <w:spacing w:after="0" w:line="147" w:lineRule="exact"/>
              <w:rPr>
                <w:sz w:val="20"/>
                <w:szCs w:val="20"/>
                <w:color w:val="auto"/>
              </w:rPr>
            </w:pPr>
            <w:r>
              <w:rPr>
                <w:rFonts w:ascii="Arial" w:cs="Arial" w:eastAsia="Arial" w:hAnsi="Arial"/>
                <w:sz w:val="13"/>
                <w:szCs w:val="13"/>
                <w:b w:val="1"/>
                <w:bCs w:val="1"/>
                <w:color w:val="auto"/>
                <w:w w:val="99"/>
              </w:rPr>
              <w:t>Ryan Sansom</w:t>
            </w:r>
          </w:p>
        </w:tc>
      </w:tr>
      <w:tr>
        <w:trPr>
          <w:trHeight w:val="147"/>
        </w:trPr>
        <w:tc>
          <w:tcPr>
            <w:tcW w:w="1640" w:type="dxa"/>
            <w:vAlign w:val="bottom"/>
          </w:tcPr>
          <w:p>
            <w:pPr>
              <w:jc w:val="center"/>
              <w:ind w:right="235"/>
              <w:spacing w:after="0" w:line="147" w:lineRule="exact"/>
              <w:rPr>
                <w:sz w:val="20"/>
                <w:szCs w:val="20"/>
                <w:color w:val="auto"/>
              </w:rPr>
            </w:pPr>
            <w:r>
              <w:rPr>
                <w:rFonts w:ascii="Arial" w:cs="Arial" w:eastAsia="Arial" w:hAnsi="Arial"/>
                <w:sz w:val="13"/>
                <w:szCs w:val="13"/>
                <w:b w:val="1"/>
                <w:bCs w:val="1"/>
                <w:color w:val="auto"/>
                <w:w w:val="99"/>
              </w:rPr>
              <w:t>Jonathan A. Schur</w:t>
            </w:r>
          </w:p>
        </w:tc>
        <w:tc>
          <w:tcPr>
            <w:tcW w:w="1460" w:type="dxa"/>
            <w:vAlign w:val="bottom"/>
          </w:tcPr>
          <w:p>
            <w:pPr>
              <w:jc w:val="center"/>
              <w:ind w:left="195"/>
              <w:spacing w:after="0" w:line="147" w:lineRule="exact"/>
              <w:rPr>
                <w:sz w:val="20"/>
                <w:szCs w:val="20"/>
                <w:color w:val="auto"/>
              </w:rPr>
            </w:pPr>
            <w:r>
              <w:rPr>
                <w:rFonts w:ascii="Arial" w:cs="Arial" w:eastAsia="Arial" w:hAnsi="Arial"/>
                <w:sz w:val="13"/>
                <w:szCs w:val="13"/>
                <w:b w:val="1"/>
                <w:bCs w:val="1"/>
                <w:color w:val="auto"/>
              </w:rPr>
              <w:t>(UK) LLP</w:t>
            </w:r>
          </w:p>
        </w:tc>
        <w:tc>
          <w:tcPr>
            <w:tcW w:w="2160" w:type="dxa"/>
            <w:vAlign w:val="bottom"/>
          </w:tcPr>
          <w:p>
            <w:pPr>
              <w:jc w:val="center"/>
              <w:ind w:left="275"/>
              <w:spacing w:after="0" w:line="147" w:lineRule="exact"/>
              <w:rPr>
                <w:sz w:val="20"/>
                <w:szCs w:val="20"/>
                <w:color w:val="auto"/>
              </w:rPr>
            </w:pPr>
            <w:r>
              <w:rPr>
                <w:rFonts w:ascii="Arial" w:cs="Arial" w:eastAsia="Arial" w:hAnsi="Arial"/>
                <w:sz w:val="13"/>
                <w:szCs w:val="13"/>
                <w:b w:val="1"/>
                <w:bCs w:val="1"/>
                <w:color w:val="auto"/>
                <w:w w:val="99"/>
              </w:rPr>
              <w:t>Cooley (UK) LLP</w:t>
            </w:r>
          </w:p>
        </w:tc>
        <w:tc>
          <w:tcPr>
            <w:tcW w:w="1560" w:type="dxa"/>
            <w:vAlign w:val="bottom"/>
          </w:tcPr>
          <w:p>
            <w:pPr>
              <w:jc w:val="center"/>
              <w:ind w:left="255"/>
              <w:spacing w:after="0" w:line="147" w:lineRule="exact"/>
              <w:rPr>
                <w:sz w:val="20"/>
                <w:szCs w:val="20"/>
                <w:color w:val="auto"/>
              </w:rPr>
            </w:pPr>
            <w:r>
              <w:rPr>
                <w:rFonts w:ascii="Arial" w:cs="Arial" w:eastAsia="Arial" w:hAnsi="Arial"/>
                <w:sz w:val="13"/>
                <w:szCs w:val="13"/>
                <w:b w:val="1"/>
                <w:bCs w:val="1"/>
                <w:color w:val="auto"/>
              </w:rPr>
              <w:t>Richard Segal</w:t>
            </w:r>
          </w:p>
        </w:tc>
      </w:tr>
      <w:tr>
        <w:trPr>
          <w:trHeight w:val="147"/>
        </w:trPr>
        <w:tc>
          <w:tcPr>
            <w:tcW w:w="1640" w:type="dxa"/>
            <w:vAlign w:val="bottom"/>
          </w:tcPr>
          <w:p>
            <w:pPr>
              <w:jc w:val="center"/>
              <w:ind w:right="235"/>
              <w:spacing w:after="0" w:line="147" w:lineRule="exact"/>
              <w:rPr>
                <w:sz w:val="20"/>
                <w:szCs w:val="20"/>
                <w:color w:val="auto"/>
              </w:rPr>
            </w:pPr>
            <w:r>
              <w:rPr>
                <w:rFonts w:ascii="Arial" w:cs="Arial" w:eastAsia="Arial" w:hAnsi="Arial"/>
                <w:sz w:val="13"/>
                <w:szCs w:val="13"/>
                <w:b w:val="1"/>
                <w:bCs w:val="1"/>
                <w:color w:val="auto"/>
              </w:rPr>
              <w:t>Goodwin Procter LLP</w:t>
            </w:r>
          </w:p>
        </w:tc>
        <w:tc>
          <w:tcPr>
            <w:tcW w:w="1460" w:type="dxa"/>
            <w:vAlign w:val="bottom"/>
          </w:tcPr>
          <w:p>
            <w:pPr>
              <w:jc w:val="center"/>
              <w:ind w:left="195"/>
              <w:spacing w:after="0" w:line="147" w:lineRule="exact"/>
              <w:rPr>
                <w:sz w:val="20"/>
                <w:szCs w:val="20"/>
                <w:color w:val="auto"/>
              </w:rPr>
            </w:pPr>
            <w:r>
              <w:rPr>
                <w:rFonts w:ascii="Arial" w:cs="Arial" w:eastAsia="Arial" w:hAnsi="Arial"/>
                <w:sz w:val="13"/>
                <w:szCs w:val="13"/>
                <w:b w:val="1"/>
                <w:bCs w:val="1"/>
                <w:color w:val="auto"/>
              </w:rPr>
              <w:t>100 Cheapside</w:t>
            </w:r>
          </w:p>
        </w:tc>
        <w:tc>
          <w:tcPr>
            <w:tcW w:w="2160" w:type="dxa"/>
            <w:vAlign w:val="bottom"/>
          </w:tcPr>
          <w:p>
            <w:pPr>
              <w:jc w:val="center"/>
              <w:ind w:left="275"/>
              <w:spacing w:after="0" w:line="147" w:lineRule="exact"/>
              <w:rPr>
                <w:sz w:val="20"/>
                <w:szCs w:val="20"/>
                <w:color w:val="auto"/>
              </w:rPr>
            </w:pPr>
            <w:r>
              <w:rPr>
                <w:rFonts w:ascii="Arial" w:cs="Arial" w:eastAsia="Arial" w:hAnsi="Arial"/>
                <w:sz w:val="13"/>
                <w:szCs w:val="13"/>
                <w:b w:val="1"/>
                <w:bCs w:val="1"/>
                <w:color w:val="auto"/>
              </w:rPr>
              <w:t>Dashwood</w:t>
            </w:r>
          </w:p>
        </w:tc>
        <w:tc>
          <w:tcPr>
            <w:tcW w:w="1560" w:type="dxa"/>
            <w:vAlign w:val="bottom"/>
          </w:tcPr>
          <w:p>
            <w:pPr>
              <w:jc w:val="center"/>
              <w:ind w:left="255"/>
              <w:spacing w:after="0" w:line="147" w:lineRule="exact"/>
              <w:rPr>
                <w:sz w:val="20"/>
                <w:szCs w:val="20"/>
                <w:color w:val="auto"/>
              </w:rPr>
            </w:pPr>
            <w:r>
              <w:rPr>
                <w:rFonts w:ascii="Arial" w:cs="Arial" w:eastAsia="Arial" w:hAnsi="Arial"/>
                <w:sz w:val="13"/>
                <w:szCs w:val="13"/>
                <w:b w:val="1"/>
                <w:bCs w:val="1"/>
                <w:color w:val="auto"/>
              </w:rPr>
              <w:t>Cooley LLP</w:t>
            </w:r>
          </w:p>
        </w:tc>
      </w:tr>
      <w:tr>
        <w:trPr>
          <w:trHeight w:val="147"/>
        </w:trPr>
        <w:tc>
          <w:tcPr>
            <w:tcW w:w="1640" w:type="dxa"/>
            <w:vAlign w:val="bottom"/>
          </w:tcPr>
          <w:p>
            <w:pPr>
              <w:jc w:val="center"/>
              <w:ind w:right="215"/>
              <w:spacing w:after="0" w:line="147" w:lineRule="exact"/>
              <w:rPr>
                <w:sz w:val="20"/>
                <w:szCs w:val="20"/>
                <w:color w:val="auto"/>
              </w:rPr>
            </w:pPr>
            <w:r>
              <w:rPr>
                <w:rFonts w:ascii="Arial" w:cs="Arial" w:eastAsia="Arial" w:hAnsi="Arial"/>
                <w:sz w:val="13"/>
                <w:szCs w:val="13"/>
                <w:b w:val="1"/>
                <w:bCs w:val="1"/>
                <w:color w:val="auto"/>
                <w:w w:val="99"/>
              </w:rPr>
              <w:t>620 Eighth Avenue</w:t>
            </w:r>
          </w:p>
        </w:tc>
        <w:tc>
          <w:tcPr>
            <w:tcW w:w="1460" w:type="dxa"/>
            <w:vAlign w:val="bottom"/>
          </w:tcPr>
          <w:p>
            <w:pPr>
              <w:jc w:val="center"/>
              <w:ind w:left="215"/>
              <w:spacing w:after="0" w:line="147" w:lineRule="exact"/>
              <w:rPr>
                <w:sz w:val="20"/>
                <w:szCs w:val="20"/>
                <w:color w:val="auto"/>
              </w:rPr>
            </w:pPr>
            <w:r>
              <w:rPr>
                <w:rFonts w:ascii="Arial" w:cs="Arial" w:eastAsia="Arial" w:hAnsi="Arial"/>
                <w:sz w:val="13"/>
                <w:szCs w:val="13"/>
                <w:b w:val="1"/>
                <w:bCs w:val="1"/>
                <w:color w:val="auto"/>
                <w:w w:val="99"/>
              </w:rPr>
              <w:t>London EC2V 6DY</w:t>
            </w:r>
          </w:p>
        </w:tc>
        <w:tc>
          <w:tcPr>
            <w:tcW w:w="2160" w:type="dxa"/>
            <w:vAlign w:val="bottom"/>
          </w:tcPr>
          <w:p>
            <w:pPr>
              <w:jc w:val="center"/>
              <w:ind w:left="275"/>
              <w:spacing w:after="0" w:line="147" w:lineRule="exact"/>
              <w:rPr>
                <w:sz w:val="20"/>
                <w:szCs w:val="20"/>
                <w:color w:val="auto"/>
              </w:rPr>
            </w:pPr>
            <w:r>
              <w:rPr>
                <w:rFonts w:ascii="Arial" w:cs="Arial" w:eastAsia="Arial" w:hAnsi="Arial"/>
                <w:sz w:val="13"/>
                <w:szCs w:val="13"/>
                <w:b w:val="1"/>
                <w:bCs w:val="1"/>
                <w:color w:val="auto"/>
              </w:rPr>
              <w:t>69 Old Broad Street</w:t>
            </w:r>
          </w:p>
        </w:tc>
        <w:tc>
          <w:tcPr>
            <w:tcW w:w="1560" w:type="dxa"/>
            <w:vAlign w:val="bottom"/>
          </w:tcPr>
          <w:p>
            <w:pPr>
              <w:jc w:val="center"/>
              <w:ind w:left="235"/>
              <w:spacing w:after="0" w:line="147" w:lineRule="exact"/>
              <w:rPr>
                <w:sz w:val="20"/>
                <w:szCs w:val="20"/>
                <w:color w:val="auto"/>
              </w:rPr>
            </w:pPr>
            <w:r>
              <w:rPr>
                <w:rFonts w:ascii="Arial" w:cs="Arial" w:eastAsia="Arial" w:hAnsi="Arial"/>
                <w:sz w:val="13"/>
                <w:szCs w:val="13"/>
                <w:b w:val="1"/>
                <w:bCs w:val="1"/>
                <w:color w:val="auto"/>
                <w:w w:val="99"/>
              </w:rPr>
              <w:t>55 Hudson Yards</w:t>
            </w:r>
          </w:p>
        </w:tc>
      </w:tr>
      <w:tr>
        <w:trPr>
          <w:trHeight w:val="147"/>
        </w:trPr>
        <w:tc>
          <w:tcPr>
            <w:tcW w:w="1640" w:type="dxa"/>
            <w:vAlign w:val="bottom"/>
          </w:tcPr>
          <w:p>
            <w:pPr>
              <w:jc w:val="center"/>
              <w:ind w:right="235"/>
              <w:spacing w:after="0" w:line="147" w:lineRule="exact"/>
              <w:rPr>
                <w:sz w:val="20"/>
                <w:szCs w:val="20"/>
                <w:color w:val="auto"/>
              </w:rPr>
            </w:pPr>
            <w:r>
              <w:rPr>
                <w:rFonts w:ascii="Arial" w:cs="Arial" w:eastAsia="Arial" w:hAnsi="Arial"/>
                <w:sz w:val="13"/>
                <w:szCs w:val="13"/>
                <w:b w:val="1"/>
                <w:bCs w:val="1"/>
                <w:color w:val="auto"/>
                <w:w w:val="98"/>
              </w:rPr>
              <w:t>New York, NY 02109</w:t>
            </w:r>
          </w:p>
        </w:tc>
        <w:tc>
          <w:tcPr>
            <w:tcW w:w="1460" w:type="dxa"/>
            <w:vAlign w:val="bottom"/>
          </w:tcPr>
          <w:p>
            <w:pPr>
              <w:jc w:val="center"/>
              <w:ind w:left="195"/>
              <w:spacing w:after="0" w:line="147" w:lineRule="exact"/>
              <w:rPr>
                <w:sz w:val="20"/>
                <w:szCs w:val="20"/>
                <w:color w:val="auto"/>
              </w:rPr>
            </w:pPr>
            <w:r>
              <w:rPr>
                <w:rFonts w:ascii="Arial" w:cs="Arial" w:eastAsia="Arial" w:hAnsi="Arial"/>
                <w:sz w:val="13"/>
                <w:szCs w:val="13"/>
                <w:b w:val="1"/>
                <w:bCs w:val="1"/>
                <w:color w:val="auto"/>
                <w:w w:val="99"/>
              </w:rPr>
              <w:t>United Kingdom</w:t>
            </w:r>
          </w:p>
        </w:tc>
        <w:tc>
          <w:tcPr>
            <w:tcW w:w="2160" w:type="dxa"/>
            <w:vAlign w:val="bottom"/>
          </w:tcPr>
          <w:p>
            <w:pPr>
              <w:jc w:val="center"/>
              <w:ind w:left="275"/>
              <w:spacing w:after="0" w:line="147" w:lineRule="exact"/>
              <w:rPr>
                <w:sz w:val="20"/>
                <w:szCs w:val="20"/>
                <w:color w:val="auto"/>
              </w:rPr>
            </w:pPr>
            <w:r>
              <w:rPr>
                <w:rFonts w:ascii="Arial" w:cs="Arial" w:eastAsia="Arial" w:hAnsi="Arial"/>
                <w:sz w:val="13"/>
                <w:szCs w:val="13"/>
                <w:b w:val="1"/>
                <w:bCs w:val="1"/>
                <w:color w:val="auto"/>
              </w:rPr>
              <w:t>London EC2M 1QS</w:t>
            </w:r>
          </w:p>
        </w:tc>
        <w:tc>
          <w:tcPr>
            <w:tcW w:w="1560" w:type="dxa"/>
            <w:vAlign w:val="bottom"/>
          </w:tcPr>
          <w:p>
            <w:pPr>
              <w:jc w:val="center"/>
              <w:ind w:left="255"/>
              <w:spacing w:after="0" w:line="147" w:lineRule="exact"/>
              <w:rPr>
                <w:sz w:val="20"/>
                <w:szCs w:val="20"/>
                <w:color w:val="auto"/>
              </w:rPr>
            </w:pPr>
            <w:r>
              <w:rPr>
                <w:rFonts w:ascii="Arial" w:cs="Arial" w:eastAsia="Arial" w:hAnsi="Arial"/>
                <w:sz w:val="13"/>
                <w:szCs w:val="13"/>
                <w:b w:val="1"/>
                <w:bCs w:val="1"/>
                <w:color w:val="auto"/>
                <w:w w:val="99"/>
              </w:rPr>
              <w:t>New York, NY 10001</w:t>
            </w:r>
          </w:p>
        </w:tc>
      </w:tr>
      <w:tr>
        <w:trPr>
          <w:trHeight w:val="147"/>
        </w:trPr>
        <w:tc>
          <w:tcPr>
            <w:tcW w:w="1640" w:type="dxa"/>
            <w:vAlign w:val="bottom"/>
          </w:tcPr>
          <w:p>
            <w:pPr>
              <w:jc w:val="center"/>
              <w:ind w:right="235"/>
              <w:spacing w:after="0" w:line="147" w:lineRule="exact"/>
              <w:rPr>
                <w:sz w:val="20"/>
                <w:szCs w:val="20"/>
                <w:color w:val="auto"/>
              </w:rPr>
            </w:pPr>
            <w:r>
              <w:rPr>
                <w:rFonts w:ascii="Arial" w:cs="Arial" w:eastAsia="Arial" w:hAnsi="Arial"/>
                <w:sz w:val="13"/>
                <w:szCs w:val="13"/>
                <w:b w:val="1"/>
                <w:bCs w:val="1"/>
                <w:color w:val="auto"/>
              </w:rPr>
              <w:t>(212) 813-8800</w:t>
            </w:r>
          </w:p>
        </w:tc>
        <w:tc>
          <w:tcPr>
            <w:tcW w:w="1460" w:type="dxa"/>
            <w:vAlign w:val="bottom"/>
          </w:tcPr>
          <w:p>
            <w:pPr>
              <w:jc w:val="center"/>
              <w:ind w:left="215"/>
              <w:spacing w:after="0" w:line="147" w:lineRule="exact"/>
              <w:rPr>
                <w:sz w:val="20"/>
                <w:szCs w:val="20"/>
                <w:color w:val="auto"/>
              </w:rPr>
            </w:pPr>
            <w:r>
              <w:rPr>
                <w:rFonts w:ascii="Arial" w:cs="Arial" w:eastAsia="Arial" w:hAnsi="Arial"/>
                <w:sz w:val="13"/>
                <w:szCs w:val="13"/>
                <w:b w:val="1"/>
                <w:bCs w:val="1"/>
                <w:color w:val="auto"/>
              </w:rPr>
              <w:t>+44 20 7447 4200</w:t>
            </w:r>
          </w:p>
        </w:tc>
        <w:tc>
          <w:tcPr>
            <w:tcW w:w="2160" w:type="dxa"/>
            <w:vAlign w:val="bottom"/>
          </w:tcPr>
          <w:p>
            <w:pPr>
              <w:jc w:val="center"/>
              <w:ind w:left="275"/>
              <w:spacing w:after="0" w:line="147" w:lineRule="exact"/>
              <w:rPr>
                <w:sz w:val="20"/>
                <w:szCs w:val="20"/>
                <w:color w:val="auto"/>
              </w:rPr>
            </w:pPr>
            <w:r>
              <w:rPr>
                <w:rFonts w:ascii="Arial" w:cs="Arial" w:eastAsia="Arial" w:hAnsi="Arial"/>
                <w:sz w:val="13"/>
                <w:szCs w:val="13"/>
                <w:b w:val="1"/>
                <w:bCs w:val="1"/>
                <w:color w:val="auto"/>
              </w:rPr>
              <w:t>United Kingdom</w:t>
            </w:r>
          </w:p>
        </w:tc>
        <w:tc>
          <w:tcPr>
            <w:tcW w:w="1560" w:type="dxa"/>
            <w:vAlign w:val="bottom"/>
          </w:tcPr>
          <w:p>
            <w:pPr>
              <w:jc w:val="center"/>
              <w:ind w:left="255"/>
              <w:spacing w:after="0" w:line="147" w:lineRule="exact"/>
              <w:rPr>
                <w:sz w:val="20"/>
                <w:szCs w:val="20"/>
                <w:color w:val="auto"/>
              </w:rPr>
            </w:pPr>
            <w:r>
              <w:rPr>
                <w:rFonts w:ascii="Arial" w:cs="Arial" w:eastAsia="Arial" w:hAnsi="Arial"/>
                <w:sz w:val="13"/>
                <w:szCs w:val="13"/>
                <w:b w:val="1"/>
                <w:bCs w:val="1"/>
                <w:color w:val="auto"/>
                <w:w w:val="98"/>
              </w:rPr>
              <w:t>(212) 479-6000</w:t>
            </w:r>
          </w:p>
        </w:tc>
      </w:tr>
      <w:tr>
        <w:trPr>
          <w:trHeight w:val="172"/>
        </w:trPr>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60" w:type="dxa"/>
            <w:vAlign w:val="bottom"/>
          </w:tcPr>
          <w:p>
            <w:pPr>
              <w:jc w:val="center"/>
              <w:ind w:left="275"/>
              <w:spacing w:after="0"/>
              <w:rPr>
                <w:sz w:val="20"/>
                <w:szCs w:val="20"/>
                <w:color w:val="auto"/>
              </w:rPr>
            </w:pPr>
            <w:r>
              <w:rPr>
                <w:rFonts w:ascii="Arial" w:cs="Arial" w:eastAsia="Arial" w:hAnsi="Arial"/>
                <w:sz w:val="13"/>
                <w:szCs w:val="13"/>
                <w:b w:val="1"/>
                <w:bCs w:val="1"/>
                <w:color w:val="auto"/>
              </w:rPr>
              <w:t>+44 20 7785 9355</w:t>
            </w:r>
          </w:p>
        </w:tc>
        <w:tc>
          <w:tcPr>
            <w:tcW w:w="1560" w:type="dxa"/>
            <w:vAlign w:val="bottom"/>
          </w:tcPr>
          <w:p>
            <w:pPr>
              <w:spacing w:after="0"/>
              <w:rPr>
                <w:sz w:val="14"/>
                <w:szCs w:val="14"/>
                <w:color w:val="auto"/>
              </w:rPr>
            </w:pPr>
          </w:p>
        </w:tc>
      </w:tr>
    </w:tbl>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193" w:lineRule="exact"/>
        <w:rPr>
          <w:sz w:val="24"/>
          <w:szCs w:val="24"/>
          <w:color w:val="auto"/>
        </w:rPr>
      </w:pPr>
    </w:p>
    <w:p>
      <w:pPr>
        <w:ind w:right="440" w:firstLine="471"/>
        <w:spacing w:after="0" w:line="245" w:lineRule="auto"/>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as amended, check the following box. o</w:t>
      </w:r>
    </w:p>
    <w:p>
      <w:pPr>
        <w:spacing w:after="0" w:line="196" w:lineRule="exact"/>
        <w:rPr>
          <w:sz w:val="24"/>
          <w:szCs w:val="24"/>
          <w:color w:val="auto"/>
        </w:rPr>
      </w:pPr>
    </w:p>
    <w:p>
      <w:pPr>
        <w:ind w:right="400" w:firstLine="471"/>
        <w:spacing w:after="0" w:line="245"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6" w:lineRule="exact"/>
        <w:rPr>
          <w:sz w:val="24"/>
          <w:szCs w:val="24"/>
          <w:color w:val="auto"/>
        </w:rPr>
      </w:pPr>
    </w:p>
    <w:p>
      <w:pPr>
        <w:ind w:right="360" w:firstLine="471"/>
        <w:spacing w:after="0" w:line="245"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6" w:lineRule="exact"/>
        <w:rPr>
          <w:sz w:val="24"/>
          <w:szCs w:val="24"/>
          <w:color w:val="auto"/>
        </w:rPr>
      </w:pPr>
    </w:p>
    <w:p>
      <w:pPr>
        <w:ind w:firstLine="471"/>
        <w:spacing w:after="0" w:line="245"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6" w:lineRule="exact"/>
        <w:rPr>
          <w:sz w:val="24"/>
          <w:szCs w:val="24"/>
          <w:color w:val="auto"/>
        </w:rPr>
      </w:pPr>
    </w:p>
    <w:p>
      <w:pPr>
        <w:ind w:right="140" w:firstLine="471"/>
        <w:spacing w:after="0" w:line="24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634" w:right="259" w:bottom="89" w:gutter="0" w:footer="0" w:header="0"/>
        </w:sectPr>
      </w:pPr>
    </w:p>
    <w:p>
      <w:pPr>
        <w:spacing w:after="0" w:line="176" w:lineRule="exact"/>
        <w:rPr>
          <w:sz w:val="24"/>
          <w:szCs w:val="24"/>
          <w:color w:val="auto"/>
        </w:rPr>
      </w:pPr>
    </w:p>
    <w:p>
      <w:pPr>
        <w:ind w:left="30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92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1060"/>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42"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0" w:lineRule="exact"/>
        <w:rPr>
          <w:sz w:val="24"/>
          <w:szCs w:val="24"/>
          <w:color w:val="auto"/>
        </w:rPr>
      </w:pPr>
    </w:p>
    <w:p>
      <w:pPr>
        <w:sectPr>
          <w:pgSz w:w="11900" w:h="16838" w:orient="portrait"/>
          <w:cols w:equalWidth="0" w:num="4">
            <w:col w:w="2660" w:space="720"/>
            <w:col w:w="2000" w:space="720"/>
            <w:col w:w="2440" w:space="720"/>
            <w:col w:w="2140"/>
          </w:cols>
          <w:pgMar w:left="240" w:top="634" w:right="259" w:bottom="89" w:gutter="0" w:footer="0" w:header="0"/>
          <w:type w:val="continuous"/>
        </w:sectPr>
      </w:pPr>
    </w:p>
    <w:p>
      <w:pPr>
        <w:spacing w:after="0" w:line="5" w:lineRule="exact"/>
        <w:rPr>
          <w:sz w:val="24"/>
          <w:szCs w:val="24"/>
          <w:color w:val="auto"/>
        </w:rPr>
      </w:pPr>
    </w:p>
    <w:p>
      <w:pPr>
        <w:ind w:right="360" w:firstLine="471"/>
        <w:spacing w:after="0" w:line="15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9"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1170940</wp:posOffset>
            </wp:positionH>
            <wp:positionV relativeFrom="paragraph">
              <wp:posOffset>269875</wp:posOffset>
            </wp:positionV>
            <wp:extent cx="49225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22520" cy="762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285115</wp:posOffset>
            </wp:positionV>
            <wp:extent cx="49225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22520" cy="7620"/>
                    </a:xfrm>
                    <a:prstGeom prst="rect">
                      <a:avLst/>
                    </a:prstGeom>
                    <a:noFill/>
                  </pic:spPr>
                </pic:pic>
              </a:graphicData>
            </a:graphic>
          </wp:anchor>
        </w:drawing>
      </w:r>
    </w:p>
    <w:p>
      <w:pPr>
        <w:sectPr>
          <w:pgSz w:w="11900" w:h="16838" w:orient="portrait"/>
          <w:cols w:equalWidth="0" w:num="1">
            <w:col w:w="11400"/>
          </w:cols>
          <w:pgMar w:left="240" w:top="634" w:right="259" w:bottom="89" w:gutter="0" w:footer="0" w:header="0"/>
          <w:type w:val="continuous"/>
        </w:sectPr>
      </w:pPr>
    </w:p>
    <w:bookmarkStart w:id="1" w:name="page2"/>
    <w:bookmarkEnd w:id="1"/>
    <w:tbl>
      <w:tblPr>
        <w:tblLayout w:type="fixed"/>
        <w:tblInd w:w="1842" w:type="dxa"/>
        <w:tblCellMar>
          <w:top w:w="0" w:type="dxa"/>
          <w:left w:w="0" w:type="dxa"/>
          <w:bottom w:w="0" w:type="dxa"/>
          <w:right w:w="0" w:type="dxa"/>
        </w:tblCellMar>
      </w:tblPr>
      <w:tr>
        <w:trPr>
          <w:trHeight w:val="149"/>
        </w:trPr>
        <w:tc>
          <w:tcPr>
            <w:tcW w:w="4340" w:type="dxa"/>
            <w:vAlign w:val="bottom"/>
          </w:tcPr>
          <w:p>
            <w:pPr>
              <w:jc w:val="center"/>
              <w:ind w:left="635"/>
              <w:spacing w:after="0"/>
              <w:rPr>
                <w:sz w:val="20"/>
                <w:szCs w:val="20"/>
                <w:color w:val="auto"/>
              </w:rPr>
            </w:pPr>
            <w:r>
              <w:rPr>
                <w:rFonts w:ascii="Arial" w:cs="Arial" w:eastAsia="Arial" w:hAnsi="Arial"/>
                <w:sz w:val="13"/>
                <w:szCs w:val="13"/>
                <w:b w:val="1"/>
                <w:bCs w:val="1"/>
                <w:color w:val="auto"/>
                <w:w w:val="99"/>
              </w:rPr>
              <w:t>Title of each class of securities</w:t>
            </w:r>
          </w:p>
        </w:tc>
        <w:tc>
          <w:tcPr>
            <w:tcW w:w="2180" w:type="dxa"/>
            <w:vAlign w:val="bottom"/>
          </w:tcPr>
          <w:p>
            <w:pPr>
              <w:jc w:val="center"/>
              <w:ind w:left="675"/>
              <w:spacing w:after="0"/>
              <w:rPr>
                <w:sz w:val="20"/>
                <w:szCs w:val="20"/>
                <w:color w:val="auto"/>
              </w:rPr>
            </w:pPr>
            <w:r>
              <w:rPr>
                <w:rFonts w:ascii="Arial" w:cs="Arial" w:eastAsia="Arial" w:hAnsi="Arial"/>
                <w:sz w:val="13"/>
                <w:szCs w:val="13"/>
                <w:b w:val="1"/>
                <w:bCs w:val="1"/>
                <w:color w:val="auto"/>
                <w:w w:val="99"/>
              </w:rPr>
              <w:t>Proposed maximum</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8"/>
              </w:rPr>
              <w:t>Amount of</w:t>
            </w:r>
          </w:p>
        </w:tc>
      </w:tr>
      <w:tr>
        <w:trPr>
          <w:trHeight w:val="147"/>
        </w:trPr>
        <w:tc>
          <w:tcPr>
            <w:tcW w:w="4340" w:type="dxa"/>
            <w:vAlign w:val="bottom"/>
          </w:tcPr>
          <w:p>
            <w:pPr>
              <w:jc w:val="center"/>
              <w:ind w:left="615"/>
              <w:spacing w:after="0" w:line="147" w:lineRule="exact"/>
              <w:rPr>
                <w:sz w:val="20"/>
                <w:szCs w:val="20"/>
                <w:color w:val="auto"/>
              </w:rPr>
            </w:pPr>
            <w:r>
              <w:rPr>
                <w:rFonts w:ascii="Arial" w:cs="Arial" w:eastAsia="Arial" w:hAnsi="Arial"/>
                <w:sz w:val="13"/>
                <w:szCs w:val="13"/>
                <w:b w:val="1"/>
                <w:bCs w:val="1"/>
                <w:color w:val="auto"/>
              </w:rPr>
              <w:t>to be registered</w:t>
            </w:r>
          </w:p>
        </w:tc>
        <w:tc>
          <w:tcPr>
            <w:tcW w:w="2180" w:type="dxa"/>
            <w:vAlign w:val="bottom"/>
          </w:tcPr>
          <w:p>
            <w:pPr>
              <w:jc w:val="center"/>
              <w:ind w:left="695"/>
              <w:spacing w:after="0" w:line="147" w:lineRule="exact"/>
              <w:rPr>
                <w:sz w:val="20"/>
                <w:szCs w:val="20"/>
                <w:color w:val="auto"/>
              </w:rPr>
            </w:pPr>
            <w:r>
              <w:rPr>
                <w:rFonts w:ascii="Arial" w:cs="Arial" w:eastAsia="Arial" w:hAnsi="Arial"/>
                <w:sz w:val="13"/>
                <w:szCs w:val="13"/>
                <w:b w:val="1"/>
                <w:bCs w:val="1"/>
                <w:color w:val="auto"/>
                <w:w w:val="99"/>
              </w:rPr>
              <w:t>aggregate offering</w:t>
            </w:r>
          </w:p>
        </w:tc>
        <w:tc>
          <w:tcPr>
            <w:tcW w:w="124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rPr>
              <w:t>registration fee(2)</w:t>
            </w:r>
          </w:p>
        </w:tc>
      </w:tr>
      <w:tr>
        <w:trPr>
          <w:trHeight w:val="187"/>
        </w:trPr>
        <w:tc>
          <w:tcPr>
            <w:tcW w:w="4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left="695"/>
              <w:spacing w:after="0"/>
              <w:rPr>
                <w:sz w:val="20"/>
                <w:szCs w:val="20"/>
                <w:color w:val="auto"/>
              </w:rPr>
            </w:pPr>
            <w:r>
              <w:rPr>
                <w:rFonts w:ascii="Arial" w:cs="Arial" w:eastAsia="Arial" w:hAnsi="Arial"/>
                <w:sz w:val="13"/>
                <w:szCs w:val="13"/>
                <w:b w:val="1"/>
                <w:bCs w:val="1"/>
                <w:color w:val="auto"/>
                <w:w w:val="97"/>
              </w:rPr>
              <w:t>price(1)</w:t>
            </w:r>
          </w:p>
        </w:tc>
        <w:tc>
          <w:tcPr>
            <w:tcW w:w="1240" w:type="dxa"/>
            <w:vAlign w:val="bottom"/>
            <w:tcBorders>
              <w:bottom w:val="single" w:sz="8" w:color="auto"/>
            </w:tcBorders>
          </w:tcPr>
          <w:p>
            <w:pPr>
              <w:spacing w:after="0"/>
              <w:rPr>
                <w:sz w:val="16"/>
                <w:szCs w:val="16"/>
                <w:color w:val="auto"/>
              </w:rPr>
            </w:pPr>
          </w:p>
        </w:tc>
      </w:tr>
      <w:tr>
        <w:trPr>
          <w:trHeight w:val="166"/>
        </w:trPr>
        <w:tc>
          <w:tcPr>
            <w:tcW w:w="4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Ordinary shares, nominal value £0.01 per share(3)</w:t>
            </w:r>
          </w:p>
        </w:tc>
        <w:tc>
          <w:tcPr>
            <w:tcW w:w="218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$86,250,000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$10,454</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482" w:right="40" w:hanging="482"/>
        <w:spacing w:after="0" w:line="245" w:lineRule="auto"/>
        <w:tabs>
          <w:tab w:leader="none" w:pos="482"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 of 1933, as amended. Includes the aggregate offering price of additional ordinary shares represented by American Depositary Shares, or ADSs, that the underwriters have the option to purchase.</w:t>
      </w:r>
    </w:p>
    <w:p>
      <w:pPr>
        <w:spacing w:after="0" w:line="134" w:lineRule="exact"/>
        <w:rPr>
          <w:rFonts w:ascii="Arial" w:cs="Arial" w:eastAsia="Arial" w:hAnsi="Arial"/>
          <w:sz w:val="13"/>
          <w:szCs w:val="13"/>
          <w:color w:val="auto"/>
        </w:rPr>
      </w:pPr>
    </w:p>
    <w:p>
      <w:pPr>
        <w:ind w:left="482" w:hanging="482"/>
        <w:spacing w:after="0"/>
        <w:tabs>
          <w:tab w:leader="none" w:pos="482"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 of 1933, as amended, based on an estimate of the proposed maximum aggregate offering price.</w:t>
      </w:r>
    </w:p>
    <w:p>
      <w:pPr>
        <w:spacing w:after="0" w:line="141" w:lineRule="exact"/>
        <w:rPr>
          <w:rFonts w:ascii="Arial" w:cs="Arial" w:eastAsia="Arial" w:hAnsi="Arial"/>
          <w:sz w:val="13"/>
          <w:szCs w:val="13"/>
          <w:color w:val="auto"/>
        </w:rPr>
      </w:pPr>
    </w:p>
    <w:p>
      <w:pPr>
        <w:ind w:left="482" w:hanging="482"/>
        <w:spacing w:after="0"/>
        <w:tabs>
          <w:tab w:leader="none" w:pos="482"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These ordinary shares are represented by ADSs, each of which represents one ordinary share of the registrant. ADSs issuable upon deposit of the ordinary shares registered hereby are</w:t>
      </w:r>
    </w:p>
    <w:p>
      <w:pPr>
        <w:ind w:left="482"/>
        <w:spacing w:after="0"/>
        <w:tabs>
          <w:tab w:leader="none" w:pos="6082" w:val="left"/>
        </w:tabs>
        <w:rPr>
          <w:sz w:val="20"/>
          <w:szCs w:val="20"/>
          <w:color w:val="auto"/>
        </w:rPr>
      </w:pPr>
      <w:r>
        <w:rPr>
          <w:rFonts w:ascii="Arial" w:cs="Arial" w:eastAsia="Arial" w:hAnsi="Arial"/>
          <w:sz w:val="13"/>
          <w:szCs w:val="13"/>
          <w:color w:val="auto"/>
        </w:rPr>
        <w:t>being registered pursuant to a separate registration statement on Form F-6 (File No. 333-</w:t>
      </w:r>
      <w:r>
        <w:rPr>
          <w:sz w:val="20"/>
          <w:szCs w:val="20"/>
          <w:color w:val="auto"/>
        </w:rPr>
        <w:tab/>
      </w:r>
      <w:r>
        <w:rPr>
          <w:rFonts w:ascii="Arial" w:cs="Arial" w:eastAsia="Arial" w:hAnsi="Arial"/>
          <w:sz w:val="13"/>
          <w:szCs w:val="13"/>
          <w:color w:val="auto"/>
        </w:rPr>
        <w:t>).</w:t>
      </w:r>
    </w:p>
    <w:p>
      <w:pPr>
        <w:spacing w:after="0" w:line="177" w:lineRule="exact"/>
        <w:rPr>
          <w:sz w:val="20"/>
          <w:szCs w:val="20"/>
          <w:color w:val="auto"/>
        </w:rPr>
      </w:pPr>
    </w:p>
    <w:p>
      <w:pPr>
        <w:ind w:left="2" w:firstLine="471"/>
        <w:spacing w:after="0" w:line="25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454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5490" cy="7620"/>
                    </a:xfrm>
                    <a:prstGeom prst="rect">
                      <a:avLst/>
                    </a:prstGeom>
                    <a:noFill/>
                  </pic:spPr>
                </pic:pic>
              </a:graphicData>
            </a:graphic>
          </wp:anchor>
        </w:drawing>
      </w:r>
    </w:p>
    <w:p>
      <w:pPr>
        <w:spacing w:after="0" w:line="367" w:lineRule="exact"/>
        <w:rPr>
          <w:sz w:val="20"/>
          <w:szCs w:val="20"/>
          <w:color w:val="auto"/>
        </w:rPr>
      </w:pPr>
    </w:p>
    <w:p>
      <w:pPr>
        <w:ind w:left="482" w:right="380" w:hanging="482"/>
        <w:spacing w:after="0" w:line="245" w:lineRule="auto"/>
        <w:tabs>
          <w:tab w:leader="none" w:pos="482"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intend to alter the legal status of our company under English law from a private limited company by re-registering as a public limited company and changing our name from Bicycle Therapeutics Limited to Bicycle Therapeutics plc prior to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2593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346710</wp:posOffset>
            </wp:positionV>
            <wp:extent cx="7259320" cy="31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311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499745</wp:posOffset>
            </wp:positionV>
            <wp:extent cx="726440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2"/>
          </w:cols>
          <w:pgMar w:left="238" w:top="125" w:right="2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b w:val="1"/>
          <w:bCs w:val="1"/>
          <w:color w:val="EF505F"/>
        </w:rPr>
        <w:t>The information in this preliminary prospectus is not complete and may be changed. We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EF505F"/>
        </w:rPr>
        <w:t>Subject to Completion. Dated April 26, 2019</w:t>
      </w:r>
    </w:p>
    <w:p>
      <w:pPr>
        <w:spacing w:after="0" w:line="20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American Depositary Shares</w:t>
      </w:r>
    </w:p>
    <w:p>
      <w:pPr>
        <w:spacing w:after="0" w:line="199" w:lineRule="exact"/>
        <w:rPr>
          <w:sz w:val="20"/>
          <w:szCs w:val="20"/>
          <w:color w:val="auto"/>
        </w:rPr>
      </w:pPr>
    </w:p>
    <w:p>
      <w:pPr>
        <w:ind w:left="3700"/>
        <w:spacing w:after="0"/>
        <w:tabs>
          <w:tab w:leader="none" w:pos="6100" w:val="left"/>
        </w:tabs>
        <w:rPr>
          <w:sz w:val="20"/>
          <w:szCs w:val="20"/>
          <w:color w:val="auto"/>
        </w:rPr>
      </w:pPr>
      <w:r>
        <w:rPr>
          <w:rFonts w:ascii="Arial" w:cs="Arial" w:eastAsia="Arial" w:hAnsi="Arial"/>
          <w:sz w:val="22"/>
          <w:szCs w:val="22"/>
          <w:color w:val="auto"/>
        </w:rPr>
        <w:t>Representing</w:t>
      </w:r>
      <w:r>
        <w:rPr>
          <w:sz w:val="20"/>
          <w:szCs w:val="20"/>
          <w:color w:val="auto"/>
        </w:rPr>
        <w:tab/>
      </w:r>
      <w:r>
        <w:rPr>
          <w:rFonts w:ascii="Arial" w:cs="Arial" w:eastAsia="Arial" w:hAnsi="Arial"/>
          <w:sz w:val="22"/>
          <w:szCs w:val="2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128905</wp:posOffset>
            </wp:positionV>
            <wp:extent cx="1661795" cy="721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1795" cy="72199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00" w:firstLine="439"/>
        <w:spacing w:after="0" w:line="249" w:lineRule="auto"/>
        <w:rPr>
          <w:sz w:val="20"/>
          <w:szCs w:val="20"/>
          <w:color w:val="auto"/>
        </w:rPr>
      </w:pPr>
      <w:r>
        <w:rPr>
          <w:rFonts w:ascii="Arial" w:cs="Arial" w:eastAsia="Arial" w:hAnsi="Arial"/>
          <w:sz w:val="16"/>
          <w:szCs w:val="16"/>
          <w:color w:val="auto"/>
        </w:rPr>
        <w:t>This is an initial public offering of the American Depositary Shares, or the ADSs, of Bicycle Therapeutics plc. We are offering represents one ordinary share, nominal value £0.01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ADSs. Each ADS</w:t>
      </w:r>
    </w:p>
    <w:p>
      <w:pPr>
        <w:spacing w:after="0" w:line="377" w:lineRule="exact"/>
        <w:rPr>
          <w:sz w:val="20"/>
          <w:szCs w:val="20"/>
          <w:color w:val="auto"/>
        </w:rPr>
      </w:pPr>
    </w:p>
    <w:p>
      <w:pPr>
        <w:sectPr>
          <w:pgSz w:w="11900" w:h="16838" w:orient="portrait"/>
          <w:cols w:equalWidth="0" w:num="2">
            <w:col w:w="9260" w:space="720"/>
            <w:col w:w="1460"/>
          </w:cols>
          <w:pgMar w:left="240" w:top="142" w:right="21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Prior to this offering, there has been no public market for the ADSs or our ordinary shares. It is currently estimated that the initial public offering price per</w:t>
      </w:r>
    </w:p>
    <w:p>
      <w:pPr>
        <w:spacing w:after="0"/>
        <w:tabs>
          <w:tab w:leader="none" w:pos="2140" w:val="left"/>
          <w:tab w:leader="none" w:pos="3120" w:val="left"/>
        </w:tabs>
        <w:rPr>
          <w:sz w:val="20"/>
          <w:szCs w:val="20"/>
          <w:color w:val="auto"/>
        </w:rPr>
      </w:pPr>
      <w:r>
        <w:rPr>
          <w:rFonts w:ascii="Arial" w:cs="Arial" w:eastAsia="Arial" w:hAnsi="Arial"/>
          <w:sz w:val="16"/>
          <w:szCs w:val="16"/>
          <w:color w:val="auto"/>
        </w:rPr>
        <w:t>ADS will be 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5"/>
          <w:szCs w:val="15"/>
          <w:color w:val="auto"/>
        </w:rPr>
        <w:t>. We have applied to list the ADSs on the Nasdaq Global Market under the symbol "BCYC."</w:t>
      </w:r>
    </w:p>
    <w:p>
      <w:pPr>
        <w:spacing w:after="0" w:line="195" w:lineRule="exact"/>
        <w:rPr>
          <w:sz w:val="20"/>
          <w:szCs w:val="20"/>
          <w:color w:val="auto"/>
        </w:rPr>
      </w:pPr>
    </w:p>
    <w:p>
      <w:pPr>
        <w:ind w:right="140" w:firstLine="442"/>
        <w:spacing w:after="0" w:line="249" w:lineRule="auto"/>
        <w:rPr>
          <w:sz w:val="20"/>
          <w:szCs w:val="20"/>
          <w:color w:val="auto"/>
        </w:rPr>
      </w:pPr>
      <w:r>
        <w:rPr>
          <w:rFonts w:ascii="Arial" w:cs="Arial" w:eastAsia="Arial" w:hAnsi="Arial"/>
          <w:sz w:val="16"/>
          <w:szCs w:val="16"/>
          <w:color w:val="auto"/>
        </w:rPr>
        <w:t>We are an "emerging growth company" as that term is used in the U.S. Jumpstart Our Business Startups Act of 2012 and, as such, have elected to comply with certain reduced public company reporting requirements for this prospectus and future filings.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See "Risk Factors" on page 15 to read about factors you should consider before buying the ADSs.</w:t>
      </w:r>
    </w:p>
    <w:p>
      <w:pPr>
        <w:spacing w:after="0" w:line="191" w:lineRule="exact"/>
        <w:rPr>
          <w:sz w:val="20"/>
          <w:szCs w:val="20"/>
          <w:color w:val="auto"/>
        </w:rPr>
      </w:pPr>
    </w:p>
    <w:p>
      <w:pPr>
        <w:ind w:right="440" w:firstLine="442"/>
        <w:spacing w:after="0" w:line="275"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56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Initial public offering price</w:t>
            </w:r>
          </w:p>
        </w:tc>
        <w:tc>
          <w:tcPr>
            <w:tcW w:w="17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Per ADS</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70"/>
        </w:trPr>
        <w:tc>
          <w:tcPr>
            <w:tcW w:w="5660" w:type="dxa"/>
            <w:vAlign w:val="bottom"/>
            <w:gridSpan w:val="2"/>
            <w:vMerge w:val="continue"/>
          </w:tcPr>
          <w:p>
            <w:pPr>
              <w:spacing w:after="0"/>
              <w:rPr>
                <w:sz w:val="14"/>
                <w:szCs w:val="14"/>
                <w:color w:val="auto"/>
              </w:rPr>
            </w:pPr>
          </w:p>
        </w:tc>
        <w:tc>
          <w:tcPr>
            <w:tcW w:w="2460" w:type="dxa"/>
            <w:vAlign w:val="bottom"/>
            <w:gridSpan w:val="2"/>
          </w:tcPr>
          <w:p>
            <w:pPr>
              <w:jc w:val="right"/>
              <w:ind w:right="561"/>
              <w:spacing w:after="0" w:line="170"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561"/>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660" w:type="dxa"/>
            <w:vAlign w:val="bottom"/>
            <w:gridSpan w:val="2"/>
          </w:tcPr>
          <w:p>
            <w:pPr>
              <w:spacing w:after="0" w:line="216" w:lineRule="exact"/>
              <w:rPr>
                <w:sz w:val="20"/>
                <w:szCs w:val="20"/>
                <w:color w:val="auto"/>
              </w:rPr>
            </w:pPr>
            <w:r>
              <w:rPr>
                <w:rFonts w:ascii="Arial" w:cs="Arial" w:eastAsia="Arial" w:hAnsi="Arial"/>
                <w:sz w:val="15"/>
                <w:szCs w:val="15"/>
                <w:b w:val="1"/>
                <w:bCs w:val="1"/>
                <w:color w:val="auto"/>
              </w:rPr>
              <w:t>Underwriting discounts</w:t>
            </w:r>
            <w:r>
              <w:rPr>
                <w:rFonts w:ascii="Arial" w:cs="Arial" w:eastAsia="Arial" w:hAnsi="Arial"/>
                <w:sz w:val="25"/>
                <w:szCs w:val="25"/>
                <w:b w:val="1"/>
                <w:bCs w:val="1"/>
                <w:color w:val="auto"/>
                <w:vertAlign w:val="superscript"/>
              </w:rPr>
              <w:t>(1)</w:t>
            </w:r>
          </w:p>
        </w:tc>
        <w:tc>
          <w:tcPr>
            <w:tcW w:w="2460" w:type="dxa"/>
            <w:vAlign w:val="bottom"/>
            <w:gridSpan w:val="2"/>
          </w:tcPr>
          <w:p>
            <w:pPr>
              <w:jc w:val="right"/>
              <w:ind w:right="561"/>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5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Proceeds, before expenses, to Bicycle Therapeutics</w:t>
            </w:r>
          </w:p>
        </w:tc>
        <w:tc>
          <w:tcPr>
            <w:tcW w:w="2460" w:type="dxa"/>
            <w:vAlign w:val="bottom"/>
            <w:gridSpan w:val="2"/>
          </w:tcPr>
          <w:p>
            <w:pPr>
              <w:jc w:val="right"/>
              <w:ind w:right="561"/>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5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6"/>
        </w:trPr>
        <w:tc>
          <w:tcPr>
            <w:tcW w:w="940" w:type="dxa"/>
            <w:vAlign w:val="bottom"/>
            <w:tcBorders>
              <w:bottom w:val="single" w:sz="8" w:color="auto"/>
            </w:tcBorders>
          </w:tcPr>
          <w:p>
            <w:pPr>
              <w:spacing w:after="0"/>
              <w:rPr>
                <w:sz w:val="7"/>
                <w:szCs w:val="7"/>
                <w:color w:val="auto"/>
              </w:rPr>
            </w:pPr>
          </w:p>
        </w:tc>
        <w:tc>
          <w:tcPr>
            <w:tcW w:w="47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640" w:hanging="499"/>
        <w:spacing w:after="0"/>
        <w:tabs>
          <w:tab w:leader="none" w:pos="1640"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See the section titled "Underwriting" for compensation payable to the underwriters.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ind w:left="440"/>
              <w:spacing w:after="0"/>
              <w:rPr>
                <w:sz w:val="20"/>
                <w:szCs w:val="20"/>
                <w:color w:val="auto"/>
              </w:rPr>
            </w:pPr>
            <w:r>
              <w:rPr>
                <w:rFonts w:ascii="Arial" w:cs="Arial" w:eastAsia="Arial" w:hAnsi="Arial"/>
                <w:sz w:val="16"/>
                <w:szCs w:val="16"/>
                <w:color w:val="auto"/>
              </w:rPr>
              <w:t>To the extent the underwriters sell more than</w:t>
            </w:r>
          </w:p>
        </w:tc>
        <w:tc>
          <w:tcPr>
            <w:tcW w:w="5320" w:type="dxa"/>
            <w:vAlign w:val="bottom"/>
            <w:gridSpan w:val="3"/>
          </w:tcPr>
          <w:p>
            <w:pPr>
              <w:jc w:val="right"/>
              <w:ind w:right="185"/>
              <w:spacing w:after="0"/>
              <w:rPr>
                <w:sz w:val="20"/>
                <w:szCs w:val="20"/>
                <w:color w:val="auto"/>
              </w:rPr>
            </w:pPr>
            <w:r>
              <w:rPr>
                <w:rFonts w:ascii="Arial" w:cs="Arial" w:eastAsia="Arial" w:hAnsi="Arial"/>
                <w:sz w:val="16"/>
                <w:szCs w:val="16"/>
                <w:color w:val="auto"/>
              </w:rPr>
              <w:t>ADSs, the underwriters have the option to purchase up to an additional</w:t>
            </w:r>
          </w:p>
        </w:tc>
        <w:tc>
          <w:tcPr>
            <w:tcW w:w="2040" w:type="dxa"/>
            <w:vAlign w:val="bottom"/>
          </w:tcPr>
          <w:p>
            <w:pPr>
              <w:ind w:left="280"/>
              <w:spacing w:after="0"/>
              <w:rPr>
                <w:sz w:val="20"/>
                <w:szCs w:val="20"/>
                <w:color w:val="auto"/>
              </w:rPr>
            </w:pPr>
            <w:r>
              <w:rPr>
                <w:rFonts w:ascii="Arial" w:cs="Arial" w:eastAsia="Arial" w:hAnsi="Arial"/>
                <w:sz w:val="16"/>
                <w:szCs w:val="16"/>
                <w:color w:val="auto"/>
              </w:rPr>
              <w:t>ADSs from us at the</w:t>
            </w:r>
          </w:p>
        </w:tc>
      </w:tr>
      <w:tr>
        <w:trPr>
          <w:trHeight w:val="192"/>
        </w:trPr>
        <w:tc>
          <w:tcPr>
            <w:tcW w:w="4080" w:type="dxa"/>
            <w:vAlign w:val="bottom"/>
          </w:tcPr>
          <w:p>
            <w:pPr>
              <w:spacing w:after="0"/>
              <w:rPr>
                <w:sz w:val="20"/>
                <w:szCs w:val="20"/>
                <w:color w:val="auto"/>
              </w:rPr>
            </w:pPr>
            <w:r>
              <w:rPr>
                <w:rFonts w:ascii="Arial" w:cs="Arial" w:eastAsia="Arial" w:hAnsi="Arial"/>
                <w:sz w:val="16"/>
                <w:szCs w:val="16"/>
                <w:color w:val="auto"/>
                <w:w w:val="99"/>
              </w:rPr>
              <w:t>initial public offering price less the underwriting discounts.</w:t>
            </w:r>
          </w:p>
        </w:tc>
        <w:tc>
          <w:tcPr>
            <w:tcW w:w="2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379"/>
        </w:trPr>
        <w:tc>
          <w:tcPr>
            <w:tcW w:w="6740" w:type="dxa"/>
            <w:vAlign w:val="bottom"/>
            <w:gridSpan w:val="2"/>
          </w:tcPr>
          <w:p>
            <w:pPr>
              <w:ind w:left="440"/>
              <w:spacing w:after="0"/>
              <w:rPr>
                <w:sz w:val="20"/>
                <w:szCs w:val="20"/>
                <w:color w:val="auto"/>
              </w:rPr>
            </w:pPr>
            <w:r>
              <w:rPr>
                <w:rFonts w:ascii="Arial" w:cs="Arial" w:eastAsia="Arial" w:hAnsi="Arial"/>
                <w:sz w:val="16"/>
                <w:szCs w:val="16"/>
                <w:color w:val="auto"/>
              </w:rPr>
              <w:t>The underwriters expect to deliver the ADSs against payment in New York, New York on</w:t>
            </w:r>
          </w:p>
        </w:tc>
        <w:tc>
          <w:tcPr>
            <w:tcW w:w="780" w:type="dxa"/>
            <w:vAlign w:val="bottom"/>
          </w:tcPr>
          <w:p>
            <w:pPr>
              <w:spacing w:after="0"/>
              <w:rPr>
                <w:sz w:val="24"/>
                <w:szCs w:val="24"/>
                <w:color w:val="auto"/>
              </w:rPr>
            </w:pPr>
          </w:p>
        </w:tc>
        <w:tc>
          <w:tcPr>
            <w:tcW w:w="1880" w:type="dxa"/>
            <w:vAlign w:val="bottom"/>
          </w:tcPr>
          <w:p>
            <w:pPr>
              <w:jc w:val="right"/>
              <w:ind w:right="1045"/>
              <w:spacing w:after="0"/>
              <w:rPr>
                <w:sz w:val="20"/>
                <w:szCs w:val="20"/>
                <w:color w:val="auto"/>
              </w:rPr>
            </w:pPr>
            <w:r>
              <w:rPr>
                <w:rFonts w:ascii="Arial" w:cs="Arial" w:eastAsia="Arial" w:hAnsi="Arial"/>
                <w:sz w:val="16"/>
                <w:szCs w:val="16"/>
                <w:color w:val="auto"/>
              </w:rPr>
              <w:t>, 2019.</w:t>
            </w:r>
          </w:p>
        </w:tc>
        <w:tc>
          <w:tcPr>
            <w:tcW w:w="2040" w:type="dxa"/>
            <w:vAlign w:val="bottom"/>
          </w:tcPr>
          <w:p>
            <w:pPr>
              <w:spacing w:after="0"/>
              <w:rPr>
                <w:sz w:val="24"/>
                <w:szCs w:val="24"/>
                <w:color w:val="auto"/>
              </w:rPr>
            </w:pPr>
          </w:p>
        </w:tc>
      </w:tr>
      <w:tr>
        <w:trPr>
          <w:trHeight w:val="446"/>
        </w:trPr>
        <w:tc>
          <w:tcPr>
            <w:tcW w:w="4080" w:type="dxa"/>
            <w:vAlign w:val="bottom"/>
          </w:tcPr>
          <w:p>
            <w:pPr>
              <w:ind w:left="1140"/>
              <w:spacing w:after="0"/>
              <w:rPr>
                <w:sz w:val="20"/>
                <w:szCs w:val="20"/>
                <w:color w:val="auto"/>
              </w:rPr>
            </w:pPr>
            <w:r>
              <w:rPr>
                <w:rFonts w:ascii="Arial" w:cs="Arial" w:eastAsia="Arial" w:hAnsi="Arial"/>
                <w:sz w:val="22"/>
                <w:szCs w:val="22"/>
                <w:b w:val="1"/>
                <w:bCs w:val="1"/>
                <w:color w:val="auto"/>
              </w:rPr>
              <w:t>Goldman Sachs &amp; Co. LLC</w:t>
            </w:r>
          </w:p>
        </w:tc>
        <w:tc>
          <w:tcPr>
            <w:tcW w:w="3440" w:type="dxa"/>
            <w:vAlign w:val="bottom"/>
            <w:gridSpan w:val="2"/>
          </w:tcPr>
          <w:p>
            <w:pPr>
              <w:jc w:val="right"/>
              <w:ind w:right="181"/>
              <w:spacing w:after="0"/>
              <w:rPr>
                <w:sz w:val="20"/>
                <w:szCs w:val="20"/>
                <w:color w:val="auto"/>
              </w:rPr>
            </w:pPr>
            <w:r>
              <w:rPr>
                <w:rFonts w:ascii="Arial" w:cs="Arial" w:eastAsia="Arial" w:hAnsi="Arial"/>
                <w:sz w:val="22"/>
                <w:szCs w:val="22"/>
                <w:b w:val="1"/>
                <w:bCs w:val="1"/>
                <w:color w:val="auto"/>
              </w:rPr>
              <w:t>Jefferies</w:t>
            </w:r>
          </w:p>
        </w:tc>
        <w:tc>
          <w:tcPr>
            <w:tcW w:w="3920" w:type="dxa"/>
            <w:vAlign w:val="bottom"/>
            <w:gridSpan w:val="2"/>
          </w:tcPr>
          <w:p>
            <w:pPr>
              <w:ind w:left="1440"/>
              <w:spacing w:after="0"/>
              <w:rPr>
                <w:sz w:val="20"/>
                <w:szCs w:val="20"/>
                <w:color w:val="auto"/>
              </w:rPr>
            </w:pPr>
            <w:r>
              <w:rPr>
                <w:rFonts w:ascii="Arial" w:cs="Arial" w:eastAsia="Arial" w:hAnsi="Arial"/>
                <w:sz w:val="22"/>
                <w:szCs w:val="22"/>
                <w:b w:val="1"/>
                <w:bCs w:val="1"/>
                <w:color w:val="auto"/>
              </w:rPr>
              <w:t>Piper Jaffray</w:t>
            </w:r>
          </w:p>
        </w:tc>
      </w:tr>
      <w:tr>
        <w:trPr>
          <w:trHeight w:val="452"/>
        </w:trPr>
        <w:tc>
          <w:tcPr>
            <w:tcW w:w="4080" w:type="dxa"/>
            <w:vAlign w:val="bottom"/>
          </w:tcPr>
          <w:p>
            <w:pPr>
              <w:spacing w:after="0"/>
              <w:rPr>
                <w:sz w:val="24"/>
                <w:szCs w:val="24"/>
                <w:color w:val="auto"/>
              </w:rPr>
            </w:pPr>
          </w:p>
        </w:tc>
        <w:tc>
          <w:tcPr>
            <w:tcW w:w="2660" w:type="dxa"/>
            <w:vAlign w:val="bottom"/>
          </w:tcPr>
          <w:p>
            <w:pPr>
              <w:ind w:left="620"/>
              <w:spacing w:after="0"/>
              <w:rPr>
                <w:sz w:val="20"/>
                <w:szCs w:val="20"/>
                <w:color w:val="auto"/>
              </w:rPr>
            </w:pPr>
            <w:r>
              <w:rPr>
                <w:rFonts w:ascii="Arial" w:cs="Arial" w:eastAsia="Arial" w:hAnsi="Arial"/>
                <w:sz w:val="22"/>
                <w:szCs w:val="22"/>
                <w:b w:val="1"/>
                <w:bCs w:val="1"/>
                <w:color w:val="auto"/>
              </w:rPr>
              <w:t>Canaccord Genuity</w:t>
            </w: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642"/>
        </w:trPr>
        <w:tc>
          <w:tcPr>
            <w:tcW w:w="4080" w:type="dxa"/>
            <w:vAlign w:val="bottom"/>
          </w:tcPr>
          <w:p>
            <w:pPr>
              <w:spacing w:after="0"/>
              <w:rPr>
                <w:sz w:val="24"/>
                <w:szCs w:val="24"/>
                <w:color w:val="auto"/>
              </w:rPr>
            </w:pPr>
          </w:p>
        </w:tc>
        <w:tc>
          <w:tcPr>
            <w:tcW w:w="2660" w:type="dxa"/>
            <w:vAlign w:val="bottom"/>
          </w:tcPr>
          <w:p>
            <w:pPr>
              <w:ind w:left="160"/>
              <w:spacing w:after="0"/>
              <w:rPr>
                <w:sz w:val="20"/>
                <w:szCs w:val="20"/>
                <w:color w:val="auto"/>
              </w:rPr>
            </w:pPr>
            <w:r>
              <w:rPr>
                <w:rFonts w:ascii="Arial" w:cs="Arial" w:eastAsia="Arial" w:hAnsi="Arial"/>
                <w:sz w:val="16"/>
                <w:szCs w:val="16"/>
                <w:b w:val="1"/>
                <w:bCs w:val="1"/>
                <w:color w:val="auto"/>
              </w:rPr>
              <w:t>Prospectus dated</w:t>
            </w:r>
          </w:p>
        </w:tc>
        <w:tc>
          <w:tcPr>
            <w:tcW w:w="780" w:type="dxa"/>
            <w:vAlign w:val="bottom"/>
          </w:tcPr>
          <w:p>
            <w:pPr>
              <w:jc w:val="right"/>
              <w:ind w:right="241"/>
              <w:spacing w:after="0"/>
              <w:rPr>
                <w:sz w:val="20"/>
                <w:szCs w:val="20"/>
                <w:color w:val="auto"/>
              </w:rPr>
            </w:pPr>
            <w:r>
              <w:rPr>
                <w:rFonts w:ascii="Arial" w:cs="Arial" w:eastAsia="Arial" w:hAnsi="Arial"/>
                <w:sz w:val="16"/>
                <w:szCs w:val="16"/>
                <w:b w:val="1"/>
                <w:bCs w:val="1"/>
                <w:color w:val="auto"/>
                <w:w w:val="98"/>
              </w:rPr>
              <w:t>, 2019</w:t>
            </w:r>
          </w:p>
        </w:tc>
        <w:tc>
          <w:tcPr>
            <w:tcW w:w="18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3"/>
        </w:trPr>
        <w:tc>
          <w:tcPr>
            <w:tcW w:w="4080" w:type="dxa"/>
            <w:vAlign w:val="bottom"/>
            <w:tcBorders>
              <w:bottom w:val="single" w:sz="8" w:color="808080"/>
            </w:tcBorders>
          </w:tcPr>
          <w:p>
            <w:pPr>
              <w:spacing w:after="0"/>
              <w:rPr>
                <w:sz w:val="16"/>
                <w:szCs w:val="16"/>
                <w:color w:val="auto"/>
              </w:rPr>
            </w:pPr>
          </w:p>
        </w:tc>
        <w:tc>
          <w:tcPr>
            <w:tcW w:w="266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1880" w:type="dxa"/>
            <w:vAlign w:val="bottom"/>
            <w:tcBorders>
              <w:bottom w:val="single" w:sz="8" w:color="808080"/>
            </w:tcBorders>
          </w:tcPr>
          <w:p>
            <w:pPr>
              <w:spacing w:after="0"/>
              <w:rPr>
                <w:sz w:val="16"/>
                <w:szCs w:val="16"/>
                <w:color w:val="auto"/>
              </w:rPr>
            </w:pPr>
          </w:p>
        </w:tc>
        <w:tc>
          <w:tcPr>
            <w:tcW w:w="20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9660" w:type="dxa"/>
            <w:vAlign w:val="bottom"/>
            <w:gridSpan w:val="2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95"/>
        </w:trPr>
        <w:tc>
          <w:tcPr>
            <w:tcW w:w="1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80" w:type="dxa"/>
            <w:vAlign w:val="bottom"/>
            <w:gridSpan w:val="7"/>
          </w:tcPr>
          <w:p>
            <w:pPr>
              <w:ind w:left="160"/>
              <w:spacing w:after="0"/>
              <w:rPr>
                <w:sz w:val="20"/>
                <w:szCs w:val="20"/>
                <w:color w:val="auto"/>
              </w:rPr>
            </w:pPr>
            <w:r>
              <w:rPr>
                <w:rFonts w:ascii="Arial" w:cs="Arial" w:eastAsia="Arial" w:hAnsi="Arial"/>
                <w:sz w:val="16"/>
                <w:szCs w:val="16"/>
                <w:b w:val="1"/>
                <w:bCs w:val="1"/>
                <w:color w:val="auto"/>
              </w:rPr>
              <w:t>TABLE OF CONTENTS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Page</w:t>
            </w:r>
          </w:p>
        </w:tc>
      </w:tr>
      <w:tr>
        <w:trPr>
          <w:trHeight w:val="159"/>
        </w:trPr>
        <w:tc>
          <w:tcPr>
            <w:tcW w:w="1140" w:type="dxa"/>
            <w:vAlign w:val="bottom"/>
          </w:tcPr>
          <w:p>
            <w:pPr>
              <w:spacing w:after="0"/>
              <w:rPr>
                <w:sz w:val="13"/>
                <w:szCs w:val="13"/>
                <w:color w:val="auto"/>
              </w:rPr>
            </w:pPr>
          </w:p>
        </w:tc>
        <w:tc>
          <w:tcPr>
            <w:tcW w:w="8520" w:type="dxa"/>
            <w:vAlign w:val="bottom"/>
            <w:gridSpan w:val="27"/>
          </w:tcPr>
          <w:p>
            <w:pPr>
              <w:spacing w:after="0" w:line="159" w:lineRule="exact"/>
              <w:rPr>
                <w:rFonts w:ascii="Arial" w:cs="Arial" w:eastAsia="Arial" w:hAnsi="Arial"/>
                <w:sz w:val="16"/>
                <w:szCs w:val="16"/>
                <w:color w:val="0000EE"/>
              </w:rPr>
            </w:pPr>
            <w:hyperlink w:anchor="page7">
              <w:r>
                <w:rPr>
                  <w:rFonts w:ascii="Arial" w:cs="Arial" w:eastAsia="Arial" w:hAnsi="Arial"/>
                  <w:sz w:val="16"/>
                  <w:szCs w:val="16"/>
                  <w:color w:val="0000EE"/>
                </w:rPr>
                <w:t>Prospectus Summary</w:t>
              </w:r>
            </w:hyperlink>
          </w:p>
        </w:tc>
        <w:tc>
          <w:tcPr>
            <w:tcW w:w="480" w:type="dxa"/>
            <w:vAlign w:val="bottom"/>
            <w:gridSpan w:val="4"/>
          </w:tcPr>
          <w:p>
            <w:pPr>
              <w:jc w:val="right"/>
              <w:spacing w:after="0" w:line="159" w:lineRule="exact"/>
              <w:rPr>
                <w:rFonts w:ascii="Arial" w:cs="Arial" w:eastAsia="Arial" w:hAnsi="Arial"/>
                <w:sz w:val="16"/>
                <w:szCs w:val="16"/>
                <w:color w:val="0000EE"/>
              </w:rPr>
            </w:pPr>
            <w:hyperlink w:anchor="page7">
              <w:r>
                <w:rPr>
                  <w:rFonts w:ascii="Arial" w:cs="Arial" w:eastAsia="Arial" w:hAnsi="Arial"/>
                  <w:sz w:val="16"/>
                  <w:szCs w:val="16"/>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520" w:type="dxa"/>
            <w:vAlign w:val="bottom"/>
            <w:gridSpan w:val="9"/>
          </w:tcPr>
          <w:p>
            <w:pPr>
              <w:spacing w:after="0" w:line="164" w:lineRule="exact"/>
              <w:rPr>
                <w:rFonts w:ascii="Arial" w:cs="Arial" w:eastAsia="Arial" w:hAnsi="Arial"/>
                <w:sz w:val="16"/>
                <w:szCs w:val="16"/>
                <w:color w:val="0000EE"/>
              </w:rPr>
            </w:pPr>
            <w:hyperlink w:anchor="page21">
              <w:r>
                <w:rPr>
                  <w:rFonts w:ascii="Arial" w:cs="Arial" w:eastAsia="Arial" w:hAnsi="Arial"/>
                  <w:sz w:val="16"/>
                  <w:szCs w:val="16"/>
                  <w:color w:val="0000EE"/>
                </w:rPr>
                <w:t>Risk Factors</w:t>
              </w:r>
            </w:hyperlink>
          </w:p>
        </w:tc>
        <w:tc>
          <w:tcPr>
            <w:tcW w:w="7000" w:type="dxa"/>
            <w:vAlign w:val="bottom"/>
            <w:gridSpan w:val="18"/>
          </w:tcPr>
          <w:p>
            <w:pPr>
              <w:spacing w:after="0"/>
              <w:rPr>
                <w:sz w:val="14"/>
                <w:szCs w:val="14"/>
                <w:color w:val="auto"/>
              </w:rPr>
            </w:pPr>
          </w:p>
        </w:tc>
        <w:tc>
          <w:tcPr>
            <w:tcW w:w="480" w:type="dxa"/>
            <w:vAlign w:val="bottom"/>
            <w:gridSpan w:val="4"/>
          </w:tcPr>
          <w:p>
            <w:pPr>
              <w:jc w:val="right"/>
              <w:spacing w:after="0" w:line="164" w:lineRule="exact"/>
              <w:rPr>
                <w:rFonts w:ascii="Arial" w:cs="Arial" w:eastAsia="Arial" w:hAnsi="Arial"/>
                <w:sz w:val="16"/>
                <w:szCs w:val="16"/>
                <w:color w:val="0000EE"/>
              </w:rPr>
            </w:pPr>
            <w:hyperlink w:anchor="page21">
              <w:r>
                <w:rPr>
                  <w:rFonts w:ascii="Arial" w:cs="Arial" w:eastAsia="Arial" w:hAnsi="Arial"/>
                  <w:sz w:val="16"/>
                  <w:szCs w:val="16"/>
                  <w:color w:val="0000EE"/>
                </w:rPr>
                <w:t>15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520" w:type="dxa"/>
            <w:vAlign w:val="bottom"/>
            <w:gridSpan w:val="27"/>
          </w:tcPr>
          <w:p>
            <w:pPr>
              <w:spacing w:after="0" w:line="164" w:lineRule="exact"/>
              <w:rPr>
                <w:rFonts w:ascii="Arial" w:cs="Arial" w:eastAsia="Arial" w:hAnsi="Arial"/>
                <w:sz w:val="16"/>
                <w:szCs w:val="16"/>
                <w:color w:val="0000EE"/>
              </w:rPr>
            </w:pPr>
            <w:hyperlink w:anchor="page87">
              <w:r>
                <w:rPr>
                  <w:rFonts w:ascii="Arial" w:cs="Arial" w:eastAsia="Arial" w:hAnsi="Arial"/>
                  <w:sz w:val="16"/>
                  <w:szCs w:val="16"/>
                  <w:color w:val="0000EE"/>
                </w:rPr>
                <w:t>Special Note Regarding Forward-Looking Statements</w:t>
              </w:r>
            </w:hyperlink>
          </w:p>
        </w:tc>
        <w:tc>
          <w:tcPr>
            <w:tcW w:w="480" w:type="dxa"/>
            <w:vAlign w:val="bottom"/>
            <w:gridSpan w:val="4"/>
          </w:tcPr>
          <w:p>
            <w:pPr>
              <w:jc w:val="right"/>
              <w:spacing w:after="0" w:line="164" w:lineRule="exact"/>
              <w:rPr>
                <w:rFonts w:ascii="Arial" w:cs="Arial" w:eastAsia="Arial" w:hAnsi="Arial"/>
                <w:sz w:val="16"/>
                <w:szCs w:val="16"/>
                <w:color w:val="0000EE"/>
              </w:rPr>
            </w:pPr>
            <w:hyperlink w:anchor="page87">
              <w:r>
                <w:rPr>
                  <w:rFonts w:ascii="Arial" w:cs="Arial" w:eastAsia="Arial" w:hAnsi="Arial"/>
                  <w:sz w:val="16"/>
                  <w:szCs w:val="16"/>
                  <w:color w:val="0000EE"/>
                </w:rPr>
                <w:t>81</w:t>
              </w:r>
            </w:hyperlink>
          </w:p>
        </w:tc>
      </w:tr>
      <w:tr>
        <w:trPr>
          <w:trHeight w:val="163"/>
        </w:trPr>
        <w:tc>
          <w:tcPr>
            <w:tcW w:w="1140" w:type="dxa"/>
            <w:vAlign w:val="bottom"/>
          </w:tcPr>
          <w:p>
            <w:pPr>
              <w:spacing w:after="0"/>
              <w:rPr>
                <w:sz w:val="14"/>
                <w:szCs w:val="14"/>
                <w:color w:val="auto"/>
              </w:rPr>
            </w:pPr>
          </w:p>
        </w:tc>
        <w:tc>
          <w:tcPr>
            <w:tcW w:w="2280" w:type="dxa"/>
            <w:vAlign w:val="bottom"/>
            <w:tcBorders>
              <w:top w:val="single" w:sz="8" w:color="0000EE"/>
              <w:bottom w:val="single" w:sz="8" w:color="0000EE"/>
            </w:tcBorders>
            <w:gridSpan w:val="12"/>
          </w:tcPr>
          <w:p>
            <w:pPr>
              <w:spacing w:after="0" w:line="164" w:lineRule="exact"/>
              <w:rPr>
                <w:rFonts w:ascii="Arial" w:cs="Arial" w:eastAsia="Arial" w:hAnsi="Arial"/>
                <w:sz w:val="16"/>
                <w:szCs w:val="16"/>
                <w:color w:val="0000EE"/>
                <w:w w:val="98"/>
              </w:rPr>
            </w:pPr>
            <w:hyperlink w:anchor="page89">
              <w:r>
                <w:rPr>
                  <w:rFonts w:ascii="Arial" w:cs="Arial" w:eastAsia="Arial" w:hAnsi="Arial"/>
                  <w:sz w:val="16"/>
                  <w:szCs w:val="16"/>
                  <w:color w:val="0000EE"/>
                  <w:w w:val="98"/>
                </w:rPr>
                <w:t>Market, Industry and Other Data</w:t>
              </w:r>
            </w:hyperlink>
          </w:p>
        </w:tc>
        <w:tc>
          <w:tcPr>
            <w:tcW w:w="1480" w:type="dxa"/>
            <w:vAlign w:val="bottom"/>
            <w:tcBorders>
              <w:top w:val="single" w:sz="8" w:color="0000EE"/>
            </w:tcBorders>
            <w:gridSpan w:val="9"/>
          </w:tcPr>
          <w:p>
            <w:pPr>
              <w:spacing w:after="0"/>
              <w:rPr>
                <w:sz w:val="14"/>
                <w:szCs w:val="14"/>
                <w:color w:val="auto"/>
              </w:rPr>
            </w:pPr>
          </w:p>
        </w:tc>
        <w:tc>
          <w:tcPr>
            <w:tcW w:w="4760" w:type="dxa"/>
            <w:vAlign w:val="bottom"/>
            <w:gridSpan w:val="6"/>
          </w:tcPr>
          <w:p>
            <w:pPr>
              <w:spacing w:after="0"/>
              <w:rPr>
                <w:sz w:val="14"/>
                <w:szCs w:val="14"/>
                <w:color w:val="auto"/>
              </w:rPr>
            </w:pPr>
          </w:p>
        </w:tc>
        <w:tc>
          <w:tcPr>
            <w:tcW w:w="300" w:type="dxa"/>
            <w:vAlign w:val="bottom"/>
            <w:gridSpan w:val="2"/>
          </w:tcPr>
          <w:p>
            <w:pPr>
              <w:spacing w:after="0"/>
              <w:rPr>
                <w:sz w:val="14"/>
                <w:szCs w:val="14"/>
                <w:color w:val="auto"/>
              </w:rPr>
            </w:pPr>
          </w:p>
        </w:tc>
        <w:tc>
          <w:tcPr>
            <w:tcW w:w="180" w:type="dxa"/>
            <w:vAlign w:val="bottom"/>
            <w:tcBorders>
              <w:top w:val="single" w:sz="8" w:color="0000EE"/>
              <w:bottom w:val="single" w:sz="8" w:color="0000EE"/>
            </w:tcBorders>
            <w:gridSpan w:val="2"/>
          </w:tcPr>
          <w:p>
            <w:pPr>
              <w:jc w:val="right"/>
              <w:spacing w:after="0" w:line="164" w:lineRule="exact"/>
              <w:rPr>
                <w:rFonts w:ascii="Arial" w:cs="Arial" w:eastAsia="Arial" w:hAnsi="Arial"/>
                <w:sz w:val="16"/>
                <w:szCs w:val="16"/>
                <w:color w:val="0000EE"/>
                <w:w w:val="89"/>
              </w:rPr>
            </w:pPr>
            <w:hyperlink w:anchor="page89">
              <w:r>
                <w:rPr>
                  <w:rFonts w:ascii="Arial" w:cs="Arial" w:eastAsia="Arial" w:hAnsi="Arial"/>
                  <w:sz w:val="16"/>
                  <w:szCs w:val="16"/>
                  <w:color w:val="0000EE"/>
                  <w:w w:val="89"/>
                </w:rPr>
                <w:t>83</w:t>
              </w:r>
            </w:hyperlink>
          </w:p>
        </w:tc>
      </w:tr>
      <w:tr>
        <w:trPr>
          <w:trHeight w:val="163"/>
        </w:trPr>
        <w:tc>
          <w:tcPr>
            <w:tcW w:w="1140" w:type="dxa"/>
            <w:vAlign w:val="bottom"/>
          </w:tcPr>
          <w:p>
            <w:pPr>
              <w:spacing w:after="0"/>
              <w:rPr>
                <w:sz w:val="14"/>
                <w:szCs w:val="14"/>
                <w:color w:val="auto"/>
              </w:rPr>
            </w:pPr>
          </w:p>
        </w:tc>
        <w:tc>
          <w:tcPr>
            <w:tcW w:w="1180" w:type="dxa"/>
            <w:vAlign w:val="bottom"/>
            <w:tcBorders>
              <w:bottom w:val="single" w:sz="8" w:color="0000EE"/>
            </w:tcBorders>
            <w:gridSpan w:val="8"/>
          </w:tcPr>
          <w:p>
            <w:pPr>
              <w:spacing w:after="0" w:line="164" w:lineRule="exact"/>
              <w:rPr>
                <w:rFonts w:ascii="Arial" w:cs="Arial" w:eastAsia="Arial" w:hAnsi="Arial"/>
                <w:sz w:val="16"/>
                <w:szCs w:val="16"/>
                <w:color w:val="0000EE"/>
                <w:w w:val="98"/>
              </w:rPr>
            </w:pPr>
            <w:hyperlink w:anchor="page90">
              <w:r>
                <w:rPr>
                  <w:rFonts w:ascii="Arial" w:cs="Arial" w:eastAsia="Arial" w:hAnsi="Arial"/>
                  <w:sz w:val="16"/>
                  <w:szCs w:val="16"/>
                  <w:color w:val="0000EE"/>
                  <w:w w:val="98"/>
                </w:rPr>
                <w:t>Use of Proceeds</w:t>
              </w:r>
            </w:hyperlink>
          </w:p>
        </w:tc>
        <w:tc>
          <w:tcPr>
            <w:tcW w:w="7340" w:type="dxa"/>
            <w:vAlign w:val="bottom"/>
            <w:gridSpan w:val="19"/>
          </w:tcPr>
          <w:p>
            <w:pPr>
              <w:spacing w:after="0"/>
              <w:rPr>
                <w:sz w:val="14"/>
                <w:szCs w:val="14"/>
                <w:color w:val="auto"/>
              </w:rPr>
            </w:pPr>
          </w:p>
        </w:tc>
        <w:tc>
          <w:tcPr>
            <w:tcW w:w="300" w:type="dxa"/>
            <w:vAlign w:val="bottom"/>
            <w:gridSpan w:val="2"/>
          </w:tcPr>
          <w:p>
            <w:pPr>
              <w:spacing w:after="0"/>
              <w:rPr>
                <w:sz w:val="14"/>
                <w:szCs w:val="14"/>
                <w:color w:val="auto"/>
              </w:rPr>
            </w:pPr>
          </w:p>
        </w:tc>
        <w:tc>
          <w:tcPr>
            <w:tcW w:w="180" w:type="dxa"/>
            <w:vAlign w:val="bottom"/>
            <w:tcBorders>
              <w:bottom w:val="single" w:sz="8" w:color="0000EE"/>
            </w:tcBorders>
            <w:gridSpan w:val="2"/>
          </w:tcPr>
          <w:p>
            <w:pPr>
              <w:jc w:val="right"/>
              <w:spacing w:after="0" w:line="164" w:lineRule="exact"/>
              <w:rPr>
                <w:rFonts w:ascii="Arial" w:cs="Arial" w:eastAsia="Arial" w:hAnsi="Arial"/>
                <w:sz w:val="16"/>
                <w:szCs w:val="16"/>
                <w:color w:val="0000EE"/>
                <w:w w:val="89"/>
              </w:rPr>
            </w:pPr>
            <w:hyperlink w:anchor="page90">
              <w:r>
                <w:rPr>
                  <w:rFonts w:ascii="Arial" w:cs="Arial" w:eastAsia="Arial" w:hAnsi="Arial"/>
                  <w:sz w:val="16"/>
                  <w:szCs w:val="16"/>
                  <w:color w:val="0000EE"/>
                  <w:w w:val="89"/>
                </w:rPr>
                <w:t>84</w:t>
              </w:r>
            </w:hyperlink>
          </w:p>
        </w:tc>
      </w:tr>
      <w:tr>
        <w:trPr>
          <w:trHeight w:val="163"/>
        </w:trPr>
        <w:tc>
          <w:tcPr>
            <w:tcW w:w="1140" w:type="dxa"/>
            <w:vAlign w:val="bottom"/>
          </w:tcPr>
          <w:p>
            <w:pPr>
              <w:spacing w:after="0"/>
              <w:rPr>
                <w:sz w:val="14"/>
                <w:szCs w:val="14"/>
                <w:color w:val="auto"/>
              </w:rPr>
            </w:pPr>
          </w:p>
        </w:tc>
        <w:tc>
          <w:tcPr>
            <w:tcW w:w="8520" w:type="dxa"/>
            <w:vAlign w:val="bottom"/>
            <w:gridSpan w:val="27"/>
          </w:tcPr>
          <w:p>
            <w:pPr>
              <w:spacing w:after="0" w:line="164" w:lineRule="exact"/>
              <w:rPr>
                <w:rFonts w:ascii="Arial" w:cs="Arial" w:eastAsia="Arial" w:hAnsi="Arial"/>
                <w:sz w:val="16"/>
                <w:szCs w:val="16"/>
                <w:color w:val="0000EE"/>
              </w:rPr>
            </w:pPr>
            <w:hyperlink w:anchor="page91">
              <w:r>
                <w:rPr>
                  <w:rFonts w:ascii="Arial" w:cs="Arial" w:eastAsia="Arial" w:hAnsi="Arial"/>
                  <w:sz w:val="16"/>
                  <w:szCs w:val="16"/>
                  <w:color w:val="0000EE"/>
                </w:rPr>
                <w:t>Dividend Policy</w:t>
              </w:r>
            </w:hyperlink>
          </w:p>
        </w:tc>
        <w:tc>
          <w:tcPr>
            <w:tcW w:w="480" w:type="dxa"/>
            <w:vAlign w:val="bottom"/>
            <w:gridSpan w:val="4"/>
          </w:tcPr>
          <w:p>
            <w:pPr>
              <w:jc w:val="right"/>
              <w:spacing w:after="0" w:line="164" w:lineRule="exact"/>
              <w:rPr>
                <w:rFonts w:ascii="Arial" w:cs="Arial" w:eastAsia="Arial" w:hAnsi="Arial"/>
                <w:sz w:val="16"/>
                <w:szCs w:val="16"/>
                <w:color w:val="0000EE"/>
              </w:rPr>
            </w:pPr>
            <w:hyperlink w:anchor="page91">
              <w:r>
                <w:rPr>
                  <w:rFonts w:ascii="Arial" w:cs="Arial" w:eastAsia="Arial" w:hAnsi="Arial"/>
                  <w:sz w:val="16"/>
                  <w:szCs w:val="16"/>
                  <w:color w:val="0000EE"/>
                </w:rPr>
                <w:t>85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540" w:type="dxa"/>
            <w:vAlign w:val="bottom"/>
            <w:tcBorders>
              <w:bottom w:val="single" w:sz="8" w:color="0000EE"/>
            </w:tcBorders>
            <w:gridSpan w:val="20"/>
          </w:tcPr>
          <w:p>
            <w:pPr>
              <w:spacing w:after="0" w:line="164" w:lineRule="exact"/>
              <w:rPr>
                <w:rFonts w:ascii="Arial" w:cs="Arial" w:eastAsia="Arial" w:hAnsi="Arial"/>
                <w:sz w:val="16"/>
                <w:szCs w:val="16"/>
                <w:color w:val="0000EE"/>
                <w:w w:val="98"/>
              </w:rPr>
            </w:pPr>
            <w:hyperlink w:anchor="page92">
              <w:r>
                <w:rPr>
                  <w:rFonts w:ascii="Arial" w:cs="Arial" w:eastAsia="Arial" w:hAnsi="Arial"/>
                  <w:sz w:val="16"/>
                  <w:szCs w:val="16"/>
                  <w:color w:val="0000EE"/>
                  <w:w w:val="98"/>
                </w:rPr>
                <w:t>Share Capital Reorganization and Re-Registration</w:t>
              </w:r>
            </w:hyperlink>
          </w:p>
        </w:tc>
        <w:tc>
          <w:tcPr>
            <w:tcW w:w="4980" w:type="dxa"/>
            <w:vAlign w:val="bottom"/>
            <w:gridSpan w:val="7"/>
          </w:tcPr>
          <w:p>
            <w:pPr>
              <w:spacing w:after="0"/>
              <w:rPr>
                <w:sz w:val="14"/>
                <w:szCs w:val="14"/>
                <w:color w:val="auto"/>
              </w:rPr>
            </w:pPr>
          </w:p>
        </w:tc>
        <w:tc>
          <w:tcPr>
            <w:tcW w:w="300" w:type="dxa"/>
            <w:vAlign w:val="bottom"/>
            <w:gridSpan w:val="2"/>
          </w:tcPr>
          <w:p>
            <w:pPr>
              <w:spacing w:after="0"/>
              <w:rPr>
                <w:sz w:val="14"/>
                <w:szCs w:val="14"/>
                <w:color w:val="auto"/>
              </w:rPr>
            </w:pPr>
          </w:p>
        </w:tc>
        <w:tc>
          <w:tcPr>
            <w:tcW w:w="180" w:type="dxa"/>
            <w:vAlign w:val="bottom"/>
            <w:tcBorders>
              <w:bottom w:val="single" w:sz="8" w:color="0000EE"/>
            </w:tcBorders>
            <w:gridSpan w:val="2"/>
          </w:tcPr>
          <w:p>
            <w:pPr>
              <w:jc w:val="right"/>
              <w:spacing w:after="0" w:line="164" w:lineRule="exact"/>
              <w:rPr>
                <w:rFonts w:ascii="Arial" w:cs="Arial" w:eastAsia="Arial" w:hAnsi="Arial"/>
                <w:sz w:val="16"/>
                <w:szCs w:val="16"/>
                <w:color w:val="0000EE"/>
                <w:w w:val="89"/>
              </w:rPr>
            </w:pPr>
            <w:hyperlink w:anchor="page92">
              <w:r>
                <w:rPr>
                  <w:rFonts w:ascii="Arial" w:cs="Arial" w:eastAsia="Arial" w:hAnsi="Arial"/>
                  <w:sz w:val="16"/>
                  <w:szCs w:val="16"/>
                  <w:color w:val="0000EE"/>
                  <w:w w:val="89"/>
                </w:rPr>
                <w:t>86</w:t>
              </w:r>
            </w:hyperlink>
          </w:p>
        </w:tc>
      </w:tr>
      <w:tr>
        <w:trPr>
          <w:trHeight w:val="163"/>
        </w:trPr>
        <w:tc>
          <w:tcPr>
            <w:tcW w:w="1140" w:type="dxa"/>
            <w:vAlign w:val="bottom"/>
          </w:tcPr>
          <w:p>
            <w:pPr>
              <w:spacing w:after="0"/>
              <w:rPr>
                <w:sz w:val="14"/>
                <w:szCs w:val="14"/>
                <w:color w:val="auto"/>
              </w:rPr>
            </w:pPr>
          </w:p>
        </w:tc>
        <w:tc>
          <w:tcPr>
            <w:tcW w:w="960" w:type="dxa"/>
            <w:vAlign w:val="bottom"/>
            <w:tcBorders>
              <w:bottom w:val="single" w:sz="8" w:color="0000EE"/>
            </w:tcBorders>
            <w:gridSpan w:val="6"/>
          </w:tcPr>
          <w:p>
            <w:pPr>
              <w:spacing w:after="0" w:line="164" w:lineRule="exact"/>
              <w:rPr>
                <w:rFonts w:ascii="Arial" w:cs="Arial" w:eastAsia="Arial" w:hAnsi="Arial"/>
                <w:sz w:val="16"/>
                <w:szCs w:val="16"/>
                <w:color w:val="0000EE"/>
                <w:w w:val="97"/>
              </w:rPr>
            </w:pPr>
            <w:hyperlink w:anchor="page93">
              <w:r>
                <w:rPr>
                  <w:rFonts w:ascii="Arial" w:cs="Arial" w:eastAsia="Arial" w:hAnsi="Arial"/>
                  <w:sz w:val="16"/>
                  <w:szCs w:val="16"/>
                  <w:color w:val="0000EE"/>
                  <w:w w:val="97"/>
                </w:rPr>
                <w:t>Capitalization</w:t>
              </w:r>
            </w:hyperlink>
          </w:p>
        </w:tc>
        <w:tc>
          <w:tcPr>
            <w:tcW w:w="7560" w:type="dxa"/>
            <w:vAlign w:val="bottom"/>
            <w:gridSpan w:val="21"/>
          </w:tcPr>
          <w:p>
            <w:pPr>
              <w:spacing w:after="0"/>
              <w:rPr>
                <w:sz w:val="14"/>
                <w:szCs w:val="14"/>
                <w:color w:val="auto"/>
              </w:rPr>
            </w:pPr>
          </w:p>
        </w:tc>
        <w:tc>
          <w:tcPr>
            <w:tcW w:w="300" w:type="dxa"/>
            <w:vAlign w:val="bottom"/>
            <w:gridSpan w:val="2"/>
          </w:tcPr>
          <w:p>
            <w:pPr>
              <w:spacing w:after="0"/>
              <w:rPr>
                <w:sz w:val="14"/>
                <w:szCs w:val="14"/>
                <w:color w:val="auto"/>
              </w:rPr>
            </w:pPr>
          </w:p>
        </w:tc>
        <w:tc>
          <w:tcPr>
            <w:tcW w:w="180" w:type="dxa"/>
            <w:vAlign w:val="bottom"/>
            <w:tcBorders>
              <w:bottom w:val="single" w:sz="8" w:color="0000EE"/>
            </w:tcBorders>
            <w:gridSpan w:val="2"/>
          </w:tcPr>
          <w:p>
            <w:pPr>
              <w:jc w:val="right"/>
              <w:spacing w:after="0" w:line="164" w:lineRule="exact"/>
              <w:rPr>
                <w:rFonts w:ascii="Arial" w:cs="Arial" w:eastAsia="Arial" w:hAnsi="Arial"/>
                <w:sz w:val="16"/>
                <w:szCs w:val="16"/>
                <w:color w:val="0000EE"/>
                <w:w w:val="89"/>
              </w:rPr>
            </w:pPr>
            <w:hyperlink w:anchor="page93">
              <w:r>
                <w:rPr>
                  <w:rFonts w:ascii="Arial" w:cs="Arial" w:eastAsia="Arial" w:hAnsi="Arial"/>
                  <w:sz w:val="16"/>
                  <w:szCs w:val="16"/>
                  <w:color w:val="0000EE"/>
                  <w:w w:val="89"/>
                </w:rPr>
                <w:t>87</w:t>
              </w:r>
            </w:hyperlink>
          </w:p>
        </w:tc>
      </w:tr>
      <w:tr>
        <w:trPr>
          <w:trHeight w:val="163"/>
        </w:trPr>
        <w:tc>
          <w:tcPr>
            <w:tcW w:w="1140" w:type="dxa"/>
            <w:vAlign w:val="bottom"/>
          </w:tcPr>
          <w:p>
            <w:pPr>
              <w:spacing w:after="0"/>
              <w:rPr>
                <w:sz w:val="14"/>
                <w:szCs w:val="14"/>
                <w:color w:val="auto"/>
              </w:rPr>
            </w:pPr>
          </w:p>
        </w:tc>
        <w:tc>
          <w:tcPr>
            <w:tcW w:w="540" w:type="dxa"/>
            <w:vAlign w:val="bottom"/>
            <w:tcBorders>
              <w:bottom w:val="single" w:sz="8" w:color="0000EE"/>
            </w:tcBorders>
            <w:gridSpan w:val="2"/>
          </w:tcPr>
          <w:p>
            <w:pPr>
              <w:spacing w:after="0" w:line="164" w:lineRule="exact"/>
              <w:rPr>
                <w:rFonts w:ascii="Arial" w:cs="Arial" w:eastAsia="Arial" w:hAnsi="Arial"/>
                <w:sz w:val="16"/>
                <w:szCs w:val="16"/>
                <w:color w:val="0000EE"/>
                <w:w w:val="97"/>
              </w:rPr>
            </w:pPr>
            <w:hyperlink w:anchor="page95">
              <w:r>
                <w:rPr>
                  <w:rFonts w:ascii="Arial" w:cs="Arial" w:eastAsia="Arial" w:hAnsi="Arial"/>
                  <w:sz w:val="16"/>
                  <w:szCs w:val="16"/>
                  <w:color w:val="0000EE"/>
                  <w:w w:val="97"/>
                </w:rPr>
                <w:t>Dilution</w:t>
              </w:r>
            </w:hyperlink>
          </w:p>
        </w:tc>
        <w:tc>
          <w:tcPr>
            <w:tcW w:w="7980" w:type="dxa"/>
            <w:vAlign w:val="bottom"/>
            <w:gridSpan w:val="25"/>
          </w:tcPr>
          <w:p>
            <w:pPr>
              <w:spacing w:after="0"/>
              <w:rPr>
                <w:sz w:val="14"/>
                <w:szCs w:val="14"/>
                <w:color w:val="auto"/>
              </w:rPr>
            </w:pPr>
          </w:p>
        </w:tc>
        <w:tc>
          <w:tcPr>
            <w:tcW w:w="300" w:type="dxa"/>
            <w:vAlign w:val="bottom"/>
            <w:gridSpan w:val="2"/>
          </w:tcPr>
          <w:p>
            <w:pPr>
              <w:spacing w:after="0"/>
              <w:rPr>
                <w:sz w:val="14"/>
                <w:szCs w:val="14"/>
                <w:color w:val="auto"/>
              </w:rPr>
            </w:pPr>
          </w:p>
        </w:tc>
        <w:tc>
          <w:tcPr>
            <w:tcW w:w="180" w:type="dxa"/>
            <w:vAlign w:val="bottom"/>
            <w:tcBorders>
              <w:bottom w:val="single" w:sz="8" w:color="0000EE"/>
            </w:tcBorders>
            <w:gridSpan w:val="2"/>
          </w:tcPr>
          <w:p>
            <w:pPr>
              <w:jc w:val="right"/>
              <w:spacing w:after="0" w:line="164" w:lineRule="exact"/>
              <w:rPr>
                <w:rFonts w:ascii="Arial" w:cs="Arial" w:eastAsia="Arial" w:hAnsi="Arial"/>
                <w:sz w:val="16"/>
                <w:szCs w:val="16"/>
                <w:color w:val="0000EE"/>
                <w:w w:val="89"/>
              </w:rPr>
            </w:pPr>
            <w:hyperlink w:anchor="page95">
              <w:r>
                <w:rPr>
                  <w:rFonts w:ascii="Arial" w:cs="Arial" w:eastAsia="Arial" w:hAnsi="Arial"/>
                  <w:sz w:val="16"/>
                  <w:szCs w:val="16"/>
                  <w:color w:val="0000EE"/>
                  <w:w w:val="89"/>
                </w:rPr>
                <w:t>89</w:t>
              </w:r>
            </w:hyperlink>
          </w:p>
        </w:tc>
      </w:tr>
      <w:tr>
        <w:trPr>
          <w:trHeight w:val="163"/>
        </w:trPr>
        <w:tc>
          <w:tcPr>
            <w:tcW w:w="1140" w:type="dxa"/>
            <w:vAlign w:val="bottom"/>
          </w:tcPr>
          <w:p>
            <w:pPr>
              <w:spacing w:after="0"/>
              <w:rPr>
                <w:sz w:val="14"/>
                <w:szCs w:val="14"/>
                <w:color w:val="auto"/>
              </w:rPr>
            </w:pPr>
          </w:p>
        </w:tc>
        <w:tc>
          <w:tcPr>
            <w:tcW w:w="2660" w:type="dxa"/>
            <w:vAlign w:val="bottom"/>
            <w:tcBorders>
              <w:bottom w:val="single" w:sz="8" w:color="0000EE"/>
            </w:tcBorders>
            <w:gridSpan w:val="14"/>
          </w:tcPr>
          <w:p>
            <w:pPr>
              <w:spacing w:after="0" w:line="164" w:lineRule="exact"/>
              <w:rPr>
                <w:rFonts w:ascii="Arial" w:cs="Arial" w:eastAsia="Arial" w:hAnsi="Arial"/>
                <w:sz w:val="16"/>
                <w:szCs w:val="16"/>
                <w:color w:val="0000EE"/>
                <w:w w:val="98"/>
              </w:rPr>
            </w:pPr>
            <w:hyperlink w:anchor="page98">
              <w:r>
                <w:rPr>
                  <w:rFonts w:ascii="Arial" w:cs="Arial" w:eastAsia="Arial" w:hAnsi="Arial"/>
                  <w:sz w:val="16"/>
                  <w:szCs w:val="16"/>
                  <w:color w:val="0000EE"/>
                  <w:w w:val="98"/>
                </w:rPr>
                <w:t>Selected Consolidated Financial Data</w:t>
              </w:r>
            </w:hyperlink>
          </w:p>
        </w:tc>
        <w:tc>
          <w:tcPr>
            <w:tcW w:w="5860" w:type="dxa"/>
            <w:vAlign w:val="bottom"/>
            <w:gridSpan w:val="13"/>
          </w:tcPr>
          <w:p>
            <w:pPr>
              <w:spacing w:after="0"/>
              <w:rPr>
                <w:sz w:val="14"/>
                <w:szCs w:val="14"/>
                <w:color w:val="auto"/>
              </w:rPr>
            </w:pPr>
          </w:p>
        </w:tc>
        <w:tc>
          <w:tcPr>
            <w:tcW w:w="300" w:type="dxa"/>
            <w:vAlign w:val="bottom"/>
            <w:gridSpan w:val="2"/>
          </w:tcPr>
          <w:p>
            <w:pPr>
              <w:spacing w:after="0"/>
              <w:rPr>
                <w:sz w:val="14"/>
                <w:szCs w:val="14"/>
                <w:color w:val="auto"/>
              </w:rPr>
            </w:pPr>
          </w:p>
        </w:tc>
        <w:tc>
          <w:tcPr>
            <w:tcW w:w="180" w:type="dxa"/>
            <w:vAlign w:val="bottom"/>
            <w:tcBorders>
              <w:bottom w:val="single" w:sz="8" w:color="0000EE"/>
            </w:tcBorders>
            <w:gridSpan w:val="2"/>
          </w:tcPr>
          <w:p>
            <w:pPr>
              <w:jc w:val="right"/>
              <w:spacing w:after="0" w:line="164" w:lineRule="exact"/>
              <w:rPr>
                <w:rFonts w:ascii="Arial" w:cs="Arial" w:eastAsia="Arial" w:hAnsi="Arial"/>
                <w:sz w:val="16"/>
                <w:szCs w:val="16"/>
                <w:color w:val="0000EE"/>
                <w:w w:val="89"/>
              </w:rPr>
            </w:pPr>
            <w:hyperlink w:anchor="page98">
              <w:r>
                <w:rPr>
                  <w:rFonts w:ascii="Arial" w:cs="Arial" w:eastAsia="Arial" w:hAnsi="Arial"/>
                  <w:sz w:val="16"/>
                  <w:szCs w:val="16"/>
                  <w:color w:val="0000EE"/>
                  <w:w w:val="89"/>
                </w:rPr>
                <w:t>92</w:t>
              </w:r>
            </w:hyperlink>
          </w:p>
        </w:tc>
      </w:tr>
      <w:tr>
        <w:trPr>
          <w:trHeight w:val="163"/>
        </w:trPr>
        <w:tc>
          <w:tcPr>
            <w:tcW w:w="1140" w:type="dxa"/>
            <w:vAlign w:val="bottom"/>
          </w:tcPr>
          <w:p>
            <w:pPr>
              <w:spacing w:after="0"/>
              <w:rPr>
                <w:sz w:val="14"/>
                <w:szCs w:val="14"/>
                <w:color w:val="auto"/>
              </w:rPr>
            </w:pPr>
          </w:p>
        </w:tc>
        <w:tc>
          <w:tcPr>
            <w:tcW w:w="6260" w:type="dxa"/>
            <w:vAlign w:val="bottom"/>
            <w:tcBorders>
              <w:bottom w:val="single" w:sz="8" w:color="0000EE"/>
            </w:tcBorders>
            <w:gridSpan w:val="26"/>
          </w:tcPr>
          <w:p>
            <w:pPr>
              <w:spacing w:after="0" w:line="164" w:lineRule="exact"/>
              <w:rPr>
                <w:rFonts w:ascii="Arial" w:cs="Arial" w:eastAsia="Arial" w:hAnsi="Arial"/>
                <w:sz w:val="16"/>
                <w:szCs w:val="16"/>
                <w:color w:val="0000EE"/>
                <w:w w:val="99"/>
              </w:rPr>
            </w:pPr>
            <w:hyperlink w:anchor="page100">
              <w:r>
                <w:rPr>
                  <w:rFonts w:ascii="Arial" w:cs="Arial" w:eastAsia="Arial" w:hAnsi="Arial"/>
                  <w:sz w:val="16"/>
                  <w:szCs w:val="16"/>
                  <w:color w:val="0000EE"/>
                  <w:w w:val="99"/>
                </w:rPr>
                <w:t>Management's Discussion and Analysis of Financial Condition and Results of Operations</w:t>
              </w:r>
            </w:hyperlink>
          </w:p>
        </w:tc>
        <w:tc>
          <w:tcPr>
            <w:tcW w:w="226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180" w:type="dxa"/>
            <w:vAlign w:val="bottom"/>
            <w:tcBorders>
              <w:bottom w:val="single" w:sz="8" w:color="0000EE"/>
            </w:tcBorders>
            <w:gridSpan w:val="2"/>
          </w:tcPr>
          <w:p>
            <w:pPr>
              <w:jc w:val="right"/>
              <w:spacing w:after="0" w:line="164" w:lineRule="exact"/>
              <w:rPr>
                <w:rFonts w:ascii="Arial" w:cs="Arial" w:eastAsia="Arial" w:hAnsi="Arial"/>
                <w:sz w:val="16"/>
                <w:szCs w:val="16"/>
                <w:color w:val="0000EE"/>
                <w:w w:val="89"/>
              </w:rPr>
            </w:pPr>
            <w:hyperlink w:anchor="page100">
              <w:r>
                <w:rPr>
                  <w:rFonts w:ascii="Arial" w:cs="Arial" w:eastAsia="Arial" w:hAnsi="Arial"/>
                  <w:sz w:val="16"/>
                  <w:szCs w:val="16"/>
                  <w:color w:val="0000EE"/>
                  <w:w w:val="89"/>
                </w:rPr>
                <w:t>94</w:t>
              </w:r>
            </w:hyperlink>
          </w:p>
        </w:tc>
      </w:tr>
      <w:tr>
        <w:trPr>
          <w:trHeight w:val="163"/>
        </w:trPr>
        <w:tc>
          <w:tcPr>
            <w:tcW w:w="1140" w:type="dxa"/>
            <w:vAlign w:val="bottom"/>
          </w:tcPr>
          <w:p>
            <w:pPr>
              <w:spacing w:after="0"/>
              <w:rPr>
                <w:sz w:val="14"/>
                <w:szCs w:val="14"/>
                <w:color w:val="auto"/>
              </w:rPr>
            </w:pPr>
          </w:p>
        </w:tc>
        <w:tc>
          <w:tcPr>
            <w:tcW w:w="8520" w:type="dxa"/>
            <w:vAlign w:val="bottom"/>
            <w:gridSpan w:val="27"/>
          </w:tcPr>
          <w:p>
            <w:pPr>
              <w:spacing w:after="0" w:line="164" w:lineRule="exact"/>
              <w:rPr>
                <w:rFonts w:ascii="Arial" w:cs="Arial" w:eastAsia="Arial" w:hAnsi="Arial"/>
                <w:sz w:val="16"/>
                <w:szCs w:val="16"/>
                <w:color w:val="0000EE"/>
              </w:rPr>
            </w:pPr>
            <w:hyperlink w:anchor="page124">
              <w:r>
                <w:rPr>
                  <w:rFonts w:ascii="Arial" w:cs="Arial" w:eastAsia="Arial" w:hAnsi="Arial"/>
                  <w:sz w:val="16"/>
                  <w:szCs w:val="16"/>
                  <w:color w:val="0000EE"/>
                </w:rPr>
                <w:t>Business</w:t>
              </w:r>
            </w:hyperlink>
          </w:p>
        </w:tc>
        <w:tc>
          <w:tcPr>
            <w:tcW w:w="480" w:type="dxa"/>
            <w:vAlign w:val="bottom"/>
            <w:gridSpan w:val="4"/>
          </w:tcPr>
          <w:p>
            <w:pPr>
              <w:jc w:val="right"/>
              <w:spacing w:after="0" w:line="164" w:lineRule="exact"/>
              <w:rPr>
                <w:rFonts w:ascii="Arial" w:cs="Arial" w:eastAsia="Arial" w:hAnsi="Arial"/>
                <w:sz w:val="16"/>
                <w:szCs w:val="16"/>
                <w:color w:val="0000EE"/>
              </w:rPr>
            </w:pPr>
            <w:hyperlink w:anchor="page124">
              <w:r>
                <w:rPr>
                  <w:rFonts w:ascii="Arial" w:cs="Arial" w:eastAsia="Arial" w:hAnsi="Arial"/>
                  <w:sz w:val="16"/>
                  <w:szCs w:val="16"/>
                  <w:color w:val="0000EE"/>
                </w:rPr>
                <w:t>118</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520" w:type="dxa"/>
            <w:vAlign w:val="bottom"/>
            <w:gridSpan w:val="27"/>
          </w:tcPr>
          <w:p>
            <w:pPr>
              <w:spacing w:after="0" w:line="164" w:lineRule="exact"/>
              <w:rPr>
                <w:rFonts w:ascii="Arial" w:cs="Arial" w:eastAsia="Arial" w:hAnsi="Arial"/>
                <w:sz w:val="16"/>
                <w:szCs w:val="16"/>
                <w:color w:val="0000EE"/>
              </w:rPr>
            </w:pPr>
            <w:hyperlink w:anchor="page172">
              <w:r>
                <w:rPr>
                  <w:rFonts w:ascii="Arial" w:cs="Arial" w:eastAsia="Arial" w:hAnsi="Arial"/>
                  <w:sz w:val="16"/>
                  <w:szCs w:val="16"/>
                  <w:color w:val="0000EE"/>
                </w:rPr>
                <w:t>Management</w:t>
              </w:r>
            </w:hyperlink>
          </w:p>
        </w:tc>
        <w:tc>
          <w:tcPr>
            <w:tcW w:w="480" w:type="dxa"/>
            <w:vAlign w:val="bottom"/>
            <w:gridSpan w:val="4"/>
          </w:tcPr>
          <w:p>
            <w:pPr>
              <w:jc w:val="right"/>
              <w:spacing w:after="0" w:line="164" w:lineRule="exact"/>
              <w:rPr>
                <w:rFonts w:ascii="Arial" w:cs="Arial" w:eastAsia="Arial" w:hAnsi="Arial"/>
                <w:sz w:val="16"/>
                <w:szCs w:val="16"/>
                <w:color w:val="0000EE"/>
              </w:rPr>
            </w:pPr>
            <w:hyperlink w:anchor="page172">
              <w:r>
                <w:rPr>
                  <w:rFonts w:ascii="Arial" w:cs="Arial" w:eastAsia="Arial" w:hAnsi="Arial"/>
                  <w:sz w:val="16"/>
                  <w:szCs w:val="16"/>
                  <w:color w:val="0000EE"/>
                </w:rPr>
                <w:t>166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760" w:type="dxa"/>
            <w:vAlign w:val="bottom"/>
            <w:gridSpan w:val="11"/>
          </w:tcPr>
          <w:p>
            <w:pPr>
              <w:spacing w:after="0" w:line="164" w:lineRule="exact"/>
              <w:rPr>
                <w:rFonts w:ascii="Arial" w:cs="Arial" w:eastAsia="Arial" w:hAnsi="Arial"/>
                <w:sz w:val="16"/>
                <w:szCs w:val="16"/>
                <w:color w:val="0000EE"/>
                <w:w w:val="98"/>
              </w:rPr>
            </w:pPr>
            <w:hyperlink w:anchor="page181">
              <w:r>
                <w:rPr>
                  <w:rFonts w:ascii="Arial" w:cs="Arial" w:eastAsia="Arial" w:hAnsi="Arial"/>
                  <w:sz w:val="16"/>
                  <w:szCs w:val="16"/>
                  <w:color w:val="0000EE"/>
                  <w:w w:val="98"/>
                </w:rPr>
                <w:t>Executive Compensation</w:t>
              </w:r>
            </w:hyperlink>
          </w:p>
        </w:tc>
        <w:tc>
          <w:tcPr>
            <w:tcW w:w="6760" w:type="dxa"/>
            <w:vAlign w:val="bottom"/>
            <w:gridSpan w:val="16"/>
          </w:tcPr>
          <w:p>
            <w:pPr>
              <w:spacing w:after="0"/>
              <w:rPr>
                <w:sz w:val="14"/>
                <w:szCs w:val="14"/>
                <w:color w:val="auto"/>
              </w:rPr>
            </w:pPr>
          </w:p>
        </w:tc>
        <w:tc>
          <w:tcPr>
            <w:tcW w:w="480" w:type="dxa"/>
            <w:vAlign w:val="bottom"/>
            <w:gridSpan w:val="4"/>
          </w:tcPr>
          <w:p>
            <w:pPr>
              <w:jc w:val="right"/>
              <w:spacing w:after="0" w:line="164" w:lineRule="exact"/>
              <w:rPr>
                <w:rFonts w:ascii="Arial" w:cs="Arial" w:eastAsia="Arial" w:hAnsi="Arial"/>
                <w:sz w:val="16"/>
                <w:szCs w:val="16"/>
                <w:color w:val="0000EE"/>
              </w:rPr>
            </w:pPr>
            <w:hyperlink w:anchor="page181">
              <w:r>
                <w:rPr>
                  <w:rFonts w:ascii="Arial" w:cs="Arial" w:eastAsia="Arial" w:hAnsi="Arial"/>
                  <w:sz w:val="16"/>
                  <w:szCs w:val="16"/>
                  <w:color w:val="0000EE"/>
                </w:rPr>
                <w:t>175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720" w:type="dxa"/>
            <w:vAlign w:val="bottom"/>
            <w:gridSpan w:val="15"/>
          </w:tcPr>
          <w:p>
            <w:pPr>
              <w:spacing w:after="0" w:line="164" w:lineRule="exact"/>
              <w:rPr>
                <w:rFonts w:ascii="Arial" w:cs="Arial" w:eastAsia="Arial" w:hAnsi="Arial"/>
                <w:sz w:val="16"/>
                <w:szCs w:val="16"/>
                <w:color w:val="0000EE"/>
                <w:w w:val="97"/>
              </w:rPr>
            </w:pPr>
            <w:hyperlink w:anchor="page189">
              <w:r>
                <w:rPr>
                  <w:rFonts w:ascii="Arial" w:cs="Arial" w:eastAsia="Arial" w:hAnsi="Arial"/>
                  <w:sz w:val="16"/>
                  <w:szCs w:val="16"/>
                  <w:color w:val="0000EE"/>
                  <w:w w:val="97"/>
                </w:rPr>
                <w:t>Non-Employee Director Compensation</w:t>
              </w:r>
            </w:hyperlink>
          </w:p>
        </w:tc>
        <w:tc>
          <w:tcPr>
            <w:tcW w:w="5800" w:type="dxa"/>
            <w:vAlign w:val="bottom"/>
            <w:gridSpan w:val="12"/>
          </w:tcPr>
          <w:p>
            <w:pPr>
              <w:spacing w:after="0"/>
              <w:rPr>
                <w:sz w:val="14"/>
                <w:szCs w:val="14"/>
                <w:color w:val="auto"/>
              </w:rPr>
            </w:pPr>
          </w:p>
        </w:tc>
        <w:tc>
          <w:tcPr>
            <w:tcW w:w="480" w:type="dxa"/>
            <w:vAlign w:val="bottom"/>
            <w:gridSpan w:val="4"/>
          </w:tcPr>
          <w:p>
            <w:pPr>
              <w:jc w:val="right"/>
              <w:spacing w:after="0" w:line="164" w:lineRule="exact"/>
              <w:rPr>
                <w:rFonts w:ascii="Arial" w:cs="Arial" w:eastAsia="Arial" w:hAnsi="Arial"/>
                <w:sz w:val="16"/>
                <w:szCs w:val="16"/>
                <w:color w:val="0000EE"/>
              </w:rPr>
            </w:pPr>
            <w:hyperlink w:anchor="page189">
              <w:r>
                <w:rPr>
                  <w:rFonts w:ascii="Arial" w:cs="Arial" w:eastAsia="Arial" w:hAnsi="Arial"/>
                  <w:sz w:val="16"/>
                  <w:szCs w:val="16"/>
                  <w:color w:val="0000EE"/>
                </w:rPr>
                <w:t>183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780" w:type="dxa"/>
            <w:vAlign w:val="bottom"/>
            <w:gridSpan w:val="22"/>
          </w:tcPr>
          <w:p>
            <w:pPr>
              <w:spacing w:after="0" w:line="164" w:lineRule="exact"/>
              <w:rPr>
                <w:rFonts w:ascii="Arial" w:cs="Arial" w:eastAsia="Arial" w:hAnsi="Arial"/>
                <w:sz w:val="16"/>
                <w:szCs w:val="16"/>
                <w:color w:val="0000EE"/>
                <w:w w:val="98"/>
              </w:rPr>
            </w:pPr>
            <w:hyperlink w:anchor="page191">
              <w:r>
                <w:rPr>
                  <w:rFonts w:ascii="Arial" w:cs="Arial" w:eastAsia="Arial" w:hAnsi="Arial"/>
                  <w:sz w:val="16"/>
                  <w:szCs w:val="16"/>
                  <w:color w:val="0000EE"/>
                  <w:w w:val="98"/>
                </w:rPr>
                <w:t>Certain Relationships and Related Party Transactions</w:t>
              </w:r>
            </w:hyperlink>
          </w:p>
        </w:tc>
        <w:tc>
          <w:tcPr>
            <w:tcW w:w="4740" w:type="dxa"/>
            <w:vAlign w:val="bottom"/>
            <w:gridSpan w:val="5"/>
          </w:tcPr>
          <w:p>
            <w:pPr>
              <w:spacing w:after="0"/>
              <w:rPr>
                <w:sz w:val="14"/>
                <w:szCs w:val="14"/>
                <w:color w:val="auto"/>
              </w:rPr>
            </w:pPr>
          </w:p>
        </w:tc>
        <w:tc>
          <w:tcPr>
            <w:tcW w:w="480" w:type="dxa"/>
            <w:vAlign w:val="bottom"/>
            <w:gridSpan w:val="4"/>
          </w:tcPr>
          <w:p>
            <w:pPr>
              <w:jc w:val="right"/>
              <w:spacing w:after="0" w:line="164" w:lineRule="exact"/>
              <w:rPr>
                <w:rFonts w:ascii="Arial" w:cs="Arial" w:eastAsia="Arial" w:hAnsi="Arial"/>
                <w:sz w:val="16"/>
                <w:szCs w:val="16"/>
                <w:color w:val="0000EE"/>
              </w:rPr>
            </w:pPr>
            <w:hyperlink w:anchor="page191">
              <w:r>
                <w:rPr>
                  <w:rFonts w:ascii="Arial" w:cs="Arial" w:eastAsia="Arial" w:hAnsi="Arial"/>
                  <w:sz w:val="16"/>
                  <w:szCs w:val="16"/>
                  <w:color w:val="0000EE"/>
                </w:rPr>
                <w:t>185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600" w:type="dxa"/>
            <w:vAlign w:val="bottom"/>
            <w:gridSpan w:val="10"/>
          </w:tcPr>
          <w:p>
            <w:pPr>
              <w:spacing w:after="0" w:line="164" w:lineRule="exact"/>
              <w:rPr>
                <w:rFonts w:ascii="Arial" w:cs="Arial" w:eastAsia="Arial" w:hAnsi="Arial"/>
                <w:sz w:val="16"/>
                <w:szCs w:val="16"/>
                <w:color w:val="0000EE"/>
                <w:w w:val="98"/>
              </w:rPr>
            </w:pPr>
            <w:hyperlink w:anchor="page196">
              <w:r>
                <w:rPr>
                  <w:rFonts w:ascii="Arial" w:cs="Arial" w:eastAsia="Arial" w:hAnsi="Arial"/>
                  <w:sz w:val="16"/>
                  <w:szCs w:val="16"/>
                  <w:color w:val="0000EE"/>
                  <w:w w:val="98"/>
                </w:rPr>
                <w:t>Principal Shareholders</w:t>
              </w:r>
            </w:hyperlink>
          </w:p>
        </w:tc>
        <w:tc>
          <w:tcPr>
            <w:tcW w:w="2180" w:type="dxa"/>
            <w:vAlign w:val="bottom"/>
            <w:gridSpan w:val="12"/>
          </w:tcPr>
          <w:p>
            <w:pPr>
              <w:spacing w:after="0"/>
              <w:rPr>
                <w:sz w:val="14"/>
                <w:szCs w:val="14"/>
                <w:color w:val="auto"/>
              </w:rPr>
            </w:pPr>
          </w:p>
        </w:tc>
        <w:tc>
          <w:tcPr>
            <w:tcW w:w="4740" w:type="dxa"/>
            <w:vAlign w:val="bottom"/>
            <w:gridSpan w:val="5"/>
          </w:tcPr>
          <w:p>
            <w:pPr>
              <w:spacing w:after="0"/>
              <w:rPr>
                <w:sz w:val="14"/>
                <w:szCs w:val="14"/>
                <w:color w:val="auto"/>
              </w:rPr>
            </w:pPr>
          </w:p>
        </w:tc>
        <w:tc>
          <w:tcPr>
            <w:tcW w:w="480" w:type="dxa"/>
            <w:vAlign w:val="bottom"/>
            <w:gridSpan w:val="4"/>
          </w:tcPr>
          <w:p>
            <w:pPr>
              <w:jc w:val="right"/>
              <w:spacing w:after="0" w:line="164" w:lineRule="exact"/>
              <w:rPr>
                <w:rFonts w:ascii="Arial" w:cs="Arial" w:eastAsia="Arial" w:hAnsi="Arial"/>
                <w:sz w:val="16"/>
                <w:szCs w:val="16"/>
                <w:color w:val="0000EE"/>
              </w:rPr>
            </w:pPr>
            <w:hyperlink w:anchor="page196">
              <w:r>
                <w:rPr>
                  <w:rFonts w:ascii="Arial" w:cs="Arial" w:eastAsia="Arial" w:hAnsi="Arial"/>
                  <w:sz w:val="16"/>
                  <w:szCs w:val="16"/>
                  <w:color w:val="0000EE"/>
                </w:rPr>
                <w:t>190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520" w:type="dxa"/>
            <w:vAlign w:val="bottom"/>
            <w:gridSpan w:val="27"/>
          </w:tcPr>
          <w:p>
            <w:pPr>
              <w:spacing w:after="0" w:line="164" w:lineRule="exact"/>
              <w:rPr>
                <w:rFonts w:ascii="Arial" w:cs="Arial" w:eastAsia="Arial" w:hAnsi="Arial"/>
                <w:sz w:val="16"/>
                <w:szCs w:val="16"/>
                <w:color w:val="0000EE"/>
              </w:rPr>
            </w:pPr>
            <w:hyperlink w:anchor="page199">
              <w:r>
                <w:rPr>
                  <w:rFonts w:ascii="Arial" w:cs="Arial" w:eastAsia="Arial" w:hAnsi="Arial"/>
                  <w:sz w:val="16"/>
                  <w:szCs w:val="16"/>
                  <w:color w:val="0000EE"/>
                </w:rPr>
                <w:t>Description of Share Capital and Articles of Association</w:t>
              </w:r>
            </w:hyperlink>
          </w:p>
        </w:tc>
        <w:tc>
          <w:tcPr>
            <w:tcW w:w="480" w:type="dxa"/>
            <w:vAlign w:val="bottom"/>
            <w:gridSpan w:val="4"/>
          </w:tcPr>
          <w:p>
            <w:pPr>
              <w:jc w:val="right"/>
              <w:spacing w:after="0" w:line="164" w:lineRule="exact"/>
              <w:rPr>
                <w:rFonts w:ascii="Arial" w:cs="Arial" w:eastAsia="Arial" w:hAnsi="Arial"/>
                <w:sz w:val="16"/>
                <w:szCs w:val="16"/>
                <w:color w:val="0000EE"/>
              </w:rPr>
            </w:pPr>
            <w:hyperlink w:anchor="page199">
              <w:r>
                <w:rPr>
                  <w:rFonts w:ascii="Arial" w:cs="Arial" w:eastAsia="Arial" w:hAnsi="Arial"/>
                  <w:sz w:val="16"/>
                  <w:szCs w:val="16"/>
                  <w:color w:val="0000EE"/>
                </w:rPr>
                <w:t>193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040" w:type="dxa"/>
            <w:vAlign w:val="bottom"/>
            <w:gridSpan w:val="16"/>
          </w:tcPr>
          <w:p>
            <w:pPr>
              <w:spacing w:after="0" w:line="164" w:lineRule="exact"/>
              <w:rPr>
                <w:rFonts w:ascii="Arial" w:cs="Arial" w:eastAsia="Arial" w:hAnsi="Arial"/>
                <w:sz w:val="16"/>
                <w:szCs w:val="16"/>
                <w:color w:val="0000EE"/>
                <w:w w:val="98"/>
              </w:rPr>
            </w:pPr>
            <w:hyperlink w:anchor="page218">
              <w:r>
                <w:rPr>
                  <w:rFonts w:ascii="Arial" w:cs="Arial" w:eastAsia="Arial" w:hAnsi="Arial"/>
                  <w:sz w:val="16"/>
                  <w:szCs w:val="16"/>
                  <w:color w:val="0000EE"/>
                  <w:w w:val="98"/>
                </w:rPr>
                <w:t>Description of American Depositary Shares</w:t>
              </w:r>
            </w:hyperlink>
          </w:p>
        </w:tc>
        <w:tc>
          <w:tcPr>
            <w:tcW w:w="840" w:type="dxa"/>
            <w:vAlign w:val="bottom"/>
            <w:gridSpan w:val="7"/>
          </w:tcPr>
          <w:p>
            <w:pPr>
              <w:spacing w:after="0"/>
              <w:rPr>
                <w:sz w:val="14"/>
                <w:szCs w:val="14"/>
                <w:color w:val="auto"/>
              </w:rPr>
            </w:pPr>
          </w:p>
        </w:tc>
        <w:tc>
          <w:tcPr>
            <w:tcW w:w="4640" w:type="dxa"/>
            <w:vAlign w:val="bottom"/>
            <w:gridSpan w:val="4"/>
          </w:tcPr>
          <w:p>
            <w:pPr>
              <w:spacing w:after="0"/>
              <w:rPr>
                <w:sz w:val="14"/>
                <w:szCs w:val="14"/>
                <w:color w:val="auto"/>
              </w:rPr>
            </w:pPr>
          </w:p>
        </w:tc>
        <w:tc>
          <w:tcPr>
            <w:tcW w:w="480" w:type="dxa"/>
            <w:vAlign w:val="bottom"/>
            <w:gridSpan w:val="4"/>
          </w:tcPr>
          <w:p>
            <w:pPr>
              <w:jc w:val="right"/>
              <w:spacing w:after="0" w:line="164" w:lineRule="exact"/>
              <w:rPr>
                <w:rFonts w:ascii="Arial" w:cs="Arial" w:eastAsia="Arial" w:hAnsi="Arial"/>
                <w:sz w:val="16"/>
                <w:szCs w:val="16"/>
                <w:color w:val="0000EE"/>
              </w:rPr>
            </w:pPr>
            <w:hyperlink w:anchor="page218">
              <w:r>
                <w:rPr>
                  <w:rFonts w:ascii="Arial" w:cs="Arial" w:eastAsia="Arial" w:hAnsi="Arial"/>
                  <w:sz w:val="16"/>
                  <w:szCs w:val="16"/>
                  <w:color w:val="0000EE"/>
                </w:rPr>
                <w:t>212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4540" w:type="dxa"/>
            <w:vAlign w:val="bottom"/>
            <w:gridSpan w:val="24"/>
          </w:tcPr>
          <w:p>
            <w:pPr>
              <w:spacing w:after="0" w:line="164" w:lineRule="exact"/>
              <w:rPr>
                <w:rFonts w:ascii="Arial" w:cs="Arial" w:eastAsia="Arial" w:hAnsi="Arial"/>
                <w:sz w:val="16"/>
                <w:szCs w:val="16"/>
                <w:color w:val="0000EE"/>
                <w:w w:val="99"/>
              </w:rPr>
            </w:pPr>
            <w:hyperlink w:anchor="page230">
              <w:r>
                <w:rPr>
                  <w:rFonts w:ascii="Arial" w:cs="Arial" w:eastAsia="Arial" w:hAnsi="Arial"/>
                  <w:sz w:val="16"/>
                  <w:szCs w:val="16"/>
                  <w:color w:val="0000EE"/>
                  <w:w w:val="99"/>
                </w:rPr>
                <w:t>Shares and American Depositary Shares Eligible for Future Sale</w:t>
              </w:r>
            </w:hyperlink>
          </w:p>
        </w:tc>
        <w:tc>
          <w:tcPr>
            <w:tcW w:w="3980" w:type="dxa"/>
            <w:vAlign w:val="bottom"/>
            <w:gridSpan w:val="3"/>
          </w:tcPr>
          <w:p>
            <w:pPr>
              <w:spacing w:after="0"/>
              <w:rPr>
                <w:sz w:val="14"/>
                <w:szCs w:val="14"/>
                <w:color w:val="auto"/>
              </w:rPr>
            </w:pPr>
          </w:p>
        </w:tc>
        <w:tc>
          <w:tcPr>
            <w:tcW w:w="480" w:type="dxa"/>
            <w:vAlign w:val="bottom"/>
            <w:gridSpan w:val="4"/>
          </w:tcPr>
          <w:p>
            <w:pPr>
              <w:jc w:val="right"/>
              <w:spacing w:after="0" w:line="164" w:lineRule="exact"/>
              <w:rPr>
                <w:rFonts w:ascii="Arial" w:cs="Arial" w:eastAsia="Arial" w:hAnsi="Arial"/>
                <w:sz w:val="16"/>
                <w:szCs w:val="16"/>
                <w:color w:val="0000EE"/>
              </w:rPr>
            </w:pPr>
            <w:hyperlink w:anchor="page230">
              <w:r>
                <w:rPr>
                  <w:rFonts w:ascii="Arial" w:cs="Arial" w:eastAsia="Arial" w:hAnsi="Arial"/>
                  <w:sz w:val="16"/>
                  <w:szCs w:val="16"/>
                  <w:color w:val="0000EE"/>
                </w:rPr>
                <w:t>224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4540" w:type="dxa"/>
            <w:vAlign w:val="bottom"/>
            <w:gridSpan w:val="24"/>
          </w:tcPr>
          <w:p>
            <w:pPr>
              <w:spacing w:after="0" w:line="164" w:lineRule="exact"/>
              <w:rPr>
                <w:rFonts w:ascii="Arial" w:cs="Arial" w:eastAsia="Arial" w:hAnsi="Arial"/>
                <w:sz w:val="16"/>
                <w:szCs w:val="16"/>
                <w:color w:val="0000EE"/>
              </w:rPr>
            </w:pPr>
            <w:hyperlink w:anchor="page232">
              <w:r>
                <w:rPr>
                  <w:rFonts w:ascii="Arial" w:cs="Arial" w:eastAsia="Arial" w:hAnsi="Arial"/>
                  <w:sz w:val="16"/>
                  <w:szCs w:val="16"/>
                  <w:color w:val="0000EE"/>
                </w:rPr>
                <w:t>Material Income Tax Considerations</w:t>
              </w:r>
            </w:hyperlink>
          </w:p>
        </w:tc>
        <w:tc>
          <w:tcPr>
            <w:tcW w:w="3980" w:type="dxa"/>
            <w:vAlign w:val="bottom"/>
            <w:gridSpan w:val="3"/>
          </w:tcPr>
          <w:p>
            <w:pPr>
              <w:spacing w:after="0"/>
              <w:rPr>
                <w:sz w:val="14"/>
                <w:szCs w:val="14"/>
                <w:color w:val="auto"/>
              </w:rPr>
            </w:pPr>
          </w:p>
        </w:tc>
        <w:tc>
          <w:tcPr>
            <w:tcW w:w="480" w:type="dxa"/>
            <w:vAlign w:val="bottom"/>
            <w:gridSpan w:val="4"/>
          </w:tcPr>
          <w:p>
            <w:pPr>
              <w:jc w:val="right"/>
              <w:spacing w:after="0" w:line="164" w:lineRule="exact"/>
              <w:rPr>
                <w:rFonts w:ascii="Arial" w:cs="Arial" w:eastAsia="Arial" w:hAnsi="Arial"/>
                <w:sz w:val="16"/>
                <w:szCs w:val="16"/>
                <w:color w:val="0000EE"/>
              </w:rPr>
            </w:pPr>
            <w:hyperlink w:anchor="page232">
              <w:r>
                <w:rPr>
                  <w:rFonts w:ascii="Arial" w:cs="Arial" w:eastAsia="Arial" w:hAnsi="Arial"/>
                  <w:sz w:val="16"/>
                  <w:szCs w:val="16"/>
                  <w:color w:val="0000EE"/>
                </w:rPr>
                <w:t>226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900" w:type="dxa"/>
            <w:vAlign w:val="bottom"/>
            <w:gridSpan w:val="5"/>
          </w:tcPr>
          <w:p>
            <w:pPr>
              <w:spacing w:after="0" w:line="164" w:lineRule="exact"/>
              <w:rPr>
                <w:rFonts w:ascii="Arial" w:cs="Arial" w:eastAsia="Arial" w:hAnsi="Arial"/>
                <w:sz w:val="16"/>
                <w:szCs w:val="16"/>
                <w:color w:val="0000EE"/>
                <w:w w:val="95"/>
              </w:rPr>
            </w:pPr>
            <w:hyperlink w:anchor="page241">
              <w:r>
                <w:rPr>
                  <w:rFonts w:ascii="Arial" w:cs="Arial" w:eastAsia="Arial" w:hAnsi="Arial"/>
                  <w:sz w:val="16"/>
                  <w:szCs w:val="16"/>
                  <w:color w:val="0000EE"/>
                  <w:w w:val="95"/>
                </w:rPr>
                <w:t>Underwriting</w:t>
              </w:r>
            </w:hyperlink>
          </w:p>
        </w:tc>
        <w:tc>
          <w:tcPr>
            <w:tcW w:w="1620" w:type="dxa"/>
            <w:vAlign w:val="bottom"/>
            <w:gridSpan w:val="8"/>
          </w:tcPr>
          <w:p>
            <w:pPr>
              <w:spacing w:after="0"/>
              <w:rPr>
                <w:sz w:val="14"/>
                <w:szCs w:val="14"/>
                <w:color w:val="auto"/>
              </w:rPr>
            </w:pPr>
          </w:p>
        </w:tc>
        <w:tc>
          <w:tcPr>
            <w:tcW w:w="6000" w:type="dxa"/>
            <w:vAlign w:val="bottom"/>
            <w:gridSpan w:val="14"/>
          </w:tcPr>
          <w:p>
            <w:pPr>
              <w:spacing w:after="0"/>
              <w:rPr>
                <w:sz w:val="14"/>
                <w:szCs w:val="14"/>
                <w:color w:val="auto"/>
              </w:rPr>
            </w:pPr>
          </w:p>
        </w:tc>
        <w:tc>
          <w:tcPr>
            <w:tcW w:w="480" w:type="dxa"/>
            <w:vAlign w:val="bottom"/>
            <w:gridSpan w:val="4"/>
          </w:tcPr>
          <w:p>
            <w:pPr>
              <w:jc w:val="right"/>
              <w:spacing w:after="0" w:line="164" w:lineRule="exact"/>
              <w:rPr>
                <w:rFonts w:ascii="Arial" w:cs="Arial" w:eastAsia="Arial" w:hAnsi="Arial"/>
                <w:sz w:val="16"/>
                <w:szCs w:val="16"/>
                <w:color w:val="0000EE"/>
              </w:rPr>
            </w:pPr>
            <w:hyperlink w:anchor="page241">
              <w:r>
                <w:rPr>
                  <w:rFonts w:ascii="Arial" w:cs="Arial" w:eastAsia="Arial" w:hAnsi="Arial"/>
                  <w:sz w:val="16"/>
                  <w:szCs w:val="16"/>
                  <w:color w:val="0000EE"/>
                </w:rPr>
                <w:t>235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520" w:type="dxa"/>
            <w:vAlign w:val="bottom"/>
            <w:gridSpan w:val="27"/>
          </w:tcPr>
          <w:p>
            <w:pPr>
              <w:spacing w:after="0" w:line="164" w:lineRule="exact"/>
              <w:rPr>
                <w:rFonts w:ascii="Arial" w:cs="Arial" w:eastAsia="Arial" w:hAnsi="Arial"/>
                <w:sz w:val="16"/>
                <w:szCs w:val="16"/>
                <w:color w:val="0000EE"/>
              </w:rPr>
            </w:pPr>
            <w:hyperlink w:anchor="page248">
              <w:r>
                <w:rPr>
                  <w:rFonts w:ascii="Arial" w:cs="Arial" w:eastAsia="Arial" w:hAnsi="Arial"/>
                  <w:sz w:val="16"/>
                  <w:szCs w:val="16"/>
                  <w:color w:val="0000EE"/>
                </w:rPr>
                <w:t>Legal Matters</w:t>
              </w:r>
            </w:hyperlink>
          </w:p>
        </w:tc>
        <w:tc>
          <w:tcPr>
            <w:tcW w:w="480" w:type="dxa"/>
            <w:vAlign w:val="bottom"/>
            <w:gridSpan w:val="4"/>
          </w:tcPr>
          <w:p>
            <w:pPr>
              <w:jc w:val="right"/>
              <w:spacing w:after="0" w:line="164" w:lineRule="exact"/>
              <w:rPr>
                <w:rFonts w:ascii="Arial" w:cs="Arial" w:eastAsia="Arial" w:hAnsi="Arial"/>
                <w:sz w:val="16"/>
                <w:szCs w:val="16"/>
                <w:color w:val="0000EE"/>
              </w:rPr>
            </w:pPr>
            <w:hyperlink w:anchor="page248">
              <w:r>
                <w:rPr>
                  <w:rFonts w:ascii="Arial" w:cs="Arial" w:eastAsia="Arial" w:hAnsi="Arial"/>
                  <w:sz w:val="16"/>
                  <w:szCs w:val="16"/>
                  <w:color w:val="0000EE"/>
                </w:rPr>
                <w:t>242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540" w:type="dxa"/>
            <w:vAlign w:val="bottom"/>
            <w:gridSpan w:val="2"/>
          </w:tcPr>
          <w:p>
            <w:pPr>
              <w:spacing w:after="0" w:line="164" w:lineRule="exact"/>
              <w:rPr>
                <w:rFonts w:ascii="Arial" w:cs="Arial" w:eastAsia="Arial" w:hAnsi="Arial"/>
                <w:sz w:val="16"/>
                <w:szCs w:val="16"/>
                <w:color w:val="0000EE"/>
                <w:w w:val="95"/>
              </w:rPr>
            </w:pPr>
            <w:hyperlink w:anchor="page248">
              <w:r>
                <w:rPr>
                  <w:rFonts w:ascii="Arial" w:cs="Arial" w:eastAsia="Arial" w:hAnsi="Arial"/>
                  <w:sz w:val="16"/>
                  <w:szCs w:val="16"/>
                  <w:color w:val="0000EE"/>
                  <w:w w:val="95"/>
                </w:rPr>
                <w:t>Experts</w:t>
              </w:r>
            </w:hyperlink>
          </w:p>
        </w:tc>
        <w:tc>
          <w:tcPr>
            <w:tcW w:w="420" w:type="dxa"/>
            <w:vAlign w:val="bottom"/>
            <w:gridSpan w:val="4"/>
          </w:tcPr>
          <w:p>
            <w:pPr>
              <w:spacing w:after="0"/>
              <w:rPr>
                <w:sz w:val="14"/>
                <w:szCs w:val="14"/>
                <w:color w:val="auto"/>
              </w:rPr>
            </w:pPr>
          </w:p>
        </w:tc>
        <w:tc>
          <w:tcPr>
            <w:tcW w:w="7560" w:type="dxa"/>
            <w:vAlign w:val="bottom"/>
            <w:gridSpan w:val="21"/>
          </w:tcPr>
          <w:p>
            <w:pPr>
              <w:spacing w:after="0"/>
              <w:rPr>
                <w:sz w:val="14"/>
                <w:szCs w:val="14"/>
                <w:color w:val="auto"/>
              </w:rPr>
            </w:pPr>
          </w:p>
        </w:tc>
        <w:tc>
          <w:tcPr>
            <w:tcW w:w="480" w:type="dxa"/>
            <w:vAlign w:val="bottom"/>
            <w:gridSpan w:val="4"/>
          </w:tcPr>
          <w:p>
            <w:pPr>
              <w:jc w:val="right"/>
              <w:spacing w:after="0" w:line="164" w:lineRule="exact"/>
              <w:rPr>
                <w:rFonts w:ascii="Arial" w:cs="Arial" w:eastAsia="Arial" w:hAnsi="Arial"/>
                <w:sz w:val="16"/>
                <w:szCs w:val="16"/>
                <w:color w:val="0000EE"/>
              </w:rPr>
            </w:pPr>
            <w:hyperlink w:anchor="page248">
              <w:r>
                <w:rPr>
                  <w:rFonts w:ascii="Arial" w:cs="Arial" w:eastAsia="Arial" w:hAnsi="Arial"/>
                  <w:sz w:val="16"/>
                  <w:szCs w:val="16"/>
                  <w:color w:val="0000EE"/>
                </w:rPr>
                <w:t>242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180" w:type="dxa"/>
            <w:vAlign w:val="bottom"/>
            <w:gridSpan w:val="1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460" w:type="dxa"/>
            <w:vAlign w:val="bottom"/>
            <w:gridSpan w:val="18"/>
          </w:tcPr>
          <w:p>
            <w:pPr>
              <w:spacing w:after="0" w:line="164" w:lineRule="exact"/>
              <w:rPr>
                <w:rFonts w:ascii="Arial" w:cs="Arial" w:eastAsia="Arial" w:hAnsi="Arial"/>
                <w:sz w:val="16"/>
                <w:szCs w:val="16"/>
                <w:color w:val="0000EE"/>
                <w:w w:val="98"/>
              </w:rPr>
            </w:pPr>
            <w:hyperlink w:anchor="page249">
              <w:r>
                <w:rPr>
                  <w:rFonts w:ascii="Arial" w:cs="Arial" w:eastAsia="Arial" w:hAnsi="Arial"/>
                  <w:sz w:val="16"/>
                  <w:szCs w:val="16"/>
                  <w:color w:val="0000EE"/>
                  <w:w w:val="98"/>
                </w:rPr>
                <w:t>Service of Process and Enforcement of Liabilities</w:t>
              </w:r>
            </w:hyperlink>
          </w:p>
        </w:tc>
        <w:tc>
          <w:tcPr>
            <w:tcW w:w="5060" w:type="dxa"/>
            <w:vAlign w:val="bottom"/>
            <w:gridSpan w:val="9"/>
          </w:tcPr>
          <w:p>
            <w:pPr>
              <w:spacing w:after="0"/>
              <w:rPr>
                <w:sz w:val="14"/>
                <w:szCs w:val="14"/>
                <w:color w:val="auto"/>
              </w:rPr>
            </w:pPr>
          </w:p>
        </w:tc>
        <w:tc>
          <w:tcPr>
            <w:tcW w:w="480" w:type="dxa"/>
            <w:vAlign w:val="bottom"/>
            <w:gridSpan w:val="4"/>
          </w:tcPr>
          <w:p>
            <w:pPr>
              <w:jc w:val="right"/>
              <w:spacing w:after="0" w:line="164" w:lineRule="exact"/>
              <w:rPr>
                <w:rFonts w:ascii="Arial" w:cs="Arial" w:eastAsia="Arial" w:hAnsi="Arial"/>
                <w:sz w:val="16"/>
                <w:szCs w:val="16"/>
                <w:color w:val="0000EE"/>
              </w:rPr>
            </w:pPr>
            <w:hyperlink w:anchor="page249">
              <w:r>
                <w:rPr>
                  <w:rFonts w:ascii="Arial" w:cs="Arial" w:eastAsia="Arial" w:hAnsi="Arial"/>
                  <w:sz w:val="16"/>
                  <w:szCs w:val="16"/>
                  <w:color w:val="0000EE"/>
                </w:rPr>
                <w:t>243</w:t>
              </w:r>
            </w:hyperlink>
          </w:p>
        </w:tc>
      </w:tr>
      <w:tr>
        <w:trPr>
          <w:trHeight w:val="20"/>
        </w:trPr>
        <w:tc>
          <w:tcPr>
            <w:tcW w:w="1140" w:type="dxa"/>
            <w:vAlign w:val="bottom"/>
          </w:tcPr>
          <w:p>
            <w:pPr>
              <w:spacing w:after="0" w:line="20" w:lineRule="exact"/>
              <w:rPr>
                <w:sz w:val="1"/>
                <w:szCs w:val="1"/>
                <w:color w:val="auto"/>
              </w:rPr>
            </w:pPr>
          </w:p>
        </w:tc>
        <w:tc>
          <w:tcPr>
            <w:tcW w:w="2720" w:type="dxa"/>
            <w:vAlign w:val="bottom"/>
            <w:gridSpan w:val="1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720" w:type="dxa"/>
            <w:vAlign w:val="bottom"/>
            <w:gridSpan w:val="15"/>
          </w:tcPr>
          <w:p>
            <w:pPr>
              <w:spacing w:after="0" w:line="164" w:lineRule="exact"/>
              <w:rPr>
                <w:rFonts w:ascii="Arial" w:cs="Arial" w:eastAsia="Arial" w:hAnsi="Arial"/>
                <w:sz w:val="16"/>
                <w:szCs w:val="16"/>
                <w:color w:val="0000EE"/>
                <w:w w:val="97"/>
              </w:rPr>
            </w:pPr>
            <w:hyperlink w:anchor="page251">
              <w:r>
                <w:rPr>
                  <w:rFonts w:ascii="Arial" w:cs="Arial" w:eastAsia="Arial" w:hAnsi="Arial"/>
                  <w:sz w:val="16"/>
                  <w:szCs w:val="16"/>
                  <w:color w:val="0000EE"/>
                  <w:w w:val="97"/>
                </w:rPr>
                <w:t>Where You Can Find More Information</w:t>
              </w:r>
            </w:hyperlink>
          </w:p>
        </w:tc>
        <w:tc>
          <w:tcPr>
            <w:tcW w:w="740" w:type="dxa"/>
            <w:vAlign w:val="bottom"/>
            <w:gridSpan w:val="3"/>
          </w:tcPr>
          <w:p>
            <w:pPr>
              <w:spacing w:after="0"/>
              <w:rPr>
                <w:sz w:val="14"/>
                <w:szCs w:val="14"/>
                <w:color w:val="auto"/>
              </w:rPr>
            </w:pPr>
          </w:p>
        </w:tc>
        <w:tc>
          <w:tcPr>
            <w:tcW w:w="5060" w:type="dxa"/>
            <w:vAlign w:val="bottom"/>
            <w:gridSpan w:val="9"/>
          </w:tcPr>
          <w:p>
            <w:pPr>
              <w:spacing w:after="0"/>
              <w:rPr>
                <w:sz w:val="14"/>
                <w:szCs w:val="14"/>
                <w:color w:val="auto"/>
              </w:rPr>
            </w:pPr>
          </w:p>
        </w:tc>
        <w:tc>
          <w:tcPr>
            <w:tcW w:w="480" w:type="dxa"/>
            <w:vAlign w:val="bottom"/>
            <w:gridSpan w:val="4"/>
          </w:tcPr>
          <w:p>
            <w:pPr>
              <w:jc w:val="right"/>
              <w:spacing w:after="0" w:line="164" w:lineRule="exact"/>
              <w:rPr>
                <w:rFonts w:ascii="Arial" w:cs="Arial" w:eastAsia="Arial" w:hAnsi="Arial"/>
                <w:sz w:val="16"/>
                <w:szCs w:val="16"/>
                <w:color w:val="0000EE"/>
              </w:rPr>
            </w:pPr>
            <w:hyperlink w:anchor="page251">
              <w:r>
                <w:rPr>
                  <w:rFonts w:ascii="Arial" w:cs="Arial" w:eastAsia="Arial" w:hAnsi="Arial"/>
                  <w:sz w:val="16"/>
                  <w:szCs w:val="16"/>
                  <w:color w:val="0000EE"/>
                </w:rPr>
                <w:t>245</w:t>
              </w:r>
            </w:hyperlink>
          </w:p>
        </w:tc>
      </w:tr>
      <w:tr>
        <w:trPr>
          <w:trHeight w:val="20"/>
        </w:trPr>
        <w:tc>
          <w:tcPr>
            <w:tcW w:w="1140" w:type="dxa"/>
            <w:vAlign w:val="bottom"/>
          </w:tcPr>
          <w:p>
            <w:pPr>
              <w:spacing w:after="0" w:line="20" w:lineRule="exact"/>
              <w:rPr>
                <w:sz w:val="1"/>
                <w:szCs w:val="1"/>
                <w:color w:val="auto"/>
              </w:rPr>
            </w:pPr>
          </w:p>
        </w:tc>
        <w:tc>
          <w:tcPr>
            <w:tcW w:w="2720" w:type="dxa"/>
            <w:vAlign w:val="bottom"/>
            <w:gridSpan w:val="1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60" w:type="dxa"/>
            <w:vAlign w:val="bottom"/>
            <w:gridSpan w:val="10"/>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520" w:type="dxa"/>
            <w:vAlign w:val="bottom"/>
            <w:gridSpan w:val="27"/>
          </w:tcPr>
          <w:p>
            <w:pPr>
              <w:spacing w:after="0" w:line="164" w:lineRule="exact"/>
              <w:rPr>
                <w:rFonts w:ascii="Arial" w:cs="Arial" w:eastAsia="Arial" w:hAnsi="Arial"/>
                <w:sz w:val="16"/>
                <w:szCs w:val="16"/>
                <w:color w:val="0000EE"/>
              </w:rPr>
            </w:pPr>
            <w:hyperlink w:anchor="page252">
              <w:r>
                <w:rPr>
                  <w:rFonts w:ascii="Arial" w:cs="Arial" w:eastAsia="Arial" w:hAnsi="Arial"/>
                  <w:sz w:val="16"/>
                  <w:szCs w:val="16"/>
                  <w:color w:val="0000EE"/>
                </w:rPr>
                <w:t>Index to Consolidated Financial Statements</w:t>
              </w:r>
            </w:hyperlink>
          </w:p>
        </w:tc>
        <w:tc>
          <w:tcPr>
            <w:tcW w:w="240" w:type="dxa"/>
            <w:vAlign w:val="bottom"/>
          </w:tcPr>
          <w:p>
            <w:pPr>
              <w:spacing w:after="0"/>
              <w:rPr>
                <w:sz w:val="14"/>
                <w:szCs w:val="14"/>
                <w:color w:val="auto"/>
              </w:rPr>
            </w:pPr>
          </w:p>
        </w:tc>
        <w:tc>
          <w:tcPr>
            <w:tcW w:w="240" w:type="dxa"/>
            <w:vAlign w:val="bottom"/>
            <w:gridSpan w:val="3"/>
          </w:tcPr>
          <w:p>
            <w:pPr>
              <w:jc w:val="right"/>
              <w:spacing w:after="0" w:line="164" w:lineRule="exact"/>
              <w:rPr>
                <w:rFonts w:ascii="Arial" w:cs="Arial" w:eastAsia="Arial" w:hAnsi="Arial"/>
                <w:sz w:val="16"/>
                <w:szCs w:val="16"/>
                <w:color w:val="0000EE"/>
                <w:w w:val="91"/>
              </w:rPr>
            </w:pPr>
            <w:hyperlink w:anchor="page252">
              <w:r>
                <w:rPr>
                  <w:rFonts w:ascii="Arial" w:cs="Arial" w:eastAsia="Arial" w:hAnsi="Arial"/>
                  <w:sz w:val="16"/>
                  <w:szCs w:val="16"/>
                  <w:color w:val="0000EE"/>
                  <w:w w:val="91"/>
                </w:rPr>
                <w:t>F-1</w:t>
              </w:r>
            </w:hyperlink>
          </w:p>
        </w:tc>
      </w:tr>
      <w:tr>
        <w:trPr>
          <w:trHeight w:val="200"/>
        </w:trPr>
        <w:tc>
          <w:tcPr>
            <w:tcW w:w="11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bl>
    <w:p>
      <w:pPr>
        <w:spacing w:after="0" w:line="200" w:lineRule="exact"/>
        <w:rPr>
          <w:sz w:val="20"/>
          <w:szCs w:val="20"/>
          <w:color w:val="auto"/>
        </w:rPr>
      </w:pPr>
    </w:p>
    <w:p>
      <w:pPr>
        <w:spacing w:after="0" w:line="292" w:lineRule="exact"/>
        <w:rPr>
          <w:sz w:val="20"/>
          <w:szCs w:val="20"/>
          <w:color w:val="auto"/>
        </w:rPr>
      </w:pPr>
    </w:p>
    <w:p>
      <w:pPr>
        <w:ind w:right="100" w:firstLine="442"/>
        <w:spacing w:after="0" w:line="242" w:lineRule="auto"/>
        <w:rPr>
          <w:sz w:val="20"/>
          <w:szCs w:val="20"/>
          <w:color w:val="auto"/>
        </w:rPr>
      </w:pPr>
      <w:r>
        <w:rPr>
          <w:rFonts w:ascii="Arial" w:cs="Arial" w:eastAsia="Arial" w:hAnsi="Arial"/>
          <w:sz w:val="16"/>
          <w:szCs w:val="16"/>
          <w:color w:val="auto"/>
        </w:rPr>
        <w:t>We have not, and the underwriters have not, authorized any person to provide you with information different from that contained in this prospectus or any related free-writing prospectus that we authorize to be distributed to you. This prospectus is not an offer to sell, nor is it seeking an offer to buy, these securities in any jurisdiction where the offer or sale is not permitted. The information in this prospectus speaks only as of the date of this prospectus unless the information specifically indicates that another date applies, regardless of the time of delivery of this prospectus or of any sale of the securities offered hereby.</w:t>
      </w:r>
    </w:p>
    <w:p>
      <w:pPr>
        <w:spacing w:after="0" w:line="187"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ADSs and the distribution of this prospectus outside of the United States.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ABOUT THIS PROSPECTUS</w:t>
      </w:r>
    </w:p>
    <w:p>
      <w:pPr>
        <w:spacing w:after="0" w:line="215" w:lineRule="exact"/>
        <w:rPr>
          <w:sz w:val="20"/>
          <w:szCs w:val="20"/>
          <w:color w:val="auto"/>
        </w:rPr>
      </w:pPr>
    </w:p>
    <w:p>
      <w:pPr>
        <w:ind w:right="440" w:firstLine="442"/>
        <w:spacing w:after="0" w:line="249" w:lineRule="auto"/>
        <w:rPr>
          <w:sz w:val="20"/>
          <w:szCs w:val="20"/>
          <w:color w:val="auto"/>
        </w:rPr>
      </w:pPr>
      <w:r>
        <w:rPr>
          <w:rFonts w:ascii="Arial" w:cs="Arial" w:eastAsia="Arial" w:hAnsi="Arial"/>
          <w:sz w:val="16"/>
          <w:szCs w:val="16"/>
          <w:color w:val="auto"/>
        </w:rPr>
        <w:t>Prior to the completion of this offering, we intend to re-register Bicycle Therapeutics Limited as a public limited company and to change our name from Bicycle Therapeutics Limited to Bicycle Therapeutics plc.</w:t>
      </w:r>
    </w:p>
    <w:p>
      <w:pPr>
        <w:spacing w:after="0" w:line="181" w:lineRule="exact"/>
        <w:rPr>
          <w:sz w:val="20"/>
          <w:szCs w:val="20"/>
          <w:color w:val="auto"/>
        </w:rPr>
      </w:pPr>
    </w:p>
    <w:p>
      <w:pPr>
        <w:ind w:right="80" w:firstLine="442"/>
        <w:spacing w:after="0" w:line="264" w:lineRule="auto"/>
        <w:rPr>
          <w:sz w:val="20"/>
          <w:szCs w:val="20"/>
          <w:color w:val="auto"/>
        </w:rPr>
      </w:pPr>
      <w:r>
        <w:rPr>
          <w:rFonts w:ascii="Arial" w:cs="Arial" w:eastAsia="Arial" w:hAnsi="Arial"/>
          <w:sz w:val="15"/>
          <w:szCs w:val="15"/>
          <w:color w:val="auto"/>
        </w:rPr>
        <w:t>Unless otherwise indicated or the context otherwise requires, all references in this prospectus to the terms "Bicycle Therapeutics Limited," "Bicycle Therapeutics plc," "the company," "we," "us" and "our" refer to (i) Bicycle Therapeutics Limited and its wholly owned subsidiaries prior to the re-registration of Bicycle Therapeutics Limited as a public company, and (ii) Bicycle Therapeutics plc and its subsidiaries after the re-registration of Bicycle Therapeutics Limited as a public limited company, which shall occur prior to the completion of this offering. See "Share Capital Reorganization and Re-Registration" for more information.</w:t>
      </w:r>
    </w:p>
    <w:p>
      <w:pPr>
        <w:spacing w:after="0" w:line="170"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We own various trademark registrations and applications, and unregistered trademarks, including our name and our corporate logo. All other trade names, trademarks and service marks of other companies appearing in this prospectus are the property of their respective holders.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PRESENTATION OF FINANCIAL INFORMATION</w:t>
      </w:r>
    </w:p>
    <w:p>
      <w:pPr>
        <w:spacing w:after="0" w:line="215" w:lineRule="exact"/>
        <w:rPr>
          <w:sz w:val="20"/>
          <w:szCs w:val="20"/>
          <w:color w:val="auto"/>
        </w:rPr>
      </w:pPr>
    </w:p>
    <w:p>
      <w:pPr>
        <w:ind w:right="320" w:firstLine="442"/>
        <w:spacing w:after="0" w:line="242" w:lineRule="auto"/>
        <w:rPr>
          <w:sz w:val="20"/>
          <w:szCs w:val="20"/>
          <w:color w:val="auto"/>
        </w:rPr>
      </w:pPr>
      <w:r>
        <w:rPr>
          <w:rFonts w:ascii="Arial" w:cs="Arial" w:eastAsia="Arial" w:hAnsi="Arial"/>
          <w:sz w:val="16"/>
          <w:szCs w:val="16"/>
          <w:color w:val="auto"/>
        </w:rPr>
        <w:t>We maintain the books and records of Bicycle Therapeutics Limited, and its wholly owned subsidiaries in the United Kingdom, BicycleTx Limited and BicycleRD Limited in pounds sterling. For financial reporting, our results are translated to U.S. dollars and we prepare our consolidated financial statements in accordance with generally accepted accounting principles in the United States, or U.S. GAAP, as issued by the Financial Accounting Standards Board. All references in this prospectus to "$" are to U.S. dollars and all references to "£" are to pounds sterling.</w:t>
      </w:r>
    </w:p>
    <w:p>
      <w:pPr>
        <w:spacing w:after="0" w:line="187"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Unless otherwise indicated, certain pounds sterling amounts contained in this prospectus have been translated into U.S. dollars at the rate of $1.2763 to £1.00, which was the noon buying rate of the Federal Reserve Bank of New York on December 31, 2018, the last business day of the year ended December 31, 2018. These translations should not be considered representations that any such amounts have been, could have been or could be converted into pounds sterling at that or any other exchange rate as of that or any other date. See "Exchange Rate Information" for more information.</w:t>
      </w:r>
    </w:p>
    <w:p>
      <w:pPr>
        <w:spacing w:after="0" w:line="187"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We have made rounding adjustments to some of the figures included in this prospectus. Accordingly, numerical figures shown as totals in some tables may not be an arithmetic aggregation of the figures that preceded them. We have historically conducted our business through Bicycle Therapeutics Limited's subsidiaries, BicycleRD Limited, BicycleTx Limited and Bicycle Therapeutics Inc., and therefore our historical consolidated financial statements present the consolidated results of operations of Bicycle Therapeutics Limited. After the re-registration of Bicycle Therapeutics Limited into Bicycle Therapeutics plc and following the completion of this offering, our consolidated financial statements will present the consolidated results of operations of Bicycle Therapeutics plc.</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64400" cy="4880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4400" cy="488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PROSPECTUS SUMMARY</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Overview</w:t>
      </w:r>
    </w:p>
    <w:p>
      <w:pPr>
        <w:spacing w:after="0" w:line="199" w:lineRule="exact"/>
        <w:rPr>
          <w:sz w:val="20"/>
          <w:szCs w:val="20"/>
          <w:color w:val="auto"/>
        </w:rPr>
      </w:pPr>
    </w:p>
    <w:p>
      <w:pPr>
        <w:ind w:left="200" w:right="80" w:firstLine="442"/>
        <w:spacing w:after="0" w:line="245" w:lineRule="auto"/>
        <w:rPr>
          <w:sz w:val="20"/>
          <w:szCs w:val="20"/>
          <w:color w:val="auto"/>
        </w:rPr>
      </w:pPr>
      <w:r>
        <w:rPr>
          <w:rFonts w:ascii="Arial" w:cs="Arial" w:eastAsia="Arial" w:hAnsi="Arial"/>
          <w:sz w:val="16"/>
          <w:szCs w:val="16"/>
          <w:color w:val="auto"/>
        </w:rPr>
        <w:t xml:space="preserve">We are a clinical-stage biopharmaceutical company developing a novel class of medicines, which we refer to as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for diseases that are underserved by existing therapeutics.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fully synthetic short peptides constrained to form two loops which stabilize their structural geometry. This constraint is designed to confer high affinity and selectivity and the relatively large surface area presented by the molecule allows targets to be drugged that have historically been intractable to non-biological approaches.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a unique therapeutic modality combining the pharmacology usually associated with a biologic with the manufacturing and pharmacokinetic, or PK, properties of a small molecule.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excreted by the kidney rather than the liver and have shown no signs of immunogenicity to date, which we believe together support a favorable toxicological profile.</w:t>
      </w:r>
    </w:p>
    <w:p>
      <w:pPr>
        <w:spacing w:after="0" w:line="169" w:lineRule="exact"/>
        <w:rPr>
          <w:sz w:val="20"/>
          <w:szCs w:val="20"/>
          <w:color w:val="auto"/>
        </w:rPr>
      </w:pPr>
    </w:p>
    <w:p>
      <w:pPr>
        <w:ind w:left="200" w:right="100" w:firstLine="442"/>
        <w:spacing w:after="0" w:line="245" w:lineRule="auto"/>
        <w:rPr>
          <w:sz w:val="20"/>
          <w:szCs w:val="20"/>
          <w:color w:val="auto"/>
        </w:rPr>
      </w:pPr>
      <w:r>
        <w:rPr>
          <w:rFonts w:ascii="Arial" w:cs="Arial" w:eastAsia="Arial" w:hAnsi="Arial"/>
          <w:sz w:val="16"/>
          <w:szCs w:val="16"/>
          <w:color w:val="auto"/>
        </w:rPr>
        <w:t xml:space="preserve">We have a novel and proprietary phage display screening platform which we use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 an efficient manner. The platform initially displays linear peptides on the surface of engineered bacteriophages, or phages, before "on-phage" cyclization with a range of small molecule scaffolds which can confer differentiated physicochemical and structural properties. Our platform encodes quadrillions of potential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which can be screened to identify molecules for optimization to potential product candidates. We have used this powerful screening technology to identify our current portfolio of candidates in oncology and intend to use it in conjunction with our collaborators to seek to develop additional future candidates across a range of other disease areas.</w:t>
      </w:r>
    </w:p>
    <w:p>
      <w:pPr>
        <w:spacing w:after="0" w:line="169" w:lineRule="exact"/>
        <w:rPr>
          <w:sz w:val="20"/>
          <w:szCs w:val="20"/>
          <w:color w:val="auto"/>
        </w:rPr>
      </w:pPr>
    </w:p>
    <w:p>
      <w:pPr>
        <w:ind w:left="200" w:firstLine="442"/>
        <w:spacing w:after="0" w:line="243" w:lineRule="auto"/>
        <w:rPr>
          <w:sz w:val="20"/>
          <w:szCs w:val="20"/>
          <w:color w:val="auto"/>
        </w:rPr>
      </w:pPr>
      <w:r>
        <w:rPr>
          <w:rFonts w:ascii="Arial" w:cs="Arial" w:eastAsia="Arial" w:hAnsi="Arial"/>
          <w:sz w:val="16"/>
          <w:szCs w:val="16"/>
          <w:color w:val="auto"/>
        </w:rPr>
        <w:t xml:space="preserve">Our initial internal programs are focused on oncology indications with high unmet medical need. Our lead product candidate, BT1718, is a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Toxin Conjugate, or BTC. This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is being developed to target tumors that express Membrane Type 1 matrix metalloprotease, or MT1-MMP.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is chemically attached to a toxin that when administered is cleaved from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and kills the tumor cells. BT1718 is being investigated for safety, tolerability and efficacy in an ongoing Phase I/IIa clinical trial in collaboration with, and fully funded by, the Centre for Drug Development of Cancer Research UK, or CRUK. We expect to report preliminary data from the Phase I part of this clinical trial in the second half of 2019. We are also developing BT5528 and BT8009, which are BTCs targeting Ephrin type-A receptor 2, or EphA2, and Nectin-4, respectively, for oncology indications. BT5528 and BT8009 are being investigated for safety, activity and to establish a rationale for therapeutic use in preclinical studies. We are currently conducting Investigational New Drug application, or IND, -enabling activities for BT5528 and BT8009. Our discovery pipeline in oncology includes </w:t>
      </w:r>
      <w:r>
        <w:rPr>
          <w:rFonts w:ascii="Arial" w:cs="Arial" w:eastAsia="Arial" w:hAnsi="Arial"/>
          <w:sz w:val="16"/>
          <w:szCs w:val="16"/>
          <w:i w:val="1"/>
          <w:iCs w:val="1"/>
          <w:color w:val="auto"/>
        </w:rPr>
        <w:t>Bicycle</w:t>
      </w:r>
      <w:r>
        <w:rPr>
          <w:rFonts w:ascii="Arial" w:cs="Arial" w:eastAsia="Arial" w:hAnsi="Arial"/>
          <w:sz w:val="16"/>
          <w:szCs w:val="16"/>
          <w:color w:val="auto"/>
        </w:rPr>
        <w:t>-targeted innate immune activators, as well as T-cell modulators.</w:t>
      </w:r>
    </w:p>
    <w:p>
      <w:pPr>
        <w:spacing w:after="0" w:line="186" w:lineRule="exact"/>
        <w:rPr>
          <w:sz w:val="20"/>
          <w:szCs w:val="20"/>
          <w:color w:val="auto"/>
        </w:rPr>
      </w:pPr>
    </w:p>
    <w:p>
      <w:pPr>
        <w:ind w:left="200" w:right="80" w:firstLine="442"/>
        <w:spacing w:after="0" w:line="244" w:lineRule="auto"/>
        <w:rPr>
          <w:sz w:val="20"/>
          <w:szCs w:val="20"/>
          <w:color w:val="auto"/>
        </w:rPr>
      </w:pPr>
      <w:r>
        <w:rPr>
          <w:rFonts w:ascii="Arial" w:cs="Arial" w:eastAsia="Arial" w:hAnsi="Arial"/>
          <w:sz w:val="16"/>
          <w:szCs w:val="16"/>
          <w:color w:val="auto"/>
        </w:rPr>
        <w:t xml:space="preserve">Beyond oncology, we are collaborating with biopharmaceutical companies and organizations in therapeutic areas where we believe our proprietary </w:t>
      </w:r>
      <w:r>
        <w:rPr>
          <w:rFonts w:ascii="Arial" w:cs="Arial" w:eastAsia="Arial" w:hAnsi="Arial"/>
          <w:sz w:val="16"/>
          <w:szCs w:val="16"/>
          <w:i w:val="1"/>
          <w:iCs w:val="1"/>
          <w:color w:val="auto"/>
        </w:rPr>
        <w:t xml:space="preserve">Bicycle </w:t>
      </w:r>
      <w:r>
        <w:rPr>
          <w:rFonts w:ascii="Arial" w:cs="Arial" w:eastAsia="Arial" w:hAnsi="Arial"/>
          <w:sz w:val="16"/>
          <w:szCs w:val="16"/>
          <w:color w:val="auto"/>
        </w:rPr>
        <w:t>screening platform can identify therapies to treat diseases with significant unmet medical need. Our partnered programs outside of oncology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collaborations for anti-bacterial, cardiovascular, hematology, ophthalmology and respiratory indications.</w:t>
      </w:r>
    </w:p>
    <w:p>
      <w:pPr>
        <w:spacing w:after="0" w:line="185" w:lineRule="exact"/>
        <w:rPr>
          <w:sz w:val="20"/>
          <w:szCs w:val="20"/>
          <w:color w:val="auto"/>
        </w:rPr>
      </w:pPr>
    </w:p>
    <w:p>
      <w:pPr>
        <w:ind w:left="200" w:right="20" w:firstLine="442"/>
        <w:spacing w:after="0" w:line="241" w:lineRule="auto"/>
        <w:rPr>
          <w:sz w:val="20"/>
          <w:szCs w:val="20"/>
          <w:color w:val="auto"/>
        </w:rPr>
      </w:pPr>
      <w:r>
        <w:rPr>
          <w:rFonts w:ascii="Arial" w:cs="Arial" w:eastAsia="Arial" w:hAnsi="Arial"/>
          <w:sz w:val="16"/>
          <w:szCs w:val="16"/>
          <w:color w:val="auto"/>
        </w:rPr>
        <w:t xml:space="preserve">We were founded in 2009 based on innovative science conducted by Sir Greg Winter and Professor Christian Heinis. Sir Greg Winter is a pioneer in monoclonal antibodies and, in 2018, was awarded a Nobel prize in chemistry for the invention of the technology underpinning our proprietary phage display screening platform that we use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Since our founding, we have generated substantial intellectual property, including three patent families directed to novel scaffolds, 11 patent families directed to our platform technology, 63 patent families directed to bicyclic peptides and related conjugates, and six patent families directed to clinical indications and other properties of development assets. The work we have conducted in developing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6263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4400" cy="626300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proprietary screening platform have created substantial know-how that we believe provides us with a competitive advantage.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Introduction to </w:t>
      </w:r>
      <w:r>
        <w:rPr>
          <w:rFonts w:ascii="Arial" w:cs="Arial" w:eastAsia="Arial" w:hAnsi="Arial"/>
          <w:sz w:val="16"/>
          <w:szCs w:val="16"/>
          <w:b w:val="1"/>
          <w:bCs w:val="1"/>
          <w:i w:val="1"/>
          <w:iCs w:val="1"/>
          <w:color w:val="auto"/>
        </w:rPr>
        <w:t>Bicycles</w:t>
      </w:r>
    </w:p>
    <w:p>
      <w:pPr>
        <w:spacing w:after="0" w:line="199" w:lineRule="exact"/>
        <w:rPr>
          <w:sz w:val="20"/>
          <w:szCs w:val="20"/>
          <w:color w:val="auto"/>
        </w:rPr>
      </w:pPr>
    </w:p>
    <w:p>
      <w:pPr>
        <w:ind w:left="200" w:firstLine="442"/>
        <w:spacing w:after="0" w:line="249" w:lineRule="auto"/>
        <w:rPr>
          <w:sz w:val="20"/>
          <w:szCs w:val="20"/>
          <w:color w:val="auto"/>
        </w:rPr>
      </w:pPr>
      <w:r>
        <w:rPr>
          <w:rFonts w:ascii="Arial" w:cs="Arial" w:eastAsia="Arial" w:hAnsi="Arial"/>
          <w:sz w:val="16"/>
          <w:szCs w:val="16"/>
          <w:i w:val="1"/>
          <w:iCs w:val="1"/>
          <w:color w:val="auto"/>
        </w:rPr>
        <w:t xml:space="preserve">Bicycles </w:t>
      </w:r>
      <w:r>
        <w:rPr>
          <w:rFonts w:ascii="Arial" w:cs="Arial" w:eastAsia="Arial" w:hAnsi="Arial"/>
          <w:sz w:val="16"/>
          <w:szCs w:val="16"/>
          <w:color w:val="auto"/>
        </w:rPr>
        <w:t>are fully synthetic, short peptides consisting of nine to 15 amino acids constrained to form two loops which stabilize the structural geometry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peptide and facilitate target binding with high affinity and selectivity.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represent a unique therapeutic class, combining the pharmacological properties normally associated with a biologic with the manufacturing and PK advantages of a small molecule, with no signs of immunogenicity observed to date.</w:t>
      </w:r>
    </w:p>
    <w:p>
      <w:pPr>
        <w:spacing w:after="0" w:line="182" w:lineRule="exact"/>
        <w:rPr>
          <w:sz w:val="20"/>
          <w:szCs w:val="20"/>
          <w:color w:val="auto"/>
        </w:rPr>
      </w:pPr>
    </w:p>
    <w:p>
      <w:pPr>
        <w:ind w:left="200" w:right="40" w:firstLine="442"/>
        <w:spacing w:after="0" w:line="241" w:lineRule="auto"/>
        <w:rPr>
          <w:sz w:val="20"/>
          <w:szCs w:val="20"/>
          <w:color w:val="auto"/>
        </w:rPr>
      </w:pPr>
      <w:r>
        <w:rPr>
          <w:rFonts w:ascii="Arial" w:cs="Arial" w:eastAsia="Arial" w:hAnsi="Arial"/>
          <w:sz w:val="16"/>
          <w:szCs w:val="16"/>
          <w:color w:val="auto"/>
        </w:rPr>
        <w:t xml:space="preserve">Drugs must bind to target proteins with high affinity and selectivity to achieve a therapeutic effect, while minimizing undesired effects on other proteins and physiological functions. Peptides exist in a number of folded states, only a few of which are able to bind to target proteins, and a key challenge for peptide therapeutics is designing structures that achieve these goals. We have designed our molecules to be highly constrained by linking a chemical connector compound, also known as a scaffold, to particular amino acids in the peptide chain. The resulting cyclized molecule, which we refer to as a </w:t>
      </w:r>
      <w:r>
        <w:rPr>
          <w:rFonts w:ascii="Arial" w:cs="Arial" w:eastAsia="Arial" w:hAnsi="Arial"/>
          <w:sz w:val="16"/>
          <w:szCs w:val="16"/>
          <w:i w:val="1"/>
          <w:iCs w:val="1"/>
          <w:color w:val="auto"/>
        </w:rPr>
        <w:t>Bicycle</w:t>
      </w:r>
      <w:r>
        <w:rPr>
          <w:rFonts w:ascii="Arial" w:cs="Arial" w:eastAsia="Arial" w:hAnsi="Arial"/>
          <w:sz w:val="16"/>
          <w:szCs w:val="16"/>
          <w:color w:val="auto"/>
        </w:rPr>
        <w:t>, is locked in the preferred state to bind to the target proteins.</w:t>
      </w:r>
    </w:p>
    <w:p>
      <w:pPr>
        <w:spacing w:after="0" w:line="354"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Schematic of the Creation of a Cyclized Molecule Resulting in a Bicycle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right="60" w:firstLine="442"/>
        <w:spacing w:after="0" w:line="214" w:lineRule="auto"/>
        <w:rPr>
          <w:sz w:val="20"/>
          <w:szCs w:val="20"/>
          <w:color w:val="auto"/>
        </w:rPr>
      </w:pPr>
      <w:r>
        <w:rPr>
          <w:rFonts w:ascii="Arial" w:cs="Arial" w:eastAsia="Arial" w:hAnsi="Arial"/>
          <w:sz w:val="16"/>
          <w:szCs w:val="16"/>
          <w:color w:val="auto"/>
        </w:rPr>
        <w:t>We have expanded the diversity of the chemical space we can cover from approximately 10</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potential molecules in 2009 to 10</w:t>
      </w:r>
      <w:r>
        <w:rPr>
          <w:rFonts w:ascii="Arial" w:cs="Arial" w:eastAsia="Arial" w:hAnsi="Arial"/>
          <w:sz w:val="26"/>
          <w:szCs w:val="26"/>
          <w:color w:val="auto"/>
          <w:vertAlign w:val="superscript"/>
        </w:rPr>
        <w:t>17</w:t>
      </w:r>
      <w:r>
        <w:rPr>
          <w:rFonts w:ascii="Arial" w:cs="Arial" w:eastAsia="Arial" w:hAnsi="Arial"/>
          <w:sz w:val="16"/>
          <w:szCs w:val="16"/>
          <w:color w:val="auto"/>
        </w:rPr>
        <w:t xml:space="preserve"> today. We have applied our novel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modality to a growing range of targets, from a single target in 2009 to more than 90 today. We can create a wide range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by varying four parameters:</w:t>
      </w:r>
    </w:p>
    <w:p>
      <w:pPr>
        <w:spacing w:after="0" w:line="200" w:lineRule="exact"/>
        <w:rPr>
          <w:sz w:val="20"/>
          <w:szCs w:val="20"/>
          <w:color w:val="auto"/>
        </w:rPr>
      </w:pPr>
    </w:p>
    <w:p>
      <w:pPr>
        <w:ind w:left="1180" w:hanging="481"/>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number of amino acids in the two loops;</w:t>
      </w:r>
    </w:p>
    <w:p>
      <w:pPr>
        <w:spacing w:after="0" w:line="182" w:lineRule="exact"/>
        <w:rPr>
          <w:rFonts w:ascii="Arial" w:cs="Arial" w:eastAsia="Arial" w:hAnsi="Arial"/>
          <w:sz w:val="16"/>
          <w:szCs w:val="16"/>
          <w:color w:val="auto"/>
        </w:rPr>
      </w:pPr>
    </w:p>
    <w:p>
      <w:pPr>
        <w:ind w:left="1180" w:hanging="481"/>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amino acid composition at each position;</w:t>
      </w:r>
    </w:p>
    <w:p>
      <w:pPr>
        <w:spacing w:after="0" w:line="182" w:lineRule="exact"/>
        <w:rPr>
          <w:rFonts w:ascii="Arial" w:cs="Arial" w:eastAsia="Arial" w:hAnsi="Arial"/>
          <w:sz w:val="16"/>
          <w:szCs w:val="16"/>
          <w:color w:val="auto"/>
        </w:rPr>
      </w:pPr>
    </w:p>
    <w:p>
      <w:pPr>
        <w:ind w:left="1180" w:hanging="481"/>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symmetry of the two loops; and</w:t>
      </w:r>
    </w:p>
    <w:p>
      <w:pPr>
        <w:spacing w:after="0" w:line="179" w:lineRule="exact"/>
        <w:rPr>
          <w:rFonts w:ascii="Arial" w:cs="Arial" w:eastAsia="Arial" w:hAnsi="Arial"/>
          <w:sz w:val="16"/>
          <w:szCs w:val="16"/>
          <w:color w:val="auto"/>
        </w:rPr>
      </w:pPr>
    </w:p>
    <w:p>
      <w:pPr>
        <w:ind w:left="1180" w:hanging="481"/>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small molecule scaffold used to cyclize the </w:t>
      </w:r>
      <w:r>
        <w:rPr>
          <w:rFonts w:ascii="Arial" w:cs="Arial" w:eastAsia="Arial" w:hAnsi="Arial"/>
          <w:sz w:val="16"/>
          <w:szCs w:val="16"/>
          <w:i w:val="1"/>
          <w:iCs w:val="1"/>
          <w:color w:val="auto"/>
        </w:rPr>
        <w:t>Bicycle</w:t>
      </w:r>
      <w:r>
        <w:rPr>
          <w:rFonts w:ascii="Arial" w:cs="Arial" w:eastAsia="Arial" w:hAnsi="Arial"/>
          <w:sz w:val="16"/>
          <w:szCs w:val="16"/>
          <w:color w:val="auto"/>
        </w:rPr>
        <w:t>.</w:t>
      </w:r>
    </w:p>
    <w:p>
      <w:pPr>
        <w:spacing w:after="0" w:line="195" w:lineRule="exact"/>
        <w:rPr>
          <w:sz w:val="20"/>
          <w:szCs w:val="20"/>
          <w:color w:val="auto"/>
        </w:rPr>
      </w:pPr>
    </w:p>
    <w:p>
      <w:pPr>
        <w:ind w:left="200" w:right="20" w:firstLine="442"/>
        <w:spacing w:after="0" w:line="267" w:lineRule="auto"/>
        <w:rPr>
          <w:sz w:val="20"/>
          <w:szCs w:val="20"/>
          <w:color w:val="auto"/>
        </w:rPr>
      </w:pPr>
      <w:r>
        <w:rPr>
          <w:rFonts w:ascii="Arial" w:cs="Arial" w:eastAsia="Arial" w:hAnsi="Arial"/>
          <w:sz w:val="15"/>
          <w:szCs w:val="15"/>
          <w:i w:val="1"/>
          <w:iCs w:val="1"/>
          <w:color w:val="auto"/>
        </w:rPr>
        <w:t xml:space="preserve">Bicycles </w:t>
      </w:r>
      <w:r>
        <w:rPr>
          <w:rFonts w:ascii="Arial" w:cs="Arial" w:eastAsia="Arial" w:hAnsi="Arial"/>
          <w:sz w:val="15"/>
          <w:szCs w:val="15"/>
          <w:color w:val="auto"/>
        </w:rPr>
        <w:t>have a large surface area available for target binding, which is designed to allow high affinity and selectivity to the designated target. As short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sequences of amino acids, or peptides, they have a low molecular weight, typically ranging from 1.5 kDa to 2.0 kDa. </w:t>
      </w:r>
      <w:r>
        <w:rPr>
          <w:rFonts w:ascii="Arial" w:cs="Arial" w:eastAsia="Arial" w:hAnsi="Arial"/>
          <w:sz w:val="15"/>
          <w:szCs w:val="15"/>
          <w:i w:val="1"/>
          <w:iCs w:val="1"/>
          <w:color w:val="auto"/>
        </w:rPr>
        <w:t>Bicycles</w:t>
      </w:r>
      <w:r>
        <w:rPr>
          <w:rFonts w:ascii="Arial" w:cs="Arial" w:eastAsia="Arial" w:hAnsi="Arial"/>
          <w:sz w:val="15"/>
          <w:szCs w:val="15"/>
          <w:color w:val="auto"/>
        </w:rPr>
        <w:t xml:space="preserve"> have a readily adjustable PK profile with good plasma stability and rapid distribution from the vasculature into the extracellular space. This PK profile enables rapid tissue penetration and a renal route of elimination that minimizes liver exposure. Toxicity issues are observed with small molecules that are metabolized and eliminated by the liver. </w:t>
      </w:r>
      <w:r>
        <w:rPr>
          <w:rFonts w:ascii="Arial" w:cs="Arial" w:eastAsia="Arial" w:hAnsi="Arial"/>
          <w:sz w:val="15"/>
          <w:szCs w:val="15"/>
          <w:i w:val="1"/>
          <w:iCs w:val="1"/>
          <w:color w:val="auto"/>
        </w:rPr>
        <w:t xml:space="preserve">Bicycle </w:t>
      </w:r>
      <w:r>
        <w:rPr>
          <w:rFonts w:ascii="Arial" w:cs="Arial" w:eastAsia="Arial" w:hAnsi="Arial"/>
          <w:sz w:val="15"/>
          <w:szCs w:val="15"/>
          <w:color w:val="auto"/>
        </w:rPr>
        <w:t>peptides, by contrast, are not subject to metabolism or elimination by the liver but are metabolized in the peripheral circulation or kidney</w:t>
      </w:r>
    </w:p>
    <w:p>
      <w:pPr>
        <w:spacing w:after="0" w:line="200" w:lineRule="exact"/>
        <w:rPr>
          <w:sz w:val="20"/>
          <w:szCs w:val="20"/>
          <w:color w:val="auto"/>
        </w:rPr>
      </w:pPr>
    </w:p>
    <w:p>
      <w:pPr>
        <w:spacing w:after="0" w:line="37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5587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4400" cy="558736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0" w:right="260"/>
        <w:spacing w:after="0" w:line="244" w:lineRule="auto"/>
        <w:rPr>
          <w:sz w:val="20"/>
          <w:szCs w:val="20"/>
          <w:color w:val="auto"/>
        </w:rPr>
      </w:pPr>
      <w:r>
        <w:rPr>
          <w:rFonts w:ascii="Arial" w:cs="Arial" w:eastAsia="Arial" w:hAnsi="Arial"/>
          <w:sz w:val="16"/>
          <w:szCs w:val="16"/>
          <w:color w:val="auto"/>
        </w:rPr>
        <w:t xml:space="preserve">with subsequent rapid excretion in the urine. Consequently, by increasing excretion in urine, the liver exposure is minimized and the risk of liver toxicity is reduced. The modular nature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allows us to optimize therapeutic molecules for specific targets. To date, we have observed no signs of immunogenicity.</w:t>
      </w:r>
    </w:p>
    <w:p>
      <w:pPr>
        <w:spacing w:after="0" w:line="169" w:lineRule="exact"/>
        <w:rPr>
          <w:sz w:val="20"/>
          <w:szCs w:val="20"/>
          <w:color w:val="auto"/>
        </w:rPr>
      </w:pPr>
    </w:p>
    <w:p>
      <w:pPr>
        <w:ind w:left="200" w:firstLine="442"/>
        <w:spacing w:after="0" w:line="267" w:lineRule="auto"/>
        <w:rPr>
          <w:sz w:val="20"/>
          <w:szCs w:val="20"/>
          <w:color w:val="auto"/>
        </w:rPr>
      </w:pPr>
      <w:r>
        <w:rPr>
          <w:rFonts w:ascii="Arial" w:cs="Arial" w:eastAsia="Arial" w:hAnsi="Arial"/>
          <w:sz w:val="15"/>
          <w:szCs w:val="15"/>
          <w:color w:val="auto"/>
        </w:rPr>
        <w:t xml:space="preserve">Compared to biologics, </w:t>
      </w:r>
      <w:r>
        <w:rPr>
          <w:rFonts w:ascii="Arial" w:cs="Arial" w:eastAsia="Arial" w:hAnsi="Arial"/>
          <w:sz w:val="15"/>
          <w:szCs w:val="15"/>
          <w:i w:val="1"/>
          <w:iCs w:val="1"/>
          <w:color w:val="auto"/>
        </w:rPr>
        <w:t>Bicycles</w:t>
      </w:r>
      <w:r>
        <w:rPr>
          <w:rFonts w:ascii="Arial" w:cs="Arial" w:eastAsia="Arial" w:hAnsi="Arial"/>
          <w:sz w:val="15"/>
          <w:szCs w:val="15"/>
          <w:color w:val="auto"/>
        </w:rPr>
        <w:t xml:space="preserve"> have a lower cost of production and a simpler manufacturing process, and are recognized by regulatory authorities as small molecule new chemical entities. </w:t>
      </w:r>
      <w:r>
        <w:rPr>
          <w:rFonts w:ascii="Arial" w:cs="Arial" w:eastAsia="Arial" w:hAnsi="Arial"/>
          <w:sz w:val="15"/>
          <w:szCs w:val="15"/>
          <w:i w:val="1"/>
          <w:iCs w:val="1"/>
          <w:color w:val="auto"/>
        </w:rPr>
        <w:t>Bicycles</w:t>
      </w:r>
      <w:r>
        <w:rPr>
          <w:rFonts w:ascii="Arial" w:cs="Arial" w:eastAsia="Arial" w:hAnsi="Arial"/>
          <w:sz w:val="15"/>
          <w:szCs w:val="15"/>
          <w:color w:val="auto"/>
        </w:rPr>
        <w:t xml:space="preserve"> can be readily identified to drug a wide spectrum of targets and target classes, including many that have so far been undruggable with small molecules, such as protein-protein interactions. Our novel and proprietary screening platform allows us to screen </w:t>
      </w:r>
      <w:r>
        <w:rPr>
          <w:rFonts w:ascii="Arial" w:cs="Arial" w:eastAsia="Arial" w:hAnsi="Arial"/>
          <w:sz w:val="15"/>
          <w:szCs w:val="15"/>
          <w:i w:val="1"/>
          <w:iCs w:val="1"/>
          <w:color w:val="auto"/>
        </w:rPr>
        <w:t>Bicycles</w:t>
      </w:r>
      <w:r>
        <w:rPr>
          <w:rFonts w:ascii="Arial" w:cs="Arial" w:eastAsia="Arial" w:hAnsi="Arial"/>
          <w:sz w:val="15"/>
          <w:szCs w:val="15"/>
          <w:color w:val="auto"/>
        </w:rPr>
        <w:t xml:space="preserve"> against molecular targets quickly and efficiently, affording potentially reduced timelines and costs compared to other high-throughput screening approaches. Leveraging our platform, we can rapidly and efficiently identify a compound for development in only six to 12 months after a target has been selected.</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Our Proprietary </w:t>
      </w:r>
      <w:r>
        <w:rPr>
          <w:rFonts w:ascii="Arial" w:cs="Arial" w:eastAsia="Arial" w:hAnsi="Arial"/>
          <w:sz w:val="16"/>
          <w:szCs w:val="16"/>
          <w:b w:val="1"/>
          <w:bCs w:val="1"/>
          <w:i w:val="1"/>
          <w:iCs w:val="1"/>
          <w:color w:val="auto"/>
        </w:rPr>
        <w:t>Bicycle</w:t>
      </w:r>
      <w:r>
        <w:rPr>
          <w:rFonts w:ascii="Arial" w:cs="Arial" w:eastAsia="Arial" w:hAnsi="Arial"/>
          <w:sz w:val="16"/>
          <w:szCs w:val="16"/>
          <w:b w:val="1"/>
          <w:bCs w:val="1"/>
          <w:color w:val="auto"/>
        </w:rPr>
        <w:t xml:space="preserve"> Screening Platform</w:t>
      </w:r>
    </w:p>
    <w:p>
      <w:pPr>
        <w:spacing w:after="0" w:line="199" w:lineRule="exact"/>
        <w:rPr>
          <w:sz w:val="20"/>
          <w:szCs w:val="20"/>
          <w:color w:val="auto"/>
        </w:rPr>
      </w:pPr>
    </w:p>
    <w:p>
      <w:pPr>
        <w:jc w:val="both"/>
        <w:ind w:left="200" w:right="280" w:firstLine="442"/>
        <w:spacing w:after="0" w:line="254" w:lineRule="auto"/>
        <w:rPr>
          <w:sz w:val="20"/>
          <w:szCs w:val="20"/>
          <w:color w:val="auto"/>
        </w:rPr>
      </w:pPr>
      <w:r>
        <w:rPr>
          <w:rFonts w:ascii="Arial" w:cs="Arial" w:eastAsia="Arial" w:hAnsi="Arial"/>
          <w:sz w:val="16"/>
          <w:szCs w:val="16"/>
          <w:color w:val="auto"/>
        </w:rPr>
        <w:t xml:space="preserve">We utilize our novel and proprietary phage display screening platform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are potentially useful in medicine. We have used this technology to identify our current pipeline, and intend to leverage it to develop a broader portfolio of product candidates to address unmet medical needs across a wide range of diseases.</w:t>
      </w:r>
    </w:p>
    <w:p>
      <w:pPr>
        <w:spacing w:after="0" w:line="162" w:lineRule="exact"/>
        <w:rPr>
          <w:sz w:val="20"/>
          <w:szCs w:val="20"/>
          <w:color w:val="auto"/>
        </w:rPr>
      </w:pPr>
    </w:p>
    <w:p>
      <w:pPr>
        <w:ind w:left="200" w:right="60" w:firstLine="442"/>
        <w:spacing w:after="0" w:line="247" w:lineRule="auto"/>
        <w:rPr>
          <w:sz w:val="20"/>
          <w:szCs w:val="20"/>
          <w:color w:val="auto"/>
        </w:rPr>
      </w:pPr>
      <w:r>
        <w:rPr>
          <w:rFonts w:ascii="Arial" w:cs="Arial" w:eastAsia="Arial" w:hAnsi="Arial"/>
          <w:sz w:val="16"/>
          <w:szCs w:val="16"/>
          <w:color w:val="auto"/>
        </w:rPr>
        <w:t xml:space="preserve">Our screening process self-selects for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are amenable to attachment, commonly referred to as conjugation, to other molecular payloads such as cytotoxins, innate immune activators or other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be linked together with synthetic ease to create complex molecules with combinatorial pharmacology. Alternatively,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 the form of multimers can also be used as standalone therapeutics, such as those that we are exploring in our T-cell modulator program. We believe that the flexibility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and our powerful screening platform allow new therapeutics to be rapidly conceived and reduced to practice to potentially serve diverse therapeutic applications across a wide range of indications.</w:t>
      </w:r>
    </w:p>
    <w:p>
      <w:pPr>
        <w:spacing w:after="0" w:line="347"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Schematic of our Proprietary Bicycle Screening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5928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4400" cy="592899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Pipeline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key information about our pipeline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 xml:space="preserve">Bicycle </w:t>
      </w:r>
      <w:r>
        <w:rPr>
          <w:rFonts w:ascii="Arial" w:cs="Arial" w:eastAsia="Arial" w:hAnsi="Arial"/>
          <w:sz w:val="16"/>
          <w:szCs w:val="16"/>
          <w:b w:val="1"/>
          <w:bCs w:val="1"/>
          <w:color w:val="auto"/>
        </w:rPr>
        <w:t>Toxin Conjugates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BT1718</w:t>
      </w:r>
    </w:p>
    <w:p>
      <w:pPr>
        <w:spacing w:after="0" w:line="211" w:lineRule="exact"/>
        <w:rPr>
          <w:sz w:val="20"/>
          <w:szCs w:val="20"/>
          <w:color w:val="auto"/>
        </w:rPr>
      </w:pPr>
    </w:p>
    <w:p>
      <w:pPr>
        <w:ind w:left="200" w:firstLine="442"/>
        <w:spacing w:after="0" w:line="249" w:lineRule="auto"/>
        <w:rPr>
          <w:sz w:val="20"/>
          <w:szCs w:val="20"/>
          <w:color w:val="auto"/>
        </w:rPr>
      </w:pPr>
      <w:r>
        <w:rPr>
          <w:rFonts w:ascii="Arial" w:cs="Arial" w:eastAsia="Arial" w:hAnsi="Arial"/>
          <w:sz w:val="16"/>
          <w:szCs w:val="16"/>
          <w:color w:val="auto"/>
        </w:rPr>
        <w:t xml:space="preserve">Our lead product candidate, BT1718, is a BTC that we are developing for oncology indications. The molecule is comprised of our MT1-MMP targeting </w:t>
      </w:r>
      <w:r>
        <w:rPr>
          <w:rFonts w:ascii="Arial" w:cs="Arial" w:eastAsia="Arial" w:hAnsi="Arial"/>
          <w:sz w:val="16"/>
          <w:szCs w:val="16"/>
          <w:i w:val="1"/>
          <w:iCs w:val="1"/>
          <w:color w:val="auto"/>
        </w:rPr>
        <w:t>Bicycle</w:t>
      </w:r>
      <w:r>
        <w:rPr>
          <w:rFonts w:ascii="Arial" w:cs="Arial" w:eastAsia="Arial" w:hAnsi="Arial"/>
          <w:sz w:val="16"/>
          <w:szCs w:val="16"/>
          <w:color w:val="auto"/>
        </w:rPr>
        <w:t>, a hindered disulphide cleavable linker and a cytotoxin payload of emtansine, or DM1.</w:t>
      </w:r>
    </w:p>
    <w:p>
      <w:pPr>
        <w:spacing w:after="0" w:line="181" w:lineRule="exact"/>
        <w:rPr>
          <w:sz w:val="20"/>
          <w:szCs w:val="20"/>
          <w:color w:val="auto"/>
        </w:rPr>
      </w:pPr>
    </w:p>
    <w:p>
      <w:pPr>
        <w:ind w:left="200" w:right="20" w:firstLine="442"/>
        <w:spacing w:after="0" w:line="242" w:lineRule="auto"/>
        <w:rPr>
          <w:sz w:val="20"/>
          <w:szCs w:val="20"/>
          <w:color w:val="auto"/>
        </w:rPr>
      </w:pPr>
      <w:r>
        <w:rPr>
          <w:rFonts w:ascii="Arial" w:cs="Arial" w:eastAsia="Arial" w:hAnsi="Arial"/>
          <w:sz w:val="16"/>
          <w:szCs w:val="16"/>
          <w:color w:val="auto"/>
        </w:rPr>
        <w:t>MT1-MMP is a matrix metalloprotease involved in tissue remodeling and is generally expressed at relatively low levels in normal adult tissues. MT1-MMP has an established role in cell invasion and metastasis, and we believe that MT1-MMP is an attractive target for cytotoxin delivery due to its high level of expression on stromal and tumor cell subsets in various cancers, including breast, lung, sarcoma, gastric, bladder, endometrial, ovarian and esophageal cancers.</w:t>
      </w:r>
    </w:p>
    <w:p>
      <w:pPr>
        <w:spacing w:after="0" w:line="187" w:lineRule="exact"/>
        <w:rPr>
          <w:sz w:val="20"/>
          <w:szCs w:val="20"/>
          <w:color w:val="auto"/>
        </w:rPr>
      </w:pPr>
    </w:p>
    <w:p>
      <w:pPr>
        <w:ind w:left="200" w:right="60" w:firstLine="442"/>
        <w:spacing w:after="0" w:line="264" w:lineRule="auto"/>
        <w:rPr>
          <w:sz w:val="20"/>
          <w:szCs w:val="20"/>
          <w:color w:val="auto"/>
        </w:rPr>
      </w:pPr>
      <w:r>
        <w:rPr>
          <w:rFonts w:ascii="Arial" w:cs="Arial" w:eastAsia="Arial" w:hAnsi="Arial"/>
          <w:sz w:val="15"/>
          <w:szCs w:val="15"/>
          <w:color w:val="auto"/>
        </w:rPr>
        <w:t>In our preclinical studies, we observed that BT1718 was associated with the greatest anti-tumor effect when membrane staining for MT1-MMP was high. Tumors with lower levels of expression of MT1-MMP were observed to have reduced levels of response to BT1718. We are collaborating with leading cancer researchers to determine MT1-MMP expression levels across a panel of tumor types, which will help inform patient selection for further clinical development. One of the goals of our clinical trials is to better understand the relationship between the level of target expression and activity of BT1718.</w:t>
      </w:r>
    </w:p>
    <w:p>
      <w:pPr>
        <w:spacing w:after="0" w:line="170" w:lineRule="exact"/>
        <w:rPr>
          <w:sz w:val="20"/>
          <w:szCs w:val="20"/>
          <w:color w:val="auto"/>
        </w:rPr>
      </w:pPr>
    </w:p>
    <w:p>
      <w:pPr>
        <w:jc w:val="both"/>
        <w:ind w:left="200" w:right="20" w:firstLine="442"/>
        <w:spacing w:after="0" w:line="244" w:lineRule="auto"/>
        <w:rPr>
          <w:sz w:val="20"/>
          <w:szCs w:val="20"/>
          <w:color w:val="auto"/>
        </w:rPr>
      </w:pPr>
      <w:r>
        <w:rPr>
          <w:rFonts w:ascii="Arial" w:cs="Arial" w:eastAsia="Arial" w:hAnsi="Arial"/>
          <w:sz w:val="16"/>
          <w:szCs w:val="16"/>
          <w:color w:val="auto"/>
        </w:rPr>
        <w:t>BT1718 is being investigated in an ongoing Phase I/IIa open label dose escalation and expansion clinical trial sponsored by CRUK. Up to 40 patients with advanced solid tumors are being enrolled in the ongoing Phase I part of this trial at three sites in the United Kingdom in which two dosing regimens are being evaluated. Once a recommended Phase IIa dose has been determined, the Phase IIa part of the trial is expected to commence.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BT5528</w:t>
      </w:r>
    </w:p>
    <w:p>
      <w:pPr>
        <w:spacing w:after="0" w:line="195" w:lineRule="exact"/>
        <w:rPr>
          <w:sz w:val="20"/>
          <w:szCs w:val="20"/>
          <w:color w:val="auto"/>
        </w:rPr>
      </w:pPr>
    </w:p>
    <w:p>
      <w:pPr>
        <w:ind w:left="200" w:right="140" w:firstLine="442"/>
        <w:spacing w:after="0" w:line="270" w:lineRule="auto"/>
        <w:rPr>
          <w:sz w:val="20"/>
          <w:szCs w:val="20"/>
          <w:color w:val="auto"/>
        </w:rPr>
      </w:pPr>
      <w:r>
        <w:rPr>
          <w:rFonts w:ascii="Arial" w:cs="Arial" w:eastAsia="Arial" w:hAnsi="Arial"/>
          <w:sz w:val="16"/>
          <w:szCs w:val="16"/>
          <w:color w:val="auto"/>
        </w:rPr>
        <w:t xml:space="preserve">BT5528 is a BTC designed to target EphA2. The molecule is comprised of our EphA2 targeting </w:t>
      </w:r>
      <w:r>
        <w:rPr>
          <w:rFonts w:ascii="Arial" w:cs="Arial" w:eastAsia="Arial" w:hAnsi="Arial"/>
          <w:sz w:val="16"/>
          <w:szCs w:val="16"/>
          <w:i w:val="1"/>
          <w:iCs w:val="1"/>
          <w:color w:val="auto"/>
        </w:rPr>
        <w:t>Bicycle</w:t>
      </w:r>
      <w:r>
        <w:rPr>
          <w:rFonts w:ascii="Arial" w:cs="Arial" w:eastAsia="Arial" w:hAnsi="Arial"/>
          <w:sz w:val="16"/>
          <w:szCs w:val="16"/>
          <w:color w:val="auto"/>
        </w:rPr>
        <w:t>, a valine-citrulline, or val-cit, cleavable linker and a cytotoxin monomethyl auristatin E, or MMAE, payload.</w:t>
      </w:r>
    </w:p>
    <w:p>
      <w:pPr>
        <w:spacing w:after="0" w:line="164" w:lineRule="exact"/>
        <w:rPr>
          <w:sz w:val="20"/>
          <w:szCs w:val="20"/>
          <w:color w:val="auto"/>
        </w:rPr>
      </w:pPr>
    </w:p>
    <w:p>
      <w:pPr>
        <w:jc w:val="both"/>
        <w:ind w:left="200" w:right="40" w:firstLine="442"/>
        <w:spacing w:after="0" w:line="244" w:lineRule="auto"/>
        <w:rPr>
          <w:sz w:val="20"/>
          <w:szCs w:val="20"/>
          <w:color w:val="auto"/>
        </w:rPr>
      </w:pPr>
      <w:r>
        <w:rPr>
          <w:rFonts w:ascii="Arial" w:cs="Arial" w:eastAsia="Arial" w:hAnsi="Arial"/>
          <w:sz w:val="16"/>
          <w:szCs w:val="16"/>
          <w:color w:val="auto"/>
        </w:rPr>
        <w:t>EphA2 is a member of the Ephrin superfamily of receptor tyrosine kinases regulating cell migration, adhesion, proliferation and differentiation. EphA2 is expressed at relatively low levels in normal adult tissues but is overexpressed in numerous difficult to treat tumors including lung, breast, bladder, gastric, ovarian, endometrial, cervical, melanoma, esophageal, pancreatic, and</w:t>
      </w:r>
    </w:p>
    <w:p>
      <w:pPr>
        <w:spacing w:after="0" w:line="200" w:lineRule="exact"/>
        <w:rPr>
          <w:sz w:val="20"/>
          <w:szCs w:val="20"/>
          <w:color w:val="auto"/>
        </w:rPr>
      </w:pP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140"/>
          </w:cols>
          <w:pgMar w:left="240" w:top="142" w:right="5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5509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4400" cy="550989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0" w:right="180"/>
        <w:spacing w:after="0" w:line="249" w:lineRule="auto"/>
        <w:rPr>
          <w:sz w:val="20"/>
          <w:szCs w:val="20"/>
          <w:color w:val="auto"/>
        </w:rPr>
      </w:pPr>
      <w:r>
        <w:rPr>
          <w:rFonts w:ascii="Arial" w:cs="Arial" w:eastAsia="Arial" w:hAnsi="Arial"/>
          <w:sz w:val="16"/>
          <w:szCs w:val="16"/>
          <w:color w:val="auto"/>
        </w:rPr>
        <w:t>glioma. In both cell-derived and patient-derived preclinical models, we observed target-dependent anti-tumor activity signals following administration of our EphA2 toxin conjugates.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IND-enabling preclinical studies for BT5528 are currently ongoing.</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BT8009</w:t>
      </w:r>
    </w:p>
    <w:p>
      <w:pPr>
        <w:spacing w:after="0" w:line="195" w:lineRule="exact"/>
        <w:rPr>
          <w:sz w:val="20"/>
          <w:szCs w:val="20"/>
          <w:color w:val="auto"/>
        </w:rPr>
      </w:pPr>
    </w:p>
    <w:p>
      <w:pPr>
        <w:ind w:left="200" w:right="200" w:firstLine="442"/>
        <w:spacing w:after="0" w:line="270" w:lineRule="auto"/>
        <w:rPr>
          <w:sz w:val="20"/>
          <w:szCs w:val="20"/>
          <w:color w:val="auto"/>
        </w:rPr>
      </w:pPr>
      <w:r>
        <w:rPr>
          <w:rFonts w:ascii="Arial" w:cs="Arial" w:eastAsia="Arial" w:hAnsi="Arial"/>
          <w:sz w:val="16"/>
          <w:szCs w:val="16"/>
          <w:color w:val="auto"/>
        </w:rPr>
        <w:t xml:space="preserve">BT8009 is a BTC designed to target Nectin-4. The molecule is comprised of our Nectin-4 targeting </w:t>
      </w:r>
      <w:r>
        <w:rPr>
          <w:rFonts w:ascii="Arial" w:cs="Arial" w:eastAsia="Arial" w:hAnsi="Arial"/>
          <w:sz w:val="16"/>
          <w:szCs w:val="16"/>
          <w:i w:val="1"/>
          <w:iCs w:val="1"/>
          <w:color w:val="auto"/>
        </w:rPr>
        <w:t>Bicycle</w:t>
      </w:r>
      <w:r>
        <w:rPr>
          <w:rFonts w:ascii="Arial" w:cs="Arial" w:eastAsia="Arial" w:hAnsi="Arial"/>
          <w:sz w:val="16"/>
          <w:szCs w:val="16"/>
          <w:color w:val="auto"/>
        </w:rPr>
        <w:t>, a val-cit cleavable linker, and a cytotoxin MMAE payload.</w:t>
      </w:r>
    </w:p>
    <w:p>
      <w:pPr>
        <w:spacing w:after="0" w:line="164" w:lineRule="exact"/>
        <w:rPr>
          <w:sz w:val="20"/>
          <w:szCs w:val="20"/>
          <w:color w:val="auto"/>
        </w:rPr>
      </w:pPr>
    </w:p>
    <w:p>
      <w:pPr>
        <w:ind w:left="200" w:right="100" w:firstLine="442"/>
        <w:spacing w:after="0" w:line="241" w:lineRule="auto"/>
        <w:rPr>
          <w:sz w:val="20"/>
          <w:szCs w:val="20"/>
          <w:color w:val="auto"/>
        </w:rPr>
      </w:pPr>
      <w:r>
        <w:rPr>
          <w:rFonts w:ascii="Arial" w:cs="Arial" w:eastAsia="Arial" w:hAnsi="Arial"/>
          <w:sz w:val="16"/>
          <w:szCs w:val="16"/>
          <w:color w:val="auto"/>
        </w:rPr>
        <w:t>Nectin-4 (also known as PVRL4) is a cell adhesion molecule from the Nectin and Nectin-like family, members of which are integral to the formation of the homotypic and heterotypic cell junctions. Nectin-4 has been shown to be overexpressed in tumor cells and is believed to play a role in tumor cell growth and proliferation. High in normal embryonic and fetal tissue, Nectin-4 declines in adulthood, showing a limited distribution in healthy tissues. However, Nectin-4 is expressed on tumor cells in numerous cancer types including bladder, breast, gastric, lung and ovarian. In addition, we believe the favorable characteristics of BTC-targeted therapies may address some of the challenges in treating pancreatic cancer.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IND-enabling preclinical studies for BT8009 are currently ongoing.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Bicycle</w:t>
      </w:r>
      <w:r>
        <w:rPr>
          <w:rFonts w:ascii="Arial" w:cs="Arial" w:eastAsia="Arial" w:hAnsi="Arial"/>
          <w:sz w:val="16"/>
          <w:szCs w:val="16"/>
          <w:b w:val="1"/>
          <w:bCs w:val="1"/>
          <w:color w:val="auto"/>
        </w:rPr>
        <w:t>-Targeted Innate Immune Activators</w:t>
      </w:r>
    </w:p>
    <w:p>
      <w:pPr>
        <w:spacing w:after="0" w:line="215" w:lineRule="exact"/>
        <w:rPr>
          <w:sz w:val="20"/>
          <w:szCs w:val="20"/>
          <w:color w:val="auto"/>
        </w:rPr>
      </w:pPr>
    </w:p>
    <w:p>
      <w:pPr>
        <w:ind w:left="200" w:right="120" w:firstLine="442"/>
        <w:spacing w:after="0" w:line="241" w:lineRule="auto"/>
        <w:rPr>
          <w:sz w:val="20"/>
          <w:szCs w:val="20"/>
          <w:color w:val="auto"/>
        </w:rPr>
      </w:pPr>
      <w:r>
        <w:rPr>
          <w:rFonts w:ascii="Arial" w:cs="Arial" w:eastAsia="Arial" w:hAnsi="Arial"/>
          <w:sz w:val="16"/>
          <w:szCs w:val="16"/>
          <w:color w:val="auto"/>
        </w:rPr>
        <w:t xml:space="preserve">Local activation of the innate immune system within tumors is a promising area for cancer drug discovery. Many of the current clinical programs require direct injection of molecules activating the innate immune system into tumors to avoid excessive systemic activation of the immune system and associated toxicity. Based on our experience with BTCs, we believe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systemically deliver activators of the innate immune system to tumors without activating the immune system in normal tissues. We believe that this approach has the potential to avoid the need for direct tumor injection and to allow inaccessible tumors to be reached, while enabling rapid systemic elimination of excess payloads in an inactive form.</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 xml:space="preserve">Bicycle </w:t>
      </w:r>
      <w:r>
        <w:rPr>
          <w:rFonts w:ascii="Arial" w:cs="Arial" w:eastAsia="Arial" w:hAnsi="Arial"/>
          <w:sz w:val="16"/>
          <w:szCs w:val="16"/>
          <w:b w:val="1"/>
          <w:bCs w:val="1"/>
          <w:color w:val="auto"/>
        </w:rPr>
        <w:t>T-Cell Modulators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CD137</w:t>
      </w:r>
    </w:p>
    <w:p>
      <w:pPr>
        <w:spacing w:after="0" w:line="195" w:lineRule="exact"/>
        <w:rPr>
          <w:sz w:val="20"/>
          <w:szCs w:val="20"/>
          <w:color w:val="auto"/>
        </w:rPr>
      </w:pPr>
    </w:p>
    <w:p>
      <w:pPr>
        <w:ind w:left="200" w:firstLine="442"/>
        <w:spacing w:after="0" w:line="245" w:lineRule="auto"/>
        <w:rPr>
          <w:sz w:val="20"/>
          <w:szCs w:val="20"/>
          <w:color w:val="auto"/>
        </w:rPr>
      </w:pPr>
      <w:r>
        <w:rPr>
          <w:rFonts w:ascii="Arial" w:cs="Arial" w:eastAsia="Arial" w:hAnsi="Arial"/>
          <w:sz w:val="16"/>
          <w:szCs w:val="16"/>
          <w:color w:val="auto"/>
        </w:rPr>
        <w:t xml:space="preserve">We are developing cytotoxic T-cell activators, designed to trigger an immune response to tumors. We have identified potent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activators of CD137, which is also known as 4-1BB, a tumor necrosis factor receptor, or TNFR, family member. We believe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represent a differentiated approach to target CD137 that may confer several advantages over existing modalities due to the multivalency and PK characteristics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Our </w:t>
      </w:r>
      <w:r>
        <w:rPr>
          <w:rFonts w:ascii="Arial" w:cs="Arial" w:eastAsia="Arial" w:hAnsi="Arial"/>
          <w:sz w:val="16"/>
          <w:szCs w:val="16"/>
          <w:i w:val="1"/>
          <w:iCs w:val="1"/>
          <w:color w:val="auto"/>
        </w:rPr>
        <w:t xml:space="preserve">Bicycle </w:t>
      </w:r>
      <w:r>
        <w:rPr>
          <w:rFonts w:ascii="Arial" w:cs="Arial" w:eastAsia="Arial" w:hAnsi="Arial"/>
          <w:sz w:val="16"/>
          <w:szCs w:val="16"/>
          <w:color w:val="auto"/>
        </w:rPr>
        <w:t>T-cell modulators are designed to circumvent the limitations of antibody and biologic therapies, such as liver toxicity and limited efficacy, and to better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enable combination therapy. We are also exploring CD137 in a bi-specific format linked to other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bind tumor antigens, inhibit checkpoint proteins or otherwise activate the immune system.</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Beyond Oncology</w:t>
      </w:r>
    </w:p>
    <w:p>
      <w:pPr>
        <w:spacing w:after="0" w:line="199" w:lineRule="exact"/>
        <w:rPr>
          <w:sz w:val="20"/>
          <w:szCs w:val="20"/>
          <w:color w:val="auto"/>
        </w:rPr>
      </w:pPr>
    </w:p>
    <w:p>
      <w:pPr>
        <w:ind w:left="200" w:right="80" w:firstLine="442"/>
        <w:spacing w:after="0" w:line="254" w:lineRule="auto"/>
        <w:rPr>
          <w:sz w:val="20"/>
          <w:szCs w:val="20"/>
          <w:color w:val="auto"/>
        </w:rPr>
      </w:pPr>
      <w:r>
        <w:rPr>
          <w:rFonts w:ascii="Arial" w:cs="Arial" w:eastAsia="Arial" w:hAnsi="Arial"/>
          <w:sz w:val="16"/>
          <w:szCs w:val="16"/>
          <w:color w:val="auto"/>
        </w:rPr>
        <w:t xml:space="preserve">We have entered into several collaborations outside of our internal focus in oncology to leverage the broad applicability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Our strategic collaborations are based on the ability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to address a wide variety of targets and we are working with collaborators with deep therapeutic expertise outside of oncology to enable us to more efficiently develop novel medicines for patients.</w:t>
      </w: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5346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4400" cy="534670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00" w:right="40" w:firstLine="436"/>
        <w:spacing w:after="0" w:line="270" w:lineRule="auto"/>
        <w:rPr>
          <w:sz w:val="20"/>
          <w:szCs w:val="20"/>
          <w:color w:val="auto"/>
        </w:rPr>
      </w:pPr>
      <w:r>
        <w:rPr>
          <w:rFonts w:ascii="Arial" w:cs="Arial" w:eastAsia="Arial" w:hAnsi="Arial"/>
          <w:sz w:val="16"/>
          <w:szCs w:val="16"/>
          <w:i w:val="1"/>
          <w:iCs w:val="1"/>
          <w:color w:val="auto"/>
        </w:rPr>
        <w:t xml:space="preserve">AstraZeneca. </w:t>
      </w:r>
      <w:r>
        <w:rPr>
          <w:rFonts w:ascii="Arial" w:cs="Arial" w:eastAsia="Arial" w:hAnsi="Arial"/>
          <w:sz w:val="16"/>
          <w:szCs w:val="16"/>
          <w:color w:val="auto"/>
        </w:rPr>
        <w:t>In November 2016, we entered into a research collaboration agreement with AstraZeneca AB, or AstraZeneca, with a focus on targets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respiratory, cardiovascular and metabolic disease.</w:t>
      </w:r>
    </w:p>
    <w:p>
      <w:pPr>
        <w:spacing w:after="0" w:line="148" w:lineRule="exact"/>
        <w:rPr>
          <w:sz w:val="20"/>
          <w:szCs w:val="20"/>
          <w:color w:val="auto"/>
        </w:rPr>
      </w:pPr>
    </w:p>
    <w:p>
      <w:pPr>
        <w:ind w:left="200" w:right="400" w:firstLine="442"/>
        <w:spacing w:after="0" w:line="270" w:lineRule="auto"/>
        <w:rPr>
          <w:sz w:val="20"/>
          <w:szCs w:val="20"/>
          <w:color w:val="auto"/>
        </w:rPr>
      </w:pPr>
      <w:r>
        <w:rPr>
          <w:rFonts w:ascii="Arial" w:cs="Arial" w:eastAsia="Arial" w:hAnsi="Arial"/>
          <w:sz w:val="16"/>
          <w:szCs w:val="16"/>
          <w:i w:val="1"/>
          <w:iCs w:val="1"/>
          <w:color w:val="auto"/>
        </w:rPr>
        <w:t xml:space="preserve">Bioverativ. </w:t>
      </w:r>
      <w:r>
        <w:rPr>
          <w:rFonts w:ascii="Arial" w:cs="Arial" w:eastAsia="Arial" w:hAnsi="Arial"/>
          <w:sz w:val="16"/>
          <w:szCs w:val="16"/>
          <w:color w:val="auto"/>
        </w:rPr>
        <w:t>In August 2017, we entered into a collaboration agreement with Bioverativ, Inc., or Bioverativ, focused on non-malignant hematology</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indications, including hemophilia.</w:t>
      </w:r>
    </w:p>
    <w:p>
      <w:pPr>
        <w:spacing w:after="0" w:line="148" w:lineRule="exact"/>
        <w:rPr>
          <w:sz w:val="20"/>
          <w:szCs w:val="20"/>
          <w:color w:val="auto"/>
        </w:rPr>
      </w:pPr>
    </w:p>
    <w:p>
      <w:pPr>
        <w:ind w:left="200" w:right="100" w:firstLine="442"/>
        <w:spacing w:after="0" w:line="245" w:lineRule="auto"/>
        <w:rPr>
          <w:sz w:val="20"/>
          <w:szCs w:val="20"/>
          <w:color w:val="auto"/>
        </w:rPr>
      </w:pPr>
      <w:r>
        <w:rPr>
          <w:rFonts w:ascii="Arial" w:cs="Arial" w:eastAsia="Arial" w:hAnsi="Arial"/>
          <w:sz w:val="16"/>
          <w:szCs w:val="16"/>
          <w:i w:val="1"/>
          <w:iCs w:val="1"/>
          <w:color w:val="auto"/>
        </w:rPr>
        <w:t xml:space="preserve">Oxurion. </w:t>
      </w:r>
      <w:r>
        <w:rPr>
          <w:rFonts w:ascii="Arial" w:cs="Arial" w:eastAsia="Arial" w:hAnsi="Arial"/>
          <w:sz w:val="16"/>
          <w:szCs w:val="16"/>
          <w:color w:val="auto"/>
        </w:rPr>
        <w:t>In August 2013, we entered into a research collaboration and license agreement with Oxurion NV (formerly ThromboGenics NV), or</w:t>
      </w:r>
      <w:r>
        <w:rPr>
          <w:rFonts w:ascii="Arial" w:cs="Arial" w:eastAsia="Arial" w:hAnsi="Arial"/>
          <w:sz w:val="16"/>
          <w:szCs w:val="16"/>
          <w:i w:val="1"/>
          <w:iCs w:val="1"/>
          <w:color w:val="auto"/>
        </w:rPr>
        <w:t xml:space="preserve"> </w:t>
      </w:r>
      <w:r>
        <w:rPr>
          <w:rFonts w:ascii="Arial" w:cs="Arial" w:eastAsia="Arial" w:hAnsi="Arial"/>
          <w:sz w:val="16"/>
          <w:szCs w:val="16"/>
          <w:color w:val="auto"/>
        </w:rPr>
        <w:t>Oxurion, focused on ophthalmology. The lead molecule of the partnership is THR-149, a novel plasma kallikrein inhibitor, for the treatment of diabetic macular edema. A Phase I clinical trial of THR-149 is currently ongoing. The Phase I clinical trial, which is being conducted by Oxurion, is an open-label, multi-center, dose escalation trial to evaluate the safety of a single intravitreal injection of THR-149 of three dose levels for the treatment of diabetic macular edema, or DME, with a primary endpoint of dose-limiting toxicities up to the Day 14 visit. On April 24, 2019, we and Oxurion announced that enrollment in the trial had been completed, with 15 patients enrolled.</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Strategy</w:t>
      </w:r>
    </w:p>
    <w:p>
      <w:pPr>
        <w:spacing w:after="0" w:line="199" w:lineRule="exact"/>
        <w:rPr>
          <w:sz w:val="20"/>
          <w:szCs w:val="20"/>
          <w:color w:val="auto"/>
        </w:rPr>
      </w:pPr>
    </w:p>
    <w:p>
      <w:pPr>
        <w:jc w:val="both"/>
        <w:ind w:left="200" w:right="400" w:firstLine="442"/>
        <w:spacing w:after="0" w:line="254" w:lineRule="auto"/>
        <w:rPr>
          <w:sz w:val="20"/>
          <w:szCs w:val="20"/>
          <w:color w:val="auto"/>
        </w:rPr>
      </w:pPr>
      <w:r>
        <w:rPr>
          <w:rFonts w:ascii="Arial" w:cs="Arial" w:eastAsia="Arial" w:hAnsi="Arial"/>
          <w:sz w:val="16"/>
          <w:szCs w:val="16"/>
          <w:color w:val="auto"/>
        </w:rPr>
        <w:t xml:space="preserve">Our mission is to become a leading biopharmaceutical company by pioneering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as a novel therapeutic modality to treat diseases that are inadequately addressed with existing treatment modalities. Specifically, we seek to execute on the following strategy to maximize the value of our novel technology and pipeline:</w:t>
      </w:r>
    </w:p>
    <w:p>
      <w:pPr>
        <w:spacing w:after="0" w:line="172" w:lineRule="exact"/>
        <w:rPr>
          <w:sz w:val="20"/>
          <w:szCs w:val="20"/>
          <w:color w:val="auto"/>
        </w:rPr>
      </w:pPr>
    </w:p>
    <w:p>
      <w:pPr>
        <w:ind w:left="1180" w:right="100" w:hanging="481"/>
        <w:spacing w:after="0" w:line="256"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our lead product candidate, BT1718, through clinical development. </w:t>
      </w:r>
      <w:r>
        <w:rPr>
          <w:rFonts w:ascii="Arial" w:cs="Arial" w:eastAsia="Arial" w:hAnsi="Arial"/>
          <w:sz w:val="16"/>
          <w:szCs w:val="16"/>
          <w:color w:val="auto"/>
        </w:rPr>
        <w:t>BT1718 is being investigated in an ongoing Phase I/IIa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trial sponsored by CRUK. We expect to report preliminary data from the Phase I part of this clinical trial in the second half of 2019. We intend to advance development of this candidate aggressively across oncology indications in which the target MT1-MMP is expressed.</w:t>
      </w:r>
    </w:p>
    <w:p>
      <w:pPr>
        <w:spacing w:after="0" w:line="144" w:lineRule="exact"/>
        <w:rPr>
          <w:rFonts w:ascii="Arial" w:cs="Arial" w:eastAsia="Arial" w:hAnsi="Arial"/>
          <w:sz w:val="16"/>
          <w:szCs w:val="16"/>
          <w:color w:val="auto"/>
        </w:rPr>
      </w:pPr>
    </w:p>
    <w:p>
      <w:pPr>
        <w:ind w:left="1180" w:right="40" w:hanging="481"/>
        <w:spacing w:after="0" w:line="250"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our other Bicycle Toxin Conjugate programs into clinical development. </w:t>
      </w:r>
      <w:r>
        <w:rPr>
          <w:rFonts w:ascii="Arial" w:cs="Arial" w:eastAsia="Arial" w:hAnsi="Arial"/>
          <w:sz w:val="16"/>
          <w:szCs w:val="16"/>
          <w:color w:val="auto"/>
        </w:rPr>
        <w:t>We intend to progress our IND-enabling activities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BT5528 and BT8009 to advance these programs into clinical development for oncology indications. Based on promising observations from our preclinical models, we believe EphA2 and Nectin-4 are attractive targets for cytotoxin delivery and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provide a promising delivery modality.</w:t>
      </w:r>
    </w:p>
    <w:p>
      <w:pPr>
        <w:spacing w:after="0" w:line="150" w:lineRule="exact"/>
        <w:rPr>
          <w:rFonts w:ascii="Arial" w:cs="Arial" w:eastAsia="Arial" w:hAnsi="Arial"/>
          <w:sz w:val="16"/>
          <w:szCs w:val="16"/>
          <w:color w:val="auto"/>
        </w:rPr>
      </w:pPr>
    </w:p>
    <w:p>
      <w:pPr>
        <w:ind w:left="1180" w:hanging="481"/>
        <w:spacing w:after="0" w:line="256"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clinical development of our discovery programs. </w:t>
      </w:r>
      <w:r>
        <w:rPr>
          <w:rFonts w:ascii="Arial" w:cs="Arial" w:eastAsia="Arial" w:hAnsi="Arial"/>
          <w:sz w:val="16"/>
          <w:szCs w:val="16"/>
          <w:color w:val="auto"/>
        </w:rPr>
        <w:t>We intend to continue our ongoing discovery activities to screen and select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promising candidates for oncology indications. For example, our discovery pipeline includes T-cell modulators, from which we expect to identify a development candidate. In addition, we are also developing </w:t>
      </w:r>
      <w:r>
        <w:rPr>
          <w:rFonts w:ascii="Arial" w:cs="Arial" w:eastAsia="Arial" w:hAnsi="Arial"/>
          <w:sz w:val="16"/>
          <w:szCs w:val="16"/>
          <w:i w:val="1"/>
          <w:iCs w:val="1"/>
          <w:color w:val="auto"/>
        </w:rPr>
        <w:t>Bicycle</w:t>
      </w:r>
      <w:r>
        <w:rPr>
          <w:rFonts w:ascii="Arial" w:cs="Arial" w:eastAsia="Arial" w:hAnsi="Arial"/>
          <w:sz w:val="16"/>
          <w:szCs w:val="16"/>
          <w:color w:val="auto"/>
        </w:rPr>
        <w:t>-targeted innate immune activators.</w:t>
      </w:r>
    </w:p>
    <w:p>
      <w:pPr>
        <w:spacing w:after="0" w:line="157" w:lineRule="exact"/>
        <w:rPr>
          <w:rFonts w:ascii="Arial" w:cs="Arial" w:eastAsia="Arial" w:hAnsi="Arial"/>
          <w:sz w:val="16"/>
          <w:szCs w:val="16"/>
          <w:color w:val="auto"/>
        </w:rPr>
      </w:pPr>
    </w:p>
    <w:p>
      <w:pPr>
        <w:ind w:left="1180" w:right="140" w:hanging="481"/>
        <w:spacing w:after="0" w:line="247"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powerful proprietary screening platform and novel Bicycle modality to grow our pipeline. </w:t>
      </w:r>
      <w:r>
        <w:rPr>
          <w:rFonts w:ascii="Arial" w:cs="Arial" w:eastAsia="Arial" w:hAnsi="Arial"/>
          <w:sz w:val="16"/>
          <w:szCs w:val="16"/>
          <w:color w:val="auto"/>
        </w:rPr>
        <w:t>Our novel and proprietary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phage display screening platform allows us to rapidly and efficiently identify potential candidates for development. We can incorporate a wide range of small molecule scaffolds into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to increase diversity and confer differentiated physicochemical and structural properties. We have used our powerful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screening platform to identify our current pipeline of promising BTCs, innate immune activators and T-cell modulators, and intend to use it to develop a broader pipeline of diverse product candidates.</w:t>
      </w:r>
    </w:p>
    <w:p>
      <w:pPr>
        <w:spacing w:after="0" w:line="153" w:lineRule="exact"/>
        <w:rPr>
          <w:rFonts w:ascii="Arial" w:cs="Arial" w:eastAsia="Arial" w:hAnsi="Arial"/>
          <w:sz w:val="16"/>
          <w:szCs w:val="16"/>
          <w:color w:val="auto"/>
        </w:rPr>
      </w:pPr>
    </w:p>
    <w:p>
      <w:pPr>
        <w:ind w:left="1180" w:right="120" w:hanging="481"/>
        <w:spacing w:after="0" w:line="256"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Collaborate strategically with leading organizations to access enabling technology and expertise in order to expand the application of our novel Bicycle modality to indications beyond oncology. </w:t>
      </w:r>
      <w:r>
        <w:rPr>
          <w:rFonts w:ascii="Arial" w:cs="Arial" w:eastAsia="Arial" w:hAnsi="Arial"/>
          <w:sz w:val="16"/>
          <w:szCs w:val="16"/>
          <w:color w:val="auto"/>
        </w:rPr>
        <w:t>We are collaborating with leading biopharmaceutical companies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organizations to apply our novel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modality to other disease areas, including</w:t>
      </w:r>
    </w:p>
    <w:p>
      <w:pPr>
        <w:spacing w:after="0" w:line="200" w:lineRule="exact"/>
        <w:rPr>
          <w:sz w:val="20"/>
          <w:szCs w:val="20"/>
          <w:color w:val="auto"/>
        </w:rPr>
      </w:pP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64400" cy="5261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4400" cy="526161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Team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right="460"/>
        <w:spacing w:after="0" w:line="249" w:lineRule="auto"/>
        <w:rPr>
          <w:sz w:val="20"/>
          <w:szCs w:val="20"/>
          <w:color w:val="auto"/>
        </w:rPr>
      </w:pPr>
      <w:r>
        <w:rPr>
          <w:rFonts w:ascii="Arial" w:cs="Arial" w:eastAsia="Arial" w:hAnsi="Arial"/>
          <w:sz w:val="16"/>
          <w:szCs w:val="16"/>
          <w:color w:val="auto"/>
        </w:rPr>
        <w:t>anti-bacterial, cardiovascular, hematological, ophthalmological and respiratory indications. We may opportunistically enter into additional collaborations in the future to apply our technology to areas of unmet medical need.</w:t>
      </w:r>
    </w:p>
    <w:p>
      <w:pPr>
        <w:spacing w:after="0" w:line="175" w:lineRule="exact"/>
        <w:rPr>
          <w:sz w:val="20"/>
          <w:szCs w:val="20"/>
          <w:color w:val="auto"/>
        </w:rPr>
      </w:pPr>
    </w:p>
    <w:p>
      <w:pPr>
        <w:ind w:right="440"/>
        <w:spacing w:after="0" w:line="250" w:lineRule="auto"/>
        <w:rPr>
          <w:sz w:val="20"/>
          <w:szCs w:val="20"/>
          <w:color w:val="auto"/>
        </w:rPr>
      </w:pPr>
      <w:r>
        <w:rPr>
          <w:rFonts w:ascii="Arial" w:cs="Arial" w:eastAsia="Arial" w:hAnsi="Arial"/>
          <w:sz w:val="16"/>
          <w:szCs w:val="16"/>
          <w:b w:val="1"/>
          <w:bCs w:val="1"/>
          <w:i w:val="1"/>
          <w:iCs w:val="1"/>
          <w:color w:val="auto"/>
        </w:rPr>
        <w:t xml:space="preserve">If approved, maximize the commercial potential of our product candidates by either establishing our own sales and marketing infrastructure or doing so through collaborations with others. </w:t>
      </w:r>
      <w:r>
        <w:rPr>
          <w:rFonts w:ascii="Arial" w:cs="Arial" w:eastAsia="Arial" w:hAnsi="Arial"/>
          <w:sz w:val="16"/>
          <w:szCs w:val="16"/>
          <w:color w:val="auto"/>
        </w:rPr>
        <w:t>Subject to receiving marketing approval, we intend to pursue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commercialization of our product candidates either by building internal sales and marketing capabilities or doing so through opportunistic collaborations with others.</w:t>
      </w:r>
    </w:p>
    <w:p>
      <w:pPr>
        <w:spacing w:after="0" w:line="533" w:lineRule="exact"/>
        <w:rPr>
          <w:sz w:val="20"/>
          <w:szCs w:val="20"/>
          <w:color w:val="auto"/>
        </w:rPr>
      </w:pPr>
    </w:p>
    <w:p>
      <w:pPr>
        <w:sectPr>
          <w:pgSz w:w="11900" w:h="16838" w:orient="portrait"/>
          <w:cols w:equalWidth="0" w:num="2">
            <w:col w:w="940" w:space="240"/>
            <w:col w:w="10020"/>
          </w:cols>
          <w:pgMar w:left="240" w:top="142" w:right="459" w:bottom="1440" w:gutter="0" w:footer="0" w:header="0"/>
          <w:type w:val="continuous"/>
        </w:sectPr>
      </w:pPr>
    </w:p>
    <w:p>
      <w:pPr>
        <w:spacing w:after="0" w:line="27" w:lineRule="exact"/>
        <w:rPr>
          <w:sz w:val="20"/>
          <w:szCs w:val="20"/>
          <w:color w:val="auto"/>
        </w:rPr>
      </w:pPr>
    </w:p>
    <w:p>
      <w:pPr>
        <w:ind w:left="200" w:right="180" w:firstLine="442"/>
        <w:spacing w:after="0" w:line="241" w:lineRule="auto"/>
        <w:rPr>
          <w:sz w:val="20"/>
          <w:szCs w:val="20"/>
          <w:color w:val="auto"/>
        </w:rPr>
      </w:pPr>
      <w:r>
        <w:rPr>
          <w:rFonts w:ascii="Arial" w:cs="Arial" w:eastAsia="Arial" w:hAnsi="Arial"/>
          <w:sz w:val="16"/>
          <w:szCs w:val="16"/>
          <w:color w:val="auto"/>
        </w:rPr>
        <w:t>Our management team includes veterans in drug development with executive experience at leading pharmaceutical companies including GlaxoSmithKline, Novartis and Pfizer. Our board of directors and scientific advisory board include industry experts and seasoned investors, with extensive experience in immuno-oncology. We are supported by prominent healthcare-focused investment funds, including Ahren Innovation Capital, Atlas Venture Fund, Cambridge Innovation Capital, Longwood Fund, Novartis Venture Fund, S.R. One, Limited, SV Life Sciences, Tybourne Capital (HK) Management Limited and Vertex HC Ventures.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Intellectual Property</w:t>
      </w:r>
    </w:p>
    <w:p>
      <w:pPr>
        <w:spacing w:after="0" w:line="215" w:lineRule="exact"/>
        <w:rPr>
          <w:sz w:val="20"/>
          <w:szCs w:val="20"/>
          <w:color w:val="auto"/>
        </w:rPr>
      </w:pPr>
    </w:p>
    <w:p>
      <w:pPr>
        <w:ind w:left="200" w:right="100" w:firstLine="442"/>
        <w:spacing w:after="0" w:line="242" w:lineRule="auto"/>
        <w:rPr>
          <w:sz w:val="20"/>
          <w:szCs w:val="20"/>
          <w:color w:val="auto"/>
        </w:rPr>
      </w:pPr>
      <w:r>
        <w:rPr>
          <w:rFonts w:ascii="Arial" w:cs="Arial" w:eastAsia="Arial" w:hAnsi="Arial"/>
          <w:sz w:val="16"/>
          <w:szCs w:val="16"/>
          <w:color w:val="auto"/>
        </w:rPr>
        <w:t xml:space="preserve">We have generated substantial intellectual property, including three patent families directed to novel scaffolds, 11 patent families directed to Bicycle's platform technology, 63 patent families directed to bicyclic peptides and related conjugates, and six patent families directed to clinical indications and other properties of development assets. The work we have conducted in developing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and our proprietary screening platform have created substantial know-how that we believe provides us with a competitive advantage.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Corporate History</w:t>
      </w:r>
    </w:p>
    <w:p>
      <w:pPr>
        <w:spacing w:after="0" w:line="215" w:lineRule="exact"/>
        <w:rPr>
          <w:sz w:val="20"/>
          <w:szCs w:val="20"/>
          <w:color w:val="auto"/>
        </w:rPr>
      </w:pPr>
    </w:p>
    <w:p>
      <w:pPr>
        <w:ind w:left="200" w:firstLine="442"/>
        <w:spacing w:after="0" w:line="242" w:lineRule="auto"/>
        <w:rPr>
          <w:sz w:val="20"/>
          <w:szCs w:val="20"/>
          <w:color w:val="auto"/>
        </w:rPr>
      </w:pPr>
      <w:r>
        <w:rPr>
          <w:rFonts w:ascii="Arial" w:cs="Arial" w:eastAsia="Arial" w:hAnsi="Arial"/>
          <w:sz w:val="16"/>
          <w:szCs w:val="16"/>
          <w:color w:val="auto"/>
        </w:rPr>
        <w:t>In 2009, we were incorporated as a limited liability company under the laws of England and Wales. In 2017, we effected a reorganization to create a new holding company which, in connection with this offering, will be re-registered as a public limited company named Bicycle Therapeutics plc., which will be the issuer of the securities described in this prospectus. Bicycle Therapeutics plc will be the parent company of three wholly owned subsidiaries, two of which are based in Cambridge, England and one of which has its principal office in Lexington, Massachusetts, near Boston, that will carry on our business.</w:t>
      </w:r>
    </w:p>
    <w:p>
      <w:pPr>
        <w:spacing w:after="0" w:line="187" w:lineRule="exact"/>
        <w:rPr>
          <w:sz w:val="20"/>
          <w:szCs w:val="20"/>
          <w:color w:val="auto"/>
        </w:rPr>
      </w:pPr>
    </w:p>
    <w:p>
      <w:pPr>
        <w:ind w:left="200" w:right="80" w:firstLine="439"/>
        <w:spacing w:after="0" w:line="242" w:lineRule="auto"/>
        <w:rPr>
          <w:sz w:val="20"/>
          <w:szCs w:val="20"/>
          <w:color w:val="auto"/>
        </w:rPr>
      </w:pPr>
      <w:r>
        <w:rPr>
          <w:rFonts w:ascii="Arial" w:cs="Arial" w:eastAsia="Arial" w:hAnsi="Arial"/>
          <w:sz w:val="16"/>
          <w:szCs w:val="16"/>
          <w:color w:val="auto"/>
        </w:rPr>
        <w:t>The English subsidiaries are BicycleTx Limited and BicycleRD Limited, and the U.S. subsidiary is Bicycle Therapeutics Inc. Our principal executive offices are located at B900, Babraham Research Campus, Cambridge, CB22 3AT, United Kingdom, and our phone number is +44 1223 261503. Our website address is http://www.bicycletherapeutics.com. The information contained in or accessible from our website is not incorporated into this prospectus, and you should not consider it part of this prospectus.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Share Capital Reorganization and Re-Registration</w:t>
      </w:r>
    </w:p>
    <w:p>
      <w:pPr>
        <w:spacing w:after="0" w:line="215" w:lineRule="exact"/>
        <w:rPr>
          <w:sz w:val="20"/>
          <w:szCs w:val="20"/>
          <w:color w:val="auto"/>
        </w:rPr>
      </w:pPr>
    </w:p>
    <w:p>
      <w:pPr>
        <w:ind w:left="200" w:right="340" w:firstLine="442"/>
        <w:spacing w:after="0" w:line="244" w:lineRule="auto"/>
        <w:rPr>
          <w:sz w:val="20"/>
          <w:szCs w:val="20"/>
          <w:color w:val="auto"/>
        </w:rPr>
      </w:pPr>
      <w:r>
        <w:rPr>
          <w:rFonts w:ascii="Arial" w:cs="Arial" w:eastAsia="Arial" w:hAnsi="Arial"/>
          <w:sz w:val="16"/>
          <w:szCs w:val="16"/>
          <w:color w:val="auto"/>
        </w:rPr>
        <w:t>Prior to the consummation of this offering, Bicycle Therapeutics Limited will be re-registered as a public limited company and will change its name from Bicycle Therapeutics Limited to Bicycle Therapeutics plc. Please see the "Share Capital Reorganization and Re-Registration" section for more information.</w:t>
      </w:r>
    </w:p>
    <w:p>
      <w:pPr>
        <w:spacing w:after="0" w:line="200" w:lineRule="exact"/>
        <w:rPr>
          <w:sz w:val="20"/>
          <w:szCs w:val="20"/>
          <w:color w:val="auto"/>
        </w:rPr>
      </w:pPr>
    </w:p>
    <w:p>
      <w:pPr>
        <w:spacing w:after="0" w:line="38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5572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4400" cy="557212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Risks Affecting Our Business</w:t>
      </w:r>
    </w:p>
    <w:p>
      <w:pPr>
        <w:spacing w:after="0" w:line="215" w:lineRule="exact"/>
        <w:rPr>
          <w:sz w:val="20"/>
          <w:szCs w:val="20"/>
          <w:color w:val="auto"/>
        </w:rPr>
      </w:pPr>
    </w:p>
    <w:p>
      <w:pPr>
        <w:jc w:val="both"/>
        <w:ind w:left="200" w:right="80" w:firstLine="442"/>
        <w:spacing w:after="0" w:line="244"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in the section titled "Risk Factors" before deciding whether to invest in our ADSs. Among these important risks are, but not limited to, the following:</w:t>
      </w:r>
    </w:p>
    <w:p>
      <w:pPr>
        <w:spacing w:after="0" w:line="197" w:lineRule="exact"/>
        <w:rPr>
          <w:sz w:val="20"/>
          <w:szCs w:val="20"/>
          <w:color w:val="auto"/>
        </w:rPr>
      </w:pPr>
    </w:p>
    <w:p>
      <w:pPr>
        <w:ind w:left="1180" w:right="140" w:hanging="481"/>
        <w:spacing w:after="0" w:line="249"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a history of significant operating losses and expect to incur significant and increasing losses for the foreseeable future, and we may never achieve or maintain profitability.</w:t>
      </w:r>
    </w:p>
    <w:p>
      <w:pPr>
        <w:spacing w:after="0" w:line="168" w:lineRule="exact"/>
        <w:rPr>
          <w:rFonts w:ascii="Arial" w:cs="Arial" w:eastAsia="Arial" w:hAnsi="Arial"/>
          <w:sz w:val="16"/>
          <w:szCs w:val="16"/>
          <w:color w:val="auto"/>
        </w:rPr>
      </w:pPr>
    </w:p>
    <w:p>
      <w:pPr>
        <w:ind w:left="1180" w:right="140" w:hanging="481"/>
        <w:spacing w:after="0" w:line="249"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Even if this offering is successful, we will need substantial additional funding, and if we are unable to raise capital when needed, we could be forced to delay, reduce or eliminate our product discovery and development programs or commercialization efforts.</w:t>
      </w:r>
    </w:p>
    <w:p>
      <w:pPr>
        <w:spacing w:after="0" w:line="168" w:lineRule="exact"/>
        <w:rPr>
          <w:rFonts w:ascii="Arial" w:cs="Arial" w:eastAsia="Arial" w:hAnsi="Arial"/>
          <w:sz w:val="16"/>
          <w:szCs w:val="16"/>
          <w:color w:val="auto"/>
        </w:rPr>
      </w:pPr>
    </w:p>
    <w:p>
      <w:pPr>
        <w:ind w:left="1180" w:right="60" w:hanging="481"/>
        <w:spacing w:after="0" w:line="241"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product candidates and those of our collaborators will need to undergo preclinical and clinical trials that are time consuming and expensive, the outcomes of which are unpredictable, and for which there is a high risk of failure. If preclinical or clinical trials of our or their product candidates fail to satisfactorily demonstrate safety and efficacy to the FDA, the EMA and any other comparable regulatory authority, additional costs may be incurred or delays experienced in completing the development of these product candidates, or their development may be abandoned.</w:t>
      </w:r>
    </w:p>
    <w:p>
      <w:pPr>
        <w:spacing w:after="0" w:line="188" w:lineRule="exact"/>
        <w:rPr>
          <w:rFonts w:ascii="Arial" w:cs="Arial" w:eastAsia="Arial" w:hAnsi="Arial"/>
          <w:sz w:val="16"/>
          <w:szCs w:val="16"/>
          <w:color w:val="auto"/>
        </w:rPr>
      </w:pPr>
    </w:p>
    <w:p>
      <w:pPr>
        <w:ind w:left="1180" w:hanging="481"/>
        <w:spacing w:after="0" w:line="242"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Even if we complete the necessary preclinical studies and clinical trials, the marketing approval process is expensive, time consuming and uncertain and may prevent us or any collaborators from obtaining approvals for the commercialization of some or all of our product candidates. As a result, we cannot predict when or if, and in which territories, we, or any collaborators, will obtain marketing approval to commercialize a product candidate.</w:t>
      </w:r>
    </w:p>
    <w:p>
      <w:pPr>
        <w:spacing w:after="0" w:line="174" w:lineRule="exact"/>
        <w:rPr>
          <w:rFonts w:ascii="Arial" w:cs="Arial" w:eastAsia="Arial" w:hAnsi="Arial"/>
          <w:sz w:val="16"/>
          <w:szCs w:val="16"/>
          <w:color w:val="auto"/>
        </w:rPr>
      </w:pPr>
    </w:p>
    <w:p>
      <w:pPr>
        <w:ind w:left="1180" w:right="280" w:hanging="481"/>
        <w:spacing w:after="0" w:line="249"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at a very early stage in our development efforts, our product candidates and those of our collaborators represent a new category of medicines and may be subject to heightened regulatory scrutiny until they are established as a therapeutic modality.</w:t>
      </w:r>
    </w:p>
    <w:p>
      <w:pPr>
        <w:spacing w:after="0" w:line="168" w:lineRule="exact"/>
        <w:rPr>
          <w:rFonts w:ascii="Arial" w:cs="Arial" w:eastAsia="Arial" w:hAnsi="Arial"/>
          <w:sz w:val="16"/>
          <w:szCs w:val="16"/>
          <w:color w:val="auto"/>
        </w:rPr>
      </w:pPr>
    </w:p>
    <w:p>
      <w:pPr>
        <w:ind w:left="1180" w:hanging="481"/>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not be successful in our efforts to identify or discover additional product candidates.</w:t>
      </w:r>
    </w:p>
    <w:p>
      <w:pPr>
        <w:spacing w:after="0" w:line="195" w:lineRule="exact"/>
        <w:rPr>
          <w:rFonts w:ascii="Arial" w:cs="Arial" w:eastAsia="Arial" w:hAnsi="Arial"/>
          <w:sz w:val="16"/>
          <w:szCs w:val="16"/>
          <w:color w:val="auto"/>
        </w:rPr>
      </w:pPr>
    </w:p>
    <w:p>
      <w:pPr>
        <w:ind w:left="1180" w:right="200" w:hanging="481"/>
        <w:spacing w:after="0" w:line="249"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68" w:lineRule="exact"/>
        <w:rPr>
          <w:rFonts w:ascii="Arial" w:cs="Arial" w:eastAsia="Arial" w:hAnsi="Arial"/>
          <w:sz w:val="16"/>
          <w:szCs w:val="16"/>
          <w:color w:val="auto"/>
        </w:rPr>
      </w:pPr>
    </w:p>
    <w:p>
      <w:pPr>
        <w:ind w:left="1180" w:right="880" w:hanging="481"/>
        <w:spacing w:after="0" w:line="249"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a company based outside of the United States, we are subject to economic, political, regulatory and other risks associated with international operations.</w:t>
      </w:r>
    </w:p>
    <w:p>
      <w:pPr>
        <w:spacing w:after="0" w:line="168" w:lineRule="exact"/>
        <w:rPr>
          <w:rFonts w:ascii="Arial" w:cs="Arial" w:eastAsia="Arial" w:hAnsi="Arial"/>
          <w:sz w:val="16"/>
          <w:szCs w:val="16"/>
          <w:color w:val="auto"/>
        </w:rPr>
      </w:pPr>
    </w:p>
    <w:p>
      <w:pPr>
        <w:ind w:left="1180" w:right="40" w:hanging="481"/>
        <w:spacing w:after="0" w:line="242"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certain product candidates, we depend, or will depend, on development and commercialization collaborators to develop and conduct clinical trials, obtain regulatory approvals, and if approved, market and sell product candidates. If such collaborators fail to perform as expected, the potential for us to generate future revenue from such product candidates would be significantly reduced and our business would be harmed.</w:t>
      </w:r>
    </w:p>
    <w:p>
      <w:pPr>
        <w:spacing w:after="0" w:line="187" w:lineRule="exact"/>
        <w:rPr>
          <w:rFonts w:ascii="Arial" w:cs="Arial" w:eastAsia="Arial" w:hAnsi="Arial"/>
          <w:sz w:val="16"/>
          <w:szCs w:val="16"/>
          <w:color w:val="auto"/>
        </w:rPr>
      </w:pPr>
    </w:p>
    <w:p>
      <w:pPr>
        <w:ind w:left="1180" w:right="100" w:hanging="481"/>
        <w:spacing w:after="0" w:line="242"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are unable to obtain and maintain patent and other intellectual property protection for our products and product candidates, or if the scope of the patent and other intellectual property protection obtained is not sufficiently broad, our competitors could develop and commercialize products similar or identical to ours, and our ability to successfully commercialize our products and product candidates may be adversely affected.</w:t>
      </w:r>
    </w:p>
    <w:p>
      <w:pPr>
        <w:spacing w:after="0" w:line="200" w:lineRule="exact"/>
        <w:rPr>
          <w:sz w:val="20"/>
          <w:szCs w:val="20"/>
          <w:color w:val="auto"/>
        </w:rPr>
      </w:pP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4997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4400" cy="499745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180" w:right="100" w:hanging="481"/>
        <w:spacing w:after="0" w:line="249"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are sued for infringing intellectual property rights of third parties, such litigation could be costly and time consuming and could prevent or delay us from developing or commercializing our product candidates.</w:t>
      </w:r>
    </w:p>
    <w:p>
      <w:pPr>
        <w:spacing w:after="0" w:line="168" w:lineRule="exact"/>
        <w:rPr>
          <w:rFonts w:ascii="Arial" w:cs="Arial" w:eastAsia="Arial" w:hAnsi="Arial"/>
          <w:sz w:val="16"/>
          <w:szCs w:val="16"/>
          <w:color w:val="auto"/>
        </w:rPr>
      </w:pPr>
    </w:p>
    <w:p>
      <w:pPr>
        <w:ind w:left="1180" w:right="500" w:hanging="481"/>
        <w:spacing w:after="0" w:line="249"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future success depends on our ability to retain key employees, consultants and advisors and to attract, retain and motivate qualified personnel.</w:t>
      </w:r>
    </w:p>
    <w:p>
      <w:pPr>
        <w:spacing w:after="0" w:line="168" w:lineRule="exact"/>
        <w:rPr>
          <w:rFonts w:ascii="Arial" w:cs="Arial" w:eastAsia="Arial" w:hAnsi="Arial"/>
          <w:sz w:val="16"/>
          <w:szCs w:val="16"/>
          <w:color w:val="auto"/>
        </w:rPr>
      </w:pPr>
    </w:p>
    <w:p>
      <w:pPr>
        <w:ind w:left="1180" w:right="20" w:hanging="481"/>
        <w:spacing w:after="0" w:line="249"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do not know whether an active, liquid and orderly trading market will develop for our ADSs or what the market price of our ADSs will be. As a result, it may be difficult for you to sell your ADSs.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215" w:lineRule="exact"/>
        <w:rPr>
          <w:sz w:val="20"/>
          <w:szCs w:val="20"/>
          <w:color w:val="auto"/>
        </w:rPr>
      </w:pPr>
    </w:p>
    <w:p>
      <w:pPr>
        <w:ind w:left="200" w:firstLine="442"/>
        <w:spacing w:after="0"/>
        <w:rPr>
          <w:sz w:val="20"/>
          <w:szCs w:val="20"/>
          <w:color w:val="auto"/>
        </w:rPr>
      </w:pPr>
      <w:r>
        <w:rPr>
          <w:rFonts w:ascii="Arial" w:cs="Arial" w:eastAsia="Arial" w:hAnsi="Arial"/>
          <w:sz w:val="16"/>
          <w:szCs w:val="16"/>
          <w:color w:val="auto"/>
        </w:rPr>
        <w:t>We are an "emerging growth company," as defined in the Jumpstart Our Business Startups Act, or the JOBS Act, enacted in April 2012.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reduced disclosure obligations regarding executive compensation in our periodic reports and proxy statements, exemptions from the requirements of holding a nonbinding advisory vote on executive compensation and any golden parachute payments not previously approved.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See "Management's Discussion and Analysis of Financial Condition and Results of Operations — Emerging Growth Company Status."</w:t>
      </w:r>
    </w:p>
    <w:p>
      <w:pPr>
        <w:spacing w:after="0" w:line="190" w:lineRule="exact"/>
        <w:rPr>
          <w:sz w:val="20"/>
          <w:szCs w:val="20"/>
          <w:color w:val="auto"/>
        </w:rPr>
      </w:pPr>
    </w:p>
    <w:p>
      <w:pPr>
        <w:ind w:left="200" w:right="80" w:firstLine="442"/>
        <w:spacing w:after="0" w:line="241" w:lineRule="auto"/>
        <w:rPr>
          <w:sz w:val="20"/>
          <w:szCs w:val="20"/>
          <w:color w:val="auto"/>
        </w:rPr>
      </w:pPr>
      <w:r>
        <w:rPr>
          <w:rFonts w:ascii="Arial" w:cs="Arial" w:eastAsia="Arial" w:hAnsi="Arial"/>
          <w:sz w:val="16"/>
          <w:szCs w:val="16"/>
          <w:color w:val="auto"/>
        </w:rPr>
        <w:t>We will remain an emerging growth company until the earlier to occur of (1) the last day of 2023, (2) the last day of the fiscal year in which we have total annual gross revenues of at least $1.07 billion, (3) the last day of the fiscal year in which we are deemed to be a "large accelerated filer," under the rules of the U.S. Securities and Exchange Commission, or SEC, which means the market value of our equity securities that is held by non-affiliates exceeds $700 million as of the prior June 30th, and (4) the date on which we have issued more than $1.0 billion in non-convertible debt during the prior three-year period.</w:t>
      </w:r>
    </w:p>
    <w:p>
      <w:pPr>
        <w:spacing w:after="0" w:line="189" w:lineRule="exact"/>
        <w:rPr>
          <w:sz w:val="20"/>
          <w:szCs w:val="20"/>
          <w:color w:val="auto"/>
        </w:rPr>
      </w:pPr>
    </w:p>
    <w:p>
      <w:pPr>
        <w:ind w:left="200" w:right="60" w:firstLine="442"/>
        <w:spacing w:after="0" w:line="24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delayed adoption of new or revised accounting standards and, therefore, we will be subject to the same requirements to adopt new or revised accounting standards as other public companies that are not emerging growth companies.</w:t>
      </w:r>
    </w:p>
    <w:p>
      <w:pPr>
        <w:spacing w:after="0" w:line="189" w:lineRule="exact"/>
        <w:rPr>
          <w:sz w:val="20"/>
          <w:szCs w:val="20"/>
          <w:color w:val="auto"/>
        </w:rPr>
      </w:pPr>
    </w:p>
    <w:p>
      <w:pPr>
        <w:ind w:left="200" w:right="180" w:firstLine="442"/>
        <w:spacing w:after="0" w:line="241"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if the market value of our ordinary shares held by non-affiliates is below $250 million (or $700 million if our annual revenue is less than $100 million) as of June 30 in any given year,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602"/>
        </w:trPr>
        <w:tc>
          <w:tcPr>
            <w:tcW w:w="4780" w:type="dxa"/>
            <w:vAlign w:val="bottom"/>
            <w:tcBorders>
              <w:top w:val="single" w:sz="8" w:color="auto"/>
              <w:left w:val="single" w:sz="8" w:color="auto"/>
            </w:tcBorders>
          </w:tcPr>
          <w:p>
            <w:pPr>
              <w:spacing w:after="0"/>
              <w:rPr>
                <w:sz w:val="24"/>
                <w:szCs w:val="24"/>
                <w:color w:val="auto"/>
              </w:rPr>
            </w:pPr>
          </w:p>
        </w:tc>
        <w:tc>
          <w:tcPr>
            <w:tcW w:w="1520" w:type="dxa"/>
            <w:vAlign w:val="bottom"/>
            <w:tcBorders>
              <w:top w:val="single" w:sz="8" w:color="auto"/>
            </w:tcBorders>
          </w:tcPr>
          <w:p>
            <w:pPr>
              <w:ind w:left="440"/>
              <w:spacing w:after="0"/>
              <w:rPr>
                <w:sz w:val="20"/>
                <w:szCs w:val="20"/>
                <w:color w:val="auto"/>
              </w:rPr>
            </w:pPr>
            <w:r>
              <w:rPr>
                <w:rFonts w:ascii="Arial" w:cs="Arial" w:eastAsia="Arial" w:hAnsi="Arial"/>
                <w:sz w:val="16"/>
                <w:szCs w:val="16"/>
                <w:b w:val="1"/>
                <w:bCs w:val="1"/>
                <w:color w:val="auto"/>
              </w:rPr>
              <w:t>The Offering</w:t>
            </w:r>
          </w:p>
        </w:tc>
        <w:tc>
          <w:tcPr>
            <w:tcW w:w="9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20" w:type="dxa"/>
            <w:vAlign w:val="bottom"/>
            <w:tcBorders>
              <w:top w:val="single" w:sz="8" w:color="auto"/>
              <w:right w:val="single" w:sz="8" w:color="auto"/>
            </w:tcBorders>
          </w:tcPr>
          <w:p>
            <w:pPr>
              <w:spacing w:after="0"/>
              <w:rPr>
                <w:sz w:val="24"/>
                <w:szCs w:val="24"/>
                <w:color w:val="auto"/>
              </w:rPr>
            </w:pPr>
          </w:p>
        </w:tc>
      </w:tr>
      <w:tr>
        <w:trPr>
          <w:trHeight w:val="379"/>
        </w:trPr>
        <w:tc>
          <w:tcPr>
            <w:tcW w:w="478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ADSs offered by us</w:t>
            </w:r>
          </w:p>
        </w:tc>
        <w:tc>
          <w:tcPr>
            <w:tcW w:w="1520" w:type="dxa"/>
            <w:vAlign w:val="bottom"/>
          </w:tcPr>
          <w:p>
            <w:pPr>
              <w:spacing w:after="0"/>
              <w:rPr>
                <w:sz w:val="24"/>
                <w:szCs w:val="24"/>
                <w:color w:val="auto"/>
              </w:rPr>
            </w:pPr>
          </w:p>
        </w:tc>
        <w:tc>
          <w:tcPr>
            <w:tcW w:w="5140" w:type="dxa"/>
            <w:vAlign w:val="bottom"/>
            <w:tcBorders>
              <w:right w:val="single" w:sz="8" w:color="auto"/>
            </w:tcBorders>
            <w:gridSpan w:val="4"/>
          </w:tcPr>
          <w:p>
            <w:pPr>
              <w:ind w:left="200"/>
              <w:spacing w:after="0"/>
              <w:rPr>
                <w:sz w:val="20"/>
                <w:szCs w:val="20"/>
                <w:color w:val="auto"/>
              </w:rPr>
            </w:pPr>
            <w:r>
              <w:rPr>
                <w:rFonts w:ascii="Arial" w:cs="Arial" w:eastAsia="Arial" w:hAnsi="Arial"/>
                <w:sz w:val="16"/>
                <w:szCs w:val="16"/>
                <w:color w:val="auto"/>
              </w:rPr>
              <w:t>ADSs, each ADS representing one ordinary share.</w:t>
            </w:r>
          </w:p>
        </w:tc>
      </w:tr>
      <w:tr>
        <w:trPr>
          <w:trHeight w:val="371"/>
        </w:trPr>
        <w:tc>
          <w:tcPr>
            <w:tcW w:w="478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Ordinary shares outstanding immediately after this offering</w:t>
            </w:r>
          </w:p>
        </w:tc>
        <w:tc>
          <w:tcPr>
            <w:tcW w:w="1520" w:type="dxa"/>
            <w:vAlign w:val="bottom"/>
          </w:tcPr>
          <w:p>
            <w:pPr>
              <w:spacing w:after="0"/>
              <w:rPr>
                <w:sz w:val="24"/>
                <w:szCs w:val="24"/>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color w:val="auto"/>
              </w:rPr>
              <w:t>ordinary shares (or</w:t>
            </w:r>
          </w:p>
        </w:tc>
        <w:tc>
          <w:tcPr>
            <w:tcW w:w="32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ordinary shares if the underwriters' option</w:t>
            </w:r>
          </w:p>
        </w:tc>
      </w:tr>
      <w:tr>
        <w:trPr>
          <w:trHeight w:val="192"/>
        </w:trPr>
        <w:tc>
          <w:tcPr>
            <w:tcW w:w="478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to purchase additional ADSs is exercised in full).</w:t>
            </w:r>
          </w:p>
        </w:tc>
      </w:tr>
      <w:tr>
        <w:trPr>
          <w:trHeight w:val="371"/>
        </w:trPr>
        <w:tc>
          <w:tcPr>
            <w:tcW w:w="478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ADSs outstanding immediately after this offering</w:t>
            </w:r>
          </w:p>
        </w:tc>
        <w:tc>
          <w:tcPr>
            <w:tcW w:w="152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16"/>
                <w:szCs w:val="16"/>
                <w:color w:val="auto"/>
              </w:rPr>
              <w:t>ADSs (or</w:t>
            </w:r>
          </w:p>
        </w:tc>
        <w:tc>
          <w:tcPr>
            <w:tcW w:w="4160" w:type="dxa"/>
            <w:vAlign w:val="bottom"/>
            <w:tcBorders>
              <w:right w:val="single" w:sz="8" w:color="auto"/>
            </w:tcBorders>
            <w:gridSpan w:val="3"/>
          </w:tcPr>
          <w:p>
            <w:pPr>
              <w:ind w:left="260"/>
              <w:spacing w:after="0"/>
              <w:rPr>
                <w:sz w:val="20"/>
                <w:szCs w:val="20"/>
                <w:color w:val="auto"/>
              </w:rPr>
            </w:pPr>
            <w:r>
              <w:rPr>
                <w:rFonts w:ascii="Arial" w:cs="Arial" w:eastAsia="Arial" w:hAnsi="Arial"/>
                <w:sz w:val="16"/>
                <w:szCs w:val="16"/>
                <w:color w:val="auto"/>
              </w:rPr>
              <w:t>ADSs if the underwriters' option to purchase</w:t>
            </w:r>
          </w:p>
        </w:tc>
      </w:tr>
      <w:tr>
        <w:trPr>
          <w:trHeight w:val="192"/>
        </w:trPr>
        <w:tc>
          <w:tcPr>
            <w:tcW w:w="4780" w:type="dxa"/>
            <w:vAlign w:val="bottom"/>
            <w:tcBorders>
              <w:left w:val="single" w:sz="8" w:color="auto"/>
            </w:tcBorders>
          </w:tcPr>
          <w:p>
            <w:pPr>
              <w:spacing w:after="0"/>
              <w:rPr>
                <w:sz w:val="16"/>
                <w:szCs w:val="16"/>
                <w:color w:val="auto"/>
              </w:rPr>
            </w:pPr>
          </w:p>
        </w:tc>
        <w:tc>
          <w:tcPr>
            <w:tcW w:w="3840" w:type="dxa"/>
            <w:vAlign w:val="bottom"/>
            <w:gridSpan w:val="4"/>
          </w:tcPr>
          <w:p>
            <w:pPr>
              <w:ind w:left="1160"/>
              <w:spacing w:after="0"/>
              <w:rPr>
                <w:sz w:val="20"/>
                <w:szCs w:val="20"/>
                <w:color w:val="auto"/>
              </w:rPr>
            </w:pPr>
            <w:r>
              <w:rPr>
                <w:rFonts w:ascii="Arial" w:cs="Arial" w:eastAsia="Arial" w:hAnsi="Arial"/>
                <w:sz w:val="16"/>
                <w:szCs w:val="16"/>
                <w:color w:val="auto"/>
              </w:rPr>
              <w:t>additional ADSs is exercised in full).</w:t>
            </w:r>
          </w:p>
        </w:tc>
        <w:tc>
          <w:tcPr>
            <w:tcW w:w="2820" w:type="dxa"/>
            <w:vAlign w:val="bottom"/>
            <w:tcBorders>
              <w:right w:val="single" w:sz="8" w:color="auto"/>
            </w:tcBorders>
          </w:tcPr>
          <w:p>
            <w:pPr>
              <w:spacing w:after="0"/>
              <w:rPr>
                <w:sz w:val="16"/>
                <w:szCs w:val="16"/>
                <w:color w:val="auto"/>
              </w:rPr>
            </w:pPr>
          </w:p>
        </w:tc>
      </w:tr>
      <w:tr>
        <w:trPr>
          <w:trHeight w:val="371"/>
        </w:trPr>
        <w:tc>
          <w:tcPr>
            <w:tcW w:w="478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Underwriters' option to purchase additional ADSs</w:t>
            </w: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We have granted a 30-day option to the underwriters to purchase up to an</w:t>
            </w:r>
          </w:p>
        </w:tc>
      </w:tr>
      <w:tr>
        <w:trPr>
          <w:trHeight w:val="192"/>
        </w:trPr>
        <w:tc>
          <w:tcPr>
            <w:tcW w:w="4780" w:type="dxa"/>
            <w:vAlign w:val="bottom"/>
            <w:tcBorders>
              <w:left w:val="single" w:sz="8" w:color="auto"/>
            </w:tcBorders>
          </w:tcPr>
          <w:p>
            <w:pPr>
              <w:spacing w:after="0"/>
              <w:rPr>
                <w:sz w:val="16"/>
                <w:szCs w:val="16"/>
                <w:color w:val="auto"/>
              </w:rPr>
            </w:pPr>
          </w:p>
        </w:tc>
        <w:tc>
          <w:tcPr>
            <w:tcW w:w="2500" w:type="dxa"/>
            <w:vAlign w:val="bottom"/>
            <w:gridSpan w:val="2"/>
          </w:tcPr>
          <w:p>
            <w:pPr>
              <w:ind w:left="1160"/>
              <w:spacing w:after="0"/>
              <w:rPr>
                <w:sz w:val="20"/>
                <w:szCs w:val="20"/>
                <w:color w:val="auto"/>
              </w:rPr>
            </w:pPr>
            <w:r>
              <w:rPr>
                <w:rFonts w:ascii="Arial" w:cs="Arial" w:eastAsia="Arial" w:hAnsi="Arial"/>
                <w:sz w:val="16"/>
                <w:szCs w:val="16"/>
                <w:color w:val="auto"/>
              </w:rPr>
              <w:t>aggregate of</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additional ADSs.</w:t>
            </w:r>
          </w:p>
        </w:tc>
        <w:tc>
          <w:tcPr>
            <w:tcW w:w="2820" w:type="dxa"/>
            <w:vAlign w:val="bottom"/>
            <w:tcBorders>
              <w:right w:val="single" w:sz="8" w:color="auto"/>
            </w:tcBorders>
          </w:tcPr>
          <w:p>
            <w:pPr>
              <w:spacing w:after="0"/>
              <w:rPr>
                <w:sz w:val="16"/>
                <w:szCs w:val="16"/>
                <w:color w:val="auto"/>
              </w:rPr>
            </w:pPr>
          </w:p>
        </w:tc>
      </w:tr>
      <w:tr>
        <w:trPr>
          <w:trHeight w:val="371"/>
        </w:trPr>
        <w:tc>
          <w:tcPr>
            <w:tcW w:w="478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American Depositary Shares</w:t>
            </w: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Each ADS represents one ordinary share with a nominal value of</w:t>
            </w:r>
          </w:p>
        </w:tc>
      </w:tr>
      <w:tr>
        <w:trPr>
          <w:trHeight w:val="183"/>
        </w:trPr>
        <w:tc>
          <w:tcPr>
            <w:tcW w:w="4780" w:type="dxa"/>
            <w:vAlign w:val="bottom"/>
            <w:tcBorders>
              <w:left w:val="single" w:sz="8" w:color="auto"/>
            </w:tcBorders>
          </w:tcPr>
          <w:p>
            <w:pPr>
              <w:spacing w:after="0"/>
              <w:rPr>
                <w:sz w:val="15"/>
                <w:szCs w:val="15"/>
                <w:color w:val="auto"/>
              </w:rPr>
            </w:pP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5140" w:type="dxa"/>
            <w:vAlign w:val="bottom"/>
            <w:tcBorders>
              <w:right w:val="single" w:sz="8" w:color="auto"/>
            </w:tcBorders>
            <w:gridSpan w:val="4"/>
          </w:tcPr>
          <w:p>
            <w:pPr>
              <w:ind w:left="120"/>
              <w:spacing w:after="0"/>
              <w:rPr>
                <w:sz w:val="20"/>
                <w:szCs w:val="20"/>
                <w:color w:val="auto"/>
              </w:rPr>
            </w:pPr>
            <w:r>
              <w:rPr>
                <w:rFonts w:ascii="Arial" w:cs="Arial" w:eastAsia="Arial" w:hAnsi="Arial"/>
                <w:sz w:val="16"/>
                <w:szCs w:val="16"/>
                <w:color w:val="auto"/>
              </w:rPr>
              <w:t>per ordinary share. You will have the rights of an ADS holder as</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provided in the deposit agreement among us, the depositary and all</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holders and beneficial owners of ADSs issued thereunder. To better</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understand the terms of the ADSs, you should carefully read the section in</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this prospectus titled "Description of American Depositary Shares." We</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also encourage you to read the deposit agreement, which is filed as an</w:t>
            </w:r>
          </w:p>
        </w:tc>
      </w:tr>
      <w:tr>
        <w:trPr>
          <w:trHeight w:val="192"/>
        </w:trPr>
        <w:tc>
          <w:tcPr>
            <w:tcW w:w="478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exhibit to the registration statement that includes this prospectus.</w:t>
            </w:r>
          </w:p>
        </w:tc>
      </w:tr>
      <w:tr>
        <w:trPr>
          <w:trHeight w:val="379"/>
        </w:trPr>
        <w:tc>
          <w:tcPr>
            <w:tcW w:w="478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Depositary</w:t>
            </w:r>
          </w:p>
        </w:tc>
        <w:tc>
          <w:tcPr>
            <w:tcW w:w="2500" w:type="dxa"/>
            <w:vAlign w:val="bottom"/>
            <w:gridSpan w:val="2"/>
          </w:tcPr>
          <w:p>
            <w:pPr>
              <w:ind w:left="1160"/>
              <w:spacing w:after="0"/>
              <w:rPr>
                <w:sz w:val="20"/>
                <w:szCs w:val="20"/>
                <w:color w:val="auto"/>
              </w:rPr>
            </w:pPr>
            <w:r>
              <w:rPr>
                <w:rFonts w:ascii="Arial" w:cs="Arial" w:eastAsia="Arial" w:hAnsi="Arial"/>
                <w:sz w:val="16"/>
                <w:szCs w:val="16"/>
                <w:color w:val="auto"/>
              </w:rPr>
              <w:t>Citibank, N.A.</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r>
      <w:tr>
        <w:trPr>
          <w:trHeight w:val="371"/>
        </w:trPr>
        <w:tc>
          <w:tcPr>
            <w:tcW w:w="478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Use of proceeds</w:t>
            </w: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We estimate that we will receive net proceeds from this offering of</w:t>
            </w:r>
          </w:p>
        </w:tc>
      </w:tr>
      <w:tr>
        <w:trPr>
          <w:trHeight w:val="183"/>
        </w:trPr>
        <w:tc>
          <w:tcPr>
            <w:tcW w:w="4780" w:type="dxa"/>
            <w:vAlign w:val="bottom"/>
            <w:tcBorders>
              <w:left w:val="single" w:sz="8" w:color="auto"/>
            </w:tcBorders>
          </w:tcPr>
          <w:p>
            <w:pPr>
              <w:spacing w:after="0"/>
              <w:rPr>
                <w:sz w:val="15"/>
                <w:szCs w:val="15"/>
                <w:color w:val="auto"/>
              </w:rPr>
            </w:pPr>
          </w:p>
        </w:tc>
        <w:tc>
          <w:tcPr>
            <w:tcW w:w="2500" w:type="dxa"/>
            <w:vAlign w:val="bottom"/>
            <w:gridSpan w:val="2"/>
          </w:tcPr>
          <w:p>
            <w:pPr>
              <w:ind w:left="1160"/>
              <w:spacing w:after="0"/>
              <w:rPr>
                <w:sz w:val="20"/>
                <w:szCs w:val="20"/>
                <w:color w:val="auto"/>
              </w:rPr>
            </w:pPr>
            <w:r>
              <w:rPr>
                <w:rFonts w:ascii="Arial" w:cs="Arial" w:eastAsia="Arial" w:hAnsi="Arial"/>
                <w:sz w:val="16"/>
                <w:szCs w:val="16"/>
                <w:color w:val="auto"/>
              </w:rPr>
              <w:t>approximately $</w:t>
            </w:r>
          </w:p>
        </w:tc>
        <w:tc>
          <w:tcPr>
            <w:tcW w:w="1340" w:type="dxa"/>
            <w:vAlign w:val="bottom"/>
            <w:gridSpan w:val="2"/>
          </w:tcPr>
          <w:p>
            <w:pPr>
              <w:ind w:left="180"/>
              <w:spacing w:after="0"/>
              <w:rPr>
                <w:sz w:val="20"/>
                <w:szCs w:val="20"/>
                <w:color w:val="auto"/>
              </w:rPr>
            </w:pPr>
            <w:r>
              <w:rPr>
                <w:rFonts w:ascii="Arial" w:cs="Arial" w:eastAsia="Arial" w:hAnsi="Arial"/>
                <w:sz w:val="16"/>
                <w:szCs w:val="16"/>
                <w:color w:val="auto"/>
              </w:rPr>
              <w:t>million, or $</w:t>
            </w: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million, if the underwriters exercise</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their option to purchase additional ADSs in full, based upon an assumed</w:t>
            </w:r>
          </w:p>
        </w:tc>
      </w:tr>
      <w:tr>
        <w:trPr>
          <w:trHeight w:val="183"/>
        </w:trPr>
        <w:tc>
          <w:tcPr>
            <w:tcW w:w="4780" w:type="dxa"/>
            <w:vAlign w:val="bottom"/>
            <w:tcBorders>
              <w:left w:val="single" w:sz="8" w:color="auto"/>
            </w:tcBorders>
          </w:tcPr>
          <w:p>
            <w:pPr>
              <w:spacing w:after="0"/>
              <w:rPr>
                <w:sz w:val="15"/>
                <w:szCs w:val="15"/>
                <w:color w:val="auto"/>
              </w:rPr>
            </w:pPr>
          </w:p>
        </w:tc>
        <w:tc>
          <w:tcPr>
            <w:tcW w:w="3380" w:type="dxa"/>
            <w:vAlign w:val="bottom"/>
            <w:gridSpan w:val="3"/>
          </w:tcPr>
          <w:p>
            <w:pPr>
              <w:ind w:left="1160"/>
              <w:spacing w:after="0"/>
              <w:rPr>
                <w:sz w:val="20"/>
                <w:szCs w:val="20"/>
                <w:color w:val="auto"/>
              </w:rPr>
            </w:pPr>
            <w:r>
              <w:rPr>
                <w:rFonts w:ascii="Arial" w:cs="Arial" w:eastAsia="Arial" w:hAnsi="Arial"/>
                <w:sz w:val="16"/>
                <w:szCs w:val="16"/>
                <w:color w:val="auto"/>
              </w:rPr>
              <w:t>initial public offering price of $</w:t>
            </w:r>
          </w:p>
        </w:tc>
        <w:tc>
          <w:tcPr>
            <w:tcW w:w="3280" w:type="dxa"/>
            <w:vAlign w:val="bottom"/>
            <w:tcBorders>
              <w:right w:val="single" w:sz="8" w:color="auto"/>
            </w:tcBorders>
            <w:gridSpan w:val="2"/>
          </w:tcPr>
          <w:p>
            <w:pPr>
              <w:ind w:left="260"/>
              <w:spacing w:after="0"/>
              <w:rPr>
                <w:sz w:val="20"/>
                <w:szCs w:val="20"/>
                <w:color w:val="auto"/>
              </w:rPr>
            </w:pPr>
            <w:r>
              <w:rPr>
                <w:rFonts w:ascii="Arial" w:cs="Arial" w:eastAsia="Arial" w:hAnsi="Arial"/>
                <w:sz w:val="16"/>
                <w:szCs w:val="16"/>
                <w:color w:val="auto"/>
              </w:rPr>
              <w:t>per ADS, which is the midpoint of the</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estimated price range set forth on the cover page of this prospectus, after</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deducting estimated underwriting discounts and commissions and</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estimated offering expenses payable by us. We expect to use the net</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proceeds from this offering to (i) complete preparation for Phase II and III</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clinical development of BT1718 and to advance BT5528 and BT8009</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through Phase I and lla clinical development; (ii) advance our CD137</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programs through preclinical development and to advance one CD137</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multimeric program through Phase I clinical development; and (iii) the</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remainder on drug discovery, further expansion of our infrastructure to</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support our pipeline as well as to fund working capital and other general</w:t>
            </w:r>
          </w:p>
        </w:tc>
      </w:tr>
      <w:tr>
        <w:trPr>
          <w:trHeight w:val="192"/>
        </w:trPr>
        <w:tc>
          <w:tcPr>
            <w:tcW w:w="4780" w:type="dxa"/>
            <w:vAlign w:val="bottom"/>
            <w:tcBorders>
              <w:left w:val="single" w:sz="8" w:color="auto"/>
            </w:tcBorders>
          </w:tcPr>
          <w:p>
            <w:pPr>
              <w:spacing w:after="0"/>
              <w:rPr>
                <w:sz w:val="16"/>
                <w:szCs w:val="16"/>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corporate purposes. See "Use of Proceeds" for additional information.</w:t>
            </w:r>
          </w:p>
        </w:tc>
      </w:tr>
      <w:tr>
        <w:trPr>
          <w:trHeight w:val="371"/>
        </w:trPr>
        <w:tc>
          <w:tcPr>
            <w:tcW w:w="4780" w:type="dxa"/>
            <w:vAlign w:val="bottom"/>
            <w:tcBorders>
              <w:left w:val="single" w:sz="8" w:color="auto"/>
            </w:tcBorders>
          </w:tcPr>
          <w:p>
            <w:pPr>
              <w:ind w:left="220"/>
              <w:spacing w:after="0"/>
              <w:rPr>
                <w:sz w:val="20"/>
                <w:szCs w:val="20"/>
                <w:color w:val="auto"/>
              </w:rPr>
            </w:pPr>
            <w:r>
              <w:rPr>
                <w:rFonts w:ascii="Arial" w:cs="Arial" w:eastAsia="Arial" w:hAnsi="Arial"/>
                <w:sz w:val="16"/>
                <w:szCs w:val="16"/>
                <w:color w:val="auto"/>
              </w:rPr>
              <w:t>Risk factors</w:t>
            </w: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You should carefully read "Risk Factors" and the other information in this</w:t>
            </w:r>
          </w:p>
        </w:tc>
      </w:tr>
      <w:tr>
        <w:trPr>
          <w:trHeight w:val="183"/>
        </w:trPr>
        <w:tc>
          <w:tcPr>
            <w:tcW w:w="4780" w:type="dxa"/>
            <w:vAlign w:val="bottom"/>
            <w:tcBorders>
              <w:left w:val="single" w:sz="8" w:color="auto"/>
            </w:tcBorders>
          </w:tcPr>
          <w:p>
            <w:pPr>
              <w:spacing w:after="0"/>
              <w:rPr>
                <w:sz w:val="15"/>
                <w:szCs w:val="15"/>
                <w:color w:val="auto"/>
              </w:rPr>
            </w:pPr>
          </w:p>
        </w:tc>
        <w:tc>
          <w:tcPr>
            <w:tcW w:w="6660" w:type="dxa"/>
            <w:vAlign w:val="bottom"/>
            <w:tcBorders>
              <w:right w:val="single" w:sz="8" w:color="auto"/>
            </w:tcBorders>
            <w:gridSpan w:val="5"/>
          </w:tcPr>
          <w:p>
            <w:pPr>
              <w:ind w:left="1160"/>
              <w:spacing w:after="0"/>
              <w:rPr>
                <w:sz w:val="20"/>
                <w:szCs w:val="20"/>
                <w:color w:val="auto"/>
              </w:rPr>
            </w:pPr>
            <w:r>
              <w:rPr>
                <w:rFonts w:ascii="Arial" w:cs="Arial" w:eastAsia="Arial" w:hAnsi="Arial"/>
                <w:sz w:val="16"/>
                <w:szCs w:val="16"/>
                <w:color w:val="auto"/>
              </w:rPr>
              <w:t>prospectus for a discussion of factors that you should consider before</w:t>
            </w:r>
          </w:p>
        </w:tc>
      </w:tr>
      <w:tr>
        <w:trPr>
          <w:trHeight w:val="192"/>
        </w:trPr>
        <w:tc>
          <w:tcPr>
            <w:tcW w:w="4780" w:type="dxa"/>
            <w:vAlign w:val="bottom"/>
            <w:tcBorders>
              <w:left w:val="single" w:sz="8" w:color="auto"/>
            </w:tcBorders>
          </w:tcPr>
          <w:p>
            <w:pPr>
              <w:spacing w:after="0"/>
              <w:rPr>
                <w:sz w:val="16"/>
                <w:szCs w:val="16"/>
                <w:color w:val="auto"/>
              </w:rPr>
            </w:pPr>
          </w:p>
        </w:tc>
        <w:tc>
          <w:tcPr>
            <w:tcW w:w="3380" w:type="dxa"/>
            <w:vAlign w:val="bottom"/>
            <w:gridSpan w:val="3"/>
          </w:tcPr>
          <w:p>
            <w:pPr>
              <w:ind w:left="1160"/>
              <w:spacing w:after="0"/>
              <w:rPr>
                <w:sz w:val="20"/>
                <w:szCs w:val="20"/>
                <w:color w:val="auto"/>
              </w:rPr>
            </w:pPr>
            <w:r>
              <w:rPr>
                <w:rFonts w:ascii="Arial" w:cs="Arial" w:eastAsia="Arial" w:hAnsi="Arial"/>
                <w:sz w:val="16"/>
                <w:szCs w:val="16"/>
                <w:color w:val="auto"/>
              </w:rPr>
              <w:t>deciding to invest in the ADSs.</w:t>
            </w:r>
          </w:p>
        </w:tc>
        <w:tc>
          <w:tcPr>
            <w:tcW w:w="460" w:type="dxa"/>
            <w:vAlign w:val="bottom"/>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r>
      <w:tr>
        <w:trPr>
          <w:trHeight w:val="388"/>
        </w:trPr>
        <w:tc>
          <w:tcPr>
            <w:tcW w:w="4780" w:type="dxa"/>
            <w:vAlign w:val="bottom"/>
            <w:tcBorders>
              <w:left w:val="single" w:sz="8" w:color="auto"/>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r>
      <w:tr>
        <w:trPr>
          <w:trHeight w:val="386"/>
        </w:trPr>
        <w:tc>
          <w:tcPr>
            <w:tcW w:w="4780" w:type="dxa"/>
            <w:vAlign w:val="bottom"/>
          </w:tcPr>
          <w:p>
            <w:pPr>
              <w:spacing w:after="0"/>
              <w:rPr>
                <w:sz w:val="24"/>
                <w:szCs w:val="24"/>
                <w:color w:val="auto"/>
              </w:rPr>
            </w:pPr>
          </w:p>
        </w:tc>
        <w:tc>
          <w:tcPr>
            <w:tcW w:w="1520" w:type="dxa"/>
            <w:vAlign w:val="bottom"/>
          </w:tcPr>
          <w:p>
            <w:pPr>
              <w:ind w:left="840"/>
              <w:spacing w:after="0"/>
              <w:rPr>
                <w:sz w:val="20"/>
                <w:szCs w:val="20"/>
                <w:color w:val="auto"/>
              </w:rPr>
            </w:pPr>
            <w:r>
              <w:rPr>
                <w:rFonts w:ascii="Arial" w:cs="Arial" w:eastAsia="Arial" w:hAnsi="Arial"/>
                <w:sz w:val="16"/>
                <w:szCs w:val="16"/>
                <w:color w:val="auto"/>
              </w:rPr>
              <w:t>10</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93"/>
        </w:trPr>
        <w:tc>
          <w:tcPr>
            <w:tcW w:w="4780" w:type="dxa"/>
            <w:vAlign w:val="bottom"/>
            <w:tcBorders>
              <w:bottom w:val="single" w:sz="8" w:color="808080"/>
            </w:tcBorders>
          </w:tcPr>
          <w:p>
            <w:pPr>
              <w:spacing w:after="0"/>
              <w:rPr>
                <w:sz w:val="16"/>
                <w:szCs w:val="16"/>
                <w:color w:val="auto"/>
              </w:rPr>
            </w:pPr>
          </w:p>
        </w:tc>
        <w:tc>
          <w:tcPr>
            <w:tcW w:w="1520" w:type="dxa"/>
            <w:vAlign w:val="bottom"/>
            <w:tcBorders>
              <w:bottom w:val="single" w:sz="8" w:color="808080"/>
            </w:tcBorders>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28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4764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4400" cy="4764405"/>
                    </a:xfrm>
                    <a:prstGeom prst="rect">
                      <a:avLst/>
                    </a:prstGeom>
                    <a:noFill/>
                  </pic:spPr>
                </pic:pic>
              </a:graphicData>
            </a:graphic>
          </wp:anchor>
        </w:drawing>
      </w:r>
    </w:p>
    <w:p>
      <w:pPr>
        <w:spacing w:after="0" w:line="383" w:lineRule="exact"/>
        <w:rPr>
          <w:sz w:val="20"/>
          <w:szCs w:val="20"/>
          <w:color w:val="auto"/>
        </w:rPr>
      </w:pPr>
    </w:p>
    <w:p>
      <w:pPr>
        <w:ind w:left="220"/>
        <w:spacing w:after="0"/>
        <w:tabs>
          <w:tab w:leader="none" w:pos="5920" w:val="left"/>
        </w:tabs>
        <w:rPr>
          <w:sz w:val="20"/>
          <w:szCs w:val="20"/>
          <w:color w:val="auto"/>
        </w:rPr>
      </w:pPr>
      <w:r>
        <w:rPr>
          <w:rFonts w:ascii="Arial" w:cs="Arial" w:eastAsia="Arial" w:hAnsi="Arial"/>
          <w:sz w:val="16"/>
          <w:szCs w:val="16"/>
          <w:color w:val="auto"/>
        </w:rPr>
        <w:t>Proposed Nasdaq Global Market trading symbol</w:t>
      </w:r>
      <w:r>
        <w:rPr>
          <w:sz w:val="20"/>
          <w:szCs w:val="20"/>
          <w:color w:val="auto"/>
        </w:rPr>
        <w:tab/>
      </w:r>
      <w:r>
        <w:rPr>
          <w:rFonts w:ascii="Arial" w:cs="Arial" w:eastAsia="Arial" w:hAnsi="Arial"/>
          <w:sz w:val="15"/>
          <w:szCs w:val="15"/>
          <w:color w:val="auto"/>
        </w:rPr>
        <w:t>"BCYC"</w:t>
      </w:r>
    </w:p>
    <w:p>
      <w:pPr>
        <w:spacing w:after="0" w:line="195" w:lineRule="exact"/>
        <w:rPr>
          <w:sz w:val="20"/>
          <w:szCs w:val="20"/>
          <w:color w:val="auto"/>
        </w:rPr>
      </w:pPr>
    </w:p>
    <w:p>
      <w:pPr>
        <w:ind w:left="200" w:right="200" w:firstLine="439"/>
        <w:spacing w:after="0" w:line="241" w:lineRule="auto"/>
        <w:rPr>
          <w:sz w:val="20"/>
          <w:szCs w:val="20"/>
          <w:color w:val="auto"/>
        </w:rPr>
      </w:pPr>
      <w:r>
        <w:rPr>
          <w:rFonts w:ascii="Arial" w:cs="Arial" w:eastAsia="Arial" w:hAnsi="Arial"/>
          <w:sz w:val="16"/>
          <w:szCs w:val="16"/>
          <w:color w:val="auto"/>
        </w:rPr>
        <w:t>The number of ordinary shares to be outstanding after this offering is based on 628,904 ordinary shares (which includes 39,639 unvested restricted shares subject to repurchase by us) outstanding as of March 31, 2019, and gives effect to (i) the exercise of warrants to subscribe for 200,000 Series A convertible preferred shares immediately prior to the completion of this offering, (ii) the exercise of warrants to subscribe for 371,645 Series B1 convertible preferred shares, and (iii) the automatic conversion of all outstanding convertible preferred shares, resulting in an aggregate of 8,722,477 ordinary shares, upon the completion of this offering, and excludes:</w:t>
      </w:r>
    </w:p>
    <w:p>
      <w:pPr>
        <w:spacing w:after="0" w:line="201" w:lineRule="exact"/>
        <w:rPr>
          <w:sz w:val="20"/>
          <w:szCs w:val="20"/>
          <w:color w:val="auto"/>
        </w:rPr>
      </w:pPr>
    </w:p>
    <w:p>
      <w:pPr>
        <w:jc w:val="both"/>
        <w:ind w:left="1180" w:right="680" w:hanging="481"/>
        <w:spacing w:after="0" w:line="244"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651,435 ordinary shares issuable upon the exercise of options to subscribe for ordinary shares outstanding as of March 31, 2019 at a weighted average exercise price of $1.89 per ordinary share (such amount is translated into dollars from pounds sterling based on an exchange rate of $1.00 to £1.303 as of March 31, 2019);</w:t>
      </w:r>
    </w:p>
    <w:p>
      <w:pPr>
        <w:spacing w:after="0" w:line="172" w:lineRule="exact"/>
        <w:rPr>
          <w:rFonts w:ascii="Arial" w:cs="Arial" w:eastAsia="Arial" w:hAnsi="Arial"/>
          <w:sz w:val="16"/>
          <w:szCs w:val="16"/>
          <w:color w:val="auto"/>
        </w:rPr>
      </w:pPr>
    </w:p>
    <w:p>
      <w:pPr>
        <w:ind w:left="1180" w:hanging="481"/>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438,992 ordinary shares reserved for future issuance as of March 31, 2019 in connection with equity awards;</w:t>
      </w:r>
    </w:p>
    <w:p>
      <w:pPr>
        <w:spacing w:after="0" w:line="182" w:lineRule="exact"/>
        <w:rPr>
          <w:rFonts w:ascii="Arial" w:cs="Arial" w:eastAsia="Arial" w:hAnsi="Arial"/>
          <w:sz w:val="16"/>
          <w:szCs w:val="16"/>
          <w:color w:val="auto"/>
        </w:rPr>
      </w:pPr>
    </w:p>
    <w:p>
      <w:pPr>
        <w:ind w:left="1180" w:right="20" w:hanging="481"/>
        <w:spacing w:after="0" w:line="249" w:lineRule="auto"/>
        <w:tabs>
          <w:tab w:leader="none" w:pos="1755" w:val="left"/>
        </w:tabs>
        <w:numPr>
          <w:ilvl w:val="0"/>
          <w:numId w:val="8"/>
        </w:numPr>
        <w:rPr>
          <w:rFonts w:ascii="Arial" w:cs="Arial" w:eastAsia="Arial" w:hAnsi="Arial"/>
          <w:sz w:val="16"/>
          <w:szCs w:val="16"/>
          <w:color w:val="auto"/>
        </w:rPr>
      </w:pPr>
      <w:r>
        <w:rPr>
          <w:rFonts w:ascii="Arial" w:cs="Arial" w:eastAsia="Arial" w:hAnsi="Arial"/>
          <w:sz w:val="16"/>
          <w:szCs w:val="16"/>
          <w:color w:val="auto"/>
        </w:rPr>
        <w:t>ordinary shares that will be made available for future issuance under our 2019 Share Option and Incentive Plan upon the effectiveness of the registration statement of which this prospectus forms a part; and</w:t>
      </w:r>
    </w:p>
    <w:p>
      <w:pPr>
        <w:spacing w:after="0" w:line="180" w:lineRule="exact"/>
        <w:rPr>
          <w:rFonts w:ascii="Arial" w:cs="Arial" w:eastAsia="Arial" w:hAnsi="Arial"/>
          <w:sz w:val="16"/>
          <w:szCs w:val="16"/>
          <w:color w:val="auto"/>
        </w:rPr>
      </w:pPr>
    </w:p>
    <w:p>
      <w:pPr>
        <w:ind w:left="1180" w:hanging="481"/>
        <w:spacing w:after="0" w:line="249" w:lineRule="auto"/>
        <w:tabs>
          <w:tab w:leader="none" w:pos="1755" w:val="left"/>
        </w:tabs>
        <w:numPr>
          <w:ilvl w:val="0"/>
          <w:numId w:val="8"/>
        </w:numPr>
        <w:rPr>
          <w:rFonts w:ascii="Arial" w:cs="Arial" w:eastAsia="Arial" w:hAnsi="Arial"/>
          <w:sz w:val="16"/>
          <w:szCs w:val="16"/>
          <w:color w:val="auto"/>
        </w:rPr>
      </w:pPr>
      <w:r>
        <w:rPr>
          <w:rFonts w:ascii="Arial" w:cs="Arial" w:eastAsia="Arial" w:hAnsi="Arial"/>
          <w:sz w:val="16"/>
          <w:szCs w:val="16"/>
          <w:color w:val="auto"/>
        </w:rPr>
        <w:t>ordinary shares that will be made available for future issuance under our 2019 Employee Share Purchase Plan, upon the effectiveness of the registration statement of which this prospectus forms a part.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indicated, all information in this prospectus reflects or assumes the following:</w:t>
      </w:r>
    </w:p>
    <w:p>
      <w:pPr>
        <w:spacing w:after="0" w:line="195" w:lineRule="exact"/>
        <w:rPr>
          <w:sz w:val="20"/>
          <w:szCs w:val="20"/>
          <w:color w:val="auto"/>
        </w:rPr>
      </w:pPr>
    </w:p>
    <w:p>
      <w:pPr>
        <w:ind w:left="1180" w:right="100" w:hanging="481"/>
        <w:spacing w:after="0" w:line="244"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exercise of warrants to subscribe for 200,000 Series A convertible preferred shares, the exercise of warrants to subscribe for 371,645 Series B1 convertible preferred shares and the automatic conversion of all outstanding convertible preferred shares as of March 31, 2019 into an aggregate of 8,722,477 ordinary shares, upon the completion of this offering;</w:t>
      </w:r>
    </w:p>
    <w:p>
      <w:pPr>
        <w:spacing w:after="0" w:line="171" w:lineRule="exact"/>
        <w:rPr>
          <w:rFonts w:ascii="Arial" w:cs="Arial" w:eastAsia="Arial" w:hAnsi="Arial"/>
          <w:sz w:val="16"/>
          <w:szCs w:val="16"/>
          <w:color w:val="auto"/>
        </w:rPr>
      </w:pPr>
    </w:p>
    <w:p>
      <w:pPr>
        <w:ind w:left="1180" w:hanging="481"/>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effectiveness of the share capital reorganization prior to the completion of this offering, which is intended to have the effect of a 1-</w:t>
      </w:r>
    </w:p>
    <w:p>
      <w:pPr>
        <w:ind w:left="1180"/>
        <w:spacing w:after="0"/>
        <w:tabs>
          <w:tab w:leader="none" w:pos="198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5"/>
          <w:szCs w:val="15"/>
          <w:color w:val="auto"/>
        </w:rPr>
        <w:t>share split of our share capital. See "Share Capital Reorganization and Re-Registration;"</w:t>
      </w:r>
    </w:p>
    <w:p>
      <w:pPr>
        <w:spacing w:after="0" w:line="195" w:lineRule="exact"/>
        <w:rPr>
          <w:sz w:val="20"/>
          <w:szCs w:val="20"/>
          <w:color w:val="auto"/>
        </w:rPr>
      </w:pPr>
    </w:p>
    <w:p>
      <w:pPr>
        <w:ind w:left="1180" w:hanging="481"/>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effectiveness of our amended and restated memorandum and articles of association upon the closing of this offering;</w:t>
      </w:r>
    </w:p>
    <w:p>
      <w:pPr>
        <w:spacing w:after="0" w:line="182" w:lineRule="exact"/>
        <w:rPr>
          <w:rFonts w:ascii="Arial" w:cs="Arial" w:eastAsia="Arial" w:hAnsi="Arial"/>
          <w:sz w:val="16"/>
          <w:szCs w:val="16"/>
          <w:color w:val="auto"/>
        </w:rPr>
      </w:pPr>
    </w:p>
    <w:p>
      <w:pPr>
        <w:ind w:left="1180" w:hanging="481"/>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reclassification of the warrant liability into additional paid-in capital, upon the completion of this offering;</w:t>
      </w:r>
    </w:p>
    <w:p>
      <w:pPr>
        <w:spacing w:after="0" w:line="182" w:lineRule="exact"/>
        <w:rPr>
          <w:rFonts w:ascii="Arial" w:cs="Arial" w:eastAsia="Arial" w:hAnsi="Arial"/>
          <w:sz w:val="16"/>
          <w:szCs w:val="16"/>
          <w:color w:val="auto"/>
        </w:rPr>
      </w:pPr>
    </w:p>
    <w:p>
      <w:pPr>
        <w:ind w:left="1180" w:right="340" w:hanging="481"/>
        <w:spacing w:after="0" w:line="249"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issuance or exercise of share options after March 31, 2019 (except for the exercise of warrants to subscribe for Series A and Series B1 convertible preferred shares, as described above); and</w:t>
      </w:r>
    </w:p>
    <w:p>
      <w:pPr>
        <w:spacing w:after="0" w:line="168" w:lineRule="exact"/>
        <w:rPr>
          <w:sz w:val="20"/>
          <w:szCs w:val="20"/>
          <w:color w:val="auto"/>
        </w:rPr>
      </w:pPr>
    </w:p>
    <w:p>
      <w:pPr>
        <w:ind w:left="700"/>
        <w:spacing w:after="0"/>
        <w:tabs>
          <w:tab w:leader="none" w:pos="1160" w:val="left"/>
          <w:tab w:leader="none" w:pos="71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no exercise by the underwriters of their option to purchase up to an additional</w:t>
      </w:r>
      <w:r>
        <w:rPr>
          <w:sz w:val="20"/>
          <w:szCs w:val="20"/>
          <w:color w:val="auto"/>
        </w:rPr>
        <w:tab/>
      </w:r>
      <w:r>
        <w:rPr>
          <w:rFonts w:ascii="Arial" w:cs="Arial" w:eastAsia="Arial" w:hAnsi="Arial"/>
          <w:sz w:val="15"/>
          <w:szCs w:val="15"/>
          <w:color w:val="auto"/>
        </w:rPr>
        <w:t>ADSs in this offering.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64400" cy="3592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4400" cy="359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Summary Consolidated Financial Data</w:t>
      </w:r>
    </w:p>
    <w:p>
      <w:pPr>
        <w:spacing w:after="0" w:line="199" w:lineRule="exact"/>
        <w:rPr>
          <w:sz w:val="20"/>
          <w:szCs w:val="20"/>
          <w:color w:val="auto"/>
        </w:rPr>
      </w:pPr>
    </w:p>
    <w:p>
      <w:pPr>
        <w:ind w:left="200" w:right="120" w:firstLine="442"/>
        <w:spacing w:after="0" w:line="267" w:lineRule="auto"/>
        <w:rPr>
          <w:sz w:val="20"/>
          <w:szCs w:val="20"/>
          <w:color w:val="auto"/>
        </w:rPr>
      </w:pPr>
      <w:r>
        <w:rPr>
          <w:rFonts w:ascii="Arial" w:cs="Arial" w:eastAsia="Arial" w:hAnsi="Arial"/>
          <w:sz w:val="15"/>
          <w:szCs w:val="15"/>
          <w:i w:val="1"/>
          <w:iCs w:val="1"/>
          <w:color w:val="auto"/>
        </w:rPr>
        <w:t>The following tables present the summary consolidated financial data as of the dates and for the periods indicated for Bicycle Therapeutics Limited. We derived the summary consolidated statements of operations and comprehensive loss data for the years ended December 31, 2017 and 2018 and the consolidated balance sheet data as of December 31, 2018 from our audited consolidated financial statements included elsewhere in this prospectus. Our historical audited consolidated financial statements as of December 31, 2017 have been restated. See Note 1 to the audited consolidated financial statements included elsewhere in this prospectus. We prepare our consolidated financial statements in accordance with U.S. GAAP.</w:t>
      </w:r>
    </w:p>
    <w:p>
      <w:pPr>
        <w:spacing w:after="0" w:line="153" w:lineRule="exact"/>
        <w:rPr>
          <w:sz w:val="20"/>
          <w:szCs w:val="20"/>
          <w:color w:val="auto"/>
        </w:rPr>
      </w:pPr>
    </w:p>
    <w:p>
      <w:pPr>
        <w:ind w:left="200" w:right="400" w:firstLine="442"/>
        <w:spacing w:after="0" w:line="279" w:lineRule="auto"/>
        <w:rPr>
          <w:sz w:val="20"/>
          <w:szCs w:val="20"/>
          <w:color w:val="auto"/>
        </w:rPr>
      </w:pPr>
      <w:r>
        <w:rPr>
          <w:rFonts w:ascii="Arial" w:cs="Arial" w:eastAsia="Arial" w:hAnsi="Arial"/>
          <w:sz w:val="15"/>
          <w:szCs w:val="15"/>
          <w:i w:val="1"/>
          <w:iCs w:val="1"/>
          <w:color w:val="auto"/>
        </w:rPr>
        <w:t>Our historical results are not necessarily indicative of the results that may be expected in the future. You should read this data together with our consolidated financial statements and related notes appearing elsewhere in this prospectus and the information under the sections titled "Selected Consolidated Financial Data", "Capitalization" and "Management's Discussion and Analysis of Financial Condition and Results of Operations."</w:t>
      </w:r>
    </w:p>
    <w:p>
      <w:pPr>
        <w:spacing w:after="0" w:line="144" w:lineRule="exact"/>
        <w:rPr>
          <w:sz w:val="20"/>
          <w:szCs w:val="20"/>
          <w:color w:val="auto"/>
        </w:rPr>
      </w:pPr>
    </w:p>
    <w:p>
      <w:pPr>
        <w:ind w:left="200" w:right="140" w:firstLine="442"/>
        <w:spacing w:after="0" w:line="244" w:lineRule="auto"/>
        <w:rPr>
          <w:sz w:val="20"/>
          <w:szCs w:val="20"/>
          <w:color w:val="auto"/>
        </w:rPr>
      </w:pPr>
      <w:r>
        <w:rPr>
          <w:rFonts w:ascii="Arial" w:cs="Arial" w:eastAsia="Arial" w:hAnsi="Arial"/>
          <w:sz w:val="16"/>
          <w:szCs w:val="16"/>
          <w:i w:val="1"/>
          <w:iCs w:val="1"/>
          <w:color w:val="auto"/>
        </w:rPr>
        <w:t>The functional currency of Bicycle Therapeutics Limited and its wholly owned subsidiaries in the United Kingdom, BicycleTx Limited and BicycleRD Limited, is the pound sterling. The functional currency of Bicycle Therapeutics Inc. is the U.S. dollar. For financial reporting purposes, the financial statements of Bicycle Therapeutics Limited, BicycleTx Limited and BicycleRD Limited, which are prepared using the functional currency, have been translated into U.S. dollars. Our assets and liabilities are translated at the exchange rates at the balance sheet date, our revenue and expenses are translated at average exchange rates and shareholders' (deficit) equity is translated based on historical exchange rates. Translation adjustments are not included in determining net loss but are included in foreign exchange translation adjustment within accumulated other comprehensive income (loss), a component of shareholders' (deficit) equity.</w:t>
      </w:r>
    </w:p>
    <w:p>
      <w:pPr>
        <w:spacing w:after="0" w:line="170" w:lineRule="exact"/>
        <w:rPr>
          <w:sz w:val="20"/>
          <w:szCs w:val="20"/>
          <w:color w:val="auto"/>
        </w:rPr>
      </w:pPr>
    </w:p>
    <w:p>
      <w:pPr>
        <w:ind w:left="200" w:firstLine="442"/>
        <w:spacing w:after="0" w:line="249" w:lineRule="auto"/>
        <w:rPr>
          <w:sz w:val="20"/>
          <w:szCs w:val="20"/>
          <w:color w:val="auto"/>
        </w:rPr>
      </w:pPr>
      <w:r>
        <w:rPr>
          <w:rFonts w:ascii="Arial" w:cs="Arial" w:eastAsia="Arial" w:hAnsi="Arial"/>
          <w:sz w:val="16"/>
          <w:szCs w:val="16"/>
          <w:i w:val="1"/>
          <w:iCs w:val="1"/>
          <w:color w:val="auto"/>
        </w:rPr>
        <w:t>Foreign currency transactions in currencies different from the functional currency are translated into the functional currency using the exchange rates prevailing at the dates of the transactions. Foreign exchange differences resulting from the settlement of such transactions and from the translation at period-end exchange rates of monetary assets and liabilities denominated in foreign currencies are recorded in general and administrative expense in the consolidated statements of operations and comprehensive loss.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As of December 31, 2018, the last business day of the year ended December 31, 2018, the representative exchange rate was $1.2763 = £1.00.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100"/>
          </w:cols>
          <w:pgMar w:left="240" w:top="142" w:right="5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58045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4400" cy="580453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00" w:firstLine="442"/>
        <w:spacing w:after="0" w:line="270" w:lineRule="auto"/>
        <w:rPr>
          <w:sz w:val="20"/>
          <w:szCs w:val="20"/>
          <w:color w:val="auto"/>
        </w:rPr>
      </w:pPr>
      <w:r>
        <w:rPr>
          <w:rFonts w:ascii="Arial" w:cs="Arial" w:eastAsia="Arial" w:hAnsi="Arial"/>
          <w:sz w:val="16"/>
          <w:szCs w:val="16"/>
          <w:i w:val="1"/>
          <w:iCs w:val="1"/>
          <w:color w:val="auto"/>
        </w:rPr>
        <w:t>Prior to the completion of this offering, we intend to reorganize our share capital and to re-register as a public limited company and change our name from Bicycle Therapeutics Limited to Bicycle Therapeutics plc. See "Share Capital Reorganization and Re-Registration".</w:t>
      </w:r>
    </w:p>
    <w:p>
      <w:pPr>
        <w:spacing w:after="0" w:line="199" w:lineRule="exact"/>
        <w:rPr>
          <w:sz w:val="20"/>
          <w:szCs w:val="20"/>
          <w:color w:val="auto"/>
        </w:rPr>
      </w:pPr>
    </w:p>
    <w:tbl>
      <w:tblPr>
        <w:tblLayout w:type="fixed"/>
        <w:tblInd w:w="130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200"/>
        </w:trPr>
        <w:tc>
          <w:tcPr>
            <w:tcW w:w="69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(as restated)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tcPr>
          <w:p>
            <w:pPr>
              <w:jc w:val="right"/>
              <w:ind w:right="300"/>
              <w:spacing w:after="0" w:line="147" w:lineRule="exact"/>
              <w:rPr>
                <w:sz w:val="20"/>
                <w:szCs w:val="20"/>
                <w:color w:val="auto"/>
              </w:rPr>
            </w:pPr>
            <w:r>
              <w:rPr>
                <w:rFonts w:ascii="Arial" w:cs="Arial" w:eastAsia="Arial" w:hAnsi="Arial"/>
                <w:sz w:val="13"/>
                <w:szCs w:val="13"/>
                <w:b w:val="1"/>
                <w:bCs w:val="1"/>
                <w:color w:val="auto"/>
              </w:rPr>
              <w:t>(in thousands, except</w:t>
            </w:r>
          </w:p>
        </w:tc>
        <w:tc>
          <w:tcPr>
            <w:tcW w:w="0" w:type="dxa"/>
            <w:vAlign w:val="bottom"/>
          </w:tcPr>
          <w:p>
            <w:pPr>
              <w:spacing w:after="0"/>
              <w:rPr>
                <w:sz w:val="1"/>
                <w:szCs w:val="1"/>
                <w:color w:val="auto"/>
              </w:rPr>
            </w:pPr>
          </w:p>
        </w:tc>
      </w:tr>
      <w:tr>
        <w:trPr>
          <w:trHeight w:val="158"/>
        </w:trPr>
        <w:tc>
          <w:tcPr>
            <w:tcW w:w="6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rPr>
              <w:t>share and per share data)</w:t>
            </w:r>
          </w:p>
        </w:tc>
        <w:tc>
          <w:tcPr>
            <w:tcW w:w="0" w:type="dxa"/>
            <w:vAlign w:val="bottom"/>
          </w:tcPr>
          <w:p>
            <w:pPr>
              <w:spacing w:after="0"/>
              <w:rPr>
                <w:sz w:val="1"/>
                <w:szCs w:val="1"/>
                <w:color w:val="auto"/>
              </w:rPr>
            </w:pPr>
          </w:p>
        </w:tc>
      </w:tr>
      <w:tr>
        <w:trPr>
          <w:trHeight w:val="147"/>
        </w:trPr>
        <w:tc>
          <w:tcPr>
            <w:tcW w:w="692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b w:val="1"/>
                <w:bCs w:val="1"/>
                <w:color w:val="auto"/>
              </w:rPr>
              <w:t>Statement of Operations Data:</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20" w:type="dxa"/>
            <w:vAlign w:val="bottom"/>
          </w:tcPr>
          <w:p>
            <w:pPr>
              <w:ind w:left="20"/>
              <w:spacing w:after="0" w:line="147" w:lineRule="exact"/>
              <w:rPr>
                <w:sz w:val="20"/>
                <w:szCs w:val="20"/>
                <w:color w:val="auto"/>
              </w:rPr>
            </w:pPr>
            <w:r>
              <w:rPr>
                <w:rFonts w:ascii="Arial" w:cs="Arial" w:eastAsia="Arial" w:hAnsi="Arial"/>
                <w:sz w:val="13"/>
                <w:szCs w:val="13"/>
                <w:color w:val="auto"/>
              </w:rPr>
              <w:t>Collaboration revenues</w:t>
            </w:r>
          </w:p>
        </w:tc>
        <w:tc>
          <w:tcPr>
            <w:tcW w:w="80" w:type="dxa"/>
            <w:vAlign w:val="bottom"/>
          </w:tcPr>
          <w:p>
            <w:pPr>
              <w:jc w:val="right"/>
              <w:spacing w:after="0" w:line="147"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2,060</w:t>
            </w:r>
          </w:p>
        </w:tc>
        <w:tc>
          <w:tcPr>
            <w:tcW w:w="120" w:type="dxa"/>
            <w:vAlign w:val="bottom"/>
          </w:tcPr>
          <w:p>
            <w:pPr>
              <w:jc w:val="right"/>
              <w:spacing w:after="0" w:line="147"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7,136</w:t>
            </w:r>
          </w:p>
        </w:tc>
        <w:tc>
          <w:tcPr>
            <w:tcW w:w="0" w:type="dxa"/>
            <w:vAlign w:val="bottom"/>
          </w:tcPr>
          <w:p>
            <w:pPr>
              <w:spacing w:after="0"/>
              <w:rPr>
                <w:sz w:val="1"/>
                <w:szCs w:val="1"/>
                <w:color w:val="auto"/>
              </w:rPr>
            </w:pPr>
          </w:p>
        </w:tc>
      </w:tr>
      <w:tr>
        <w:trPr>
          <w:trHeight w:val="306"/>
        </w:trPr>
        <w:tc>
          <w:tcPr>
            <w:tcW w:w="6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920" w:type="dxa"/>
            <w:vAlign w:val="bottom"/>
          </w:tcPr>
          <w:p>
            <w:pPr>
              <w:ind w:left="140"/>
              <w:spacing w:after="0" w:line="147" w:lineRule="exact"/>
              <w:rPr>
                <w:sz w:val="20"/>
                <w:szCs w:val="20"/>
                <w:color w:val="auto"/>
              </w:rPr>
            </w:pPr>
            <w:r>
              <w:rPr>
                <w:rFonts w:ascii="Arial" w:cs="Arial" w:eastAsia="Arial" w:hAnsi="Arial"/>
                <w:sz w:val="13"/>
                <w:szCs w:val="13"/>
                <w:color w:val="auto"/>
              </w:rPr>
              <w:t>Research and development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11,866</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20,761</w:t>
            </w:r>
          </w:p>
        </w:tc>
        <w:tc>
          <w:tcPr>
            <w:tcW w:w="0" w:type="dxa"/>
            <w:vAlign w:val="bottom"/>
          </w:tcPr>
          <w:p>
            <w:pPr>
              <w:spacing w:after="0"/>
              <w:rPr>
                <w:sz w:val="1"/>
                <w:szCs w:val="1"/>
                <w:color w:val="auto"/>
              </w:rPr>
            </w:pPr>
          </w:p>
        </w:tc>
      </w:tr>
      <w:tr>
        <w:trPr>
          <w:trHeight w:val="147"/>
        </w:trPr>
        <w:tc>
          <w:tcPr>
            <w:tcW w:w="6920" w:type="dxa"/>
            <w:vAlign w:val="bottom"/>
            <w:shd w:val="clear" w:color="auto" w:fill="CCEEFF"/>
          </w:tcPr>
          <w:p>
            <w:pPr>
              <w:ind w:left="140"/>
              <w:spacing w:after="0" w:line="147" w:lineRule="exact"/>
              <w:rPr>
                <w:sz w:val="20"/>
                <w:szCs w:val="20"/>
                <w:color w:val="auto"/>
              </w:rPr>
            </w:pPr>
            <w:r>
              <w:rPr>
                <w:rFonts w:ascii="Arial" w:cs="Arial" w:eastAsia="Arial" w:hAnsi="Arial"/>
                <w:sz w:val="13"/>
                <w:szCs w:val="13"/>
                <w:color w:val="auto"/>
              </w:rPr>
              <w:t>General and administrative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6,407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8,121</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18,273</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auto"/>
              </w:rPr>
              <w:t>28,882</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9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Loss from operations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(16,213)</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(21,746)</w:t>
            </w:r>
          </w:p>
        </w:tc>
        <w:tc>
          <w:tcPr>
            <w:tcW w:w="0" w:type="dxa"/>
            <w:vAlign w:val="bottom"/>
          </w:tcPr>
          <w:p>
            <w:pPr>
              <w:spacing w:after="0"/>
              <w:rPr>
                <w:sz w:val="1"/>
                <w:szCs w:val="1"/>
                <w:color w:val="auto"/>
              </w:rPr>
            </w:pPr>
          </w:p>
        </w:tc>
      </w:tr>
      <w:tr>
        <w:trPr>
          <w:trHeight w:val="139"/>
        </w:trPr>
        <w:tc>
          <w:tcPr>
            <w:tcW w:w="6920" w:type="dxa"/>
            <w:vAlign w:val="bottom"/>
          </w:tcPr>
          <w:p>
            <w:pPr>
              <w:ind w:left="20"/>
              <w:spacing w:after="0" w:line="139" w:lineRule="exact"/>
              <w:rPr>
                <w:sz w:val="20"/>
                <w:szCs w:val="20"/>
                <w:color w:val="auto"/>
              </w:rPr>
            </w:pPr>
            <w:r>
              <w:rPr>
                <w:rFonts w:ascii="Arial" w:cs="Arial" w:eastAsia="Arial" w:hAnsi="Arial"/>
                <w:sz w:val="13"/>
                <w:szCs w:val="13"/>
                <w:color w:val="auto"/>
              </w:rPr>
              <w:t>Other income (expenses):</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20" w:type="dxa"/>
            <w:vAlign w:val="bottom"/>
            <w:shd w:val="clear" w:color="auto" w:fill="CCEEFF"/>
          </w:tcPr>
          <w:p>
            <w:pPr>
              <w:ind w:left="140"/>
              <w:spacing w:after="0" w:line="147" w:lineRule="exact"/>
              <w:rPr>
                <w:sz w:val="20"/>
                <w:szCs w:val="20"/>
                <w:color w:val="auto"/>
              </w:rPr>
            </w:pPr>
            <w:r>
              <w:rPr>
                <w:rFonts w:ascii="Arial" w:cs="Arial" w:eastAsia="Arial" w:hAnsi="Arial"/>
                <w:sz w:val="13"/>
                <w:szCs w:val="13"/>
                <w:color w:val="auto"/>
              </w:rPr>
              <w:t>Interest and other income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47"/>
        </w:trPr>
        <w:tc>
          <w:tcPr>
            <w:tcW w:w="6920" w:type="dxa"/>
            <w:vAlign w:val="bottom"/>
          </w:tcPr>
          <w:p>
            <w:pPr>
              <w:ind w:left="140"/>
              <w:spacing w:after="0" w:line="147" w:lineRule="exact"/>
              <w:rPr>
                <w:sz w:val="20"/>
                <w:szCs w:val="20"/>
                <w:color w:val="auto"/>
              </w:rPr>
            </w:pPr>
            <w:r>
              <w:rPr>
                <w:rFonts w:ascii="Arial" w:cs="Arial" w:eastAsia="Arial" w:hAnsi="Arial"/>
                <w:sz w:val="13"/>
                <w:szCs w:val="13"/>
                <w:color w:val="auto"/>
              </w:rPr>
              <w:t>Other expense</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(119)</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920" w:type="dxa"/>
            <w:vAlign w:val="bottom"/>
            <w:shd w:val="clear" w:color="auto" w:fill="CCEEFF"/>
          </w:tcPr>
          <w:p>
            <w:pPr>
              <w:ind w:left="280"/>
              <w:spacing w:after="0" w:line="139" w:lineRule="exact"/>
              <w:rPr>
                <w:sz w:val="20"/>
                <w:szCs w:val="20"/>
                <w:color w:val="auto"/>
              </w:rPr>
            </w:pPr>
            <w:r>
              <w:rPr>
                <w:rFonts w:ascii="Arial" w:cs="Arial" w:eastAsia="Arial" w:hAnsi="Arial"/>
                <w:sz w:val="13"/>
                <w:szCs w:val="13"/>
                <w:color w:val="auto"/>
              </w:rPr>
              <w:t>Total other expense, net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20"/>
              <w:spacing w:after="0"/>
              <w:rPr>
                <w:sz w:val="20"/>
                <w:szCs w:val="20"/>
                <w:color w:val="auto"/>
              </w:rPr>
            </w:pPr>
            <w:r>
              <w:rPr>
                <w:rFonts w:ascii="Arial" w:cs="Arial" w:eastAsia="Arial" w:hAnsi="Arial"/>
                <w:sz w:val="13"/>
                <w:szCs w:val="13"/>
                <w:color w:val="auto"/>
              </w:rPr>
              <w:t>Net loss before income tax provision</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(16,282)</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(22,242)</w:t>
            </w:r>
          </w:p>
        </w:tc>
        <w:tc>
          <w:tcPr>
            <w:tcW w:w="0" w:type="dxa"/>
            <w:vAlign w:val="bottom"/>
          </w:tcPr>
          <w:p>
            <w:pPr>
              <w:spacing w:after="0"/>
              <w:rPr>
                <w:sz w:val="1"/>
                <w:szCs w:val="1"/>
                <w:color w:val="auto"/>
              </w:rPr>
            </w:pPr>
          </w:p>
        </w:tc>
      </w:tr>
      <w:tr>
        <w:trPr>
          <w:trHeight w:val="147"/>
        </w:trPr>
        <w:tc>
          <w:tcPr>
            <w:tcW w:w="6920" w:type="dxa"/>
            <w:vAlign w:val="bottom"/>
            <w:shd w:val="clear" w:color="auto" w:fill="CCEEFF"/>
          </w:tcPr>
          <w:p>
            <w:pPr>
              <w:ind w:left="140"/>
              <w:spacing w:after="0" w:line="147" w:lineRule="exact"/>
              <w:rPr>
                <w:sz w:val="20"/>
                <w:szCs w:val="20"/>
                <w:color w:val="auto"/>
              </w:rPr>
            </w:pPr>
            <w:r>
              <w:rPr>
                <w:rFonts w:ascii="Arial" w:cs="Arial" w:eastAsia="Arial" w:hAnsi="Arial"/>
                <w:sz w:val="13"/>
                <w:szCs w:val="13"/>
                <w:color w:val="auto"/>
              </w:rPr>
              <w:t>Benefit from income taxes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(396)</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20"/>
              <w:spacing w:after="0"/>
              <w:rPr>
                <w:sz w:val="20"/>
                <w:szCs w:val="20"/>
                <w:color w:val="auto"/>
              </w:rPr>
            </w:pPr>
            <w:r>
              <w:rPr>
                <w:rFonts w:ascii="Arial" w:cs="Arial" w:eastAsia="Arial" w:hAnsi="Arial"/>
                <w:sz w:val="13"/>
                <w:szCs w:val="13"/>
                <w:color w:val="auto"/>
              </w:rPr>
              <w:t>Net loss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920" w:type="dxa"/>
            <w:vAlign w:val="bottom"/>
            <w:vMerge w:val="continue"/>
          </w:tcPr>
          <w:p>
            <w:pPr>
              <w:spacing w:after="0"/>
              <w:rPr>
                <w:sz w:val="12"/>
                <w:szCs w:val="12"/>
                <w:color w:val="auto"/>
              </w:rPr>
            </w:pPr>
          </w:p>
        </w:tc>
        <w:tc>
          <w:tcPr>
            <w:tcW w:w="80" w:type="dxa"/>
            <w:vAlign w:val="bottom"/>
          </w:tcPr>
          <w:p>
            <w:pPr>
              <w:jc w:val="right"/>
              <w:spacing w:after="0" w:line="139"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(16,259)</w:t>
            </w:r>
          </w:p>
        </w:tc>
        <w:tc>
          <w:tcPr>
            <w:tcW w:w="120" w:type="dxa"/>
            <w:vAlign w:val="bottom"/>
          </w:tcPr>
          <w:p>
            <w:pPr>
              <w:jc w:val="right"/>
              <w:spacing w:after="0" w:line="139"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(21,846)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92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Net loss attributable to ordinary shareholders</w:t>
            </w:r>
          </w:p>
        </w:tc>
        <w:tc>
          <w:tcPr>
            <w:tcW w:w="8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3"/>
                <w:szCs w:val="13"/>
                <w:color w:val="auto"/>
              </w:rPr>
              <w:t>(16,259)</w:t>
            </w:r>
          </w:p>
        </w:tc>
        <w:tc>
          <w:tcPr>
            <w:tcW w:w="12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3"/>
                <w:szCs w:val="13"/>
                <w:color w:val="auto"/>
              </w:rPr>
              <w:t>(21,846)</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20"/>
              <w:spacing w:after="0"/>
              <w:rPr>
                <w:sz w:val="20"/>
                <w:szCs w:val="20"/>
                <w:color w:val="auto"/>
              </w:rPr>
            </w:pPr>
            <w:r>
              <w:rPr>
                <w:rFonts w:ascii="Arial" w:cs="Arial" w:eastAsia="Arial" w:hAnsi="Arial"/>
                <w:sz w:val="13"/>
                <w:szCs w:val="13"/>
                <w:color w:val="auto"/>
              </w:rPr>
              <w:t>Net loss per share attributable to ordinary shareholders,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920" w:type="dxa"/>
            <w:vAlign w:val="bottom"/>
            <w:vMerge w:val="continue"/>
          </w:tcPr>
          <w:p>
            <w:pPr>
              <w:spacing w:after="0"/>
              <w:rPr>
                <w:sz w:val="10"/>
                <w:szCs w:val="10"/>
                <w:color w:val="auto"/>
              </w:rPr>
            </w:pPr>
          </w:p>
        </w:tc>
        <w:tc>
          <w:tcPr>
            <w:tcW w:w="80" w:type="dxa"/>
            <w:vAlign w:val="bottom"/>
          </w:tcPr>
          <w:p>
            <w:pPr>
              <w:jc w:val="right"/>
              <w:spacing w:after="0" w:line="124"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80"/>
              <w:spacing w:after="0" w:line="124" w:lineRule="exact"/>
              <w:rPr>
                <w:sz w:val="20"/>
                <w:szCs w:val="20"/>
                <w:color w:val="auto"/>
              </w:rPr>
            </w:pPr>
            <w:r>
              <w:rPr>
                <w:rFonts w:ascii="Arial" w:cs="Arial" w:eastAsia="Arial" w:hAnsi="Arial"/>
                <w:sz w:val="13"/>
                <w:szCs w:val="13"/>
                <w:color w:val="auto"/>
              </w:rPr>
              <w:t>(69.74)</w:t>
            </w:r>
          </w:p>
        </w:tc>
        <w:tc>
          <w:tcPr>
            <w:tcW w:w="120" w:type="dxa"/>
            <w:vAlign w:val="bottom"/>
          </w:tcPr>
          <w:p>
            <w:pPr>
              <w:jc w:val="right"/>
              <w:spacing w:after="0" w:line="12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line="124" w:lineRule="exact"/>
              <w:rPr>
                <w:sz w:val="20"/>
                <w:szCs w:val="20"/>
                <w:color w:val="auto"/>
              </w:rPr>
            </w:pPr>
            <w:r>
              <w:rPr>
                <w:rFonts w:ascii="Arial" w:cs="Arial" w:eastAsia="Arial" w:hAnsi="Arial"/>
                <w:sz w:val="13"/>
                <w:szCs w:val="13"/>
                <w:color w:val="auto"/>
              </w:rPr>
              <w:t>(71.13)</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92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Weighted average ordinary shares outstanding, basic and diluted</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3"/>
                <w:szCs w:val="13"/>
                <w:color w:val="auto"/>
              </w:rPr>
              <w:t>233,134</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3"/>
                <w:szCs w:val="13"/>
                <w:color w:val="auto"/>
              </w:rPr>
              <w:t>307,123</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20"/>
              <w:spacing w:after="0"/>
              <w:rPr>
                <w:sz w:val="20"/>
                <w:szCs w:val="20"/>
                <w:color w:val="auto"/>
              </w:rPr>
            </w:pPr>
            <w:r>
              <w:rPr>
                <w:rFonts w:ascii="Arial" w:cs="Arial" w:eastAsia="Arial" w:hAnsi="Arial"/>
                <w:sz w:val="13"/>
                <w:szCs w:val="13"/>
                <w:color w:val="auto"/>
              </w:rPr>
              <w:t>Pro forma net loss per share attributable to ordinary shareholders, basic and diluted (unaudited)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jc w:val="right"/>
              <w:spacing w:after="0" w:line="12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line="124" w:lineRule="exact"/>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92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Pro forma weighted average number of ordinary shares outstanding, basic and diluted (unaudited)</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3"/>
                <w:szCs w:val="13"/>
                <w:color w:val="auto"/>
              </w:rPr>
              <w:t>7,665,736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200" w:right="100" w:firstLine="442"/>
        <w:spacing w:after="0" w:line="270" w:lineRule="auto"/>
        <w:rPr>
          <w:sz w:val="20"/>
          <w:szCs w:val="20"/>
          <w:color w:val="auto"/>
        </w:rPr>
      </w:pPr>
      <w:r>
        <w:rPr>
          <w:rFonts w:ascii="Arial" w:cs="Arial" w:eastAsia="Arial" w:hAnsi="Arial"/>
          <w:sz w:val="16"/>
          <w:szCs w:val="16"/>
          <w:i w:val="1"/>
          <w:iCs w:val="1"/>
          <w:color w:val="auto"/>
        </w:rPr>
        <w:t>See Note 2 within the notes to our consolidated financial statements appearing at the end of this prospectus for a description of the method used to calculate basic and diluted net loss per share applicable to ordinary shareholders and unaudited pro forma basic and diluted net loss per share.</w:t>
      </w:r>
    </w:p>
    <w:p>
      <w:pPr>
        <w:spacing w:after="0" w:line="199" w:lineRule="exact"/>
        <w:rPr>
          <w:sz w:val="20"/>
          <w:szCs w:val="20"/>
          <w:color w:val="auto"/>
        </w:rPr>
      </w:pPr>
    </w:p>
    <w:tbl>
      <w:tblPr>
        <w:tblLayout w:type="fixed"/>
        <w:tblInd w:w="1300" w:type="dxa"/>
        <w:tblCellMar>
          <w:top w:w="0" w:type="dxa"/>
          <w:left w:w="0" w:type="dxa"/>
          <w:bottom w:w="0" w:type="dxa"/>
          <w:right w:w="0" w:type="dxa"/>
        </w:tblCellMar>
      </w:tblPr>
      <w:tr>
        <w:trPr>
          <w:trHeight w:val="187"/>
        </w:trPr>
        <w:tc>
          <w:tcPr>
            <w:tcW w:w="9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As of December 31, 2018</w:t>
            </w:r>
          </w:p>
        </w:tc>
        <w:tc>
          <w:tcPr>
            <w:tcW w:w="1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8"/>
        </w:trPr>
        <w:tc>
          <w:tcPr>
            <w:tcW w:w="9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7"/>
              </w:rPr>
              <w:t>Pro forma</w:t>
            </w:r>
          </w:p>
        </w:tc>
      </w:tr>
      <w:tr>
        <w:trPr>
          <w:trHeight w:val="187"/>
        </w:trPr>
        <w:tc>
          <w:tcPr>
            <w:tcW w:w="9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Actual</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Pro forma</w:t>
            </w:r>
            <w:r>
              <w:rPr>
                <w:rFonts w:ascii="Arial" w:cs="Arial" w:eastAsia="Arial" w:hAnsi="Arial"/>
                <w:sz w:val="9"/>
                <w:szCs w:val="9"/>
                <w:b w:val="1"/>
                <w:bCs w:val="1"/>
                <w:color w:val="auto"/>
              </w:rPr>
              <w:t>(1)</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35"/>
              <w:spacing w:after="0"/>
              <w:rPr>
                <w:sz w:val="20"/>
                <w:szCs w:val="20"/>
                <w:color w:val="auto"/>
              </w:rPr>
            </w:pPr>
            <w:r>
              <w:rPr>
                <w:rFonts w:ascii="Arial" w:cs="Arial" w:eastAsia="Arial" w:hAnsi="Arial"/>
                <w:sz w:val="13"/>
                <w:szCs w:val="13"/>
                <w:b w:val="1"/>
                <w:bCs w:val="1"/>
                <w:color w:val="auto"/>
              </w:rPr>
              <w:t>as adjusted</w:t>
            </w:r>
            <w:r>
              <w:rPr>
                <w:rFonts w:ascii="Arial" w:cs="Arial" w:eastAsia="Arial" w:hAnsi="Arial"/>
                <w:sz w:val="9"/>
                <w:szCs w:val="9"/>
                <w:b w:val="1"/>
                <w:bCs w:val="1"/>
                <w:color w:val="auto"/>
              </w:rPr>
              <w:t>(2)</w:t>
            </w:r>
          </w:p>
        </w:tc>
        <w:tc>
          <w:tcPr>
            <w:tcW w:w="140" w:type="dxa"/>
            <w:vAlign w:val="bottom"/>
          </w:tcPr>
          <w:p>
            <w:pPr>
              <w:spacing w:after="0"/>
              <w:rPr>
                <w:sz w:val="16"/>
                <w:szCs w:val="16"/>
                <w:color w:val="auto"/>
              </w:rPr>
            </w:pPr>
          </w:p>
        </w:tc>
      </w:tr>
      <w:tr>
        <w:trPr>
          <w:trHeight w:val="196"/>
        </w:trPr>
        <w:tc>
          <w:tcPr>
            <w:tcW w:w="9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3"/>
          </w:tcPr>
          <w:p>
            <w:pPr>
              <w:ind w:left="580"/>
              <w:spacing w:after="0"/>
              <w:rPr>
                <w:sz w:val="20"/>
                <w:szCs w:val="20"/>
                <w:color w:val="auto"/>
              </w:rPr>
            </w:pPr>
            <w:r>
              <w:rPr>
                <w:rFonts w:ascii="Arial" w:cs="Arial" w:eastAsia="Arial" w:hAnsi="Arial"/>
                <w:sz w:val="13"/>
                <w:szCs w:val="13"/>
                <w:b w:val="1"/>
                <w:bCs w:val="1"/>
                <w:color w:val="auto"/>
              </w:rPr>
              <w:t>(in thousands)</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47"/>
        </w:trPr>
        <w:tc>
          <w:tcPr>
            <w:tcW w:w="470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b w:val="1"/>
                <w:bCs w:val="1"/>
                <w:color w:val="auto"/>
              </w:rPr>
              <w:t>Balance Sheet Data:</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7"/>
        </w:trPr>
        <w:tc>
          <w:tcPr>
            <w:tcW w:w="470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Cash</w:t>
            </w:r>
          </w:p>
        </w:tc>
        <w:tc>
          <w:tcPr>
            <w:tcW w:w="120" w:type="dxa"/>
            <w:vAlign w:val="bottom"/>
          </w:tcPr>
          <w:p>
            <w:pPr>
              <w:jc w:val="right"/>
              <w:spacing w:after="0" w:line="147"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63,380</w:t>
            </w:r>
          </w:p>
        </w:tc>
        <w:tc>
          <w:tcPr>
            <w:tcW w:w="220" w:type="dxa"/>
            <w:vAlign w:val="bottom"/>
          </w:tcPr>
          <w:p>
            <w:pPr>
              <w:jc w:val="right"/>
              <w:ind w:right="75"/>
              <w:spacing w:after="0" w:line="147" w:lineRule="exact"/>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64,983</w:t>
            </w: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1"/>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Working capital</w:t>
            </w:r>
            <w:r>
              <w:rPr>
                <w:rFonts w:ascii="Arial" w:cs="Arial" w:eastAsia="Arial" w:hAnsi="Arial"/>
                <w:sz w:val="9"/>
                <w:szCs w:val="9"/>
                <w:color w:val="auto"/>
              </w:rPr>
              <w:t>(3)</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67,840</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69,443</w:t>
            </w:r>
          </w:p>
        </w:tc>
        <w:tc>
          <w:tcPr>
            <w:tcW w:w="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47"/>
        </w:trPr>
        <w:tc>
          <w:tcPr>
            <w:tcW w:w="470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81,626</w:t>
            </w:r>
          </w:p>
        </w:tc>
        <w:tc>
          <w:tcPr>
            <w:tcW w:w="220" w:type="dxa"/>
            <w:vAlign w:val="bottom"/>
          </w:tcPr>
          <w:p>
            <w:pPr>
              <w:spacing w:after="0"/>
              <w:rPr>
                <w:sz w:val="12"/>
                <w:szCs w:val="12"/>
                <w:color w:val="auto"/>
              </w:rPr>
            </w:pPr>
          </w:p>
        </w:tc>
        <w:tc>
          <w:tcPr>
            <w:tcW w:w="134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83,229</w:t>
            </w: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7"/>
        </w:trPr>
        <w:tc>
          <w:tcPr>
            <w:tcW w:w="470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3"/>
                <w:szCs w:val="13"/>
                <w:color w:val="auto"/>
              </w:rPr>
              <w:t>Total deferred revenue</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14,635</w:t>
            </w: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14,635</w:t>
            </w: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7"/>
        </w:trPr>
        <w:tc>
          <w:tcPr>
            <w:tcW w:w="470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Warrant liability</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4,804</w:t>
            </w:r>
          </w:p>
        </w:tc>
        <w:tc>
          <w:tcPr>
            <w:tcW w:w="220" w:type="dxa"/>
            <w:vAlign w:val="bottom"/>
          </w:tcPr>
          <w:p>
            <w:pPr>
              <w:spacing w:after="0"/>
              <w:rPr>
                <w:sz w:val="12"/>
                <w:szCs w:val="12"/>
                <w:color w:val="auto"/>
              </w:rPr>
            </w:pPr>
          </w:p>
        </w:tc>
        <w:tc>
          <w:tcPr>
            <w:tcW w:w="1740" w:type="dxa"/>
            <w:vAlign w:val="bottom"/>
            <w:gridSpan w:val="3"/>
          </w:tcPr>
          <w:p>
            <w:pPr>
              <w:jc w:val="right"/>
              <w:ind w:right="540"/>
              <w:spacing w:after="0" w:line="147" w:lineRule="exact"/>
              <w:rPr>
                <w:sz w:val="20"/>
                <w:szCs w:val="20"/>
                <w:color w:val="auto"/>
              </w:rPr>
            </w:pPr>
            <w:r>
              <w:rPr>
                <w:rFonts w:ascii="Arial" w:cs="Arial" w:eastAsia="Arial" w:hAnsi="Arial"/>
                <w:sz w:val="13"/>
                <w:szCs w:val="13"/>
                <w:color w:val="auto"/>
              </w:rPr>
              <w:t>—</w:t>
            </w: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7"/>
        </w:trPr>
        <w:tc>
          <w:tcPr>
            <w:tcW w:w="470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3"/>
                <w:szCs w:val="13"/>
                <w:color w:val="auto"/>
              </w:rPr>
              <w:t>Convertible preferred shares</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122,197</w:t>
            </w:r>
          </w:p>
        </w:tc>
        <w:tc>
          <w:tcPr>
            <w:tcW w:w="22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0"/>
        </w:trPr>
        <w:tc>
          <w:tcPr>
            <w:tcW w:w="4700" w:type="dxa"/>
            <w:vAlign w:val="bottom"/>
            <w:gridSpan w:val="2"/>
          </w:tcPr>
          <w:p>
            <w:pPr>
              <w:ind w:left="140"/>
              <w:spacing w:after="0"/>
              <w:rPr>
                <w:sz w:val="20"/>
                <w:szCs w:val="20"/>
                <w:color w:val="auto"/>
              </w:rPr>
            </w:pPr>
            <w:r>
              <w:rPr>
                <w:rFonts w:ascii="Arial" w:cs="Arial" w:eastAsia="Arial" w:hAnsi="Arial"/>
                <w:sz w:val="13"/>
                <w:szCs w:val="13"/>
                <w:color w:val="auto"/>
              </w:rPr>
              <w:t>Total shareholders' (deficit) equity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(69,826)</w:t>
            </w: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58,778</w:t>
            </w: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84"/>
        </w:trPr>
        <w:tc>
          <w:tcPr>
            <w:tcW w:w="92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00" w:lineRule="exact"/>
        <w:rPr>
          <w:sz w:val="20"/>
          <w:szCs w:val="20"/>
          <w:color w:val="auto"/>
        </w:rPr>
      </w:pPr>
    </w:p>
    <w:p>
      <w:pPr>
        <w:ind w:left="1800" w:right="140" w:hanging="489"/>
        <w:spacing w:after="0" w:line="203" w:lineRule="auto"/>
        <w:tabs>
          <w:tab w:leader="none" w:pos="1800"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The unaudited pro forma balance sheet data gives effect to (i) the issuance of 80,385 Series B2 convertible preferred shares in January 2019 for aggregate consideration of $1.6 million, (ii) the exercise of warrants to subscribe for 200,000 Series A preferred shares immediately prior to the completion of this offering, (iii) the exercise of warrants to subscribe for 371,645 Series B1 preferred shares immediately prior to the completion of this offering, (iv)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080"/>
          </w:cols>
          <w:pgMar w:left="240" w:top="142" w:right="57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1860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4400" cy="186055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1800" w:right="80"/>
        <w:spacing w:after="0" w:line="245" w:lineRule="auto"/>
        <w:rPr>
          <w:sz w:val="20"/>
          <w:szCs w:val="20"/>
          <w:color w:val="auto"/>
        </w:rPr>
      </w:pPr>
      <w:r>
        <w:rPr>
          <w:rFonts w:ascii="Arial" w:cs="Arial" w:eastAsia="Arial" w:hAnsi="Arial"/>
          <w:sz w:val="13"/>
          <w:szCs w:val="13"/>
          <w:color w:val="auto"/>
        </w:rPr>
        <w:t>automatic conversion of all outstanding convertible preferred shares as of December 31, 2018 into an aggregate of 8,722,477 ordinary shares upon completion of this offering, and (v) the reclassification of the warrant liability into additional paid-in capital, upon the completion of this offering.</w:t>
      </w:r>
    </w:p>
    <w:p>
      <w:pPr>
        <w:spacing w:after="0" w:line="164" w:lineRule="exact"/>
        <w:rPr>
          <w:sz w:val="20"/>
          <w:szCs w:val="20"/>
          <w:color w:val="auto"/>
        </w:rPr>
      </w:pPr>
    </w:p>
    <w:tbl>
      <w:tblPr>
        <w:tblLayout w:type="fixed"/>
        <w:tblInd w:w="1320" w:type="dxa"/>
        <w:tblCellMar>
          <w:top w:w="0" w:type="dxa"/>
          <w:left w:w="0" w:type="dxa"/>
          <w:bottom w:w="0" w:type="dxa"/>
          <w:right w:w="0" w:type="dxa"/>
        </w:tblCellMar>
      </w:tblPr>
      <w:tr>
        <w:trPr>
          <w:trHeight w:val="166"/>
        </w:trPr>
        <w:tc>
          <w:tcPr>
            <w:tcW w:w="300" w:type="dxa"/>
            <w:vAlign w:val="bottom"/>
          </w:tcPr>
          <w:p>
            <w:pPr>
              <w:jc w:val="right"/>
              <w:ind w:right="131"/>
              <w:spacing w:after="0"/>
              <w:rPr>
                <w:sz w:val="20"/>
                <w:szCs w:val="20"/>
                <w:color w:val="auto"/>
              </w:rPr>
            </w:pPr>
            <w:r>
              <w:rPr>
                <w:rFonts w:ascii="Arial" w:cs="Arial" w:eastAsia="Arial" w:hAnsi="Arial"/>
                <w:sz w:val="10"/>
                <w:szCs w:val="10"/>
                <w:color w:val="auto"/>
                <w:w w:val="81"/>
              </w:rPr>
              <w:t>(2)</w:t>
            </w:r>
          </w:p>
        </w:tc>
        <w:tc>
          <w:tcPr>
            <w:tcW w:w="5880" w:type="dxa"/>
            <w:vAlign w:val="bottom"/>
            <w:gridSpan w:val="3"/>
          </w:tcPr>
          <w:p>
            <w:pPr>
              <w:ind w:left="180"/>
              <w:spacing w:after="0"/>
              <w:rPr>
                <w:sz w:val="20"/>
                <w:szCs w:val="20"/>
                <w:color w:val="auto"/>
              </w:rPr>
            </w:pPr>
            <w:r>
              <w:rPr>
                <w:rFonts w:ascii="Arial" w:cs="Arial" w:eastAsia="Arial" w:hAnsi="Arial"/>
                <w:sz w:val="13"/>
                <w:szCs w:val="13"/>
                <w:color w:val="auto"/>
              </w:rPr>
              <w:t>The pro forma as adjusted balance sheet data give further effect to our issuance and sale of</w:t>
            </w: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ADSs in this offering at an assumed initial public offering price</w:t>
            </w:r>
          </w:p>
        </w:tc>
      </w:tr>
      <w:tr>
        <w:trPr>
          <w:trHeight w:val="147"/>
        </w:trPr>
        <w:tc>
          <w:tcPr>
            <w:tcW w:w="300" w:type="dxa"/>
            <w:vAlign w:val="bottom"/>
          </w:tcPr>
          <w:p>
            <w:pPr>
              <w:spacing w:after="0"/>
              <w:rPr>
                <w:sz w:val="12"/>
                <w:szCs w:val="12"/>
                <w:color w:val="auto"/>
              </w:rPr>
            </w:pPr>
          </w:p>
        </w:tc>
        <w:tc>
          <w:tcPr>
            <w:tcW w:w="800" w:type="dxa"/>
            <w:vAlign w:val="bottom"/>
          </w:tcPr>
          <w:p>
            <w:pPr>
              <w:ind w:left="180"/>
              <w:spacing w:after="0" w:line="147" w:lineRule="exact"/>
              <w:rPr>
                <w:sz w:val="20"/>
                <w:szCs w:val="20"/>
                <w:color w:val="auto"/>
              </w:rPr>
            </w:pPr>
            <w:r>
              <w:rPr>
                <w:rFonts w:ascii="Arial" w:cs="Arial" w:eastAsia="Arial" w:hAnsi="Arial"/>
                <w:sz w:val="13"/>
                <w:szCs w:val="13"/>
                <w:color w:val="auto"/>
              </w:rPr>
              <w:t>of $</w:t>
            </w:r>
          </w:p>
        </w:tc>
        <w:tc>
          <w:tcPr>
            <w:tcW w:w="8760" w:type="dxa"/>
            <w:vAlign w:val="bottom"/>
            <w:gridSpan w:val="4"/>
          </w:tcPr>
          <w:p>
            <w:pPr>
              <w:ind w:left="60"/>
              <w:spacing w:after="0" w:line="147" w:lineRule="exact"/>
              <w:rPr>
                <w:sz w:val="20"/>
                <w:szCs w:val="20"/>
                <w:color w:val="auto"/>
              </w:rPr>
            </w:pPr>
            <w:r>
              <w:rPr>
                <w:rFonts w:ascii="Arial" w:cs="Arial" w:eastAsia="Arial" w:hAnsi="Arial"/>
                <w:sz w:val="13"/>
                <w:szCs w:val="13"/>
                <w:color w:val="auto"/>
              </w:rPr>
              <w:t>per share, which is the midpoint of the price range set forth on the cover page of this prospectus, after deducting estimated underwriting discounts and</w:t>
            </w:r>
          </w:p>
        </w:tc>
      </w:tr>
      <w:tr>
        <w:trPr>
          <w:trHeight w:val="147"/>
        </w:trPr>
        <w:tc>
          <w:tcPr>
            <w:tcW w:w="300" w:type="dxa"/>
            <w:vAlign w:val="bottom"/>
          </w:tcPr>
          <w:p>
            <w:pPr>
              <w:spacing w:after="0"/>
              <w:rPr>
                <w:sz w:val="12"/>
                <w:szCs w:val="12"/>
                <w:color w:val="auto"/>
              </w:rPr>
            </w:pPr>
          </w:p>
        </w:tc>
        <w:tc>
          <w:tcPr>
            <w:tcW w:w="9560" w:type="dxa"/>
            <w:vAlign w:val="bottom"/>
            <w:gridSpan w:val="5"/>
          </w:tcPr>
          <w:p>
            <w:pPr>
              <w:ind w:left="180"/>
              <w:spacing w:after="0" w:line="147" w:lineRule="exact"/>
              <w:rPr>
                <w:sz w:val="20"/>
                <w:szCs w:val="20"/>
                <w:color w:val="auto"/>
              </w:rPr>
            </w:pPr>
            <w:r>
              <w:rPr>
                <w:rFonts w:ascii="Arial" w:cs="Arial" w:eastAsia="Arial" w:hAnsi="Arial"/>
                <w:sz w:val="13"/>
                <w:szCs w:val="13"/>
                <w:color w:val="auto"/>
              </w:rPr>
              <w:t>commissions and estimated offering expenses payable by us. The pro forma as adjusted information discussed above is illustrative only and will change based on</w:t>
            </w:r>
          </w:p>
        </w:tc>
      </w:tr>
      <w:tr>
        <w:trPr>
          <w:trHeight w:val="147"/>
        </w:trPr>
        <w:tc>
          <w:tcPr>
            <w:tcW w:w="300" w:type="dxa"/>
            <w:vAlign w:val="bottom"/>
          </w:tcPr>
          <w:p>
            <w:pPr>
              <w:spacing w:after="0"/>
              <w:rPr>
                <w:sz w:val="12"/>
                <w:szCs w:val="12"/>
                <w:color w:val="auto"/>
              </w:rPr>
            </w:pPr>
          </w:p>
        </w:tc>
        <w:tc>
          <w:tcPr>
            <w:tcW w:w="9560" w:type="dxa"/>
            <w:vAlign w:val="bottom"/>
            <w:gridSpan w:val="5"/>
          </w:tcPr>
          <w:p>
            <w:pPr>
              <w:ind w:left="180"/>
              <w:spacing w:after="0" w:line="147" w:lineRule="exact"/>
              <w:rPr>
                <w:sz w:val="20"/>
                <w:szCs w:val="20"/>
                <w:color w:val="auto"/>
              </w:rPr>
            </w:pPr>
            <w:r>
              <w:rPr>
                <w:rFonts w:ascii="Arial" w:cs="Arial" w:eastAsia="Arial" w:hAnsi="Arial"/>
                <w:sz w:val="13"/>
                <w:szCs w:val="13"/>
                <w:color w:val="auto"/>
              </w:rPr>
              <w:t>the actual initial public offering price and other terms of this offering determined at pricing. Each $1.00 increase (decrease) in the assumed initial public offering</w:t>
            </w:r>
          </w:p>
        </w:tc>
      </w:tr>
      <w:tr>
        <w:trPr>
          <w:trHeight w:val="147"/>
        </w:trPr>
        <w:tc>
          <w:tcPr>
            <w:tcW w:w="300" w:type="dxa"/>
            <w:vAlign w:val="bottom"/>
          </w:tcPr>
          <w:p>
            <w:pPr>
              <w:spacing w:after="0"/>
              <w:rPr>
                <w:sz w:val="12"/>
                <w:szCs w:val="12"/>
                <w:color w:val="auto"/>
              </w:rPr>
            </w:pPr>
          </w:p>
        </w:tc>
        <w:tc>
          <w:tcPr>
            <w:tcW w:w="800" w:type="dxa"/>
            <w:vAlign w:val="bottom"/>
          </w:tcPr>
          <w:p>
            <w:pPr>
              <w:ind w:left="180"/>
              <w:spacing w:after="0" w:line="147" w:lineRule="exact"/>
              <w:rPr>
                <w:sz w:val="20"/>
                <w:szCs w:val="20"/>
                <w:color w:val="auto"/>
              </w:rPr>
            </w:pPr>
            <w:r>
              <w:rPr>
                <w:rFonts w:ascii="Arial" w:cs="Arial" w:eastAsia="Arial" w:hAnsi="Arial"/>
                <w:sz w:val="13"/>
                <w:szCs w:val="13"/>
                <w:color w:val="auto"/>
              </w:rPr>
              <w:t>price of $</w:t>
            </w:r>
          </w:p>
        </w:tc>
        <w:tc>
          <w:tcPr>
            <w:tcW w:w="8760" w:type="dxa"/>
            <w:vAlign w:val="bottom"/>
            <w:gridSpan w:val="4"/>
          </w:tcPr>
          <w:p>
            <w:pPr>
              <w:ind w:left="380"/>
              <w:spacing w:after="0" w:line="147" w:lineRule="exact"/>
              <w:rPr>
                <w:sz w:val="20"/>
                <w:szCs w:val="20"/>
                <w:color w:val="auto"/>
              </w:rPr>
            </w:pPr>
            <w:r>
              <w:rPr>
                <w:rFonts w:ascii="Arial" w:cs="Arial" w:eastAsia="Arial" w:hAnsi="Arial"/>
                <w:sz w:val="13"/>
                <w:szCs w:val="13"/>
                <w:color w:val="auto"/>
              </w:rPr>
              <w:t>per ADS, which is the midpoint of the price range set forth on the cover page of this prospectus, would increase (decrease) the pro forma as</w:t>
            </w:r>
          </w:p>
        </w:tc>
      </w:tr>
      <w:tr>
        <w:trPr>
          <w:trHeight w:val="147"/>
        </w:trPr>
        <w:tc>
          <w:tcPr>
            <w:tcW w:w="300" w:type="dxa"/>
            <w:vAlign w:val="bottom"/>
          </w:tcPr>
          <w:p>
            <w:pPr>
              <w:spacing w:after="0"/>
              <w:rPr>
                <w:sz w:val="12"/>
                <w:szCs w:val="12"/>
                <w:color w:val="auto"/>
              </w:rPr>
            </w:pPr>
          </w:p>
        </w:tc>
        <w:tc>
          <w:tcPr>
            <w:tcW w:w="6460" w:type="dxa"/>
            <w:vAlign w:val="bottom"/>
            <w:gridSpan w:val="4"/>
          </w:tcPr>
          <w:p>
            <w:pPr>
              <w:ind w:left="180"/>
              <w:spacing w:after="0" w:line="147" w:lineRule="exact"/>
              <w:rPr>
                <w:sz w:val="20"/>
                <w:szCs w:val="20"/>
                <w:color w:val="auto"/>
              </w:rPr>
            </w:pPr>
            <w:r>
              <w:rPr>
                <w:rFonts w:ascii="Arial" w:cs="Arial" w:eastAsia="Arial" w:hAnsi="Arial"/>
                <w:sz w:val="13"/>
                <w:szCs w:val="13"/>
                <w:color w:val="auto"/>
              </w:rPr>
              <w:t>adjusted amount of each of cash, working capital, total assets and total shareholders' (deficit) equity by $</w:t>
            </w:r>
          </w:p>
        </w:tc>
        <w:tc>
          <w:tcPr>
            <w:tcW w:w="3100" w:type="dxa"/>
            <w:vAlign w:val="bottom"/>
          </w:tcPr>
          <w:p>
            <w:pPr>
              <w:ind w:left="260"/>
              <w:spacing w:after="0" w:line="147" w:lineRule="exact"/>
              <w:rPr>
                <w:sz w:val="20"/>
                <w:szCs w:val="20"/>
                <w:color w:val="auto"/>
              </w:rPr>
            </w:pPr>
            <w:r>
              <w:rPr>
                <w:rFonts w:ascii="Arial" w:cs="Arial" w:eastAsia="Arial" w:hAnsi="Arial"/>
                <w:sz w:val="13"/>
                <w:szCs w:val="13"/>
                <w:color w:val="auto"/>
              </w:rPr>
              <w:t>million, assuming that the number of ADSs</w:t>
            </w:r>
          </w:p>
        </w:tc>
      </w:tr>
      <w:tr>
        <w:trPr>
          <w:trHeight w:val="147"/>
        </w:trPr>
        <w:tc>
          <w:tcPr>
            <w:tcW w:w="300" w:type="dxa"/>
            <w:vAlign w:val="bottom"/>
          </w:tcPr>
          <w:p>
            <w:pPr>
              <w:spacing w:after="0"/>
              <w:rPr>
                <w:sz w:val="12"/>
                <w:szCs w:val="12"/>
                <w:color w:val="auto"/>
              </w:rPr>
            </w:pPr>
          </w:p>
        </w:tc>
        <w:tc>
          <w:tcPr>
            <w:tcW w:w="9560" w:type="dxa"/>
            <w:vAlign w:val="bottom"/>
            <w:gridSpan w:val="5"/>
          </w:tcPr>
          <w:p>
            <w:pPr>
              <w:ind w:left="180"/>
              <w:spacing w:after="0" w:line="147" w:lineRule="exact"/>
              <w:rPr>
                <w:sz w:val="20"/>
                <w:szCs w:val="20"/>
                <w:color w:val="auto"/>
              </w:rPr>
            </w:pPr>
            <w:r>
              <w:rPr>
                <w:rFonts w:ascii="Arial" w:cs="Arial" w:eastAsia="Arial" w:hAnsi="Arial"/>
                <w:sz w:val="13"/>
                <w:szCs w:val="13"/>
                <w:color w:val="auto"/>
              </w:rPr>
              <w:t>offered by us, as set forth on the cover page of this prospectus, remains the same. Each increase (decrease) of 1,000,000 in the number of ADSs offered by us, as</w:t>
            </w:r>
          </w:p>
        </w:tc>
      </w:tr>
      <w:tr>
        <w:trPr>
          <w:trHeight w:val="147"/>
        </w:trPr>
        <w:tc>
          <w:tcPr>
            <w:tcW w:w="300" w:type="dxa"/>
            <w:vAlign w:val="bottom"/>
          </w:tcPr>
          <w:p>
            <w:pPr>
              <w:spacing w:after="0"/>
              <w:rPr>
                <w:sz w:val="12"/>
                <w:szCs w:val="12"/>
                <w:color w:val="auto"/>
              </w:rPr>
            </w:pPr>
          </w:p>
        </w:tc>
        <w:tc>
          <w:tcPr>
            <w:tcW w:w="9560" w:type="dxa"/>
            <w:vAlign w:val="bottom"/>
            <w:gridSpan w:val="5"/>
          </w:tcPr>
          <w:p>
            <w:pPr>
              <w:ind w:left="180"/>
              <w:spacing w:after="0" w:line="147" w:lineRule="exact"/>
              <w:rPr>
                <w:sz w:val="20"/>
                <w:szCs w:val="20"/>
                <w:color w:val="auto"/>
              </w:rPr>
            </w:pPr>
            <w:r>
              <w:rPr>
                <w:rFonts w:ascii="Arial" w:cs="Arial" w:eastAsia="Arial" w:hAnsi="Arial"/>
                <w:sz w:val="13"/>
                <w:szCs w:val="13"/>
                <w:color w:val="auto"/>
              </w:rPr>
              <w:t>set forth on the cover page of this prospectus, would increase (decrease) the pro forma as adjusted amount of each of cash, total assets and total shareholders'</w:t>
            </w:r>
          </w:p>
        </w:tc>
      </w:tr>
      <w:tr>
        <w:trPr>
          <w:trHeight w:val="156"/>
        </w:trPr>
        <w:tc>
          <w:tcPr>
            <w:tcW w:w="300" w:type="dxa"/>
            <w:vAlign w:val="bottom"/>
          </w:tcPr>
          <w:p>
            <w:pPr>
              <w:spacing w:after="0"/>
              <w:rPr>
                <w:sz w:val="13"/>
                <w:szCs w:val="13"/>
                <w:color w:val="auto"/>
              </w:rPr>
            </w:pP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(deficit) equity by $</w:t>
            </w:r>
          </w:p>
        </w:tc>
        <w:tc>
          <w:tcPr>
            <w:tcW w:w="4360" w:type="dxa"/>
            <w:vAlign w:val="bottom"/>
          </w:tcPr>
          <w:p>
            <w:pPr>
              <w:ind w:left="260"/>
              <w:spacing w:after="0"/>
              <w:rPr>
                <w:sz w:val="20"/>
                <w:szCs w:val="20"/>
                <w:color w:val="auto"/>
              </w:rPr>
            </w:pPr>
            <w:r>
              <w:rPr>
                <w:rFonts w:ascii="Arial" w:cs="Arial" w:eastAsia="Arial" w:hAnsi="Arial"/>
                <w:sz w:val="13"/>
                <w:szCs w:val="13"/>
                <w:color w:val="auto"/>
              </w:rPr>
              <w:t>million, assuming no change in the initial public offering price per ADS.</w:t>
            </w:r>
          </w:p>
        </w:tc>
        <w:tc>
          <w:tcPr>
            <w:tcW w:w="580" w:type="dxa"/>
            <w:vAlign w:val="bottom"/>
          </w:tcPr>
          <w:p>
            <w:pPr>
              <w:spacing w:after="0"/>
              <w:rPr>
                <w:sz w:val="13"/>
                <w:szCs w:val="13"/>
                <w:color w:val="auto"/>
              </w:rPr>
            </w:pPr>
          </w:p>
        </w:tc>
        <w:tc>
          <w:tcPr>
            <w:tcW w:w="3100" w:type="dxa"/>
            <w:vAlign w:val="bottom"/>
          </w:tcPr>
          <w:p>
            <w:pPr>
              <w:spacing w:after="0"/>
              <w:rPr>
                <w:sz w:val="13"/>
                <w:szCs w:val="13"/>
                <w:color w:val="auto"/>
              </w:rPr>
            </w:pPr>
          </w:p>
        </w:tc>
      </w:tr>
    </w:tbl>
    <w:p>
      <w:pPr>
        <w:spacing w:after="0" w:line="63" w:lineRule="exact"/>
        <w:rPr>
          <w:sz w:val="20"/>
          <w:szCs w:val="20"/>
          <w:color w:val="auto"/>
        </w:rPr>
      </w:pPr>
    </w:p>
    <w:p>
      <w:pPr>
        <w:ind w:left="1800" w:hanging="489"/>
        <w:spacing w:after="0"/>
        <w:tabs>
          <w:tab w:leader="none" w:pos="1800" w:val="left"/>
        </w:tabs>
        <w:numPr>
          <w:ilvl w:val="0"/>
          <w:numId w:val="12"/>
        </w:numPr>
        <w:rPr>
          <w:rFonts w:ascii="Arial" w:cs="Arial" w:eastAsia="Arial" w:hAnsi="Arial"/>
          <w:sz w:val="20"/>
          <w:szCs w:val="20"/>
          <w:color w:val="auto"/>
          <w:vertAlign w:val="superscript"/>
        </w:rPr>
      </w:pPr>
      <w:r>
        <w:rPr>
          <w:rFonts w:ascii="Arial" w:cs="Arial" w:eastAsia="Arial" w:hAnsi="Arial"/>
          <w:sz w:val="13"/>
          <w:szCs w:val="13"/>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180"/>
          </w:cols>
          <w:pgMar w:left="240" w:top="142" w:right="47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 FACTORS</w:t>
      </w:r>
    </w:p>
    <w:p>
      <w:pPr>
        <w:spacing w:after="0" w:line="199" w:lineRule="exact"/>
        <w:rPr>
          <w:sz w:val="20"/>
          <w:szCs w:val="20"/>
          <w:color w:val="auto"/>
        </w:rPr>
      </w:pPr>
    </w:p>
    <w:p>
      <w:pPr>
        <w:ind w:right="20" w:firstLine="442"/>
        <w:spacing w:after="0" w:line="243" w:lineRule="auto"/>
        <w:rPr>
          <w:sz w:val="20"/>
          <w:szCs w:val="20"/>
          <w:color w:val="auto"/>
        </w:rPr>
      </w:pPr>
      <w:r>
        <w:rPr>
          <w:rFonts w:ascii="Arial" w:cs="Arial" w:eastAsia="Arial" w:hAnsi="Arial"/>
          <w:sz w:val="16"/>
          <w:szCs w:val="16"/>
          <w:i w:val="1"/>
          <w:iCs w:val="1"/>
          <w:color w:val="auto"/>
        </w:rPr>
        <w:t>Investing in our ADSs involves a high degree of risk. Before deciding whether to invest, you should carefully consider the following risks and uncertainties, together with all other information in this prospectus, including our consolidated financial statements and related notes and "Management's Discussion and Analysis of Results of Operations and Financial Condition" before investing in our ADSs. The occurrence of any of the events or developments described below could harm our business, financial condition, results of operations and/or growth prospects. In such an event, the market price of our ADSs could decline and you may lose all or part of your investment. Any of the risk factors we describe below could adversely affect our business, financial condition or results of operations. The market price of our ADSs could decline if one or more of these risks or uncertainties actually occur, causing you to lose all or part of the money you paid to buy our ADSs. Additional risks that we currently do not know about or that we currently believe to be immaterial may also impair our business. Certain statements below are forward-looking statements. See "Special Note Regarding Forward-Looking Statements" in this prospectus.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Financial Position and Need for Additional Capital</w:t>
      </w:r>
    </w:p>
    <w:p>
      <w:pPr>
        <w:spacing w:after="0" w:line="197"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b w:val="1"/>
          <w:bCs w:val="1"/>
          <w:i w:val="1"/>
          <w:iCs w:val="1"/>
          <w:color w:val="auto"/>
        </w:rPr>
        <w:t>We have a history of significant operating losses and expect to incur significant and increasing losses for the foreseeable future, and we may never achieve or maintain profitability.</w:t>
      </w:r>
    </w:p>
    <w:p>
      <w:pPr>
        <w:spacing w:after="0" w:line="163"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We do not expect to generate revenue or profitability that is necessary to finance our operations in the short term. We incurred net losses of $16.3 million and $21.8 million for the years ended December 31, 2017 and 2018, respectively. In addition, our accumulated deficit as of December 31, 2018 was $69.9 million. To date, we have not commercialized any products or generated any revenues from the sale of products, and absent the realization of sufficient revenues from product sales, we may never attain profitability in the future. We have devoted substantially all of our financial resources and efforts to research and development, including preclinical studies and our clinical trials. Our net losses may fluctuate significantly from quarter to quarter and year to year. Net losses and negative cash flows have had, and will continue to have, an adverse effect on our shareholders' (deficit) equity and working capital.</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anticipate that our expenses will increase substantially if and as we:</w:t>
      </w:r>
    </w:p>
    <w:p>
      <w:pPr>
        <w:spacing w:after="0" w:line="179" w:lineRule="exact"/>
        <w:rPr>
          <w:sz w:val="20"/>
          <w:szCs w:val="20"/>
          <w:color w:val="auto"/>
        </w:rPr>
      </w:pPr>
    </w:p>
    <w:p>
      <w:pPr>
        <w:ind w:left="980" w:right="140" w:hanging="493"/>
        <w:spacing w:after="0" w:line="270"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continue to develop and conduct clinical trials with respect to our lead product candidate, BT1718, and our other product candidates in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Toxin Conjugate, or BTC, program;</w:t>
      </w:r>
    </w:p>
    <w:p>
      <w:pPr>
        <w:spacing w:after="0" w:line="164" w:lineRule="exact"/>
        <w:rPr>
          <w:rFonts w:ascii="Arial" w:cs="Arial" w:eastAsia="Arial" w:hAnsi="Arial"/>
          <w:sz w:val="16"/>
          <w:szCs w:val="16"/>
          <w:color w:val="auto"/>
        </w:rPr>
      </w:pPr>
    </w:p>
    <w:p>
      <w:pPr>
        <w:ind w:left="980" w:hanging="493"/>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initiate and continue research, preclinical and clinical development efforts for any future product candidates;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to discover and develop additional product candidates and further expand our clinical product pipeline;</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marketing and regulatory approvals for any product candidates that successfully complete clinical trials;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require the manufacture of larger quantities of product candidates for clinical development and, potentially, commercialization;</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182" w:lineRule="exact"/>
        <w:rPr>
          <w:rFonts w:ascii="Arial" w:cs="Arial" w:eastAsia="Arial" w:hAnsi="Arial"/>
          <w:sz w:val="16"/>
          <w:szCs w:val="16"/>
          <w:color w:val="auto"/>
        </w:rPr>
      </w:pPr>
    </w:p>
    <w:p>
      <w:pPr>
        <w:ind w:left="980" w:right="580" w:hanging="493"/>
        <w:spacing w:after="0" w:line="249"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expand our research and development infrastructure, including hiring and retaining additional personnel, such as clinical, quality control and scientific personnel;</w:t>
      </w:r>
    </w:p>
    <w:p>
      <w:pPr>
        <w:spacing w:after="0" w:line="180" w:lineRule="exact"/>
        <w:rPr>
          <w:rFonts w:ascii="Arial" w:cs="Arial" w:eastAsia="Arial" w:hAnsi="Arial"/>
          <w:sz w:val="16"/>
          <w:szCs w:val="16"/>
          <w:color w:val="auto"/>
        </w:rPr>
      </w:pPr>
    </w:p>
    <w:p>
      <w:pPr>
        <w:ind w:left="980" w:right="240" w:hanging="493"/>
        <w:spacing w:after="0" w:line="249"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sales, marketing, distribution and other commercial infrastructure in the future to commercialize products for which we obtain marketing approval, if 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right="560" w:hanging="493"/>
        <w:spacing w:after="0" w:line="249"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 and commercialization and help us comply with our obligations as a public company; and</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add equipment and physical infrastructure to support our research and development.</w:t>
      </w:r>
    </w:p>
    <w:p>
      <w:pPr>
        <w:spacing w:after="0" w:line="195" w:lineRule="exact"/>
        <w:rPr>
          <w:sz w:val="20"/>
          <w:szCs w:val="20"/>
          <w:color w:val="auto"/>
        </w:rPr>
      </w:pPr>
    </w:p>
    <w:p>
      <w:pPr>
        <w:ind w:right="120" w:firstLine="442"/>
        <w:spacing w:after="0"/>
        <w:rPr>
          <w:sz w:val="20"/>
          <w:szCs w:val="20"/>
          <w:color w:val="auto"/>
        </w:rPr>
      </w:pPr>
      <w:r>
        <w:rPr>
          <w:rFonts w:ascii="Arial" w:cs="Arial" w:eastAsia="Arial" w:hAnsi="Arial"/>
          <w:sz w:val="16"/>
          <w:szCs w:val="16"/>
          <w:color w:val="auto"/>
        </w:rPr>
        <w:t>Our ability to become and remain profitable depends on our ability to generate revenue. Generating product revenue will depend on our or any of our collaborators' ability to obtain marketing approval for, and successfully commercialize, one or more of our product candidates. Successful commercialization will require achievement of key milestones, including completing clinical trials of our product candidates, obtaining marketing approval for these product candidates, manufacturing, marketing and selling those products for which we, or any of our collaborators, may obtain marketing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collaborators may never succeed in these activities and, even if we do, or any collaborators do, we may never generate revenues that are large enough for us to achieve profitability. Even if we do achieve profitability, we may not be able to sustain or increase profitability on a quarterly or annual basis.</w:t>
      </w:r>
    </w:p>
    <w:p>
      <w:pPr>
        <w:spacing w:after="0" w:line="191"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Our revenue to date has been primarily generated from our research collaborations with AstraZeneca AB, or AstraZeneca, Bioverativ, Inc., or Bioverativ, and Oxurion NV (formerly ThromboGenics NV), or Oxurion. There can be no assurance that we will generate revenue from these collaborations in the future.</w:t>
      </w:r>
    </w:p>
    <w:p>
      <w:pPr>
        <w:spacing w:after="0" w:line="181" w:lineRule="exact"/>
        <w:rPr>
          <w:sz w:val="20"/>
          <w:szCs w:val="20"/>
          <w:color w:val="auto"/>
        </w:rPr>
      </w:pPr>
    </w:p>
    <w:p>
      <w:pPr>
        <w:jc w:val="both"/>
        <w:ind w:right="160" w:firstLine="442"/>
        <w:spacing w:after="0" w:line="244" w:lineRule="auto"/>
        <w:rPr>
          <w:sz w:val="20"/>
          <w:szCs w:val="20"/>
          <w:color w:val="auto"/>
        </w:rPr>
      </w:pPr>
      <w:r>
        <w:rPr>
          <w:rFonts w:ascii="Arial" w:cs="Arial" w:eastAsia="Arial" w:hAnsi="Arial"/>
          <w:sz w:val="16"/>
          <w:szCs w:val="16"/>
          <w:color w:val="auto"/>
        </w:rPr>
        <w:t>Our failure to become and remain profitable would depress the market price of our ADSs and could impair our ability to raise capital, expand our business, diversify our product offerings or continue our operations. If we continue to suffer losses, investors may not receive any return on their investment and may lose their entire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13" w:lineRule="exact"/>
        <w:rPr>
          <w:sz w:val="20"/>
          <w:szCs w:val="20"/>
          <w:color w:val="auto"/>
        </w:rPr>
      </w:pPr>
    </w:p>
    <w:p>
      <w:pPr>
        <w:ind w:right="80" w:firstLine="442"/>
        <w:spacing w:after="0" w:line="259" w:lineRule="auto"/>
        <w:rPr>
          <w:sz w:val="20"/>
          <w:szCs w:val="20"/>
          <w:color w:val="auto"/>
        </w:rPr>
      </w:pPr>
      <w:r>
        <w:rPr>
          <w:rFonts w:ascii="Arial" w:cs="Arial" w:eastAsia="Arial" w:hAnsi="Arial"/>
          <w:sz w:val="15"/>
          <w:szCs w:val="15"/>
          <w:color w:val="auto"/>
        </w:rPr>
        <w:t>Our business commenced operations in 2009. Our operations to date have been limited to financing and staffing our company, developing our technology, conducting preclinical research and early-stage clinical trials for our product candidates and pursuing strategic collaborations to advance our product candidates. We have not yet demonstrated an ability to successfully conduct late-stage clinical trials,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companies in the early stages of development, especially clinical-stage biopharmaceutical companies such as ours. Any predictions you make about our future success or viability may not be as accurate as they would be if we had a longer operating history or a history of successfully developing and commercializing pharmaceutical products.</w:t>
      </w:r>
    </w:p>
    <w:p>
      <w:pPr>
        <w:spacing w:after="0" w:line="177" w:lineRule="exact"/>
        <w:rPr>
          <w:sz w:val="20"/>
          <w:szCs w:val="20"/>
          <w:color w:val="auto"/>
        </w:rPr>
      </w:pPr>
    </w:p>
    <w:p>
      <w:pPr>
        <w:jc w:val="both"/>
        <w:ind w:right="140" w:firstLine="442"/>
        <w:spacing w:after="0" w:line="244" w:lineRule="auto"/>
        <w:rPr>
          <w:sz w:val="20"/>
          <w:szCs w:val="20"/>
          <w:color w:val="auto"/>
        </w:rPr>
      </w:pPr>
      <w:r>
        <w:rPr>
          <w:rFonts w:ascii="Arial" w:cs="Arial" w:eastAsia="Arial" w:hAnsi="Arial"/>
          <w:sz w:val="16"/>
          <w:szCs w:val="16"/>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185" w:lineRule="exact"/>
        <w:rPr>
          <w:sz w:val="20"/>
          <w:szCs w:val="20"/>
          <w:color w:val="auto"/>
        </w:rPr>
      </w:pPr>
    </w:p>
    <w:p>
      <w:pPr>
        <w:ind w:right="480" w:firstLine="442"/>
        <w:spacing w:after="0" w:line="249" w:lineRule="auto"/>
        <w:rPr>
          <w:sz w:val="20"/>
          <w:szCs w:val="20"/>
          <w:color w:val="auto"/>
        </w:rPr>
      </w:pPr>
      <w:r>
        <w:rPr>
          <w:rFonts w:ascii="Arial" w:cs="Arial" w:eastAsia="Arial" w:hAnsi="Arial"/>
          <w:sz w:val="16"/>
          <w:szCs w:val="16"/>
          <w:color w:val="auto"/>
        </w:rPr>
        <w:t>We expect our financial condition and operating results to continue to fluctuate significantly from quarter to quarter and year to year due to a variety of factors, many of which are beyond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control. Accordingly, you should not rely upon the results of any quarterly or annual periods as indications of future operating performance.</w:t>
      </w:r>
    </w:p>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i w:val="1"/>
          <w:iCs w:val="1"/>
          <w:color w:val="auto"/>
        </w:rPr>
        <w:t>Even if this offering is successful, we will need substantial additional funding, and if we are unable to raise capital when needed, we could be forced to delay, reduce or eliminate our product discovery and development programs or commercialization efforts.</w:t>
      </w:r>
    </w:p>
    <w:p>
      <w:pPr>
        <w:spacing w:after="0" w:line="16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For example, in the years ended December 31, 2017 and 2018, we used $1.4 million and $26.1 million, respectively, in net cash for our operating activities, substantially all of which related to research and development activities. We expect our expenses to increase in connection with our ongoing activities, particularly as we initiate new clinical trials of, initiate new research and preclinical development efforts for and seek marketing approval for, our current product candidates or any future product candidates. In addition, if we obtain marketing approval for any of our product candidates, we may incur significant commercialization expenses related to product sales, marketing, manufacturing and distribution to the extent that such sales, marketing, manufacturing and distribution are not the responsibility of a collaborator. Furthermore, following the completion of this offering, we expect to incur significant additional costs associated with operating as a public company. Accordingly, we will need to obtain substantial additional funding in connection with our continuing operations. If we are unable to raise capital when needed or on attractive terms, we may be forced to delay, reduce or eliminate our research and development programs or any future commercialization efforts.</w:t>
      </w:r>
    </w:p>
    <w:p>
      <w:pPr>
        <w:spacing w:after="0" w:line="190" w:lineRule="exact"/>
        <w:rPr>
          <w:sz w:val="20"/>
          <w:szCs w:val="20"/>
          <w:color w:val="auto"/>
        </w:rPr>
      </w:pPr>
    </w:p>
    <w:p>
      <w:pPr>
        <w:ind w:firstLine="442"/>
        <w:spacing w:after="0" w:line="257" w:lineRule="auto"/>
        <w:rPr>
          <w:sz w:val="20"/>
          <w:szCs w:val="20"/>
          <w:color w:val="auto"/>
        </w:rPr>
      </w:pPr>
      <w:r>
        <w:rPr>
          <w:rFonts w:ascii="Arial" w:cs="Arial" w:eastAsia="Arial" w:hAnsi="Arial"/>
          <w:sz w:val="15"/>
          <w:szCs w:val="15"/>
          <w:color w:val="auto"/>
        </w:rPr>
        <w:t>We plan to use the net proceeds of this offering primarily to complete preparation for Phase II and III clinical development of BT1718 and to advance BT5528 and BT8009 through Phase I clinical development and complete preparations for Phase II development activities, advance our CD137 programs through preclinical development and to advance at least one CD137 multimeric program through Phase I clinical development, and the remainder on drug discovery, further expansion of our infrastructure to support our pipeline as well as to fund working capital and other general corporate purposes. We will be required to expend significant funds in order to advance the development of the product candidates in our pipeline, as well as other product candidates we may seek to develop. In addition, while we may seek one or more collaborators for future development of our product candidates, we may not be able to enter into a collaboration for any of our product candidates for such indications on suitable terms, on a timely basis or at all. In any event, the net proceeds of this offering and our existing cash will not be sufficient to fund all of the efforts that we plan to undertake or to fund the completion of development of any of our product candidates. Accordingly, we will be required to obtain further funding through public or private equity offerings, debt financings, collaborations and licensing arrangements or other sources. We do not have any committed external source of funds.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81" w:lineRule="exact"/>
        <w:rPr>
          <w:sz w:val="20"/>
          <w:szCs w:val="20"/>
          <w:color w:val="auto"/>
        </w:rPr>
      </w:pPr>
    </w:p>
    <w:p>
      <w:pPr>
        <w:ind w:right="100" w:firstLine="442"/>
        <w:spacing w:after="0" w:line="255" w:lineRule="auto"/>
        <w:rPr>
          <w:sz w:val="20"/>
          <w:szCs w:val="20"/>
          <w:color w:val="auto"/>
        </w:rPr>
      </w:pPr>
      <w:r>
        <w:rPr>
          <w:rFonts w:ascii="Arial" w:cs="Arial" w:eastAsia="Arial" w:hAnsi="Arial"/>
          <w:sz w:val="15"/>
          <w:szCs w:val="15"/>
          <w:color w:val="auto"/>
        </w:rPr>
        <w:t>We believe that the net proceeds from this offering, together with our existing cash of $63.4 million as of December 31, 2018, as well as the proceeds from the sale of 80,385 Series B2 convertible preferred shares of $1.6 million in January 2019, will enable us to fund our operating expenses and capital expenditure</w:t>
      </w:r>
    </w:p>
    <w:p>
      <w:pPr>
        <w:jc w:val="both"/>
        <w:ind w:right="240"/>
        <w:spacing w:after="0" w:line="244" w:lineRule="auto"/>
        <w:rPr>
          <w:sz w:val="20"/>
          <w:szCs w:val="20"/>
          <w:color w:val="auto"/>
        </w:rPr>
      </w:pPr>
      <w:r>
        <w:rPr>
          <w:rFonts w:ascii="Arial" w:cs="Arial" w:eastAsia="Arial" w:hAnsi="Arial"/>
          <w:sz w:val="16"/>
          <w:szCs w:val="16"/>
          <w:color w:val="auto"/>
        </w:rPr>
        <w:t>requirements for .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sooner than planned. Our future funding requirements, both short-term and long-term, will depend on many factors, including:</w:t>
      </w:r>
    </w:p>
    <w:p>
      <w:pPr>
        <w:spacing w:after="0" w:line="195" w:lineRule="exact"/>
        <w:rPr>
          <w:sz w:val="20"/>
          <w:szCs w:val="20"/>
          <w:color w:val="auto"/>
        </w:rPr>
      </w:pPr>
    </w:p>
    <w:p>
      <w:pPr>
        <w:ind w:left="980" w:right="80" w:hanging="493"/>
        <w:spacing w:after="0" w:line="249"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scope, progress, timing, costs and results of clinical trials of, and research and preclinical development efforts for, our current and future product candidates;</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enter into, and the terms and timing of, any collaborations, licensing or other arrangements;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identify one or more future product candidates for our pipeline;</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future product candidates that we pursue and their development requirements;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outcome, timing and costs of seeking regulatory approvals;</w:t>
      </w:r>
    </w:p>
    <w:p>
      <w:pPr>
        <w:spacing w:after="0" w:line="182" w:lineRule="exact"/>
        <w:rPr>
          <w:rFonts w:ascii="Arial" w:cs="Arial" w:eastAsia="Arial" w:hAnsi="Arial"/>
          <w:sz w:val="16"/>
          <w:szCs w:val="16"/>
          <w:color w:val="auto"/>
        </w:rPr>
      </w:pPr>
    </w:p>
    <w:p>
      <w:pPr>
        <w:ind w:left="980" w:hanging="493"/>
        <w:spacing w:after="0" w:line="282" w:lineRule="auto"/>
        <w:tabs>
          <w:tab w:leader="none" w:pos="9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144" w:lineRule="exact"/>
        <w:rPr>
          <w:rFonts w:ascii="Arial" w:cs="Arial" w:eastAsia="Arial" w:hAnsi="Arial"/>
          <w:sz w:val="15"/>
          <w:szCs w:val="15"/>
          <w:color w:val="auto"/>
        </w:rPr>
      </w:pPr>
    </w:p>
    <w:p>
      <w:pPr>
        <w:ind w:left="980" w:hanging="493"/>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subject to receipt of marketing approval, revenue, if any, received from commercial sales of our current and future product candidates;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and establish a commercial infrastructure;</w:t>
      </w:r>
    </w:p>
    <w:p>
      <w:pPr>
        <w:spacing w:after="0" w:line="182" w:lineRule="exact"/>
        <w:rPr>
          <w:rFonts w:ascii="Arial" w:cs="Arial" w:eastAsia="Arial" w:hAnsi="Arial"/>
          <w:sz w:val="16"/>
          <w:szCs w:val="16"/>
          <w:color w:val="auto"/>
        </w:rPr>
      </w:pPr>
    </w:p>
    <w:p>
      <w:pPr>
        <w:ind w:left="980" w:right="200" w:hanging="493"/>
        <w:spacing w:after="0" w:line="249"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protecting our intellectual property rights including enforcing and defending intellectual property related claims; and</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costs of operating as a public company.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cause us to relinquish valuable rights.</w:t>
      </w:r>
    </w:p>
    <w:p>
      <w:pPr>
        <w:spacing w:after="0" w:line="213"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licensing arrangements or monetization transactions.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shareholder. Any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 and alliances, licensing arrangements or monetization transactions with third parties, we may have to relinquish valuable rights to our technologies, or our product candidates, or grant licenses on terms unfavorable to us. Adequate additional financing may not be available to us on acceptable terms, or at all.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Risks Related to the Discovery, Development and Regulatory Approval of Our Product Candidates</w:t>
      </w:r>
    </w:p>
    <w:p>
      <w:pPr>
        <w:spacing w:after="0" w:line="197"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b w:val="1"/>
          <w:bCs w:val="1"/>
          <w:i w:val="1"/>
          <w:iCs w:val="1"/>
          <w:color w:val="auto"/>
        </w:rPr>
        <w:t>We are substantially dependent on the success of our internal development programs and of our product candidates from our BTC program which may not successfully complete clinical trials, receive regulatory approval or be successfully commercialized.</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future success will depend heavily on the success of our internal development programs and of product candidates from our BTC program.</w:t>
      </w:r>
    </w:p>
    <w:p>
      <w:pPr>
        <w:spacing w:after="0" w:line="19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Within our BTC program, we are investigating BT1718 for safety, tolerability and efficacy in an ongoing Phase I/IIa clinical trial in collaboration with the Centre for Drug Development of Cancer Research UK, or CRUK. Upon the completion of the Phase I/IIa clinical trial for BT1718, we have the right to obtain a license to the results of the clinical trial from CRUK upon the payment of a milestone, in cash and ordinary shares with a combined value in a mid six digit dollar amount. If we do not exercise our right to obtain a license to the results of the clinical trial or we fail to obtain a license, our ability to continue development of BT1718 would be negatively impacted. BT1718 is designed to target tumors that express MT1-MMP. We are also developing BT5528 and BT8009, which are BTCs targeting Ephrin type-A receptor 2, or EphA2, and Nectin-4, respectively, for oncology indications. These target proteins have an established role in cell invasion and metastasis and are overexpressed in many solid tumors, but there can be no assurance our BTCs will ever demonstrate evidence of safety or effectiveness for any use or receive U.S. or E.U. regulatory approval in any indication. Even if clinical trials show positive results, there can be no assurance that the FDA in the U.S., EMA in Europe or similar regulatory authorities will approve our BTCs or any of our other product candidates for any given indication for several potential reasons, including the failure to follow Good Clinical Practice, or GCP, a negative assessment of the risks and benefits, insufficient product quality control and standardization, failure to have Good Manufacturing Practices, or GMP, compliant manufacturing facilities, or the failure to agree with regulatory authorities on clinical endpoints.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ability to successfully commercialize our BTCs and our other product candidates will depend on, among other things, our ability to:</w:t>
      </w:r>
    </w:p>
    <w:p>
      <w:pPr>
        <w:spacing w:after="0" w:line="195" w:lineRule="exact"/>
        <w:rPr>
          <w:sz w:val="20"/>
          <w:szCs w:val="20"/>
          <w:color w:val="auto"/>
        </w:rPr>
      </w:pPr>
    </w:p>
    <w:p>
      <w:pPr>
        <w:ind w:left="980" w:hanging="493"/>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successfully complete preclinical studies and clinical trials;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receive regulatory approvals from the FDA, the EMA and other similar regulatory authorities;</w:t>
      </w:r>
    </w:p>
    <w:p>
      <w:pPr>
        <w:spacing w:after="0" w:line="182" w:lineRule="exact"/>
        <w:rPr>
          <w:rFonts w:ascii="Arial" w:cs="Arial" w:eastAsia="Arial" w:hAnsi="Arial"/>
          <w:sz w:val="16"/>
          <w:szCs w:val="16"/>
          <w:color w:val="auto"/>
        </w:rPr>
      </w:pPr>
    </w:p>
    <w:p>
      <w:pPr>
        <w:ind w:left="980" w:right="100" w:hanging="493"/>
        <w:spacing w:after="0" w:line="244"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 and maintain collaborations with third parties for the development and/or commercialization of our product candidates, or otherwise build and maintain strong development, sales, distribution and marketing capabilities that are sufficient to develop products and launch commercial sales of any approved products;</w:t>
      </w:r>
    </w:p>
    <w:p>
      <w:pPr>
        <w:spacing w:after="0" w:line="172" w:lineRule="exact"/>
        <w:rPr>
          <w:rFonts w:ascii="Arial" w:cs="Arial" w:eastAsia="Arial" w:hAnsi="Arial"/>
          <w:sz w:val="16"/>
          <w:szCs w:val="16"/>
          <w:color w:val="auto"/>
        </w:rPr>
      </w:pPr>
    </w:p>
    <w:p>
      <w:pPr>
        <w:ind w:left="980" w:right="600" w:hanging="493"/>
        <w:spacing w:after="0" w:line="249"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 coverage and adequate reimbursement from payors such as government health care systems and insurance companies and achieve commercially attractive levels of pricing;</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secure acceptance of our product candidates from physicians, health care payors, patients and the medical community;</w:t>
      </w:r>
    </w:p>
    <w:p>
      <w:pPr>
        <w:spacing w:after="0" w:line="182" w:lineRule="exact"/>
        <w:rPr>
          <w:rFonts w:ascii="Arial" w:cs="Arial" w:eastAsia="Arial" w:hAnsi="Arial"/>
          <w:sz w:val="16"/>
          <w:szCs w:val="16"/>
          <w:color w:val="auto"/>
        </w:rPr>
      </w:pPr>
    </w:p>
    <w:p>
      <w:pPr>
        <w:ind w:left="980" w:right="280" w:hanging="493"/>
        <w:spacing w:after="0" w:line="249"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produce, through a validated process, in manufacturing facilities inspected and approved by regulatory authorities, including the FDA, sufficiently large quantities of our product candidates to permit successful commercialization;</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manage our spending as expenses increase due to clinical trials and commercialization; and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 and enforce sufficient intellectual property rights for any approved products and product candidates.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Of the large number of drugs in development in the pharmaceutical industry, only a small percentage result in the submission of a new drug application, or NDA, to the FDA and even fewer are approved for commercialization. Furthermore, even if we do receive regulatory approval to market our product candidates, any such approval may be subject to limitations on the indicated uses or patient populations for which we may market the product. Accordingly, even if we are able to obtain the requisite financing to continue to fund our development programs, we cannot assure you that our product candidates will be successfully developed or commercialized. If we are unable to develop, or obtain regulatory approval for, or, if approved, to successfully commercialize our product candidates, we may not be able to generate sufficient revenue to continue our business.</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b w:val="1"/>
          <w:bCs w:val="1"/>
          <w:i w:val="1"/>
          <w:iCs w:val="1"/>
          <w:color w:val="auto"/>
        </w:rPr>
        <w:t>We are at a very early stage in our development efforts, our product candidates and those of our collaborators represent a new category of medicines and may be subject to heightened regulatory scrutiny until they are established as a therapeutic modality.</w:t>
      </w:r>
    </w:p>
    <w:p>
      <w:pPr>
        <w:spacing w:after="0" w:line="147" w:lineRule="exact"/>
        <w:rPr>
          <w:sz w:val="20"/>
          <w:szCs w:val="20"/>
          <w:color w:val="auto"/>
        </w:rPr>
      </w:pPr>
    </w:p>
    <w:p>
      <w:pPr>
        <w:ind w:right="380" w:firstLine="442"/>
        <w:spacing w:after="0" w:line="249" w:lineRule="auto"/>
        <w:rPr>
          <w:sz w:val="20"/>
          <w:szCs w:val="20"/>
          <w:color w:val="auto"/>
        </w:rPr>
      </w:pPr>
      <w:r>
        <w:rPr>
          <w:rFonts w:ascii="Arial" w:cs="Arial" w:eastAsia="Arial" w:hAnsi="Arial"/>
          <w:sz w:val="16"/>
          <w:szCs w:val="16"/>
          <w:i w:val="1"/>
          <w:iCs w:val="1"/>
          <w:color w:val="auto"/>
        </w:rPr>
        <w:t xml:space="preserve">Bicycles </w:t>
      </w:r>
      <w:r>
        <w:rPr>
          <w:rFonts w:ascii="Arial" w:cs="Arial" w:eastAsia="Arial" w:hAnsi="Arial"/>
          <w:sz w:val="16"/>
          <w:szCs w:val="16"/>
          <w:color w:val="auto"/>
        </w:rPr>
        <w:t>represent a new therapeutic modality of peptide compounds intended to combine targeting abilities of antibodies with performance of small</w:t>
      </w:r>
      <w:r>
        <w:rPr>
          <w:rFonts w:ascii="Arial" w:cs="Arial" w:eastAsia="Arial" w:hAnsi="Arial"/>
          <w:sz w:val="16"/>
          <w:szCs w:val="16"/>
          <w:i w:val="1"/>
          <w:iCs w:val="1"/>
          <w:color w:val="auto"/>
        </w:rPr>
        <w:t xml:space="preserve"> </w:t>
      </w:r>
      <w:r>
        <w:rPr>
          <w:rFonts w:ascii="Arial" w:cs="Arial" w:eastAsia="Arial" w:hAnsi="Arial"/>
          <w:sz w:val="16"/>
          <w:szCs w:val="16"/>
          <w:color w:val="auto"/>
        </w:rPr>
        <w:t>molecules. Our product candidates may not demonstrate in patients any or all of the pharmacological benefits we believe they may possess. We have not yet succeeded and may never succeed in demonstrating efficacy and safety for these or any other product candidates in clinical trials or in obtaining marketing approval thereafter.</w:t>
      </w:r>
    </w:p>
    <w:p>
      <w:pPr>
        <w:spacing w:after="0" w:line="166" w:lineRule="exact"/>
        <w:rPr>
          <w:sz w:val="20"/>
          <w:szCs w:val="20"/>
          <w:color w:val="auto"/>
        </w:rPr>
      </w:pPr>
    </w:p>
    <w:p>
      <w:pPr>
        <w:ind w:right="320" w:firstLine="442"/>
        <w:spacing w:after="0" w:line="254" w:lineRule="auto"/>
        <w:rPr>
          <w:sz w:val="20"/>
          <w:szCs w:val="20"/>
          <w:color w:val="auto"/>
        </w:rPr>
      </w:pPr>
      <w:r>
        <w:rPr>
          <w:rFonts w:ascii="Arial" w:cs="Arial" w:eastAsia="Arial" w:hAnsi="Arial"/>
          <w:sz w:val="16"/>
          <w:szCs w:val="16"/>
          <w:color w:val="auto"/>
        </w:rPr>
        <w:t xml:space="preserve">Regulatory authorities do not have experience with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and may require evidence of safety and efficacy that goes beyond what we and our collaborators have included in our development plans. In such a case, development of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product candidates may be more costly or time-consuming than expected, and our candidate products and those of our collaboration partners may not prove to be viable.</w:t>
      </w:r>
    </w:p>
    <w:p>
      <w:pPr>
        <w:spacing w:after="0" w:line="178"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If we are unsuccessful in our development efforts, we may not be able to advance the development of our product candidates, commercialize products, raise capital, expand our business or continue our operations.</w:t>
      </w:r>
    </w:p>
    <w:p>
      <w:pPr>
        <w:spacing w:after="0" w:line="16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i w:val="1"/>
          <w:iCs w:val="1"/>
          <w:color w:val="auto"/>
        </w:rPr>
        <w:t>Our product candidates and those of our collaborators will need to undergo preclinical and clinical trials that are time consuming and expensive, the outcomes of which are unpredictable, and for which there is a high risk of failure. If preclinical or clinical trials of our or their product candidates fail to satisfactorily demonstrate safety and efficacy to the FDA, the EMA and any other comparable regulatory authority, additional costs may be incurred or delays experienced in completing, the development of these product candidates, or their development may be abandoned.</w:t>
      </w:r>
    </w:p>
    <w:p>
      <w:pPr>
        <w:spacing w:after="0" w:line="181" w:lineRule="exact"/>
        <w:rPr>
          <w:sz w:val="20"/>
          <w:szCs w:val="20"/>
          <w:color w:val="auto"/>
        </w:rPr>
      </w:pPr>
    </w:p>
    <w:p>
      <w:pPr>
        <w:ind w:right="20" w:firstLine="439"/>
        <w:spacing w:after="0" w:line="241" w:lineRule="auto"/>
        <w:rPr>
          <w:sz w:val="20"/>
          <w:szCs w:val="20"/>
          <w:color w:val="auto"/>
        </w:rPr>
      </w:pPr>
      <w:r>
        <w:rPr>
          <w:rFonts w:ascii="Arial" w:cs="Arial" w:eastAsia="Arial" w:hAnsi="Arial"/>
          <w:sz w:val="16"/>
          <w:szCs w:val="16"/>
          <w:color w:val="auto"/>
        </w:rPr>
        <w:t>The FDA in the United States, the EMA in the European Union and the European Economic Area, and any other comparable regulatory authorities in other jurisdictions must approve new product candidates before they can be marketed, promoted or sold in those territories. We have not previously submitted an IND or NDA to the FDA or similar drug approval filings to comparable foreign regulatory authorities for any of our product candidates. We must provide these regulatory authorities with data from preclinical studies and clinical trials that demonstrate that our product candidates are safe and effective for a specific indication before they can be approved for commercial distribution. We cannot be certain that our clinical trials for our product candidates will be successful or that any of our other product candidates will receive approval from the FDA, the EMA or any other comparable regulatory authority.</w:t>
      </w:r>
    </w:p>
    <w:p>
      <w:pPr>
        <w:spacing w:after="0" w:line="188"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Preclinical studies and clinical trials are long, expensive and unpredictable processes that can be subject to extensive delays. We cannot guarantee that any clinical trials will be conducted as planned or completed on schedule, if at all. It may take several years and require significant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expenditures to complete the preclinical studies and clinical trials necessary to commercialize a product candidate, and delays or failure are inherently unpredictable and can occur at any stage. We may also be required to conduct additional clinical trials or other testing of our product candidates beyond the trials and testing that we contemplate, which may lead to us incurring additional unplanned costs or result in delays in clinical development. In addition, we may be required to redesign or otherwise modify our plans with respect to an ongoing or planned clinical trial, and changing the design of a clinical trial can be expensive and time consuming. An unfavorable outcome in one or more trials would be a major setback for our product candidates and for us. An unfavorable outcome in one or more trials may require us to delay, reduce the scope of or eliminate one or more product development programs, which could have a material adverse effect on our business, financial position, results of operations and future growth prospects.</w:t>
      </w:r>
    </w:p>
    <w:p>
      <w:pPr>
        <w:spacing w:after="0" w:line="192" w:lineRule="exact"/>
        <w:rPr>
          <w:sz w:val="20"/>
          <w:szCs w:val="20"/>
          <w:color w:val="auto"/>
        </w:rPr>
      </w:pPr>
    </w:p>
    <w:p>
      <w:pPr>
        <w:ind w:right="100" w:firstLine="442"/>
        <w:spacing w:after="0" w:line="268" w:lineRule="auto"/>
        <w:rPr>
          <w:sz w:val="20"/>
          <w:szCs w:val="20"/>
          <w:color w:val="auto"/>
        </w:rPr>
      </w:pPr>
      <w:r>
        <w:rPr>
          <w:rFonts w:ascii="Arial" w:cs="Arial" w:eastAsia="Arial" w:hAnsi="Arial"/>
          <w:sz w:val="15"/>
          <w:szCs w:val="15"/>
          <w:color w:val="auto"/>
        </w:rPr>
        <w:t>Many of the factors that cause, or lead to, a delay in the commencement or completion of clinical trials may also ultimately lead to the denial of marketing approval for our product candidates. The FDA, EMA or any other comparable regulatory authority may disagree with our clinical trial design and our interpretation of data from clinical trials, or may change the requirements for approval even after it has reviewed and commented on the design for our clinical trials.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clinical trials of our product candidates, we face a number of risks, including risks that:</w:t>
      </w:r>
    </w:p>
    <w:p>
      <w:pPr>
        <w:spacing w:after="0" w:line="195" w:lineRule="exact"/>
        <w:rPr>
          <w:sz w:val="20"/>
          <w:szCs w:val="20"/>
          <w:color w:val="auto"/>
        </w:rPr>
      </w:pPr>
    </w:p>
    <w:p>
      <w:pPr>
        <w:ind w:left="980" w:hanging="493"/>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product candidate is ineffective or inferior to existing approved products for the same indications;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product candidate causes or is associated with unacceptable toxicity or has unacceptable side effects;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patients may die or suffer adverse effects for reasons that may or may not be related to the product candidate being tested;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results may not confirm the positive results of earlier trials;</w:t>
      </w:r>
    </w:p>
    <w:p>
      <w:pPr>
        <w:spacing w:after="0" w:line="195" w:lineRule="exact"/>
        <w:rPr>
          <w:rFonts w:ascii="Arial" w:cs="Arial" w:eastAsia="Arial" w:hAnsi="Arial"/>
          <w:sz w:val="16"/>
          <w:szCs w:val="16"/>
          <w:color w:val="auto"/>
        </w:rPr>
      </w:pPr>
    </w:p>
    <w:p>
      <w:pPr>
        <w:ind w:left="980" w:right="400" w:hanging="493"/>
        <w:spacing w:after="0" w:line="249"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results may not meet the level of statistical significance required by the FDA, the EMA or other relevant regulatory agencies to establish the safety and efficacy of our product candidates for continued trial or marketing approval; and</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collaborators may be unable or unwilling to perform under their contracts.</w:t>
      </w:r>
    </w:p>
    <w:p>
      <w:pPr>
        <w:spacing w:after="0" w:line="19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Furthermore, we sometimes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the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If we fail to achieve milestones in the timeframes we expect, the commercialization of our product candidates may be delayed, we may not be entitled to receive certain contractual payments, which could have a material adverse effect on our business, financial position, results of operations and future growth prospects.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ind w:right="600"/>
        <w:spacing w:after="0" w:line="272" w:lineRule="auto"/>
        <w:rPr>
          <w:sz w:val="20"/>
          <w:szCs w:val="20"/>
          <w:color w:val="auto"/>
        </w:rPr>
      </w:pPr>
      <w:r>
        <w:rPr>
          <w:rFonts w:ascii="Arial" w:cs="Arial" w:eastAsia="Arial" w:hAnsi="Arial"/>
          <w:sz w:val="16"/>
          <w:szCs w:val="16"/>
          <w:b w:val="1"/>
          <w:bCs w:val="1"/>
          <w:i w:val="1"/>
          <w:iCs w:val="1"/>
          <w:color w:val="auto"/>
        </w:rPr>
        <w:t>We may find it difficult to enroll patients in our clinical trials, which could delay or prevent us from proceeding with clinical trials of our product candidates.</w:t>
      </w:r>
    </w:p>
    <w:p>
      <w:pPr>
        <w:spacing w:after="0" w:line="16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clinical trials because of negative publicity from adverse events related to novel therapeutic approaches, competitive clinical trials for similar patient populations, the existence of current treatments or for other reasons. Enrollment risks are heightened with respect to certain indications that we may target for one or more of our product candidates that may be rare diseases, which may limit the pool of patients that may be enrolled in our planned clinical trials. The timeline for recruiting patients, conducting trials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92" w:lineRule="exact"/>
        <w:rPr>
          <w:sz w:val="20"/>
          <w:szCs w:val="20"/>
          <w:color w:val="auto"/>
        </w:rPr>
      </w:pPr>
    </w:p>
    <w:p>
      <w:pPr>
        <w:ind w:right="20" w:firstLine="442"/>
        <w:spacing w:after="0" w:line="242" w:lineRule="auto"/>
        <w:rPr>
          <w:sz w:val="20"/>
          <w:szCs w:val="20"/>
          <w:color w:val="auto"/>
        </w:rPr>
      </w:pPr>
      <w:r>
        <w:rPr>
          <w:rFonts w:ascii="Arial" w:cs="Arial" w:eastAsia="Arial" w:hAnsi="Arial"/>
          <w:sz w:val="16"/>
          <w:szCs w:val="16"/>
          <w:color w:val="auto"/>
        </w:rPr>
        <w:t>We may not be able to identify, recruit and enroll a sufficient number of patients, or those with the required or desired characteristics, to complete our clinical trials in a timely manner. For example, due to the nature of the indications that we are initially targeting, patients with advanced disease progression may not be suitable candidates for treatment with our product candidates and may be ineligible for enrollment in our clinical trials. Therefore, early diagnosis in patients with our target diseases is critical to our success. Patient enrollment and trial completion is affected by factors including the:</w:t>
      </w:r>
    </w:p>
    <w:p>
      <w:pPr>
        <w:spacing w:after="0" w:line="187" w:lineRule="exact"/>
        <w:rPr>
          <w:sz w:val="20"/>
          <w:szCs w:val="20"/>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size of the patient population and process for identifying subjects;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design of the trial protocol;</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eligibility and exclusion criteria;</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safety profile, to date, of the product candidate under study;</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perceived risks and benefits of the product candidate under study;</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perceived risks and benefits of our approach to treatment of diseases;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availability of competing therapies and clinical trials;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severity of the disease under investigation;</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degree of progression of the subject's disease at the time of enrollment;</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proximity and availability of clinical trial sites for prospective subjects;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obtain and maintain subject consent;</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 that enrolled subjects will drop out before completion of the trial;</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patient referral practices of physicians; and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ability to monitor subjects adequately during and after treatment.</w:t>
      </w:r>
    </w:p>
    <w:p>
      <w:pPr>
        <w:spacing w:after="0" w:line="195" w:lineRule="exact"/>
        <w:rPr>
          <w:sz w:val="20"/>
          <w:szCs w:val="20"/>
          <w:color w:val="auto"/>
        </w:rPr>
      </w:pPr>
    </w:p>
    <w:p>
      <w:pPr>
        <w:ind w:right="100" w:firstLine="442"/>
        <w:spacing w:after="0" w:line="249" w:lineRule="auto"/>
        <w:rPr>
          <w:sz w:val="20"/>
          <w:szCs w:val="20"/>
          <w:color w:val="auto"/>
        </w:rPr>
      </w:pPr>
      <w:r>
        <w:rPr>
          <w:rFonts w:ascii="Arial" w:cs="Arial" w:eastAsia="Arial" w:hAnsi="Arial"/>
          <w:sz w:val="16"/>
          <w:szCs w:val="16"/>
          <w:color w:val="auto"/>
        </w:rPr>
        <w:t>In addition, clinical testing of BT1718 is currently taking place outside of the U.S. Our ability to successfully initiate, enroll and complete a clinical trial in any foreign country is subject to numerous risks unique to conducting business in foreign countries, including:</w:t>
      </w:r>
    </w:p>
    <w:p>
      <w:pPr>
        <w:spacing w:after="0" w:line="181" w:lineRule="exact"/>
        <w:rPr>
          <w:sz w:val="20"/>
          <w:szCs w:val="20"/>
          <w:color w:val="auto"/>
        </w:rPr>
      </w:pPr>
    </w:p>
    <w:p>
      <w:pPr>
        <w:ind w:left="980" w:hanging="493"/>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difficulty in establishing or managing relationships with academic partners or contract research organizations, or CROs, and physicians;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different standards for the conduct of clinical trials;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hanging="493"/>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absence in some countries of established groups with sufficient regulatory expertise for review of protocols related to our novel approach;</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inability to locate qualified local consultants, physicians and partners; and</w:t>
      </w:r>
    </w:p>
    <w:p>
      <w:pPr>
        <w:spacing w:after="0" w:line="182" w:lineRule="exact"/>
        <w:rPr>
          <w:rFonts w:ascii="Arial" w:cs="Arial" w:eastAsia="Arial" w:hAnsi="Arial"/>
          <w:sz w:val="16"/>
          <w:szCs w:val="16"/>
          <w:color w:val="auto"/>
        </w:rPr>
      </w:pPr>
    </w:p>
    <w:p>
      <w:pPr>
        <w:ind w:left="980" w:right="760" w:hanging="493"/>
        <w:spacing w:after="0" w:line="249"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potential burden of complying with a variety of foreign laws, medical standards and regulatory requirements, including the regulation of pharmaceutical and biotechnology products and treatment.</w:t>
      </w:r>
    </w:p>
    <w:p>
      <w:pPr>
        <w:spacing w:after="0" w:line="181" w:lineRule="exact"/>
        <w:rPr>
          <w:sz w:val="20"/>
          <w:szCs w:val="20"/>
          <w:color w:val="auto"/>
        </w:rPr>
      </w:pPr>
    </w:p>
    <w:p>
      <w:pPr>
        <w:ind w:right="380" w:firstLine="442"/>
        <w:spacing w:after="0" w:line="249"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preclinical studies and early clinical trials may not be predictive of results of future clinical trials.</w:t>
      </w:r>
    </w:p>
    <w:p>
      <w:pPr>
        <w:spacing w:after="0" w:line="213" w:lineRule="exact"/>
        <w:rPr>
          <w:sz w:val="20"/>
          <w:szCs w:val="20"/>
          <w:color w:val="auto"/>
        </w:rPr>
      </w:pPr>
    </w:p>
    <w:p>
      <w:pPr>
        <w:ind w:right="260" w:firstLine="439"/>
        <w:spacing w:after="0"/>
        <w:rPr>
          <w:sz w:val="20"/>
          <w:szCs w:val="20"/>
          <w:color w:val="auto"/>
        </w:rPr>
      </w:pPr>
      <w:r>
        <w:rPr>
          <w:rFonts w:ascii="Arial" w:cs="Arial" w:eastAsia="Arial" w:hAnsi="Arial"/>
          <w:sz w:val="16"/>
          <w:szCs w:val="16"/>
          <w:color w:val="auto"/>
        </w:rPr>
        <w:t>The outcome of preclinical studies and early clinical trials may not be predictive of the success of later clinical trials, and interim results of clinical trials do not necessarily predict success in the results of completed clinical trials. Many companies in the pharmaceutical and biotechnology industries have suffered significant setbacks in late-stage clinical trials after achieving positive results in earlier development, and we could face similar setbacks. For example, the Phase I/IIa trial of BT1718 is being conducted by CRUK at up to six sites in the United Kingdom, and the findings may not be replicated in future trials at global clinical trial sites in a later stage clinical trial conducted by us or our collaborators. The design of a clinical trial can determine whether its results will support approval of a product and flaws in the design of a clinical trial may not become apparent until the clinical trial is well advanced. We have limited experience in designing clinical trials and may be unable to design and execute a clinical trial to support marketing approval.</w:t>
      </w:r>
    </w:p>
    <w:p>
      <w:pPr>
        <w:spacing w:after="0" w:line="192" w:lineRule="exact"/>
        <w:rPr>
          <w:sz w:val="20"/>
          <w:szCs w:val="20"/>
          <w:color w:val="auto"/>
        </w:rPr>
      </w:pPr>
    </w:p>
    <w:p>
      <w:pPr>
        <w:ind w:right="60" w:firstLine="442"/>
        <w:spacing w:after="0" w:line="242" w:lineRule="auto"/>
        <w:rPr>
          <w:sz w:val="20"/>
          <w:szCs w:val="20"/>
          <w:color w:val="auto"/>
        </w:rPr>
      </w:pPr>
      <w:r>
        <w:rPr>
          <w:rFonts w:ascii="Arial" w:cs="Arial" w:eastAsia="Arial" w:hAnsi="Arial"/>
          <w:sz w:val="16"/>
          <w:szCs w:val="16"/>
          <w:color w:val="auto"/>
        </w:rPr>
        <w:t>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any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87"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successfully validate, develop and obtain regulatory approval for companion diagnostics could harm our drug development strategy.</w:t>
      </w:r>
    </w:p>
    <w:p>
      <w:pPr>
        <w:spacing w:after="0" w:line="213" w:lineRule="exact"/>
        <w:rPr>
          <w:sz w:val="20"/>
          <w:szCs w:val="20"/>
          <w:color w:val="auto"/>
        </w:rPr>
      </w:pPr>
    </w:p>
    <w:p>
      <w:pPr>
        <w:ind w:right="160" w:firstLine="442"/>
        <w:spacing w:after="0" w:line="242" w:lineRule="auto"/>
        <w:rPr>
          <w:sz w:val="20"/>
          <w:szCs w:val="20"/>
          <w:color w:val="auto"/>
        </w:rPr>
      </w:pPr>
      <w:r>
        <w:rPr>
          <w:rFonts w:ascii="Arial" w:cs="Arial" w:eastAsia="Arial" w:hAnsi="Arial"/>
          <w:sz w:val="16"/>
          <w:szCs w:val="16"/>
          <w:color w:val="auto"/>
        </w:rPr>
        <w:t>We may employ companion diagnostics to help us more accurately identify patients within a particular subset, both during our clinical trials and in connection with the commercialization of our product candidates that we are developing or may in the future develop. Companion diagnostics are subject to regulation by the FDA and comparable foreign regulatory authorities as medical devices and require separate regulatory approval prior to commercialization. We do not develop companion diagnostics internally and thus we will be dependent on the sustained cooperation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effort of our third-party collaborators in developing and obtaining approval for these companion diagnostics. There can be no guarantees that we will successfully find a suitable collaborator to develop companion diagnostics. We and our collaborators may encounter difficulties in developing and obtaining approval for the companion diagnostics, including issues relating to selectivity/specificity, analytical validation, reproducibility, or clinical validation. Any delay or failure by our collaborators to develop or obtain regulatory approval of the companion diagnostics could delay or prevent approval of our product candidates. In addition, our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our ability to derive revenues from sales of any products, if approved, will be adversely affected. In addition, the diagnostic company with whom we contract may decide to discontinue selling or manufacturing the companion diagnostic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63"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 prevent their marketing approval, limit their commercial potential or result in significant negative consequences.</w:t>
      </w:r>
    </w:p>
    <w:p>
      <w:pPr>
        <w:spacing w:after="0" w:line="175" w:lineRule="exact"/>
        <w:rPr>
          <w:sz w:val="20"/>
          <w:szCs w:val="20"/>
          <w:color w:val="auto"/>
        </w:rPr>
      </w:pPr>
    </w:p>
    <w:p>
      <w:pPr>
        <w:ind w:right="240" w:firstLine="442"/>
        <w:spacing w:after="0" w:line="242" w:lineRule="auto"/>
        <w:rPr>
          <w:sz w:val="20"/>
          <w:szCs w:val="20"/>
          <w:color w:val="auto"/>
        </w:rPr>
      </w:pPr>
      <w:r>
        <w:rPr>
          <w:rFonts w:ascii="Arial" w:cs="Arial" w:eastAsia="Arial" w:hAnsi="Arial"/>
          <w:sz w:val="16"/>
          <w:szCs w:val="16"/>
          <w:color w:val="auto"/>
        </w:rPr>
        <w:t>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 To date, subjects exposed to BT1718 in the ongoing Phase I/IIa clinical trial have experienced drug-related side effects including fatigue, liver function abnormalities and muscle pain.</w:t>
      </w:r>
    </w:p>
    <w:p>
      <w:pPr>
        <w:spacing w:after="0" w:line="187"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If unacceptable side effects arise in the development of our product candidates, we, the FDA or comparable foreign regulatory authorities, the Institutional Review Boards, or IRBs, or independent ethics committees at the institutions in which our studies are conducted, or the Data Safety Monitoring Board, or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We may be required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prevent us from achieving or maintaining market acceptance of the affected product candidate and may harm our business, financial condition and prospects significantly.</w:t>
      </w:r>
    </w:p>
    <w:p>
      <w:pPr>
        <w:spacing w:after="0" w:line="190" w:lineRule="exact"/>
        <w:rPr>
          <w:sz w:val="20"/>
          <w:szCs w:val="20"/>
          <w:color w:val="auto"/>
        </w:rPr>
      </w:pPr>
    </w:p>
    <w:p>
      <w:pPr>
        <w:ind w:right="120" w:firstLine="442"/>
        <w:spacing w:after="0" w:line="244" w:lineRule="auto"/>
        <w:rPr>
          <w:sz w:val="20"/>
          <w:szCs w:val="20"/>
          <w:color w:val="auto"/>
        </w:rPr>
      </w:pPr>
      <w:r>
        <w:rPr>
          <w:rFonts w:ascii="Arial" w:cs="Arial" w:eastAsia="Arial" w:hAnsi="Arial"/>
          <w:sz w:val="16"/>
          <w:szCs w:val="16"/>
          <w:color w:val="auto"/>
        </w:rPr>
        <w:t>Our product candidates are currently undergoing safety testing in the form of Phase I/IIa clinical trials. None of our products have completed this testing to date. While our current and future product candidates will undergo safety testing to the extent possible and, where applicable, under such conditions discussed with regulatory authorities, not all adverse effects of drugs can be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So far, we have not demonstrated, and we cannot predict if ongoing or future clinical trials will demonstrate, that BT1718 or any other of our product candidates are safe in humans.</w:t>
      </w:r>
    </w:p>
    <w:p>
      <w:pPr>
        <w:spacing w:after="0" w:line="185" w:lineRule="exact"/>
        <w:rPr>
          <w:sz w:val="20"/>
          <w:szCs w:val="20"/>
          <w:color w:val="auto"/>
        </w:rPr>
      </w:pPr>
    </w:p>
    <w:p>
      <w:pPr>
        <w:ind w:right="260" w:firstLine="442"/>
        <w:spacing w:after="0" w:line="242" w:lineRule="auto"/>
        <w:rPr>
          <w:sz w:val="20"/>
          <w:szCs w:val="20"/>
          <w:color w:val="auto"/>
        </w:rPr>
      </w:pPr>
      <w:r>
        <w:rPr>
          <w:rFonts w:ascii="Arial" w:cs="Arial" w:eastAsia="Arial" w:hAnsi="Arial"/>
          <w:sz w:val="16"/>
          <w:szCs w:val="16"/>
          <w:color w:val="auto"/>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consequences could occur:</w:t>
      </w:r>
    </w:p>
    <w:p>
      <w:pPr>
        <w:spacing w:after="0" w:line="187" w:lineRule="exact"/>
        <w:rPr>
          <w:sz w:val="20"/>
          <w:szCs w:val="20"/>
          <w:color w:val="auto"/>
        </w:rPr>
      </w:pPr>
    </w:p>
    <w:p>
      <w:pPr>
        <w:ind w:left="980" w:hanging="493"/>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authorities may withdraw their approval of the product or seize the product;</w:t>
      </w:r>
    </w:p>
    <w:p>
      <w:pPr>
        <w:spacing w:after="0" w:line="195" w:lineRule="exact"/>
        <w:rPr>
          <w:rFonts w:ascii="Arial" w:cs="Arial" w:eastAsia="Arial" w:hAnsi="Arial"/>
          <w:sz w:val="16"/>
          <w:szCs w:val="16"/>
          <w:color w:val="auto"/>
        </w:rPr>
      </w:pPr>
    </w:p>
    <w:p>
      <w:pPr>
        <w:ind w:left="980" w:right="140" w:hanging="493"/>
        <w:spacing w:after="0" w:line="249"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or any collaborators, may need to recall the product, or be required to change the way the product is administered or conduct additional clinical trials;</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additional restrictions may be imposed on the marketing of, or the manufacturing processes for, the particular product;</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subject to fines, injunctions or the imposition of civil or criminal penalties;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boxed warning or a contraindication;</w:t>
      </w:r>
    </w:p>
    <w:p>
      <w:pPr>
        <w:spacing w:after="0" w:line="182" w:lineRule="exact"/>
        <w:rPr>
          <w:rFonts w:ascii="Arial" w:cs="Arial" w:eastAsia="Arial" w:hAnsi="Arial"/>
          <w:sz w:val="16"/>
          <w:szCs w:val="16"/>
          <w:color w:val="auto"/>
        </w:rPr>
      </w:pPr>
    </w:p>
    <w:p>
      <w:pPr>
        <w:ind w:left="980" w:right="80" w:hanging="493"/>
        <w:spacing w:after="0" w:line="249"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or any collaborators, may be required to create a medication guide outlining the risks of the previously unidentified side effects for distribution to patients;</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or any collaborators, could be sued and held liable for harm caused to patients;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product may become less competitive; and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195"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If any of our current or future product candidates fail to demonstrate safety and efficacy in clinical trials or do not gain marketing approval, we will not be able to generate revenue and our business will be harmed. Any of these events could harm our business and operations, and could negatively impact the price of our ADSs.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our efforts to identify or discover additional product candidates.</w:t>
      </w:r>
    </w:p>
    <w:p>
      <w:pPr>
        <w:spacing w:after="0" w:line="197" w:lineRule="exact"/>
        <w:rPr>
          <w:sz w:val="20"/>
          <w:szCs w:val="20"/>
          <w:color w:val="auto"/>
        </w:rPr>
      </w:pPr>
    </w:p>
    <w:p>
      <w:pPr>
        <w:ind w:right="20" w:firstLine="433"/>
        <w:spacing w:after="0" w:line="243" w:lineRule="auto"/>
        <w:rPr>
          <w:sz w:val="20"/>
          <w:szCs w:val="20"/>
          <w:color w:val="auto"/>
        </w:rPr>
      </w:pPr>
      <w:r>
        <w:rPr>
          <w:rFonts w:ascii="Arial" w:cs="Arial" w:eastAsia="Arial" w:hAnsi="Arial"/>
          <w:sz w:val="16"/>
          <w:szCs w:val="16"/>
          <w:color w:val="auto"/>
        </w:rPr>
        <w:t xml:space="preserve">Although we intend to utilize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screening platform to explore other therapeutic opportunities in addition to the product candidates that we are currently developing, we may fail to identify other product candidates for clinical development for a number of reasons. For example, our research methodology may not be successful in identifying potential product candidates or those we identify may be shown to have harmful side effects or other characteristics that make them unmarketable or unlikely to receive regulatory approval. A key part of our strategy is to utilize our screening technology to identify product candidates to pursue in clinical development. Such product candidates will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If we fail to identify and develop additional potential product candidates, we may be unable to grow our business and our results of operations could be materially harmed.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3"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w:t>
      </w:r>
    </w:p>
    <w:p>
      <w:pPr>
        <w:spacing w:after="0" w:line="185"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171" w:lineRule="exact"/>
        <w:rPr>
          <w:sz w:val="20"/>
          <w:szCs w:val="20"/>
          <w:color w:val="auto"/>
        </w:rPr>
      </w:pPr>
    </w:p>
    <w:p>
      <w:pPr>
        <w:jc w:val="both"/>
        <w:ind w:right="480"/>
        <w:spacing w:after="0" w:line="281"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158" w:lineRule="exact"/>
        <w:rPr>
          <w:sz w:val="20"/>
          <w:szCs w:val="20"/>
          <w:color w:val="auto"/>
        </w:rPr>
      </w:pPr>
    </w:p>
    <w:p>
      <w:pPr>
        <w:ind w:right="260" w:firstLine="439"/>
        <w:spacing w:after="0" w:line="242" w:lineRule="auto"/>
        <w:rPr>
          <w:sz w:val="20"/>
          <w:szCs w:val="20"/>
          <w:color w:val="auto"/>
        </w:rPr>
      </w:pPr>
      <w:r>
        <w:rPr>
          <w:rFonts w:ascii="Arial" w:cs="Arial" w:eastAsia="Arial" w:hAnsi="Arial"/>
          <w:sz w:val="16"/>
          <w:szCs w:val="16"/>
          <w:color w:val="auto"/>
        </w:rPr>
        <w:t>The use of our product candidates in clinical trials and the sale of any products for which we obtain marketing approval expose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187" w:lineRule="exact"/>
        <w:rPr>
          <w:sz w:val="20"/>
          <w:szCs w:val="20"/>
          <w:color w:val="auto"/>
        </w:rPr>
      </w:pPr>
    </w:p>
    <w:p>
      <w:pPr>
        <w:ind w:left="980" w:hanging="493"/>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impairment of our business reputation;</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withdrawal of clinical trial participants;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substantial monetary awards to patients or other claimants;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costs due to related litigation;</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distraction of management's attention from our primary business;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 and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decreased demand for our product candidates, if approved for commercial sale.</w:t>
      </w:r>
    </w:p>
    <w:p>
      <w:pPr>
        <w:spacing w:after="0" w:line="195"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We believe our product liability insurance coverage is sufficient in light of our current commercial and clinical programs; however, we may not be able to maintain insurance coverage at a reasonable cost or in sufficient amounts to protect us against losses due to liability. We intend to expand our insurance coverage each time we commercialize an additional product;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ADS price to decline and, if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judgments exceed our insurance coverage, could adversely affect our results of operations and business.</w:t>
      </w:r>
    </w:p>
    <w:p>
      <w:pPr>
        <w:spacing w:after="0" w:line="195" w:lineRule="exact"/>
        <w:rPr>
          <w:sz w:val="20"/>
          <w:szCs w:val="20"/>
          <w:color w:val="auto"/>
        </w:rPr>
      </w:pPr>
    </w:p>
    <w:p>
      <w:pPr>
        <w:ind w:right="20" w:firstLine="442"/>
        <w:spacing w:after="0" w:line="259" w:lineRule="auto"/>
        <w:rPr>
          <w:sz w:val="20"/>
          <w:szCs w:val="20"/>
          <w:color w:val="auto"/>
        </w:rPr>
      </w:pPr>
      <w:r>
        <w:rPr>
          <w:rFonts w:ascii="Arial" w:cs="Arial" w:eastAsia="Arial" w:hAnsi="Arial"/>
          <w:sz w:val="15"/>
          <w:szCs w:val="15"/>
          <w:color w:val="auto"/>
        </w:rPr>
        <w:t>Patients with the diseases targeted by certain of our product candidates, such as our lead indications in oncology, are often already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56"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181" w:lineRule="exact"/>
        <w:rPr>
          <w:sz w:val="20"/>
          <w:szCs w:val="20"/>
          <w:color w:val="auto"/>
        </w:rPr>
      </w:pPr>
    </w:p>
    <w:p>
      <w:pPr>
        <w:ind w:right="60" w:firstLine="439"/>
        <w:spacing w:after="0" w:line="241" w:lineRule="auto"/>
        <w:rPr>
          <w:sz w:val="20"/>
          <w:szCs w:val="20"/>
          <w:color w:val="auto"/>
        </w:rPr>
      </w:pPr>
      <w:r>
        <w:rPr>
          <w:rFonts w:ascii="Arial" w:cs="Arial" w:eastAsia="Arial" w:hAnsi="Arial"/>
          <w:sz w:val="16"/>
          <w:szCs w:val="16"/>
          <w:color w:val="auto"/>
        </w:rPr>
        <w:t>The FDA and other comparable regulatory authorities offer certain designations for product candidates that are intended to encourage the research and development of pharmaceutical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any of our other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88"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For example, we may seek a Breakthrough Therapy Designation for one or more of our product candidates. A breakthrough therapy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our product candidates qualify as breakthrough therapies, the FDA may later decide that such product candidates no longer meet the conditions for qualification.</w:t>
      </w:r>
    </w:p>
    <w:p>
      <w:pPr>
        <w:spacing w:after="0" w:line="195" w:lineRule="exact"/>
        <w:rPr>
          <w:sz w:val="20"/>
          <w:szCs w:val="20"/>
          <w:color w:val="auto"/>
        </w:rPr>
      </w:pPr>
    </w:p>
    <w:p>
      <w:pPr>
        <w:ind w:right="420" w:firstLine="442"/>
        <w:spacing w:after="0"/>
        <w:rPr>
          <w:sz w:val="20"/>
          <w:szCs w:val="20"/>
          <w:color w:val="auto"/>
        </w:rPr>
      </w:pPr>
      <w:r>
        <w:rPr>
          <w:rFonts w:ascii="Arial" w:cs="Arial" w:eastAsia="Arial" w:hAnsi="Arial"/>
          <w:sz w:val="16"/>
          <w:szCs w:val="16"/>
          <w:color w:val="auto"/>
        </w:rPr>
        <w:t>We may also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174" w:lineRule="exact"/>
        <w:rPr>
          <w:sz w:val="20"/>
          <w:szCs w:val="20"/>
          <w:color w:val="auto"/>
        </w:rPr>
      </w:pPr>
    </w:p>
    <w:p>
      <w:pPr>
        <w:ind w:right="360"/>
        <w:spacing w:after="0" w:line="272" w:lineRule="auto"/>
        <w:rPr>
          <w:sz w:val="20"/>
          <w:szCs w:val="20"/>
          <w:color w:val="auto"/>
        </w:rPr>
      </w:pPr>
      <w:r>
        <w:rPr>
          <w:rFonts w:ascii="Arial" w:cs="Arial" w:eastAsia="Arial" w:hAnsi="Arial"/>
          <w:sz w:val="16"/>
          <w:szCs w:val="16"/>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16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in particular if such product candidate has received a Breakthrough Therapy Designation, the FDA may decide not to grant it. Moreover, a priority review designation does not result in expedited development and does not necessarily result in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73" w:lineRule="exact"/>
        <w:rPr>
          <w:sz w:val="20"/>
          <w:szCs w:val="20"/>
          <w:color w:val="auto"/>
        </w:rPr>
      </w:pPr>
    </w:p>
    <w:p>
      <w:pPr>
        <w:ind w:right="760"/>
        <w:spacing w:after="0" w:line="272" w:lineRule="auto"/>
        <w:rPr>
          <w:sz w:val="20"/>
          <w:szCs w:val="20"/>
          <w:color w:val="auto"/>
        </w:rPr>
      </w:pPr>
      <w:r>
        <w:rPr>
          <w:rFonts w:ascii="Arial" w:cs="Arial" w:eastAsia="Arial" w:hAnsi="Arial"/>
          <w:sz w:val="16"/>
          <w:szCs w:val="16"/>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p>
    <w:p>
      <w:pPr>
        <w:spacing w:after="0" w:line="16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do not have experience in obtaining reimbursement or pricing approvals in international markets.</w:t>
      </w:r>
    </w:p>
    <w:p>
      <w:pPr>
        <w:spacing w:after="0" w:line="190" w:lineRule="exact"/>
        <w:rPr>
          <w:sz w:val="20"/>
          <w:szCs w:val="20"/>
          <w:color w:val="auto"/>
        </w:rPr>
      </w:pPr>
    </w:p>
    <w:p>
      <w:pPr>
        <w:ind w:right="20" w:firstLine="442"/>
        <w:spacing w:after="0" w:line="249" w:lineRule="auto"/>
        <w:rPr>
          <w:sz w:val="20"/>
          <w:szCs w:val="20"/>
          <w:color w:val="auto"/>
        </w:rPr>
      </w:pPr>
      <w:r>
        <w:rPr>
          <w:rFonts w:ascii="Arial" w:cs="Arial" w:eastAsia="Arial" w:hAnsi="Arial"/>
          <w:sz w:val="16"/>
          <w:szCs w:val="16"/>
          <w:color w:val="auto"/>
        </w:rPr>
        <w:t>Obtaining marketing approvals and compliance with regulatory requirements could result in significant delays, difficulties and costs for us and could delay or prevent the introduction of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products in certain countries outside of the United Kingdom and the United States.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85" w:lineRule="exact"/>
        <w:rPr>
          <w:sz w:val="20"/>
          <w:szCs w:val="20"/>
          <w:color w:val="auto"/>
        </w:rPr>
      </w:pPr>
    </w:p>
    <w:p>
      <w:pPr>
        <w:ind w:firstLine="433"/>
        <w:spacing w:after="0"/>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Commercialization of Our Product Candidates and Other Regulatory Compliance Matters</w:t>
      </w:r>
    </w:p>
    <w:p>
      <w:pPr>
        <w:spacing w:after="0" w:line="197" w:lineRule="exact"/>
        <w:rPr>
          <w:sz w:val="20"/>
          <w:szCs w:val="20"/>
          <w:color w:val="auto"/>
        </w:rPr>
      </w:pPr>
    </w:p>
    <w:p>
      <w:pPr>
        <w:jc w:val="both"/>
        <w:ind w:right="160"/>
        <w:spacing w:after="0" w:line="281" w:lineRule="auto"/>
        <w:rPr>
          <w:sz w:val="20"/>
          <w:szCs w:val="20"/>
          <w:color w:val="auto"/>
        </w:rPr>
      </w:pPr>
      <w:r>
        <w:rPr>
          <w:rFonts w:ascii="Arial" w:cs="Arial" w:eastAsia="Arial" w:hAnsi="Arial"/>
          <w:sz w:val="15"/>
          <w:szCs w:val="15"/>
          <w:b w:val="1"/>
          <w:bCs w:val="1"/>
          <w:i w:val="1"/>
          <w:iCs w:val="1"/>
          <w:color w:val="auto"/>
        </w:rPr>
        <w:t>Even if we complete the necessary preclinical studies and clinical trials, the marketing approval process is expensive, time consuming and uncertain and may prevent us or any collaborators from obtaining approvals for the commercialization of some or all of our product candidates. As a result, we cannot predict when or if, and in which territories, we, or any collaborators, will obtain marketing approval to commercialize a product candidate.</w:t>
      </w:r>
    </w:p>
    <w:p>
      <w:pPr>
        <w:spacing w:after="0" w:line="158" w:lineRule="exact"/>
        <w:rPr>
          <w:sz w:val="20"/>
          <w:szCs w:val="20"/>
          <w:color w:val="auto"/>
        </w:rPr>
      </w:pPr>
    </w:p>
    <w:p>
      <w:pPr>
        <w:ind w:right="40" w:firstLine="439"/>
        <w:spacing w:after="0"/>
        <w:rPr>
          <w:sz w:val="20"/>
          <w:szCs w:val="20"/>
          <w:color w:val="auto"/>
        </w:rPr>
      </w:pPr>
      <w:r>
        <w:rPr>
          <w:rFonts w:ascii="Arial" w:cs="Arial" w:eastAsia="Arial" w:hAnsi="Arial"/>
          <w:sz w:val="16"/>
          <w:szCs w:val="16"/>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91"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Varying interpretations of the data obtained from preclinical and clinical testing could delay, limit or prevent marketing approval of a product candidate. We cannot commercialize a product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regulatory approval. Additional delays may result if an FDA Advisory Committee or other regulatory authority recommends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Any marketing approval we ultimately obtain may be limited or subject to restrictions or post-approval commitments that render the approved product not commercially viable.</w:t>
      </w:r>
    </w:p>
    <w:p>
      <w:pPr>
        <w:spacing w:after="0" w:line="168"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88"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In addition, regulatory agencies may not approve the labeling claims that are necessary or desirable for the successful commercialization of our product candidates. For example, regulatory agencies may approve a product candidate for fewer or more limited indications than requested or may grant approval subject to the performance of post-marketing studies. Regulators may approve a product candidate for a smaller patient population, a different drug formulation or a different manufacturing process, than we are seeking. If we are unable to obtain necessary regulatory approvals, or more limited regulatory approvals than we expect, our business, prospects, financial condition and results of operations may suffer.</w:t>
      </w:r>
    </w:p>
    <w:p>
      <w:pPr>
        <w:spacing w:after="0" w:line="189" w:lineRule="exact"/>
        <w:rPr>
          <w:sz w:val="20"/>
          <w:szCs w:val="20"/>
          <w:color w:val="auto"/>
        </w:rPr>
      </w:pPr>
    </w:p>
    <w:p>
      <w:pPr>
        <w:ind w:right="200" w:firstLine="433"/>
        <w:spacing w:after="0" w:line="249" w:lineRule="auto"/>
        <w:rPr>
          <w:sz w:val="20"/>
          <w:szCs w:val="20"/>
          <w:color w:val="auto"/>
        </w:rPr>
      </w:pPr>
      <w:r>
        <w:rPr>
          <w:rFonts w:ascii="Arial" w:cs="Arial" w:eastAsia="Arial" w:hAnsi="Arial"/>
          <w:sz w:val="16"/>
          <w:szCs w:val="16"/>
          <w:color w:val="auto"/>
        </w:rPr>
        <w:t>Any delay in obtaining or failure to obtain required approvals could negatively impact our ability to generate revenue from the particular product candidate, which likely would result in significant harm to our financial position and adversely impact the price of our ADSs.</w:t>
      </w:r>
    </w:p>
    <w:p>
      <w:pPr>
        <w:spacing w:after="0" w:line="163"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b w:val="1"/>
          <w:bCs w:val="1"/>
          <w:i w:val="1"/>
          <w:iCs w:val="1"/>
          <w:color w:val="auto"/>
        </w:rPr>
        <w:t>We currently have no marketing, sales or distribution infrastructure with respect to our product candidates. If we are unable to develop our sales, marketing and distribution capability on our own or through collaborations with marketing partners, we will not be successful in commercializing our product candidates.</w:t>
      </w:r>
    </w:p>
    <w:p>
      <w:pPr>
        <w:spacing w:after="0" w:line="175" w:lineRule="exact"/>
        <w:rPr>
          <w:sz w:val="20"/>
          <w:szCs w:val="20"/>
          <w:color w:val="auto"/>
        </w:rPr>
      </w:pPr>
    </w:p>
    <w:p>
      <w:pPr>
        <w:ind w:right="200" w:firstLine="442"/>
        <w:spacing w:after="0" w:line="242" w:lineRule="auto"/>
        <w:rPr>
          <w:sz w:val="20"/>
          <w:szCs w:val="20"/>
          <w:color w:val="auto"/>
        </w:rPr>
      </w:pPr>
      <w:r>
        <w:rPr>
          <w:rFonts w:ascii="Arial" w:cs="Arial" w:eastAsia="Arial" w:hAnsi="Arial"/>
          <w:sz w:val="16"/>
          <w:szCs w:val="16"/>
          <w:color w:val="auto"/>
        </w:rPr>
        <w:t>We currently have no marketing, sales or distribution capabilities and have limited sales or marketing experience within our organization. If one or more of our product candidates is approved, we intend either to establish a sales and marketing organization with technical expertise and supporting distribution capabilities to commercialize that product candidate, or to outsource this function to a third party. There are risks involved with either establishing our own sales and marketing capabilities and entering into arrangements with third parties to perform these services.</w:t>
      </w:r>
    </w:p>
    <w:p>
      <w:pPr>
        <w:spacing w:after="0" w:line="187"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Recruiting and training an internal commercial organization is expensive and time consuming and could delay any product launch. Some or all of these costs may be incurred in advance of any approval of any of our product candidates.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In addition, we may not be able to hire a sales force in the United States or other target market that is sufficient in size or has adequate expertise in the medical markets that we intend to target.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Factors that may inhibit our efforts to commercialize our product candidates on our own include:</w:t>
      </w:r>
    </w:p>
    <w:p>
      <w:pPr>
        <w:spacing w:after="0" w:line="195" w:lineRule="exact"/>
        <w:rPr>
          <w:sz w:val="20"/>
          <w:szCs w:val="20"/>
          <w:color w:val="auto"/>
        </w:rPr>
      </w:pPr>
    </w:p>
    <w:p>
      <w:pPr>
        <w:ind w:left="980" w:hanging="493"/>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to recruit, train and retain adequate numbers of effective sales and marketing personnel;</w:t>
      </w:r>
    </w:p>
    <w:p>
      <w:pPr>
        <w:spacing w:after="0" w:line="195" w:lineRule="exact"/>
        <w:rPr>
          <w:rFonts w:ascii="Arial" w:cs="Arial" w:eastAsia="Arial" w:hAnsi="Arial"/>
          <w:sz w:val="16"/>
          <w:szCs w:val="16"/>
          <w:color w:val="auto"/>
        </w:rPr>
      </w:pPr>
    </w:p>
    <w:p>
      <w:pPr>
        <w:ind w:left="980" w:right="180" w:hanging="493"/>
        <w:spacing w:after="0" w:line="249"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 that we may develop;</w:t>
      </w:r>
    </w:p>
    <w:p>
      <w:pPr>
        <w:spacing w:after="0" w:line="168" w:lineRule="exact"/>
        <w:rPr>
          <w:rFonts w:ascii="Arial" w:cs="Arial" w:eastAsia="Arial" w:hAnsi="Arial"/>
          <w:sz w:val="16"/>
          <w:szCs w:val="16"/>
          <w:color w:val="auto"/>
        </w:rPr>
      </w:pPr>
    </w:p>
    <w:p>
      <w:pPr>
        <w:ind w:left="980" w:right="160" w:hanging="493"/>
        <w:spacing w:after="0" w:line="249"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lack of complementary treatments to be offered by sales personnel, which may put us at a competitive disadvantage relative to companies with more extensive product lines; and</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195"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w:t>
      </w:r>
    </w:p>
    <w:p>
      <w:pPr>
        <w:spacing w:after="0" w:line="170" w:lineRule="exact"/>
        <w:rPr>
          <w:sz w:val="20"/>
          <w:szCs w:val="20"/>
          <w:color w:val="auto"/>
        </w:rPr>
      </w:pPr>
    </w:p>
    <w:p>
      <w:pPr>
        <w:ind w:right="460"/>
        <w:spacing w:after="0" w:line="272" w:lineRule="auto"/>
        <w:rPr>
          <w:sz w:val="20"/>
          <w:szCs w:val="20"/>
          <w:color w:val="auto"/>
        </w:rPr>
      </w:pPr>
      <w:r>
        <w:rPr>
          <w:rFonts w:ascii="Arial" w:cs="Arial" w:eastAsia="Arial" w:hAnsi="Arial"/>
          <w:sz w:val="16"/>
          <w:szCs w:val="16"/>
          <w:b w:val="1"/>
          <w:bCs w:val="1"/>
          <w:i w:val="1"/>
          <w:i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163" w:lineRule="exact"/>
        <w:rPr>
          <w:sz w:val="20"/>
          <w:szCs w:val="20"/>
          <w:color w:val="auto"/>
        </w:rPr>
      </w:pPr>
    </w:p>
    <w:p>
      <w:pPr>
        <w:ind w:right="100" w:firstLine="442"/>
        <w:spacing w:after="0"/>
        <w:rPr>
          <w:sz w:val="20"/>
          <w:szCs w:val="20"/>
          <w:color w:val="auto"/>
        </w:rPr>
      </w:pPr>
      <w:r>
        <w:rPr>
          <w:rFonts w:ascii="Arial" w:cs="Arial" w:eastAsia="Arial" w:hAnsi="Arial"/>
          <w:sz w:val="16"/>
          <w:szCs w:val="16"/>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immunotherapy or a combination of these, is sometimes adequate to cure the cancer or prolong life without a cure. Second- and third-line therapies are administered to patients when prior therapy is not effective. We may initially seek approval of BT1718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92" w:lineRule="exact"/>
        <w:rPr>
          <w:sz w:val="20"/>
          <w:szCs w:val="20"/>
          <w:color w:val="auto"/>
        </w:rPr>
      </w:pPr>
    </w:p>
    <w:p>
      <w:pPr>
        <w:ind w:right="100" w:firstLine="439"/>
        <w:spacing w:after="0" w:line="242" w:lineRule="auto"/>
        <w:rPr>
          <w:sz w:val="20"/>
          <w:szCs w:val="20"/>
          <w:color w:val="auto"/>
        </w:rPr>
      </w:pPr>
      <w:r>
        <w:rPr>
          <w:rFonts w:ascii="Arial" w:cs="Arial" w:eastAsia="Arial" w:hAnsi="Arial"/>
          <w:sz w:val="16"/>
          <w:szCs w:val="16"/>
          <w:color w:val="auto"/>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use as first- or second-line therapy.</w:t>
      </w:r>
    </w:p>
    <w:p>
      <w:pPr>
        <w:spacing w:after="0" w:line="16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b w:val="1"/>
          <w:bCs w:val="1"/>
          <w:i w:val="1"/>
          <w:iCs w:val="1"/>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175" w:lineRule="exact"/>
        <w:rPr>
          <w:sz w:val="20"/>
          <w:szCs w:val="20"/>
          <w:color w:val="auto"/>
        </w:rPr>
      </w:pPr>
    </w:p>
    <w:p>
      <w:pPr>
        <w:ind w:right="140" w:firstLine="433"/>
        <w:spacing w:after="0" w:line="249" w:lineRule="auto"/>
        <w:rPr>
          <w:sz w:val="20"/>
          <w:szCs w:val="20"/>
          <w:color w:val="auto"/>
        </w:rPr>
      </w:pPr>
      <w:r>
        <w:rPr>
          <w:rFonts w:ascii="Arial" w:cs="Arial" w:eastAsia="Arial" w:hAnsi="Arial"/>
          <w:sz w:val="16"/>
          <w:szCs w:val="16"/>
          <w:color w:val="auto"/>
        </w:rPr>
        <w:t>Any marketing approvals that we receive for any current or future product candidate may be subject to limitations on the approved indicated uses for which the product may be marketed or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
        <w:spacing w:after="0"/>
        <w:rPr>
          <w:sz w:val="20"/>
          <w:szCs w:val="20"/>
          <w:color w:val="auto"/>
        </w:rPr>
      </w:pPr>
      <w:r>
        <w:rPr>
          <w:rFonts w:ascii="Arial" w:cs="Arial" w:eastAsia="Arial" w:hAnsi="Arial"/>
          <w:sz w:val="16"/>
          <w:szCs w:val="16"/>
          <w:color w:val="auto"/>
        </w:rPr>
        <w:t>conditions of approval, or contain requirements for potentially costly post-market testing and surveillance to monitor the safety and efficacy of the product candidate. The FDA may also require a Risk Evaluation and Mitigation Strategy, or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If the FDA 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among others, prohibitions on the promotion of an approved product for uses not included in the product's approved labeling, submissions of safety and other post-marketing information and reports,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190" w:lineRule="exact"/>
        <w:rPr>
          <w:sz w:val="20"/>
          <w:szCs w:val="20"/>
          <w:color w:val="auto"/>
        </w:rPr>
      </w:pPr>
    </w:p>
    <w:p>
      <w:pPr>
        <w:ind w:left="980" w:hanging="493"/>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restrictions on the labeling, distribution, marketing or manufacturing of the product, withdrawal of the product from the market, or product recalls;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untitled and warning letters, or holds on clinical trials;</w:t>
      </w:r>
    </w:p>
    <w:p>
      <w:pPr>
        <w:spacing w:after="0" w:line="182" w:lineRule="exact"/>
        <w:rPr>
          <w:rFonts w:ascii="Arial" w:cs="Arial" w:eastAsia="Arial" w:hAnsi="Arial"/>
          <w:sz w:val="16"/>
          <w:szCs w:val="16"/>
          <w:color w:val="auto"/>
        </w:rPr>
      </w:pPr>
    </w:p>
    <w:p>
      <w:pPr>
        <w:ind w:left="980" w:right="620" w:hanging="493"/>
        <w:spacing w:after="0" w:line="249"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refusal by the FDA to approve pending applications or supplements to approved applications we filed or suspension or revocation of license approvals;</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requirements to conduct post-marketing studies or clinical trials;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restrictions on coverage by third-party payors;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suspension or withdrawal of marketing approvals;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the product; and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195" w:lineRule="exact"/>
        <w:rPr>
          <w:sz w:val="20"/>
          <w:szCs w:val="20"/>
          <w:color w:val="auto"/>
        </w:rPr>
      </w:pPr>
    </w:p>
    <w:p>
      <w:pPr>
        <w:ind w:firstLine="439"/>
        <w:spacing w:after="0" w:line="241"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1"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b w:val="1"/>
          <w:bCs w:val="1"/>
          <w:i w:val="1"/>
          <w:iCs w:val="1"/>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63" w:lineRule="exact"/>
        <w:rPr>
          <w:sz w:val="20"/>
          <w:szCs w:val="20"/>
          <w:color w:val="auto"/>
        </w:rPr>
      </w:pPr>
    </w:p>
    <w:p>
      <w:pPr>
        <w:ind w:right="200" w:firstLine="439"/>
        <w:spacing w:after="0" w:line="249" w:lineRule="auto"/>
        <w:rPr>
          <w:sz w:val="20"/>
          <w:szCs w:val="20"/>
          <w:color w:val="auto"/>
        </w:rPr>
      </w:pPr>
      <w:r>
        <w:rPr>
          <w:rFonts w:ascii="Arial" w:cs="Arial" w:eastAsia="Arial" w:hAnsi="Arial"/>
          <w:sz w:val="16"/>
          <w:szCs w:val="16"/>
          <w:color w:val="auto"/>
        </w:rPr>
        <w:t>The life sciences industry is highly competitive. We are currently developing therapeutics that will compete, if approved, with other products and therapies that currently exist, are being developed or will in the future be developed, some of which we may not currently be aware.</w:t>
      </w:r>
    </w:p>
    <w:p>
      <w:pPr>
        <w:spacing w:after="0" w:line="181" w:lineRule="exact"/>
        <w:rPr>
          <w:sz w:val="20"/>
          <w:szCs w:val="20"/>
          <w:color w:val="auto"/>
        </w:rPr>
      </w:pPr>
    </w:p>
    <w:p>
      <w:pPr>
        <w:ind w:right="420" w:firstLine="442"/>
        <w:spacing w:after="0" w:line="249" w:lineRule="auto"/>
        <w:rPr>
          <w:sz w:val="20"/>
          <w:szCs w:val="20"/>
          <w:color w:val="auto"/>
        </w:rPr>
      </w:pPr>
      <w:r>
        <w:rPr>
          <w:rFonts w:ascii="Arial" w:cs="Arial" w:eastAsia="Arial" w:hAnsi="Arial"/>
          <w:sz w:val="16"/>
          <w:szCs w:val="16"/>
          <w:color w:val="auto"/>
        </w:rPr>
        <w:t>We have competitors both in the United States and internationally, including major multinational pharmaceutical companies, established biotechnology companies, specialty pharmaceutical companies, universities and other research institutions. Many of our competitors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91" w:lineRule="exact"/>
        <w:rPr>
          <w:sz w:val="20"/>
          <w:szCs w:val="20"/>
          <w:color w:val="auto"/>
        </w:rPr>
      </w:pPr>
    </w:p>
    <w:p>
      <w:pPr>
        <w:ind w:right="40" w:firstLine="439"/>
        <w:spacing w:after="0" w:line="241" w:lineRule="auto"/>
        <w:rPr>
          <w:sz w:val="20"/>
          <w:szCs w:val="20"/>
          <w:color w:val="auto"/>
        </w:rPr>
      </w:pPr>
      <w:r>
        <w:rPr>
          <w:rFonts w:ascii="Arial" w:cs="Arial" w:eastAsia="Arial" w:hAnsi="Arial"/>
          <w:sz w:val="16"/>
          <w:szCs w:val="16"/>
          <w:color w:val="auto"/>
        </w:rPr>
        <w:t>There is a large number of companies developing or marketing treatments for cancer, including many major pharmaceutical and biotechnology companies. These treatments consist both of small molecule drug products, such as traditional chemotherapy, as well as novel immunotherapies. For example, a number of multinational companies as well as large biotechnology companies, including Astellas Pharma Inc., Seattle Genetics, Inc., AstraZeneca, and GlaxoSmithKline plc, are developing programs for the targets that we are exploring for our BTC programs. Furthermore, Agenus Inc., Bristol-Myers Squibb Company, Pfizer Inc., Roche Holding AG, or Roche, have or are developing programs for CD137, and Amgen Inc., Pieris Pharmaceuticals, Inc. and Roche are developing bi-specifics.</w:t>
      </w:r>
    </w:p>
    <w:p>
      <w:pPr>
        <w:spacing w:after="0" w:line="189"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EMA or other marketing approval for their products more rapidly than we may obtain approval for ours, which could result in our competitors establishing a strong market position before we are able to enter the market. Even if the product candidate we develop achieve marketing approval, they may be priced at a significant premium over competitive products if any have been approved by then, resulting in reduced competitiveness.</w:t>
      </w:r>
    </w:p>
    <w:p>
      <w:pPr>
        <w:spacing w:after="0" w:line="188"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Smaller and other early 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b w:val="1"/>
          <w:bCs w:val="1"/>
          <w:i w:val="1"/>
          <w:iCs w:val="1"/>
          <w:color w:val="auto"/>
        </w:rPr>
        <w:t>The commercial success of any current or future product candidate will depend upon the degree of market acceptance by physicians, patients, payors and others in the medical community.</w:t>
      </w:r>
    </w:p>
    <w:p>
      <w:pPr>
        <w:spacing w:after="0" w:line="163" w:lineRule="exact"/>
        <w:rPr>
          <w:sz w:val="20"/>
          <w:szCs w:val="20"/>
          <w:color w:val="auto"/>
        </w:rPr>
      </w:pPr>
    </w:p>
    <w:p>
      <w:pPr>
        <w:ind w:right="60" w:firstLine="442"/>
        <w:spacing w:after="0" w:line="242" w:lineRule="auto"/>
        <w:rPr>
          <w:sz w:val="20"/>
          <w:szCs w:val="20"/>
          <w:color w:val="auto"/>
        </w:rPr>
      </w:pPr>
      <w:r>
        <w:rPr>
          <w:rFonts w:ascii="Arial" w:cs="Arial" w:eastAsia="Arial" w:hAnsi="Arial"/>
          <w:sz w:val="16"/>
          <w:szCs w:val="16"/>
          <w:color w:val="auto"/>
        </w:rPr>
        <w:t xml:space="preserve">We have never commercialized a product, and even if we obtain any regulatory approval for our product candidates, the commercial success of our product candidates will depend in part on the medical community, patients, and payors accepting products based on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peptides in general, and our product candidates in particular, as effective, safe and cost-effective. Any product that we bring to the market may not gain market acceptance by physicians, patients, payors and others in the medical community. Physicians are often reluctant to switch their patients from existing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20"/>
        <w:spacing w:after="0" w:line="244" w:lineRule="auto"/>
        <w:rPr>
          <w:sz w:val="20"/>
          <w:szCs w:val="20"/>
          <w:color w:val="auto"/>
        </w:rPr>
      </w:pPr>
      <w:r>
        <w:rPr>
          <w:rFonts w:ascii="Arial" w:cs="Arial" w:eastAsia="Arial" w:hAnsi="Arial"/>
          <w:sz w:val="16"/>
          <w:szCs w:val="16"/>
          <w:color w:val="auto"/>
        </w:rPr>
        <w:t>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degree of market acceptance of these product candidates, if approved for commercial sale, will depend on a number of factors, including:</w:t>
      </w:r>
    </w:p>
    <w:p>
      <w:pPr>
        <w:spacing w:after="0" w:line="195" w:lineRule="exact"/>
        <w:rPr>
          <w:sz w:val="20"/>
          <w:szCs w:val="20"/>
          <w:color w:val="auto"/>
        </w:rPr>
      </w:pPr>
    </w:p>
    <w:p>
      <w:pPr>
        <w:ind w:left="980" w:hanging="493"/>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potential efficacy and potential advantages over alternative treatments;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frequency and severity of any side effects, including any limitations or warnings contained in a product's approved labeling;</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frequency and severity of any side effects resulting from follow-up requirements for the administration of our product candidates;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relative convenience and ease of administration;</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strength of marketing and distribution support and timing of market introduction of competitive products;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publicity concerning our products or competing products and treatments; and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sufficient third-party insurance coverage and adequate reimbursement.</w:t>
      </w:r>
    </w:p>
    <w:p>
      <w:pPr>
        <w:spacing w:after="0" w:line="195"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 xml:space="preserve">Even if a product candidate displays a favorable efficacy and safety profile in preclinical studies and clinical trials, market acceptance of the product, if approved for commercial sale, will not be known until after it is launched. Our efforts to educate the medical community and payors on the benefits of our product candidates may require significant resources and may never be successful. Such efforts to educate the marketplace may require more resources than are required by the conventional technologies marketed by our competitors, particularly due to the novelty of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approach. If these products do not achieve an adequate level of acceptance, we may not generate significant product revenue and may not become profitable.</w:t>
      </w:r>
    </w:p>
    <w:p>
      <w:pPr>
        <w:spacing w:after="0" w:line="171"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our product revenues may be adversely affected and our business may suffer.</w:t>
      </w:r>
    </w:p>
    <w:p>
      <w:pPr>
        <w:spacing w:after="0" w:line="163"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We currently focus our research and product development on treatments for oncology indications and our product candidates are designed to target specific tumor antigens.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Patient identification efforts also influence the ability to address a patient population. If efforts in patient identification are unsuccessful or less impactful than anticipated, we may not address the entirety of the opportunity we are seeking.</w:t>
      </w:r>
    </w:p>
    <w:p>
      <w:pPr>
        <w:spacing w:after="0" w:line="189" w:lineRule="exact"/>
        <w:rPr>
          <w:sz w:val="20"/>
          <w:szCs w:val="20"/>
          <w:color w:val="auto"/>
        </w:rPr>
      </w:pPr>
    </w:p>
    <w:p>
      <w:pPr>
        <w:ind w:right="160" w:firstLine="442"/>
        <w:spacing w:after="0" w:line="244" w:lineRule="auto"/>
        <w:rPr>
          <w:sz w:val="20"/>
          <w:szCs w:val="20"/>
          <w:color w:val="auto"/>
        </w:rPr>
      </w:pPr>
      <w:r>
        <w:rPr>
          <w:rFonts w:ascii="Arial" w:cs="Arial" w:eastAsia="Arial" w:hAnsi="Arial"/>
          <w:sz w:val="16"/>
          <w:szCs w:val="16"/>
          <w:color w:val="auto"/>
        </w:rPr>
        <w:t>In addition, the tumor antigens that our product candidates target may not be expressed as broadly as we anticipate. Further, if companion diagnostics are not developed alongside our product candidates, testing patients for the tumor antigens may not be possible, which would hamper our ability to identify patients who could benefit from treatment with our product candidates.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0" w:name="page41"/>
    <w:bookmarkEnd w:id="40"/>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2" w:right="120" w:firstLine="433"/>
        <w:spacing w:after="0" w:line="244" w:lineRule="auto"/>
        <w:rPr>
          <w:sz w:val="20"/>
          <w:szCs w:val="20"/>
          <w:color w:val="auto"/>
        </w:rPr>
      </w:pPr>
      <w:r>
        <w:rPr>
          <w:rFonts w:ascii="Arial" w:cs="Arial" w:eastAsia="Arial" w:hAnsi="Arial"/>
          <w:sz w:val="16"/>
          <w:szCs w:val="16"/>
          <w:color w:val="auto"/>
        </w:rPr>
        <w:t>As a result, the number of patients we are able to identify in the United States, the European Union and elsewhere may turn out to be lower than expected, may not be otherwise amenable to treatment with our products or patients may become increasingly difficult to access, all of which would adversely affect our business, financial condition, results of operations and prospects.</w:t>
      </w:r>
    </w:p>
    <w:p>
      <w:pPr>
        <w:spacing w:after="0" w:line="167" w:lineRule="exact"/>
        <w:rPr>
          <w:sz w:val="20"/>
          <w:szCs w:val="20"/>
          <w:color w:val="auto"/>
        </w:rPr>
      </w:pPr>
    </w:p>
    <w:p>
      <w:pPr>
        <w:jc w:val="both"/>
        <w:ind w:left="2" w:right="320"/>
        <w:spacing w:after="0" w:line="256"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175" w:lineRule="exact"/>
        <w:rPr>
          <w:sz w:val="20"/>
          <w:szCs w:val="20"/>
          <w:color w:val="auto"/>
        </w:rPr>
      </w:pPr>
    </w:p>
    <w:p>
      <w:pPr>
        <w:ind w:left="2" w:firstLine="442"/>
        <w:spacing w:after="0"/>
        <w:rPr>
          <w:sz w:val="20"/>
          <w:szCs w:val="20"/>
          <w:color w:val="auto"/>
        </w:rPr>
      </w:pPr>
      <w:r>
        <w:rPr>
          <w:rFonts w:ascii="Arial" w:cs="Arial" w:eastAsia="Arial" w:hAnsi="Arial"/>
          <w:sz w:val="16"/>
          <w:szCs w:val="16"/>
          <w:color w:val="auto"/>
        </w:rPr>
        <w:t>We expect the cost of our product candidates to be substantial, when and if they achieve market approval. 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private payors, such as private health coverage insurers, health maintenance, managed care, pharmacy benefit and similar healthcare management organizations, or reimbursed by government health care programs, such as Medicare and Medicaid. We may not be able to provide data sufficient to gain acceptance with respect to coverage and reimbursement. If reimbursement is not available, or is available only at limited levels, we may not be able to successfully commercialize our product candidates, even if approved. Even if coverage is provided, the approved reimbursement amount may not be high enough to allow us to establish or maintain pricing sufficient to realize a sufficient return on our investment.</w:t>
      </w:r>
    </w:p>
    <w:p>
      <w:pPr>
        <w:spacing w:after="0" w:line="191" w:lineRule="exact"/>
        <w:rPr>
          <w:sz w:val="20"/>
          <w:szCs w:val="20"/>
          <w:color w:val="auto"/>
        </w:rPr>
      </w:pPr>
    </w:p>
    <w:p>
      <w:pPr>
        <w:ind w:left="2" w:right="80" w:firstLine="439"/>
        <w:spacing w:after="0" w:line="255" w:lineRule="auto"/>
        <w:rPr>
          <w:sz w:val="20"/>
          <w:szCs w:val="20"/>
          <w:color w:val="auto"/>
        </w:rPr>
      </w:pPr>
      <w:r>
        <w:rPr>
          <w:rFonts w:ascii="Arial" w:cs="Arial" w:eastAsia="Arial" w:hAnsi="Arial"/>
          <w:sz w:val="15"/>
          <w:szCs w:val="15"/>
          <w:color w:val="auto"/>
        </w:rPr>
        <w:t>There is significant uncertainty related to the insurance coverage and reimbursement of newly approved products. In the United States, the principal decisions about coverage and reimbursement for new medicines are typically made by the Centers for Medicare &amp; Medicaid Services, or CMS, an agency within the U.S. Department of Health and Human Services, as the CMS decides whether and to what extent a new medicine will be covered and reimbursed under Medicare. Private payors tend to follow CMS to a substantial degree. It is difficult to predict what CMS will decide with respect to coverage and reimbursement for novel products such as ours, as there is no body of established practices and precedents for these new products. Coverage and reimbursement by a third-party payor may depend upon a number of factors, including the third-party payor's determination that use of a product is: (1) a covered benefit under its health plan;</w:t>
      </w:r>
    </w:p>
    <w:p>
      <w:pPr>
        <w:spacing w:after="0" w:line="1" w:lineRule="exact"/>
        <w:rPr>
          <w:sz w:val="20"/>
          <w:szCs w:val="20"/>
          <w:color w:val="auto"/>
        </w:rPr>
      </w:pPr>
    </w:p>
    <w:p>
      <w:pPr>
        <w:ind w:left="2" w:right="20" w:hanging="2"/>
        <w:spacing w:after="0"/>
        <w:tabs>
          <w:tab w:leader="none" w:pos="241"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safe, effective and medically necessary; (3) appropriate for the specific patient; (4) cost-effective; and (5) neither experimental nor investigational. In the United States, no uniform policy of coverage and reimbursement for products exists among third-party payors.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Even if we obtain coverage for a given product, the resulting reimbursement payment rates might not be adequate for us to achieve or sustain profitability or may require co-payments that patients find unacceptably high. Third-party payors may limit coverage to specific drug products on an approved list, also known as a formulary, which might not include all of the approved drugs for a particular indication.</w:t>
      </w:r>
    </w:p>
    <w:p>
      <w:pPr>
        <w:spacing w:after="0" w:line="192" w:lineRule="exact"/>
        <w:rPr>
          <w:sz w:val="20"/>
          <w:szCs w:val="20"/>
          <w:color w:val="auto"/>
        </w:rPr>
      </w:pPr>
    </w:p>
    <w:p>
      <w:pPr>
        <w:ind w:left="2" w:right="80" w:firstLine="433"/>
        <w:spacing w:after="0" w:line="241" w:lineRule="auto"/>
        <w:rPr>
          <w:sz w:val="20"/>
          <w:szCs w:val="20"/>
          <w:color w:val="auto"/>
        </w:rPr>
      </w:pPr>
      <w:r>
        <w:rPr>
          <w:rFonts w:ascii="Arial" w:cs="Arial" w:eastAsia="Arial" w:hAnsi="Arial"/>
          <w:sz w:val="16"/>
          <w:szCs w:val="16"/>
          <w:color w:val="auto"/>
        </w:rPr>
        <w:t>Additionally, third-party payors may not cover, or provide adequate reimbursement for, long-term follow-up evaluations required following the use of product candidates. Patients are unlikely to use our product candidates unless coverage is provided and reimbursement is adequate to cover a significant portion of the cost of our product candidates. Because our product candidates may have a higher cost of goods than conventional therapies, and may require long-term follow-up evaluations, the risk that coverage and reimbursement rates may be inadequate for us to achieve profitability may be greater. There is significant uncertainty related to insurance</w:t>
      </w:r>
    </w:p>
    <w:p>
      <w:pPr>
        <w:spacing w:after="0" w:line="18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142"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coverage and reimbursement of newly approved products. It is difficult to predict at this time what third-party payors will decide with respect to the coverage and reimbursement for our product candidates.</w:t>
      </w:r>
    </w:p>
    <w:p>
      <w:pPr>
        <w:spacing w:after="0" w:line="181" w:lineRule="exact"/>
        <w:rPr>
          <w:sz w:val="20"/>
          <w:szCs w:val="20"/>
          <w:color w:val="auto"/>
        </w:rPr>
      </w:pPr>
    </w:p>
    <w:p>
      <w:pPr>
        <w:ind w:right="40" w:firstLine="442"/>
        <w:spacing w:after="0"/>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to experience pricing pressures in connection with the sale of any of our product candidates due to the trend toward managed healthcare, the increasing influence of health maintenance organizations, cost containment initiatives and additional legislative changes.</w:t>
      </w:r>
    </w:p>
    <w:p>
      <w:pPr>
        <w:spacing w:after="0" w:line="191"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Outside the United States, certain countries, including a number of member states of the European Union, set prices and reimbursement for pharmaceutical products, or medicinal products, as they are commonly referred to in the European Union. These countries have broad discretion in setting prices and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lawfully marketed. In many countries, the pricing review period begins after marketing or product licensing approval is granted. To obtain reimbursement or pricing approval in some countries, we, or any collaborators, may be required to conduct a clinical trial that compares the cost-effectiveness of our product to other available therapies.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89" w:lineRule="exact"/>
        <w:rPr>
          <w:sz w:val="20"/>
          <w:szCs w:val="20"/>
          <w:color w:val="auto"/>
        </w:rPr>
      </w:pPr>
    </w:p>
    <w:p>
      <w:pPr>
        <w:ind w:right="60" w:firstLine="442"/>
        <w:spacing w:after="0"/>
        <w:rPr>
          <w:sz w:val="20"/>
          <w:szCs w:val="20"/>
          <w:color w:val="auto"/>
        </w:rPr>
      </w:pPr>
      <w:r>
        <w:rPr>
          <w:rFonts w:ascii="Arial" w:cs="Arial" w:eastAsia="Arial" w:hAnsi="Arial"/>
          <w:sz w:val="16"/>
          <w:szCs w:val="16"/>
          <w:color w:val="auto"/>
        </w:rPr>
        <w:t>Moreover, efforts by governments and payors, in the United States and abroad, to cap or reduce healthcare costs may cause such organizations to limit both coverage and level of reimbursement for new products approved and, as a result, they may not cover or provide adequate reimbursement for our product candidates. There has been increasing legislative and enforcement interest in the United States with respect to specialty drug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other treatments, has become very intense. As a result, increasingly high barriers are being erected to the entry of new products.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reimbursement of our products is unavailable or limited in scope or amount, or if pricing is set at unsatisfactory levels, our business could be harmed.</w:t>
      </w:r>
    </w:p>
    <w:p>
      <w:pPr>
        <w:spacing w:after="0" w:line="177" w:lineRule="exact"/>
        <w:rPr>
          <w:sz w:val="20"/>
          <w:szCs w:val="20"/>
          <w:color w:val="auto"/>
        </w:rPr>
      </w:pPr>
    </w:p>
    <w:p>
      <w:pPr>
        <w:jc w:val="both"/>
        <w:ind w:right="80"/>
        <w:spacing w:after="0" w:line="256" w:lineRule="auto"/>
        <w:rPr>
          <w:sz w:val="20"/>
          <w:szCs w:val="20"/>
          <w:color w:val="auto"/>
        </w:rPr>
      </w:pPr>
      <w:r>
        <w:rPr>
          <w:rFonts w:ascii="Arial" w:cs="Arial" w:eastAsia="Arial" w:hAnsi="Arial"/>
          <w:sz w:val="16"/>
          <w:szCs w:val="16"/>
          <w:b w:val="1"/>
          <w:bCs w:val="1"/>
          <w:i w:val="1"/>
          <w:iCs w:val="1"/>
          <w:color w:val="auto"/>
        </w:rPr>
        <w:t>If the FDA or comparable foreign regulatory authorities approve generic versions of any of our product candidates that receive marketing approval, or such authorities do not grant such products appropriate periods of data exclusivity before approving generic versions of such products, the sales of such products could be adversely affected.</w:t>
      </w:r>
    </w:p>
    <w:p>
      <w:pPr>
        <w:spacing w:after="0" w:line="17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Once a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generally must show that its product has the same active ingredient(s), dosage form, strength, route of administration and conditions of use or labeling as the reference-listed drug and that the generic version is bioequivalent to the reference-listed drug, meaning, in part, that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 and the price of the branded product may be lowered.</w:t>
      </w:r>
    </w:p>
    <w:p>
      <w:pPr>
        <w:spacing w:after="0" w:line="191" w:lineRule="exact"/>
        <w:rPr>
          <w:sz w:val="20"/>
          <w:szCs w:val="20"/>
          <w:color w:val="auto"/>
        </w:rPr>
      </w:pPr>
    </w:p>
    <w:p>
      <w:pPr>
        <w:ind w:right="20" w:firstLine="439"/>
        <w:spacing w:after="0"/>
        <w:rPr>
          <w:sz w:val="20"/>
          <w:szCs w:val="20"/>
          <w:color w:val="auto"/>
        </w:rPr>
      </w:pPr>
      <w:r>
        <w:rPr>
          <w:rFonts w:ascii="Arial" w:cs="Arial" w:eastAsia="Arial" w:hAnsi="Arial"/>
          <w:sz w:val="16"/>
          <w:szCs w:val="16"/>
          <w:color w:val="auto"/>
        </w:rPr>
        <w:t>The FDA may not accept for review or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Three year exclusivity is given to a non-NCE drug if the NDA includes reports of one or more new clinical investigations, other than bioavailability or bioequivalence studies, that were conducted by or for the applicant and are essential to the approval of the NDA. Manufacturers may seek to launch these generic products following the expiration of the applicable marketing exclusivity period, even if we still have patent protection for our product.</w:t>
      </w:r>
    </w:p>
    <w:p>
      <w:pPr>
        <w:spacing w:after="0" w:line="189" w:lineRule="exact"/>
        <w:rPr>
          <w:sz w:val="20"/>
          <w:szCs w:val="20"/>
          <w:color w:val="auto"/>
        </w:rPr>
      </w:pPr>
    </w:p>
    <w:p>
      <w:pPr>
        <w:ind w:right="220" w:firstLine="442"/>
        <w:spacing w:after="0" w:line="249" w:lineRule="auto"/>
        <w:rPr>
          <w:sz w:val="20"/>
          <w:szCs w:val="20"/>
          <w:color w:val="auto"/>
        </w:rPr>
      </w:pPr>
      <w:r>
        <w:rPr>
          <w:rFonts w:ascii="Arial" w:cs="Arial" w:eastAsia="Arial" w:hAnsi="Arial"/>
          <w:sz w:val="16"/>
          <w:szCs w:val="16"/>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163" w:lineRule="exact"/>
        <w:rPr>
          <w:sz w:val="20"/>
          <w:szCs w:val="20"/>
          <w:color w:val="auto"/>
        </w:rPr>
      </w:pPr>
    </w:p>
    <w:p>
      <w:pPr>
        <w:jc w:val="both"/>
        <w:ind w:right="580"/>
        <w:spacing w:after="0" w:line="256" w:lineRule="auto"/>
        <w:rPr>
          <w:sz w:val="20"/>
          <w:szCs w:val="20"/>
          <w:color w:val="auto"/>
        </w:rPr>
      </w:pPr>
      <w:r>
        <w:rPr>
          <w:rFonts w:ascii="Arial" w:cs="Arial" w:eastAsia="Arial" w:hAnsi="Arial"/>
          <w:sz w:val="16"/>
          <w:szCs w:val="16"/>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175" w:lineRule="exact"/>
        <w:rPr>
          <w:sz w:val="20"/>
          <w:szCs w:val="20"/>
          <w:color w:val="auto"/>
        </w:rPr>
      </w:pPr>
    </w:p>
    <w:p>
      <w:pPr>
        <w:ind w:right="140" w:firstLine="442"/>
        <w:spacing w:after="0" w:line="249" w:lineRule="auto"/>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color w:val="auto"/>
        </w:rPr>
        <w:t>regulations, including, without limitation, the federal Health Care Program Anti-Kickback Statute, or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187" w:lineRule="exact"/>
        <w:rPr>
          <w:sz w:val="20"/>
          <w:szCs w:val="20"/>
          <w:color w:val="auto"/>
        </w:rPr>
      </w:pPr>
    </w:p>
    <w:p>
      <w:pPr>
        <w:ind w:left="980" w:hanging="493"/>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healthcare program, such as the Medicare and Medicaid programs. "Remuneration" has been interpreted broadly to include anything of value. A person or entity does not need to have actual knowledge of the Anti-Kickback Statute or specific intent to violate it to have committed a violation. In addition, the government may assert that a claim including items or services resulting from a violation of the Anti-Kickback Statute constitutes a false or fraudulent claim for purposes of the federal False Claims Act, or FCA, or federal civil money penalties.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89" w:lineRule="exact"/>
        <w:rPr>
          <w:rFonts w:ascii="Arial" w:cs="Arial" w:eastAsia="Arial" w:hAnsi="Arial"/>
          <w:sz w:val="16"/>
          <w:szCs w:val="16"/>
          <w:color w:val="auto"/>
        </w:rPr>
      </w:pPr>
    </w:p>
    <w:p>
      <w:pPr>
        <w:ind w:left="980" w:right="60" w:hanging="493"/>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penalty laws, including the FCA, which impose criminal and civil penalties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179" w:lineRule="exact"/>
        <w:rPr>
          <w:rFonts w:ascii="Arial" w:cs="Arial" w:eastAsia="Arial" w:hAnsi="Arial"/>
          <w:sz w:val="16"/>
          <w:szCs w:val="16"/>
          <w:color w:val="auto"/>
        </w:rPr>
      </w:pPr>
    </w:p>
    <w:p>
      <w:pPr>
        <w:ind w:left="980" w:right="160" w:hanging="493"/>
        <w:spacing w:after="0" w:line="2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beneficiary inducement provisions of the CMP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74" w:lineRule="exact"/>
        <w:rPr>
          <w:rFonts w:ascii="Arial" w:cs="Arial" w:eastAsia="Arial" w:hAnsi="Arial"/>
          <w:sz w:val="16"/>
          <w:szCs w:val="16"/>
          <w:color w:val="auto"/>
        </w:rPr>
      </w:pPr>
    </w:p>
    <w:p>
      <w:pPr>
        <w:ind w:left="980" w:hanging="493"/>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Anti-Kickback Statute, a person or entity does not need to have actual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knowledge of the statute or specific intent to violate it in order to have committed a violation;</w:t>
      </w:r>
    </w:p>
    <w:p>
      <w:pPr>
        <w:spacing w:after="0" w:line="195" w:lineRule="exact"/>
        <w:rPr>
          <w:sz w:val="20"/>
          <w:szCs w:val="20"/>
          <w:color w:val="auto"/>
        </w:rPr>
      </w:pPr>
    </w:p>
    <w:p>
      <w:pPr>
        <w:ind w:left="980" w:hanging="493"/>
        <w:spacing w:after="0" w:line="24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healthcare providers, health plans, and healthcare clearinghouses, known as covered entities, as well as their respective business associates, individuals and entities that perform services on their behalf that involve the use or disclosure of individually identifiable health information, relating to the privacy, security and transmission of individually identifiable health information;</w:t>
      </w:r>
    </w:p>
    <w:p>
      <w:pPr>
        <w:spacing w:after="0" w:line="187" w:lineRule="exact"/>
        <w:rPr>
          <w:rFonts w:ascii="Arial" w:cs="Arial" w:eastAsia="Arial" w:hAnsi="Arial"/>
          <w:sz w:val="16"/>
          <w:szCs w:val="16"/>
          <w:color w:val="auto"/>
        </w:rPr>
      </w:pPr>
    </w:p>
    <w:p>
      <w:pPr>
        <w:ind w:left="980" w:right="40" w:hanging="493"/>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U.S. federal transparency requirements under the Patient Protection and Affordable Care Act, as amended by the Health Care and Education Reconciliation Act, or collectively, ACA, including the provision commonly referred to as the Physician Payments Sunshine Act, which requires applicable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78" w:lineRule="exact"/>
        <w:rPr>
          <w:rFonts w:ascii="Arial" w:cs="Arial" w:eastAsia="Arial" w:hAnsi="Arial"/>
          <w:sz w:val="16"/>
          <w:szCs w:val="16"/>
          <w:color w:val="auto"/>
        </w:rPr>
      </w:pPr>
    </w:p>
    <w:p>
      <w:pPr>
        <w:ind w:left="980" w:right="480" w:hanging="493"/>
        <w:spacing w:after="0" w:line="249"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federal government price reporting laws, which require us to calculate and report complex pricing metrics in an accurate and timely manner to government programs; and</w:t>
      </w:r>
    </w:p>
    <w:p>
      <w:pPr>
        <w:spacing w:after="0" w:line="168" w:lineRule="exact"/>
        <w:rPr>
          <w:rFonts w:ascii="Arial" w:cs="Arial" w:eastAsia="Arial" w:hAnsi="Arial"/>
          <w:sz w:val="16"/>
          <w:szCs w:val="16"/>
          <w:color w:val="auto"/>
        </w:rPr>
      </w:pPr>
    </w:p>
    <w:p>
      <w:pPr>
        <w:ind w:left="980" w:right="780" w:hanging="493"/>
        <w:spacing w:after="0" w:line="249"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181" w:lineRule="exact"/>
        <w:rPr>
          <w:sz w:val="20"/>
          <w:szCs w:val="20"/>
          <w:color w:val="auto"/>
        </w:rPr>
      </w:pPr>
    </w:p>
    <w:p>
      <w:pPr>
        <w:ind w:firstLine="433"/>
        <w:spacing w:after="0"/>
        <w:rPr>
          <w:sz w:val="20"/>
          <w:szCs w:val="20"/>
          <w:color w:val="auto"/>
        </w:rPr>
      </w:pPr>
      <w:r>
        <w:rPr>
          <w:rFonts w:ascii="Arial" w:cs="Arial" w:eastAsia="Arial" w:hAnsi="Arial"/>
          <w:sz w:val="16"/>
          <w:szCs w:val="16"/>
          <w:color w:val="auto"/>
        </w:rPr>
        <w:t>Additionally, we are subject to state and foreign equivalents of each of the healthcare laws and regulations described above, among others, some of which may be broader in scope and may apply regardless of the payer. Many U.S. states have adopted laws similar to the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90"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our business activities could be subject to challenge under one or more of such laws.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spacing w:after="0"/>
        <w:rPr>
          <w:sz w:val="20"/>
          <w:szCs w:val="20"/>
          <w:color w:val="auto"/>
        </w:rPr>
      </w:pPr>
      <w:r>
        <w:rPr>
          <w:rFonts w:ascii="Arial" w:cs="Arial" w:eastAsia="Arial" w:hAnsi="Arial"/>
          <w:sz w:val="16"/>
          <w:szCs w:val="16"/>
          <w:color w:val="auto"/>
        </w:rPr>
        <w:t>involve substantial costs. If our operations, including our arrangements with physicians and other healthcare providers, some of whom receive stock options as compensation for services provided,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additional reporting requirements and/or oversight if we become subject to a corporate integrity agreement or similar agreement to resolve allegations of non-compliance with these laws, and individual imprisonment, any of which could adversely affect our ability to operate our business and our financial results.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72"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i w:val="1"/>
          <w:iCs w:val="1"/>
          <w:color w:val="auto"/>
        </w:rPr>
        <w:t>Healthcare legislative reform measures and constraints on national budget social security systems may have a material adverse effect on our business and results of operations.</w:t>
      </w:r>
    </w:p>
    <w:p>
      <w:pPr>
        <w:spacing w:after="0" w:line="163" w:lineRule="exact"/>
        <w:rPr>
          <w:sz w:val="20"/>
          <w:szCs w:val="20"/>
          <w:color w:val="auto"/>
        </w:rPr>
      </w:pPr>
    </w:p>
    <w:p>
      <w:pPr>
        <w:ind w:right="40" w:firstLine="442"/>
        <w:spacing w:after="0"/>
        <w:rPr>
          <w:sz w:val="20"/>
          <w:szCs w:val="20"/>
          <w:color w:val="auto"/>
        </w:rPr>
      </w:pPr>
      <w:r>
        <w:rPr>
          <w:rFonts w:ascii="Arial" w:cs="Arial" w:eastAsia="Arial" w:hAnsi="Arial"/>
          <w:sz w:val="16"/>
          <w:szCs w:val="16"/>
          <w:color w:val="auto"/>
        </w:rPr>
        <w:t>Payors, whether domestic or foreign, or governmental or private, are developing increasingly sophisticated methods of controlling healthcare costs and those methods are not always specifically adapted for new technologies such as those we are developing. In both the United States and certain foreign jurisdictions, there have been a number of legislative and regulatory changes to the health care system that could impact our ability to sell our products profitably. In particular, in the United States, the ACA was enacted in 2010 which,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and provides incentives to programs that increase the federal government's comparative effectiveness research.</w:t>
      </w:r>
    </w:p>
    <w:p>
      <w:pPr>
        <w:spacing w:after="0" w:line="190" w:lineRule="exact"/>
        <w:rPr>
          <w:sz w:val="20"/>
          <w:szCs w:val="20"/>
          <w:color w:val="auto"/>
        </w:rPr>
      </w:pPr>
    </w:p>
    <w:p>
      <w:pPr>
        <w:ind w:right="120" w:firstLine="442"/>
        <w:spacing w:after="0" w:line="241"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as well as recent efforts by the current administration to repeal or replace certain aspects of the ACA. Further, since January 2017, President Trump has signed two Executive Orders and other directives designed to delay the implementation of certain provision of the ACA or otherwise circumvent some of the requirements for health insurance mandated by the ACA. In addition, CMS recently issued a final rule that will give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88"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Concurrently, Congress has considered legislation that would repeal and replace all or part of the ACA. While Congress has not passed comprehensive repeal legislation, two bills affecting the implementation of certain taxes under the ACA have been signed into law. 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
        <w:spacing w:after="0"/>
        <w:rPr>
          <w:sz w:val="20"/>
          <w:szCs w:val="20"/>
          <w:color w:val="auto"/>
        </w:rPr>
      </w:pPr>
      <w:r>
        <w:rPr>
          <w:rFonts w:ascii="Arial" w:cs="Arial" w:eastAsia="Arial" w:hAnsi="Arial"/>
          <w:sz w:val="16"/>
          <w:szCs w:val="16"/>
          <w:color w:val="auto"/>
        </w:rPr>
        <w:t>annual fee imposed on certain high cost employer-sponsored insurance plans, the annual fee imposed on certain health insurance providers based on market share, and the medical device exercise tax on non-exempt medical devices. Further, the Bipartisan Budget Act of 2018, or BBA,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More recently,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Congress also could consider additional legislation to repeal or replace other elements of the ACA. Thus, the full impact of the ACA, any law repealing or replacing elements of it, and the political uncertainty surrounding any repeal or replacement legislation on our business remains unclear.</w:t>
      </w:r>
    </w:p>
    <w:p>
      <w:pPr>
        <w:spacing w:after="0" w:line="191"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$1.5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due to subsequent legislative amendments, including the BBA,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91" w:lineRule="exact"/>
        <w:rPr>
          <w:sz w:val="20"/>
          <w:szCs w:val="20"/>
          <w:color w:val="auto"/>
        </w:rPr>
      </w:pPr>
    </w:p>
    <w:p>
      <w:pPr>
        <w:ind w:right="60" w:firstLine="433"/>
        <w:spacing w:after="0"/>
        <w:rPr>
          <w:sz w:val="20"/>
          <w:szCs w:val="20"/>
          <w:color w:val="auto"/>
        </w:rPr>
      </w:pPr>
      <w:r>
        <w:rPr>
          <w:rFonts w:ascii="Arial" w:cs="Arial" w:eastAsia="Arial" w:hAnsi="Arial"/>
          <w:sz w:val="16"/>
          <w:szCs w:val="16"/>
          <w:color w:val="auto"/>
        </w:rPr>
        <w:t>Also,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current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November 2018, CMS issued a proposed rule for comment that would, among other things, provide Medicare prescription drug plans under Part D more transparency in pricing and greater flexibility to negotiate discounts for, and in certain circumstances exclude, drugs in the six "protected" formulary classes and allow Medicare Advantage plans to use certain drug management tools such as step therapy for physician-administered drugs.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w:t>
      </w:r>
    </w:p>
    <w:p>
      <w:pPr>
        <w:spacing w:after="0" w:line="189" w:lineRule="exact"/>
        <w:rPr>
          <w:sz w:val="20"/>
          <w:szCs w:val="20"/>
          <w:color w:val="auto"/>
        </w:rPr>
      </w:pPr>
    </w:p>
    <w:p>
      <w:pPr>
        <w:ind w:right="40" w:firstLine="433"/>
        <w:spacing w:after="0" w:line="242" w:lineRule="auto"/>
        <w:rPr>
          <w:sz w:val="20"/>
          <w:szCs w:val="20"/>
          <w:color w:val="auto"/>
        </w:rPr>
      </w:pPr>
      <w:r>
        <w:rPr>
          <w:rFonts w:ascii="Arial" w:cs="Arial" w:eastAsia="Arial" w:hAnsi="Arial"/>
          <w:sz w:val="16"/>
          <w:szCs w:val="16"/>
          <w:color w:val="auto"/>
        </w:rPr>
        <w:t>Additionally,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There is no obligation for a drug manufacturer to make its drug products available to eligible patients as a result of the Right to Try Act.</w:t>
      </w:r>
    </w:p>
    <w:p>
      <w:pPr>
        <w:spacing w:after="0" w:line="195" w:lineRule="exact"/>
        <w:rPr>
          <w:sz w:val="20"/>
          <w:szCs w:val="20"/>
          <w:color w:val="auto"/>
        </w:rPr>
      </w:pPr>
    </w:p>
    <w:p>
      <w:pPr>
        <w:ind w:right="400" w:firstLine="439"/>
        <w:spacing w:after="0" w:line="244"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these governments and other payors to contain or reduce costs of healthcare and/or impose price controls may adversely affect:</w:t>
      </w:r>
    </w:p>
    <w:p>
      <w:pPr>
        <w:spacing w:after="0" w:line="185" w:lineRule="exact"/>
        <w:rPr>
          <w:sz w:val="20"/>
          <w:szCs w:val="20"/>
          <w:color w:val="auto"/>
        </w:rPr>
      </w:pPr>
    </w:p>
    <w:p>
      <w:pPr>
        <w:ind w:left="980" w:hanging="493"/>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demand for our product candidates, if we obtain regulatory approval;</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set a price that we believe is fair for our products;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generate revenue and achieve or maintain profitability;</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level of taxes that we are required to pay; and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availability of capital.</w:t>
      </w:r>
    </w:p>
    <w:p>
      <w:pPr>
        <w:spacing w:after="0" w:line="195" w:lineRule="exact"/>
        <w:rPr>
          <w:sz w:val="20"/>
          <w:szCs w:val="20"/>
          <w:color w:val="auto"/>
        </w:rPr>
      </w:pPr>
    </w:p>
    <w:p>
      <w:pPr>
        <w:ind w:right="120" w:firstLine="433"/>
        <w:spacing w:after="0" w:line="249" w:lineRule="auto"/>
        <w:rPr>
          <w:sz w:val="20"/>
          <w:szCs w:val="20"/>
          <w:color w:val="auto"/>
        </w:rPr>
      </w:pPr>
      <w:r>
        <w:rPr>
          <w:rFonts w:ascii="Arial" w:cs="Arial" w:eastAsia="Arial" w:hAnsi="Arial"/>
          <w:sz w:val="16"/>
          <w:szCs w:val="16"/>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163"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b w:val="1"/>
          <w:bCs w:val="1"/>
          <w:i w:val="1"/>
          <w:iCs w:val="1"/>
          <w:color w:val="auto"/>
        </w:rPr>
        <w:t>We are subject to the U.K. Bribery Act 2010, or the Bribery Act, the U.S. Foreign Corrupt Practices Act of 1977, as amended, or the FCPA, and other anti-corruption laws, as well as export control laws, import and customs laws, trade and economic sanctions laws and other laws governing our operations.</w:t>
      </w:r>
    </w:p>
    <w:p>
      <w:pPr>
        <w:spacing w:after="0" w:line="17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190"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w:t>
      </w:r>
    </w:p>
    <w:p>
      <w:pPr>
        <w:spacing w:after="0" w:line="187" w:lineRule="exact"/>
        <w:rPr>
          <w:sz w:val="20"/>
          <w:szCs w:val="20"/>
          <w:color w:val="auto"/>
        </w:rPr>
      </w:pPr>
    </w:p>
    <w:p>
      <w:pPr>
        <w:ind w:right="20" w:firstLine="439"/>
        <w:spacing w:after="0" w:line="268" w:lineRule="auto"/>
        <w:rPr>
          <w:sz w:val="20"/>
          <w:szCs w:val="20"/>
          <w:color w:val="auto"/>
        </w:rPr>
      </w:pPr>
      <w:r>
        <w:rPr>
          <w:rFonts w:ascii="Arial" w:cs="Arial" w:eastAsia="Arial" w:hAnsi="Arial"/>
          <w:sz w:val="15"/>
          <w:szCs w:val="15"/>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167" w:lineRule="exact"/>
        <w:rPr>
          <w:sz w:val="20"/>
          <w:szCs w:val="20"/>
          <w:color w:val="auto"/>
        </w:rPr>
      </w:pPr>
    </w:p>
    <w:p>
      <w:pPr>
        <w:jc w:val="both"/>
        <w:ind w:right="200"/>
        <w:spacing w:after="0" w:line="256" w:lineRule="auto"/>
        <w:rPr>
          <w:sz w:val="20"/>
          <w:szCs w:val="20"/>
          <w:color w:val="auto"/>
        </w:rPr>
      </w:pPr>
      <w:r>
        <w:rPr>
          <w:rFonts w:ascii="Arial" w:cs="Arial" w:eastAsia="Arial" w:hAnsi="Arial"/>
          <w:sz w:val="16"/>
          <w:szCs w:val="16"/>
          <w:b w:val="1"/>
          <w:bCs w:val="1"/>
          <w:i w:val="1"/>
          <w:iCs w:val="1"/>
          <w:color w:val="auto"/>
        </w:rPr>
        <w:t>Our activities in the United States subject us to various laws relating to foreign investment and the export of certain technologies, and our failure to comply with these laws or adequately monitor the compliance of our suppliers and others we do business with could subject us to substantial fines, penalties and even injunctions, the imposition of which on us could have a material adverse effect on the success of our business.</w:t>
      </w:r>
    </w:p>
    <w:p>
      <w:pPr>
        <w:spacing w:after="0" w:line="175"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Because we have a U.S. subsidiary and substantial operations in the United States, we are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rulemakings to impose new export control restrictions on "emerging and foundational technologies" yet to be fully identified. Application of these laws, including as they are implemented through regulations being developed, may negatively impact our business in various ways, including by restricting our access to capital and markets; limiting the collaborations we may pursue; regulating the export our products, services, and technology from the United States and abroad; increasing our costs and the time necessary to obtain required authorizations and to ensure compliance; and threatening monetary fines and other penalties if we do not.</w:t>
      </w:r>
    </w:p>
    <w:p>
      <w:pPr>
        <w:spacing w:after="0" w:line="17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3" w:lineRule="exact"/>
        <w:rPr>
          <w:sz w:val="20"/>
          <w:szCs w:val="20"/>
          <w:color w:val="auto"/>
        </w:rPr>
      </w:pPr>
    </w:p>
    <w:p>
      <w:pPr>
        <w:ind w:right="60" w:firstLine="442"/>
        <w:spacing w:after="0" w:line="258"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ind w:firstLine="433"/>
        <w:spacing w:after="0" w:line="24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regulations also may result in substantial fines, penalties or other sanctions or liabilities, which could materially adversely affect our business, financial condition, results of operations and prospects.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Risks Related to Our International Operations</w:t>
      </w:r>
    </w:p>
    <w:p>
      <w:pPr>
        <w:spacing w:after="0" w:line="197" w:lineRule="exact"/>
        <w:rPr>
          <w:sz w:val="20"/>
          <w:szCs w:val="20"/>
          <w:color w:val="auto"/>
        </w:rPr>
      </w:pPr>
    </w:p>
    <w:p>
      <w:pPr>
        <w:ind w:right="480"/>
        <w:spacing w:after="0" w:line="272" w:lineRule="auto"/>
        <w:rPr>
          <w:sz w:val="20"/>
          <w:szCs w:val="20"/>
          <w:color w:val="auto"/>
        </w:rPr>
      </w:pPr>
      <w:r>
        <w:rPr>
          <w:rFonts w:ascii="Arial" w:cs="Arial" w:eastAsia="Arial" w:hAnsi="Arial"/>
          <w:sz w:val="16"/>
          <w:szCs w:val="16"/>
          <w:b w:val="1"/>
          <w:bCs w:val="1"/>
          <w:i w:val="1"/>
          <w:iCs w:val="1"/>
          <w:color w:val="auto"/>
        </w:rPr>
        <w:t>As a company based outside of the United States, we are subject to economic, political, regulatory and other risks associated with international operations.</w:t>
      </w:r>
    </w:p>
    <w:p>
      <w:pPr>
        <w:spacing w:after="0" w:line="163" w:lineRule="exact"/>
        <w:rPr>
          <w:sz w:val="20"/>
          <w:szCs w:val="20"/>
          <w:color w:val="auto"/>
        </w:rPr>
      </w:pPr>
    </w:p>
    <w:p>
      <w:pPr>
        <w:ind w:right="40" w:firstLine="433"/>
        <w:spacing w:after="0" w:line="282" w:lineRule="auto"/>
        <w:rPr>
          <w:sz w:val="20"/>
          <w:szCs w:val="20"/>
          <w:color w:val="auto"/>
        </w:rPr>
      </w:pPr>
      <w:r>
        <w:rPr>
          <w:rFonts w:ascii="Arial" w:cs="Arial" w:eastAsia="Arial" w:hAnsi="Arial"/>
          <w:sz w:val="15"/>
          <w:szCs w:val="15"/>
          <w:color w:val="auto"/>
        </w:rPr>
        <w:t>As a company based in the United Kingdom, our business is subject to risks associated with conducting business outside of the United States. Many of our suppliers and clinical trial relationships are located outside the United States. Accordingly, our future results could be harmed by a variety of factors, including:</w:t>
      </w:r>
    </w:p>
    <w:p>
      <w:pPr>
        <w:spacing w:after="0" w:line="157" w:lineRule="exact"/>
        <w:rPr>
          <w:sz w:val="20"/>
          <w:szCs w:val="20"/>
          <w:color w:val="auto"/>
        </w:rPr>
      </w:pPr>
    </w:p>
    <w:p>
      <w:pPr>
        <w:ind w:left="980" w:hanging="49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non-U.S. economies and markets;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differing and changing regulatory requirements for product approvals;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differing jurisdictions could present different issues for securing, maintaining or obtaining freedom to operate in such jurisdictions;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potentially reduced protection for intellectual property rights;</w:t>
      </w:r>
    </w:p>
    <w:p>
      <w:pPr>
        <w:spacing w:after="0" w:line="195" w:lineRule="exact"/>
        <w:rPr>
          <w:rFonts w:ascii="Arial" w:cs="Arial" w:eastAsia="Arial" w:hAnsi="Arial"/>
          <w:sz w:val="16"/>
          <w:szCs w:val="16"/>
          <w:color w:val="auto"/>
        </w:rPr>
      </w:pPr>
    </w:p>
    <w:p>
      <w:pPr>
        <w:ind w:left="980" w:right="220" w:hanging="493"/>
        <w:spacing w:after="0" w:line="249"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difficulties in compliance with different, complex and changing laws, regulations and court systems of multiple jurisdictions and compliance with a wide variety of foreign laws, treaties and regulations;</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non-U.S. regulations and customs, tariffs and trade barriers;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non-U.S. currency exchange rates of the pound sterling, U.S. dollar, euro and currency controls;</w:t>
      </w:r>
    </w:p>
    <w:p>
      <w:pPr>
        <w:spacing w:after="0" w:line="195" w:lineRule="exact"/>
        <w:rPr>
          <w:rFonts w:ascii="Arial" w:cs="Arial" w:eastAsia="Arial" w:hAnsi="Arial"/>
          <w:sz w:val="16"/>
          <w:szCs w:val="16"/>
          <w:color w:val="auto"/>
        </w:rPr>
      </w:pPr>
    </w:p>
    <w:p>
      <w:pPr>
        <w:ind w:left="980" w:hanging="493"/>
        <w:spacing w:after="0" w:line="249"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a specific country's or region's political or economic environment, including the implications of the recent decision of the United Kingdom to withdraw from the European Union;</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trade protection measures, import or export licensing requirements or other restrictive actions by governments;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differing reimbursement regimes and price controls in certain non-U.S. markets;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negative consequences from changes in tax laws;</w:t>
      </w:r>
    </w:p>
    <w:p>
      <w:pPr>
        <w:spacing w:after="0" w:line="182" w:lineRule="exact"/>
        <w:rPr>
          <w:rFonts w:ascii="Arial" w:cs="Arial" w:eastAsia="Arial" w:hAnsi="Arial"/>
          <w:sz w:val="16"/>
          <w:szCs w:val="16"/>
          <w:color w:val="auto"/>
        </w:rPr>
      </w:pPr>
    </w:p>
    <w:p>
      <w:pPr>
        <w:ind w:left="980" w:right="420" w:hanging="493"/>
        <w:spacing w:after="0" w:line="249"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 including, for example, the variable tax treatment in different jurisdictions of options granted under our share option schemes or equity incentive plans;</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95" w:lineRule="exact"/>
        <w:rPr>
          <w:rFonts w:ascii="Arial" w:cs="Arial" w:eastAsia="Arial" w:hAnsi="Arial"/>
          <w:sz w:val="16"/>
          <w:szCs w:val="16"/>
          <w:color w:val="auto"/>
        </w:rPr>
      </w:pPr>
    </w:p>
    <w:p>
      <w:pPr>
        <w:ind w:left="980" w:right="340" w:hanging="493"/>
        <w:spacing w:after="0" w:line="282" w:lineRule="auto"/>
        <w:tabs>
          <w:tab w:leader="none" w:pos="9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44" w:lineRule="exact"/>
        <w:rPr>
          <w:rFonts w:ascii="Arial" w:cs="Arial" w:eastAsia="Arial" w:hAnsi="Arial"/>
          <w:sz w:val="15"/>
          <w:szCs w:val="15"/>
          <w:color w:val="auto"/>
        </w:rPr>
      </w:pPr>
    </w:p>
    <w:p>
      <w:pPr>
        <w:ind w:left="980" w:hanging="49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difficulties associated with staffing and managing international operations, including differing labor relations;</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hanging="493"/>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95" w:lineRule="exact"/>
        <w:rPr>
          <w:rFonts w:ascii="Arial" w:cs="Arial" w:eastAsia="Arial" w:hAnsi="Arial"/>
          <w:sz w:val="16"/>
          <w:szCs w:val="16"/>
          <w:color w:val="auto"/>
        </w:rPr>
      </w:pPr>
    </w:p>
    <w:p>
      <w:pPr>
        <w:ind w:left="980" w:right="180" w:hanging="493"/>
        <w:spacing w:after="0" w:line="249"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earthquakes, typhoons, floods and fires.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use, processing, and cross-border transfer of personal information.</w:t>
      </w:r>
    </w:p>
    <w:p>
      <w:pPr>
        <w:spacing w:after="0" w:line="213" w:lineRule="exact"/>
        <w:rPr>
          <w:sz w:val="20"/>
          <w:szCs w:val="20"/>
          <w:color w:val="auto"/>
        </w:rPr>
      </w:pPr>
    </w:p>
    <w:p>
      <w:pPr>
        <w:ind w:right="60" w:firstLine="439"/>
        <w:spacing w:after="0" w:line="239" w:lineRule="auto"/>
        <w:rPr>
          <w:sz w:val="20"/>
          <w:szCs w:val="20"/>
          <w:color w:val="auto"/>
        </w:rPr>
      </w:pPr>
      <w:r>
        <w:rPr>
          <w:rFonts w:ascii="Arial" w:cs="Arial" w:eastAsia="Arial" w:hAnsi="Arial"/>
          <w:sz w:val="16"/>
          <w:szCs w:val="16"/>
          <w:color w:val="auto"/>
        </w:rPr>
        <w:t>The collection and use of personal health data in the European Union is was governed by the provisions of the Data Protection Directive, and which, as of May 25, 2018, has been superseded by the GDPR. These directives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Data Protection Directive and GDPR also impose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While the Data Protection Directive did not apply to organizations based outside the EU, the GDPR has expanded its reach to include any business, regardless of its location, that provides goods or services to residents in the EU. This expansion would incorporate any potential clinical trial activities in EU member states. The GDPR imposes strict requirements on controllers and processors of personal data, including special protections for "sensitive information" which includes health and genetic information of data subjects residing in the EU.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European Union to the United States or other regions that have not been deemed to offer "adequate" privacy protections. Failure to comply with the requirements of the GDPR and the related national data protection laws of the European Union Member States, which may deviate slightly from the GDPR, may result in fines of up to 4% of global revenues, or € 20,000,000, whichever is greater. As a result of the implementation of the GDPR, we may be required to put in place additional mechanisms ensuring compliance with the new data protection rules.</w:t>
      </w:r>
    </w:p>
    <w:p>
      <w:pPr>
        <w:spacing w:after="0" w:line="181" w:lineRule="exact"/>
        <w:rPr>
          <w:sz w:val="20"/>
          <w:szCs w:val="20"/>
          <w:color w:val="auto"/>
        </w:rPr>
      </w:pPr>
    </w:p>
    <w:p>
      <w:pPr>
        <w:ind w:right="480"/>
        <w:spacing w:after="0" w:line="272" w:lineRule="auto"/>
        <w:rPr>
          <w:sz w:val="20"/>
          <w:szCs w:val="20"/>
          <w:color w:val="auto"/>
        </w:rPr>
      </w:pPr>
      <w:r>
        <w:rPr>
          <w:rFonts w:ascii="Arial" w:cs="Arial" w:eastAsia="Arial" w:hAnsi="Arial"/>
          <w:sz w:val="16"/>
          <w:szCs w:val="16"/>
          <w:b w:val="1"/>
          <w:bCs w:val="1"/>
          <w:i w:val="1"/>
          <w:iCs w:val="1"/>
          <w:color w:val="auto"/>
        </w:rPr>
        <w:t>The United Kingdom's withdrawal from the European Union may have a negative effect on global economic conditions, financial markets and our business, which could reduce the price of our ADSs.</w:t>
      </w:r>
    </w:p>
    <w:p>
      <w:pPr>
        <w:spacing w:after="0" w:line="16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On June 23, 2016, the U.K. held a referendum in which a majority of the eligible members of the electorate voted for the U.K. to leave the European Union. The U.K's withdrawal from the European Union is commonly referred to as Brexit. Pursuant to Article 50 of the Treaty on European Union, the U.K. will cease to be a EU Member State either on the effective date of a withdrawal agreement (entry into such a withdrawal agreement will require U.K. parliamentary approval) or, failing that, two years following the U.K.'s notification of its intention to leave the European Union (the Brexit Date), unless the European Council (together with the U.K.) unanimously decides to extend the two year period. On March 29, 2017, the U.K. formally notified the European Council of its intention to leave the European Union. It is unclear how long it will take to negotiate a withdrawal agreement, but it appears likely that Brexit will continue to involve a process of lengthy negotiations between the U.K. and EU Member States to determine the future terms of the U.K's relationship with the European Union. For example, in March 2018, the U.K. reached a provisional agreement (the "Withdrawal Agreement") with the European Union on transitional arrangements following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
        <w:spacing w:after="0"/>
        <w:rPr>
          <w:sz w:val="20"/>
          <w:szCs w:val="20"/>
          <w:color w:val="auto"/>
        </w:rPr>
      </w:pPr>
      <w:r>
        <w:rPr>
          <w:rFonts w:ascii="Arial" w:cs="Arial" w:eastAsia="Arial" w:hAnsi="Arial"/>
          <w:sz w:val="16"/>
          <w:szCs w:val="16"/>
          <w:color w:val="auto"/>
        </w:rPr>
        <w:t>U.K's exit (which are intended to enable the U.K. to remain within the European Union single market and customs union for a transitional period through 2020), but this Withdrawal Agreement needs to be formally agreed as part of the withdrawal arrangements currently under negotiation. Given that no formal withdrawal arrangements have been agreed, there have been several extensions to the Brexit Date and the U.K. has yet to formally leave the European Union. On April 11, 2019, the European Union granted the U.K. a further extension to the Brexit Date until October 31, 2019. The purpose of this extension is to allow for the ratification of the Withdrawal Agreement by the U.K. House of Commons. If the Withdrawal Agreement is ratified, the U.K. will leave the European Union earlier than October 31, 2019. As a condition of the extension, the U.K. must take part in European Union elections on May 23, 2019. If it does not, the U.K. must leave the European Union on June 1, 2019 without any formal withdrawal arrangements.</w:t>
      </w:r>
    </w:p>
    <w:p>
      <w:pPr>
        <w:spacing w:after="0" w:line="192" w:lineRule="exact"/>
        <w:rPr>
          <w:sz w:val="20"/>
          <w:szCs w:val="20"/>
          <w:color w:val="auto"/>
        </w:rPr>
      </w:pPr>
    </w:p>
    <w:p>
      <w:pPr>
        <w:ind w:right="40" w:firstLine="439"/>
        <w:spacing w:after="0"/>
        <w:rPr>
          <w:sz w:val="20"/>
          <w:szCs w:val="20"/>
          <w:color w:val="auto"/>
        </w:rPr>
      </w:pPr>
      <w:r>
        <w:rPr>
          <w:rFonts w:ascii="Arial" w:cs="Arial" w:eastAsia="Arial" w:hAnsi="Arial"/>
          <w:sz w:val="16"/>
          <w:szCs w:val="16"/>
          <w:color w:val="auto"/>
        </w:rPr>
        <w:t>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In particular, it could also lead to a period of considerable uncertainty in relation to the U.K. financial and banking markets, as well as on the regulatory process in the United Kingdom and Europe. As a result of this uncertainty, global financial markets could experience significant volatility, which could adversely affect the market price of our ADSs. Asset valuations, currency exchange rates and credit ratings may also be subject to increased market volatility. Lack of clarity about future U.K. laws and regulations as the United Kingdom determines which European Union rules and regulations to replace or replicate in the event of a withdrawal, including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our access to capital. If the United Kingdom and the European Union are unable to negotiate acceptable withdrawal terms or if other EU Member States pursue withdrawal, barrier-free access between the United Kingdom and other EU Member States or among the EEA overall could be diminished or eliminated.</w:t>
      </w:r>
    </w:p>
    <w:p>
      <w:pPr>
        <w:spacing w:after="0" w:line="189" w:lineRule="exact"/>
        <w:rPr>
          <w:sz w:val="20"/>
          <w:szCs w:val="20"/>
          <w:color w:val="auto"/>
        </w:rPr>
      </w:pPr>
    </w:p>
    <w:p>
      <w:pPr>
        <w:ind w:right="60" w:firstLine="442"/>
        <w:spacing w:after="0" w:line="261" w:lineRule="auto"/>
        <w:rPr>
          <w:sz w:val="20"/>
          <w:szCs w:val="20"/>
          <w:color w:val="auto"/>
        </w:rPr>
      </w:pPr>
      <w:r>
        <w:rPr>
          <w:rFonts w:ascii="Arial" w:cs="Arial" w:eastAsia="Arial" w:hAnsi="Arial"/>
          <w:sz w:val="15"/>
          <w:szCs w:val="15"/>
          <w:color w:val="auto"/>
        </w:rPr>
        <w:t>We may also face new regulatory costs and challenges that could have an adverse effect on our operations. Depending on the terms of Brexit, the United Kingdom could lose the benefits of global trade agreements negotiated by the European Union on behalf of its members, which may result in increased trade barriers that could make our doing business in Europe more difficult. In addition, currency exchange rates in the pound sterling and the euro with respect to each other and the U.S. dollar have already been adversely affected by Brexit. Furthermore, at present, there are no indications of the effect Brexit will have on the pathway to obtaining marketing approval for any of our product candidates in the United Kingdom, or what, if any, role the EMA may have in the approval process.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may materially affect our results of operations and financial condition.</w:t>
      </w:r>
    </w:p>
    <w:p>
      <w:pPr>
        <w:spacing w:after="0" w:line="213"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Owing to the international scope of our operations, fluctuations in exchange rates, particularly between the pound sterling and the U.S. dollar, may adversely affect us. Although we are based in the United Kingdom, we source research and development, manufacturing, consulting and other services from the United States and the European Union. Further, potential future revenue may be derived from abroad, particularly from the United States. As a result, our business and the price of our ADSs may be affected by fluctuations in foreign exchange rates not only between the pound sterling and the U.S. dollar, but also the euro, which may have a significant impact on our results of operations and cash flows from period to period. Currently, we do not have any exchange rate hedging arrangements in place.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b w:val="1"/>
          <w:bCs w:val="1"/>
          <w:i w:val="1"/>
          <w:iCs w:val="1"/>
          <w:color w:val="auto"/>
        </w:rPr>
        <w:t>For certain product candidates, we depend, or will depend, on development and commercialization collaborators to develop and conduct clinical trials with, obtain regulatory approvals for, and if approved, market and sell product candidates. If such collaborators fail to perform as expected, the potential for us to generate future revenue from such product candidates would be significantly reduced and our business would be harmed.</w:t>
      </w:r>
    </w:p>
    <w:p>
      <w:pPr>
        <w:spacing w:after="0" w:line="175" w:lineRule="exact"/>
        <w:rPr>
          <w:sz w:val="20"/>
          <w:szCs w:val="20"/>
          <w:color w:val="auto"/>
        </w:rPr>
      </w:pPr>
    </w:p>
    <w:p>
      <w:pPr>
        <w:ind w:right="160" w:firstLine="442"/>
        <w:spacing w:after="0" w:line="249" w:lineRule="auto"/>
        <w:rPr>
          <w:sz w:val="20"/>
          <w:szCs w:val="20"/>
          <w:color w:val="auto"/>
        </w:rPr>
      </w:pPr>
      <w:r>
        <w:rPr>
          <w:rFonts w:ascii="Arial" w:cs="Arial" w:eastAsia="Arial" w:hAnsi="Arial"/>
          <w:sz w:val="16"/>
          <w:szCs w:val="16"/>
          <w:color w:val="auto"/>
        </w:rPr>
        <w:t>For certain products candidates, we depend, or will depend, on our development and commercial collaborators to develop, conduct clinical trials of, and, if approved, commercialize product candidates.</w:t>
      </w:r>
    </w:p>
    <w:p>
      <w:pPr>
        <w:spacing w:after="0" w:line="165" w:lineRule="exact"/>
        <w:rPr>
          <w:sz w:val="20"/>
          <w:szCs w:val="20"/>
          <w:color w:val="auto"/>
        </w:rPr>
      </w:pPr>
    </w:p>
    <w:p>
      <w:pPr>
        <w:ind w:firstLine="442"/>
        <w:spacing w:after="0" w:line="260" w:lineRule="auto"/>
        <w:rPr>
          <w:sz w:val="20"/>
          <w:szCs w:val="20"/>
          <w:color w:val="auto"/>
        </w:rPr>
      </w:pPr>
      <w:r>
        <w:rPr>
          <w:rFonts w:ascii="Arial" w:cs="Arial" w:eastAsia="Arial" w:hAnsi="Arial"/>
          <w:sz w:val="15"/>
          <w:szCs w:val="15"/>
          <w:color w:val="auto"/>
        </w:rPr>
        <w:t xml:space="preserve">Under our collaborations with AstraZeneca, Bioverativ and Oxurion, we are responsible for identifying and optimizing </w:t>
      </w:r>
      <w:r>
        <w:rPr>
          <w:rFonts w:ascii="Arial" w:cs="Arial" w:eastAsia="Arial" w:hAnsi="Arial"/>
          <w:sz w:val="15"/>
          <w:szCs w:val="15"/>
          <w:i w:val="1"/>
          <w:iCs w:val="1"/>
          <w:color w:val="auto"/>
        </w:rPr>
        <w:t>Bicycle</w:t>
      </w:r>
      <w:r>
        <w:rPr>
          <w:rFonts w:ascii="Arial" w:cs="Arial" w:eastAsia="Arial" w:hAnsi="Arial"/>
          <w:sz w:val="15"/>
          <w:szCs w:val="15"/>
          <w:color w:val="auto"/>
        </w:rPr>
        <w:t xml:space="preserve"> peptides related to collaboration targets and our collaborators are responsible for further development and product commercialization after we complete the defined research screening and compound optimization. As part of our collaboration with Cancer Research Technology Limited and CRUK, CRUK's Centre for Drug Development is sponsoring and funding a Phase I/IIa clinical trial of our lead product candidate, BT1718, in patients with advanced solid tumors. We depend on these collaborators to develop and, where applicable, commercialize products based on </w:t>
      </w:r>
      <w:r>
        <w:rPr>
          <w:rFonts w:ascii="Arial" w:cs="Arial" w:eastAsia="Arial" w:hAnsi="Arial"/>
          <w:sz w:val="15"/>
          <w:szCs w:val="15"/>
          <w:i w:val="1"/>
          <w:iCs w:val="1"/>
          <w:color w:val="auto"/>
        </w:rPr>
        <w:t>Bicycle</w:t>
      </w:r>
      <w:r>
        <w:rPr>
          <w:rFonts w:ascii="Arial" w:cs="Arial" w:eastAsia="Arial" w:hAnsi="Arial"/>
          <w:sz w:val="15"/>
          <w:szCs w:val="15"/>
          <w:color w:val="auto"/>
        </w:rPr>
        <w:t xml:space="preserve"> peptides, and the success of their efforts directly impacts the milestones and royalties we will receive. We cannot assure you that our collaborators will be successful in or that they will devote sufficient resources to the development or commercialization of their products.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current collaborations and any future collaborations that we enter into are subject to numerous risks, including:</w:t>
      </w:r>
    </w:p>
    <w:p>
      <w:pPr>
        <w:spacing w:after="0" w:line="195" w:lineRule="exact"/>
        <w:rPr>
          <w:sz w:val="20"/>
          <w:szCs w:val="20"/>
          <w:color w:val="auto"/>
        </w:rPr>
      </w:pPr>
    </w:p>
    <w:p>
      <w:pPr>
        <w:ind w:left="980" w:hanging="493"/>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the collaborations;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collaborators may not perform their obligations as expected or fail to fulfill their responsibilities in a timely manner, or at all;</w:t>
      </w:r>
    </w:p>
    <w:p>
      <w:pPr>
        <w:spacing w:after="0" w:line="182" w:lineRule="exact"/>
        <w:rPr>
          <w:rFonts w:ascii="Arial" w:cs="Arial" w:eastAsia="Arial" w:hAnsi="Arial"/>
          <w:sz w:val="16"/>
          <w:szCs w:val="16"/>
          <w:color w:val="auto"/>
        </w:rPr>
      </w:pPr>
    </w:p>
    <w:p>
      <w:pPr>
        <w:ind w:left="980" w:right="280" w:hanging="493"/>
        <w:spacing w:after="0" w:line="244"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172" w:lineRule="exact"/>
        <w:rPr>
          <w:rFonts w:ascii="Arial" w:cs="Arial" w:eastAsia="Arial" w:hAnsi="Arial"/>
          <w:sz w:val="16"/>
          <w:szCs w:val="16"/>
          <w:color w:val="auto"/>
        </w:rPr>
      </w:pPr>
    </w:p>
    <w:p>
      <w:pPr>
        <w:ind w:left="980" w:right="380" w:hanging="493"/>
        <w:spacing w:after="0" w:line="249"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180" w:lineRule="exact"/>
        <w:rPr>
          <w:rFonts w:ascii="Arial" w:cs="Arial" w:eastAsia="Arial" w:hAnsi="Arial"/>
          <w:sz w:val="16"/>
          <w:szCs w:val="16"/>
          <w:color w:val="auto"/>
        </w:rPr>
      </w:pPr>
    </w:p>
    <w:p>
      <w:pPr>
        <w:ind w:left="980" w:right="540" w:hanging="493"/>
        <w:spacing w:after="0" w:line="244"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not have access to, or may be restricted from disclosing, certain information regarding product candidates being developed or commercialized under a collaboration and, consequently, may have limited ability to inform our shareholders about the status of such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hanging="493"/>
        <w:spacing w:after="0" w:line="244"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84" w:lineRule="exact"/>
        <w:rPr>
          <w:rFonts w:ascii="Arial" w:cs="Arial" w:eastAsia="Arial" w:hAnsi="Arial"/>
          <w:sz w:val="16"/>
          <w:szCs w:val="16"/>
          <w:color w:val="auto"/>
        </w:rPr>
      </w:pPr>
    </w:p>
    <w:p>
      <w:pPr>
        <w:ind w:left="980" w:right="120" w:hanging="493"/>
        <w:spacing w:after="0" w:line="249"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collaborations may not result in product candidates to develop and/or preclinical studies or clinical trials conducted as part of the collaborations may not be successful;</w:t>
      </w:r>
    </w:p>
    <w:p>
      <w:pPr>
        <w:spacing w:after="0" w:line="168" w:lineRule="exact"/>
        <w:rPr>
          <w:rFonts w:ascii="Arial" w:cs="Arial" w:eastAsia="Arial" w:hAnsi="Arial"/>
          <w:sz w:val="16"/>
          <w:szCs w:val="16"/>
          <w:color w:val="auto"/>
        </w:rPr>
      </w:pPr>
    </w:p>
    <w:p>
      <w:pPr>
        <w:ind w:left="980" w:right="160" w:hanging="493"/>
        <w:spacing w:after="0" w:line="249"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168" w:lineRule="exact"/>
        <w:rPr>
          <w:rFonts w:ascii="Arial" w:cs="Arial" w:eastAsia="Arial" w:hAnsi="Arial"/>
          <w:sz w:val="16"/>
          <w:szCs w:val="16"/>
          <w:color w:val="auto"/>
        </w:rPr>
      </w:pPr>
    </w:p>
    <w:p>
      <w:pPr>
        <w:ind w:left="980" w:right="460" w:hanging="493"/>
        <w:spacing w:after="0" w:line="249"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180" w:lineRule="exact"/>
        <w:rPr>
          <w:rFonts w:ascii="Arial" w:cs="Arial" w:eastAsia="Arial" w:hAnsi="Arial"/>
          <w:sz w:val="16"/>
          <w:szCs w:val="16"/>
          <w:color w:val="auto"/>
        </w:rPr>
      </w:pPr>
    </w:p>
    <w:p>
      <w:pPr>
        <w:ind w:left="980" w:right="260" w:hanging="493"/>
        <w:spacing w:after="0" w:line="249"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81" w:lineRule="exact"/>
        <w:rPr>
          <w:sz w:val="20"/>
          <w:szCs w:val="20"/>
          <w:color w:val="auto"/>
        </w:rPr>
      </w:pPr>
    </w:p>
    <w:p>
      <w:pPr>
        <w:ind w:right="80" w:firstLine="442"/>
        <w:spacing w:after="0"/>
        <w:rPr>
          <w:sz w:val="20"/>
          <w:szCs w:val="20"/>
          <w:color w:val="auto"/>
        </w:rPr>
      </w:pPr>
      <w:r>
        <w:rPr>
          <w:rFonts w:ascii="Arial" w:cs="Arial" w:eastAsia="Arial" w:hAnsi="Arial"/>
          <w:sz w:val="16"/>
          <w:szCs w:val="16"/>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In that event,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b w:val="1"/>
          <w:bCs w:val="1"/>
          <w:i w:val="1"/>
          <w:iCs w:val="1"/>
          <w:color w:val="auto"/>
        </w:rPr>
        <w:t>If conflicts arise with our development and commercialization collaborators or licensors, they may act in their own self-interest, which may be adverse to the interests of our company.</w:t>
      </w:r>
    </w:p>
    <w:p>
      <w:pPr>
        <w:spacing w:after="0" w:line="163" w:lineRule="exact"/>
        <w:rPr>
          <w:sz w:val="20"/>
          <w:szCs w:val="20"/>
          <w:color w:val="auto"/>
        </w:rPr>
      </w:pPr>
    </w:p>
    <w:p>
      <w:pPr>
        <w:ind w:right="740" w:firstLine="442"/>
        <w:spacing w:after="0" w:line="249" w:lineRule="auto"/>
        <w:rPr>
          <w:sz w:val="20"/>
          <w:szCs w:val="20"/>
          <w:color w:val="auto"/>
        </w:rPr>
      </w:pPr>
      <w:r>
        <w:rPr>
          <w:rFonts w:ascii="Arial" w:cs="Arial" w:eastAsia="Arial" w:hAnsi="Arial"/>
          <w:sz w:val="16"/>
          <w:szCs w:val="16"/>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181" w:lineRule="exact"/>
        <w:rPr>
          <w:sz w:val="20"/>
          <w:szCs w:val="20"/>
          <w:color w:val="auto"/>
        </w:rPr>
      </w:pPr>
    </w:p>
    <w:p>
      <w:pPr>
        <w:ind w:left="980" w:hanging="493"/>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disputes with respect to milestone, royalty and other payments that are believed due under the applicable agreements;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disagreements with respect to the ownership of intellectual property rights or scope of licenses;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disagreements with respect to the scope of any reporting obligations;</w:t>
      </w:r>
    </w:p>
    <w:p>
      <w:pPr>
        <w:spacing w:after="0" w:line="182" w:lineRule="exact"/>
        <w:rPr>
          <w:rFonts w:ascii="Arial" w:cs="Arial" w:eastAsia="Arial" w:hAnsi="Arial"/>
          <w:sz w:val="16"/>
          <w:szCs w:val="16"/>
          <w:color w:val="auto"/>
        </w:rPr>
      </w:pPr>
    </w:p>
    <w:p>
      <w:pPr>
        <w:ind w:left="980" w:right="400" w:hanging="493"/>
        <w:spacing w:after="0" w:line="249"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unwillingness on the part of a collaborator to keep us informed regarding the progress of its development and commercialization activities, or to permit public disclosure of these activities; and</w:t>
      </w:r>
    </w:p>
    <w:p>
      <w:pPr>
        <w:spacing w:after="0" w:line="168" w:lineRule="exact"/>
        <w:rPr>
          <w:rFonts w:ascii="Arial" w:cs="Arial" w:eastAsia="Arial" w:hAnsi="Arial"/>
          <w:sz w:val="16"/>
          <w:szCs w:val="16"/>
          <w:color w:val="auto"/>
        </w:rPr>
      </w:pPr>
    </w:p>
    <w:p>
      <w:pPr>
        <w:jc w:val="center"/>
        <w:ind w:left="5620" w:right="540" w:hanging="5133"/>
        <w:spacing w:after="0" w:line="504" w:lineRule="auto"/>
        <w:tabs>
          <w:tab w:leader="none" w:pos="97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disputes with respect to a collaborator's or our development or commercialization efforts with respect to our products and product candidates.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440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firstLine="442"/>
        <w:spacing w:after="0" w:line="257" w:lineRule="auto"/>
        <w:rPr>
          <w:sz w:val="20"/>
          <w:szCs w:val="20"/>
          <w:color w:val="auto"/>
        </w:rPr>
      </w:pPr>
      <w:r>
        <w:rPr>
          <w:rFonts w:ascii="Arial" w:cs="Arial" w:eastAsia="Arial" w:hAnsi="Arial"/>
          <w:sz w:val="15"/>
          <w:szCs w:val="15"/>
          <w:color w:val="auto"/>
        </w:rPr>
        <w:t xml:space="preserve">For example, we are involved in ongoing litigation with Pepscan Systems B.V., or Pepscan, related to a non-exclusive patent license agreement that we entered into with Pepscan in 2009. Pursuant to the patent license agreement, we licensed rights related to the scaffold used for </w:t>
      </w:r>
      <w:r>
        <w:rPr>
          <w:rFonts w:ascii="Arial" w:cs="Arial" w:eastAsia="Arial" w:hAnsi="Arial"/>
          <w:sz w:val="15"/>
          <w:szCs w:val="15"/>
          <w:i w:val="1"/>
          <w:iCs w:val="1"/>
          <w:color w:val="auto"/>
        </w:rPr>
        <w:t>Bicycles</w:t>
      </w:r>
      <w:r>
        <w:rPr>
          <w:rFonts w:ascii="Arial" w:cs="Arial" w:eastAsia="Arial" w:hAnsi="Arial"/>
          <w:sz w:val="15"/>
          <w:szCs w:val="15"/>
          <w:color w:val="auto"/>
        </w:rPr>
        <w:t xml:space="preserve"> contained in certain of our product candidates, including our lead product candidate, BT1718. The agreement required us to enter into a framework services agreement with Pepscan for Pepscan to provide certain </w:t>
      </w:r>
      <w:r>
        <w:rPr>
          <w:rFonts w:ascii="Arial" w:cs="Arial" w:eastAsia="Arial" w:hAnsi="Arial"/>
          <w:sz w:val="15"/>
          <w:szCs w:val="15"/>
          <w:i w:val="1"/>
          <w:iCs w:val="1"/>
          <w:color w:val="auto"/>
        </w:rPr>
        <w:t>Bicycles</w:t>
      </w:r>
      <w:r>
        <w:rPr>
          <w:rFonts w:ascii="Arial" w:cs="Arial" w:eastAsia="Arial" w:hAnsi="Arial"/>
          <w:sz w:val="15"/>
          <w:szCs w:val="15"/>
          <w:color w:val="auto"/>
        </w:rPr>
        <w:t xml:space="preserve"> not produced by us. In 2010, we entered into such a framework services agreement. In 2014, we terminated the framework services agreement in accordance with its terms. Subsequently, in 2016, Pepscan terminated the patent license agreement. We instituted proceedings in the District Court of The Hague to contest the right of Pepscan to terminate the patent license agreement. In response, Pepscan claimed, among other things, that the termination of the framework services agreement and alleged breach by us of confidentiality obligations constituted grounds for the termination of the patent license agreement. In a preliminary judgement delivered in April 2018, the District Court of the Hague rejected Pepscan's claim that it was entitled to terminate the patent license agreement on the basis of a breach of a purported exclusive supply obligation. The District Court of the Hague reserved for further proceedings the question of whether Pepscan was entitled to terminate the patent license agreement on the basis of allegations that we had breached our confidentiality obligations. The District Court of the Hague gave us an opportunity to submit proof to the contrary through written evidence and further hearings.</w:t>
      </w:r>
    </w:p>
    <w:p>
      <w:pPr>
        <w:spacing w:after="0" w:line="181" w:lineRule="exact"/>
        <w:rPr>
          <w:sz w:val="20"/>
          <w:szCs w:val="20"/>
          <w:color w:val="auto"/>
        </w:rPr>
      </w:pPr>
    </w:p>
    <w:p>
      <w:pPr>
        <w:ind w:firstLine="442"/>
        <w:spacing w:after="0" w:line="264" w:lineRule="auto"/>
        <w:rPr>
          <w:sz w:val="20"/>
          <w:szCs w:val="20"/>
          <w:color w:val="auto"/>
        </w:rPr>
      </w:pPr>
      <w:r>
        <w:rPr>
          <w:rFonts w:ascii="Arial" w:cs="Arial" w:eastAsia="Arial" w:hAnsi="Arial"/>
          <w:sz w:val="15"/>
          <w:szCs w:val="15"/>
          <w:color w:val="auto"/>
        </w:rPr>
        <w:t>In July 2018, Pepscan appealed the decision of the District Court of the Hague and the proceedings before the District Court of the Hague have been stayed pending a decision in the appeal brought by Pepscan. While we intend to vigorously defend ourselves the appeal and any further proceedings, there can be no assurance that we will prevail. Our failure to successfully defend our use of the patent rights in question would delay the timing of our ability to commercialize our product candidates, including our lead product candidate BT1718, which could have a material adverse effect on our business and operating results.</w:t>
      </w:r>
    </w:p>
    <w:p>
      <w:pPr>
        <w:spacing w:after="0" w:line="170"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In addition, in January 2013, Pepscan filed a notice of opposition in respect of European patent 2 257 624, which is a foundational patent that is directed to our technology platform. In April 2015, Pepscan filed a notice of opposition in respect of European patent 2 474 613, which is a divisional patent that is directed to extensions of our technology platform. As of the date of this prospectus, no final decision has been issued by the European Patent Office. If we are unable to prevail against these challenges, our intellectual property estate may be materially harmed, which would impair our ability to establish competitive barriers to entry in the form of intellectual property protections. See "Business — Legal Proceedings."</w:t>
      </w:r>
    </w:p>
    <w:p>
      <w:pPr>
        <w:spacing w:after="0" w:line="189" w:lineRule="exact"/>
        <w:rPr>
          <w:sz w:val="20"/>
          <w:szCs w:val="20"/>
          <w:color w:val="auto"/>
        </w:rPr>
      </w:pPr>
    </w:p>
    <w:p>
      <w:pPr>
        <w:ind w:right="80" w:firstLine="442"/>
        <w:spacing w:after="0" w:line="249" w:lineRule="auto"/>
        <w:rPr>
          <w:sz w:val="20"/>
          <w:szCs w:val="20"/>
          <w:color w:val="auto"/>
        </w:rPr>
      </w:pPr>
      <w:r>
        <w:rPr>
          <w:rFonts w:ascii="Arial" w:cs="Arial" w:eastAsia="Arial" w:hAnsi="Arial"/>
          <w:sz w:val="16"/>
          <w:szCs w:val="16"/>
          <w:color w:val="auto"/>
        </w:rPr>
        <w:t>Conflicts with our development and commercialization collaborators or licensors could materially adversely affect our business, financial condition or results of operations and future growth prospects.</w:t>
      </w:r>
    </w:p>
    <w:p>
      <w:pPr>
        <w:spacing w:after="0" w:line="163"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b w:val="1"/>
          <w:bCs w:val="1"/>
          <w:i w:val="1"/>
          <w:iCs w:val="1"/>
          <w:color w:val="auto"/>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175" w:lineRule="exact"/>
        <w:rPr>
          <w:sz w:val="20"/>
          <w:szCs w:val="20"/>
          <w:color w:val="auto"/>
        </w:rPr>
      </w:pPr>
    </w:p>
    <w:p>
      <w:pPr>
        <w:ind w:right="140" w:firstLine="442"/>
        <w:spacing w:after="0" w:line="241" w:lineRule="auto"/>
        <w:rPr>
          <w:sz w:val="20"/>
          <w:szCs w:val="20"/>
          <w:color w:val="auto"/>
        </w:rPr>
      </w:pPr>
      <w:r>
        <w:rPr>
          <w:rFonts w:ascii="Arial" w:cs="Arial" w:eastAsia="Arial" w:hAnsi="Arial"/>
          <w:sz w:val="16"/>
          <w:szCs w:val="16"/>
          <w:color w:val="auto"/>
        </w:rPr>
        <w:t>We have relied upon and plan to continue to rely upon third parties, including independent clinical investigators, academic partners,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For example, CRUK currently sponsors and funds the Phase I/IIa clinical trial of our lead product candidate, BT1718, in patients with advanced solid tumors. We also utilize CROs to perform toxicology studies related to our preclinical activities. While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 xml:space="preserve">we will have agreements governing the activities of such third parties, we will control only certain aspects of their activities and have limited influence over their actual performance. Given the breadth of clinical therapeutic areas for which we believe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may have utility, we intend to continue to rely on external service providers rather than build internal regulatory expertise.</w:t>
      </w:r>
    </w:p>
    <w:p>
      <w:pPr>
        <w:spacing w:after="0" w:line="185" w:lineRule="exact"/>
        <w:rPr>
          <w:sz w:val="20"/>
          <w:szCs w:val="20"/>
          <w:color w:val="auto"/>
        </w:rPr>
      </w:pPr>
    </w:p>
    <w:p>
      <w:pPr>
        <w:ind w:right="60" w:firstLine="433"/>
        <w:spacing w:after="0" w:line="242" w:lineRule="auto"/>
        <w:rPr>
          <w:sz w:val="20"/>
          <w:szCs w:val="20"/>
          <w:color w:val="auto"/>
        </w:rPr>
      </w:pPr>
      <w:r>
        <w:rPr>
          <w:rFonts w:ascii="Arial" w:cs="Arial" w:eastAsia="Arial" w:hAnsi="Arial"/>
          <w:sz w:val="16"/>
          <w:szCs w:val="16"/>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87"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European Economic Area, or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188" w:lineRule="exact"/>
        <w:rPr>
          <w:sz w:val="20"/>
          <w:szCs w:val="20"/>
          <w:color w:val="auto"/>
        </w:rPr>
      </w:pPr>
    </w:p>
    <w:p>
      <w:pPr>
        <w:ind w:right="80" w:firstLine="442"/>
        <w:spacing w:after="0"/>
        <w:rPr>
          <w:sz w:val="20"/>
          <w:szCs w:val="20"/>
          <w:color w:val="auto"/>
        </w:rPr>
      </w:pPr>
      <w:r>
        <w:rPr>
          <w:rFonts w:ascii="Arial" w:cs="Arial" w:eastAsia="Arial" w:hAnsi="Arial"/>
          <w:sz w:val="16"/>
          <w:szCs w:val="16"/>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192"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In addition, with respect to investigator-sponsored trials that may be conducted, we would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173"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b w:val="1"/>
          <w:bCs w:val="1"/>
          <w:i w:val="1"/>
          <w:iCs w:val="1"/>
          <w:color w:val="auto"/>
        </w:rPr>
        <w:t>We intend to rely on third parties to manufacture product candidates, which increases the risk that we will not have sufficient quantities of such product candidates or products or such quantities at an acceptable cost, which could delay, prevent or impair our development or commercialization efforts.</w:t>
      </w:r>
    </w:p>
    <w:p>
      <w:pPr>
        <w:spacing w:after="0" w:line="175" w:lineRule="exact"/>
        <w:rPr>
          <w:sz w:val="20"/>
          <w:szCs w:val="20"/>
          <w:color w:val="auto"/>
        </w:rPr>
      </w:pPr>
    </w:p>
    <w:p>
      <w:pPr>
        <w:ind w:right="180" w:firstLine="442"/>
        <w:spacing w:after="0" w:line="242" w:lineRule="auto"/>
        <w:rPr>
          <w:sz w:val="20"/>
          <w:szCs w:val="20"/>
          <w:color w:val="auto"/>
        </w:rPr>
      </w:pPr>
      <w:r>
        <w:rPr>
          <w:rFonts w:ascii="Arial" w:cs="Arial" w:eastAsia="Arial" w:hAnsi="Arial"/>
          <w:sz w:val="16"/>
          <w:szCs w:val="16"/>
          <w:color w:val="auto"/>
        </w:rPr>
        <w:t>We do not own or operate manufacturing facilities for the production of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clinical or commercial scale. We rely on third parties for supply of our product candidates, and our strategy is to outsource all manufacturing of our product candidates and products to third parties.</w:t>
      </w:r>
    </w:p>
    <w:p>
      <w:pPr>
        <w:spacing w:after="0" w:line="187" w:lineRule="exact"/>
        <w:rPr>
          <w:sz w:val="20"/>
          <w:szCs w:val="20"/>
          <w:color w:val="auto"/>
        </w:rPr>
      </w:pPr>
    </w:p>
    <w:p>
      <w:pPr>
        <w:ind w:right="40" w:firstLine="442"/>
        <w:spacing w:after="0"/>
        <w:rPr>
          <w:sz w:val="20"/>
          <w:szCs w:val="20"/>
          <w:color w:val="auto"/>
        </w:rPr>
      </w:pPr>
      <w:r>
        <w:rPr>
          <w:rFonts w:ascii="Arial" w:cs="Arial" w:eastAsia="Arial" w:hAnsi="Arial"/>
          <w:sz w:val="16"/>
          <w:szCs w:val="16"/>
          <w:color w:val="auto"/>
        </w:rPr>
        <w:t>In order to conduct clinical trials of product candidates, we will need to have them manufactured in potentially large quantities. Our third-party manufacturers may be unable to successfully increase the manufacturing capacity for any of our product candidates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92" w:lineRule="exact"/>
        <w:rPr>
          <w:sz w:val="20"/>
          <w:szCs w:val="20"/>
          <w:color w:val="auto"/>
        </w:rPr>
      </w:pPr>
    </w:p>
    <w:p>
      <w:pPr>
        <w:ind w:right="200" w:firstLine="442"/>
        <w:spacing w:after="0" w:line="264" w:lineRule="auto"/>
        <w:rPr>
          <w:sz w:val="20"/>
          <w:szCs w:val="20"/>
          <w:color w:val="auto"/>
        </w:rPr>
      </w:pPr>
      <w:r>
        <w:rPr>
          <w:rFonts w:ascii="Arial" w:cs="Arial" w:eastAsia="Arial" w:hAnsi="Arial"/>
          <w:sz w:val="15"/>
          <w:szCs w:val="15"/>
          <w:color w:val="auto"/>
        </w:rPr>
        <w:t>Our use of new third-party manufacturers increases the risk of delays in production or insufficient supplies of our product candidates as we transfer our manufacturing technology to these manufacturers and as they gain experience manufacturing our product candidates. Even after a third-party manufacturer has gained significant experience in manufacturing our product candidates or even if we believe we have succeeded in optimizing the manufacturing process, there can be no assurance that such manufacturer will produce sufficient quantities of our product candidates in a timely manner or continuously over time, or at all.</w:t>
      </w:r>
    </w:p>
    <w:p>
      <w:pPr>
        <w:spacing w:after="0" w:line="170" w:lineRule="exact"/>
        <w:rPr>
          <w:sz w:val="20"/>
          <w:szCs w:val="20"/>
          <w:color w:val="auto"/>
        </w:rPr>
      </w:pPr>
    </w:p>
    <w:p>
      <w:pPr>
        <w:ind w:right="120" w:firstLine="442"/>
        <w:spacing w:after="0" w:line="249"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81" w:lineRule="exact"/>
        <w:rPr>
          <w:sz w:val="20"/>
          <w:szCs w:val="20"/>
          <w:color w:val="auto"/>
        </w:rPr>
      </w:pPr>
    </w:p>
    <w:p>
      <w:pPr>
        <w:ind w:right="740" w:firstLine="442"/>
        <w:spacing w:after="0" w:line="249" w:lineRule="auto"/>
        <w:rPr>
          <w:sz w:val="20"/>
          <w:szCs w:val="20"/>
          <w:color w:val="auto"/>
        </w:rPr>
      </w:pPr>
      <w:r>
        <w:rPr>
          <w:rFonts w:ascii="Arial" w:cs="Arial" w:eastAsia="Arial" w:hAnsi="Arial"/>
          <w:sz w:val="16"/>
          <w:szCs w:val="16"/>
          <w:color w:val="auto"/>
        </w:rPr>
        <w:t>We operate an outsourced model for the manufacture of our product candidates, and contract with good manufacturing practice, or GMP, licensed pharmaceutical contract development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manufacturing organizations. While we have engaged several third-party vendors to provide clinical and non-clinical supplies and fill-finish services, we do not currently have any agreements with third-party manufacturers for long-term commercial supplies.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spacing w:after="0" w:line="187" w:lineRule="exact"/>
        <w:rPr>
          <w:sz w:val="20"/>
          <w:szCs w:val="20"/>
          <w:color w:val="auto"/>
        </w:rPr>
      </w:pPr>
    </w:p>
    <w:p>
      <w:pPr>
        <w:ind w:left="980" w:hanging="493"/>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reliance on third-parties for manufacturing process development, regulatory compliance and quality assurance;</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limitations on supply availability resulting from capacity and scheduling constraints of third-parties;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possible breach of manufacturing agreements by third-parties because of factors beyond our control; and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possible termination or non-renewal of the manufacturing agreements by the third-party, at a time that is costly or inconvenient to us.</w:t>
      </w:r>
    </w:p>
    <w:p>
      <w:pPr>
        <w:spacing w:after="0" w:line="195"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In addition, some of the product candidates we intend to develop, including BT1718, use toxins or other substances that can be produced only in specialized facilities with specific authorizations and permits, and there can be no guarantee that we or our manufacturers can maintain such authorizations and permits. These specialized requirements may also limit the number of potential manufacturers that we can engage to produce our product candidates, and impair any efforts to transition to replacement manufacturers.</w:t>
      </w:r>
    </w:p>
    <w:p>
      <w:pPr>
        <w:spacing w:after="0" w:line="192" w:lineRule="exact"/>
        <w:rPr>
          <w:sz w:val="20"/>
          <w:szCs w:val="20"/>
          <w:color w:val="auto"/>
        </w:rPr>
      </w:pPr>
    </w:p>
    <w:p>
      <w:pPr>
        <w:ind w:right="40" w:firstLine="442"/>
        <w:spacing w:after="0" w:line="249" w:lineRule="auto"/>
        <w:rPr>
          <w:sz w:val="20"/>
          <w:szCs w:val="20"/>
          <w:color w:val="auto"/>
        </w:rPr>
      </w:pPr>
      <w:r>
        <w:rPr>
          <w:rFonts w:ascii="Arial" w:cs="Arial" w:eastAsia="Arial" w:hAnsi="Arial"/>
          <w:sz w:val="16"/>
          <w:szCs w:val="16"/>
          <w:color w:val="auto"/>
        </w:rPr>
        <w:t>Our future product candidates and any products that we may develop may compete with other product candidates and products for access to manufacturing facilities. There are a limited number of manufacturers that operate under cGMP requirements that might be capable of manufacturing for us.</w:t>
      </w:r>
    </w:p>
    <w:p>
      <w:pPr>
        <w:spacing w:after="0" w:line="181"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187"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may adversely affect our future profit margins and our ability to develop product candidates and commercialize any products that receive marketing approval on a timely and competitive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ind w:right="380"/>
        <w:spacing w:after="0" w:line="272" w:lineRule="auto"/>
        <w:rPr>
          <w:sz w:val="20"/>
          <w:szCs w:val="20"/>
          <w:color w:val="auto"/>
        </w:rPr>
      </w:pPr>
      <w:r>
        <w:rPr>
          <w:rFonts w:ascii="Arial" w:cs="Arial" w:eastAsia="Arial" w:hAnsi="Arial"/>
          <w:sz w:val="16"/>
          <w:szCs w:val="16"/>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63"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89" w:lineRule="exact"/>
        <w:rPr>
          <w:sz w:val="20"/>
          <w:szCs w:val="20"/>
          <w:color w:val="auto"/>
        </w:rPr>
      </w:pPr>
    </w:p>
    <w:p>
      <w:pPr>
        <w:ind w:right="240" w:firstLine="442"/>
        <w:spacing w:after="0" w:line="242"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7"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197" w:lineRule="exact"/>
        <w:rPr>
          <w:sz w:val="20"/>
          <w:szCs w:val="20"/>
          <w:color w:val="auto"/>
        </w:rPr>
      </w:pPr>
    </w:p>
    <w:p>
      <w:pPr>
        <w:jc w:val="both"/>
        <w:ind w:right="40"/>
        <w:spacing w:after="0" w:line="256"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our products and product candidates, or if the scope of the patent and other intellectual property protection obtained is not sufficiently broad, our competitors could develop and commercialize products similar or identical to ours, and our ability to successfully commercialize our products and product candidates may be adversely affected.</w:t>
      </w:r>
    </w:p>
    <w:p>
      <w:pPr>
        <w:spacing w:after="0" w:line="175"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Our ability to compete effectively will depend, in part, on our ability to maintain the proprietary nature of our technology and manufacturing processes. We rely on research, manufacturing and other know-how, patents, trade secrets, license agreements and contractual provisions to establish our intellectual property rights and protect our products and product candidates. These legal means, however, afford only limited protection and may not adequately protect our rights. As of April 2, 2019, our intellectual property portfolio includes three patent families covering novel scaffolds, 11 patent families directed to our platform technology, 63 patent families covering bicyclic peptides and related conjugates, and six patent families directed to clinical indications and other properties of development assets.</w:t>
      </w:r>
    </w:p>
    <w:p>
      <w:pPr>
        <w:spacing w:after="0" w:line="188" w:lineRule="exact"/>
        <w:rPr>
          <w:sz w:val="20"/>
          <w:szCs w:val="20"/>
          <w:color w:val="auto"/>
        </w:rPr>
      </w:pPr>
    </w:p>
    <w:p>
      <w:pPr>
        <w:ind w:right="320" w:firstLine="442"/>
        <w:spacing w:after="0" w:line="249" w:lineRule="auto"/>
        <w:rPr>
          <w:sz w:val="20"/>
          <w:szCs w:val="20"/>
          <w:color w:val="auto"/>
        </w:rPr>
      </w:pPr>
      <w:r>
        <w:rPr>
          <w:rFonts w:ascii="Arial" w:cs="Arial" w:eastAsia="Arial" w:hAnsi="Arial"/>
          <w:sz w:val="16"/>
          <w:szCs w:val="16"/>
          <w:color w:val="auto"/>
        </w:rPr>
        <w:t>In certain situations and as considered appropriate, we have sought, and we intend to continue to seek to protect our proprietary position by filing patent applications in the United States and, in at least some cases, one or more countries outside the United States relating to current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future products and product candidates that are important to our business. However, we cannot predict whether the patent applications currently being pursued will issue as patents, or whether the claims of any resulting patents will provide us with a competitive advantage or whether we will be able to successfully pursue patent applications in the future relating to our current or future products and product candidates. Moreover, the patent application and approval process is expensive and time-consuming. We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 It is possible that defects of form in the preparation or filing of patent applications may exist, or may arise in the future, for example with respect to proper priority claims, inventorship, claim scope, or requests for patent term adjustments. If we fail to establish, maintain or protect such patents and other intellectual property rights, such rights may be reduced or eliminated. If there are material defects in the form, preparation, prosecution or enforcement of our patents or patent applications, such patents may be invalid and/or unenforceable, and such applications may never result in valid, enforceable patents.</w:t>
      </w:r>
    </w:p>
    <w:p>
      <w:pPr>
        <w:spacing w:after="0" w:line="190"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Even if they are unchallenged, our patents and patent applications, if issued, may not provide us with any meaningful protection or prevent competitors from designing around our patent claims by developing similar or alternative technologies or therapeutics in a non-infringing manner. For example, a third party may develop a competitive therapy that provides benefits similar to one or more of our product candidates but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189"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Other parties, many of whom have substantially greater resources and have made significant investments in competing technologies, have developed or may develop technologies that may be related or competitive with our approach, and may have filed or may file patent applications and may have been issued or may be issued patents with claims that overlap or conflict with our patent applications, either by claiming the same compositions, formulations or methods or by claiming subject matter that could dominate our patent position. In addition, the laws of foreign countries may not protect our rights to the same extent as the laws of the United States. As a result, any patents we may obtain in the future may not provide us with adequate and continuing patent protection sufficient to exclude others from commercializing products similar to our products and product candidates.</w:t>
      </w:r>
    </w:p>
    <w:p>
      <w:pPr>
        <w:spacing w:after="0" w:line="188" w:lineRule="exact"/>
        <w:rPr>
          <w:sz w:val="20"/>
          <w:szCs w:val="20"/>
          <w:color w:val="auto"/>
        </w:rPr>
      </w:pPr>
    </w:p>
    <w:p>
      <w:pPr>
        <w:ind w:right="200" w:firstLine="439"/>
        <w:spacing w:after="0"/>
        <w:rPr>
          <w:sz w:val="20"/>
          <w:szCs w:val="20"/>
          <w:color w:val="auto"/>
        </w:rPr>
      </w:pPr>
      <w:r>
        <w:rPr>
          <w:rFonts w:ascii="Arial" w:cs="Arial" w:eastAsia="Arial" w:hAnsi="Arial"/>
          <w:sz w:val="16"/>
          <w:szCs w:val="16"/>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 Our competitors may also seek approval to market their own products similar to or otherwise competitive with our products. Alternatively, our competitors may seek to market generic versions of any approved products by submitting ANDAs to the FDA in which they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may not provide protection against competing products or processes sufficient to achieve our business objectives.</w:t>
      </w:r>
    </w:p>
    <w:p>
      <w:pPr>
        <w:spacing w:after="0" w:line="195"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In the future, one or more of our products and product candidates may be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 Our failure to obtain, maintain, enforce or defend such intellectual property rights, for any reason, could allow third parties, in particular, other established and better financed competitors having established development, manufacturing and distribution capabilities, to make competing products or impact our ability to develop, manufacture and market our products and product candidates, even if approved, on a commercially viable basis, if at all, which could have a material adverse effect on our business.</w:t>
      </w:r>
    </w:p>
    <w:p>
      <w:pPr>
        <w:spacing w:after="0" w:line="188"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In addition to patent protection, we expect to rely heavily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71" w:lineRule="exact"/>
        <w:rPr>
          <w:sz w:val="20"/>
          <w:szCs w:val="20"/>
          <w:color w:val="auto"/>
        </w:rPr>
      </w:pPr>
    </w:p>
    <w:p>
      <w:pPr>
        <w:ind w:right="520"/>
        <w:spacing w:after="0" w:line="272" w:lineRule="auto"/>
        <w:rPr>
          <w:sz w:val="20"/>
          <w:szCs w:val="20"/>
          <w:color w:val="auto"/>
        </w:rPr>
      </w:pPr>
      <w:r>
        <w:rPr>
          <w:rFonts w:ascii="Arial" w:cs="Arial" w:eastAsia="Arial" w:hAnsi="Arial"/>
          <w:sz w:val="16"/>
          <w:szCs w:val="16"/>
          <w:b w:val="1"/>
          <w:bCs w:val="1"/>
          <w:i w:val="1"/>
          <w:iCs w:val="1"/>
          <w:color w:val="auto"/>
        </w:rPr>
        <w:t>Issued patents covering our products and product candidates could be found invalid or unenforceable if challenged in court or in administrative proceedings. We may not be able to protect our trade secrets in court.</w:t>
      </w:r>
    </w:p>
    <w:p>
      <w:pPr>
        <w:spacing w:after="0" w:line="163" w:lineRule="exact"/>
        <w:rPr>
          <w:sz w:val="20"/>
          <w:szCs w:val="20"/>
          <w:color w:val="auto"/>
        </w:rPr>
      </w:pPr>
    </w:p>
    <w:p>
      <w:pPr>
        <w:ind w:right="80" w:firstLine="442"/>
        <w:spacing w:after="0"/>
        <w:rPr>
          <w:sz w:val="20"/>
          <w:szCs w:val="20"/>
          <w:color w:val="auto"/>
        </w:rPr>
      </w:pPr>
      <w:r>
        <w:rPr>
          <w:rFonts w:ascii="Arial" w:cs="Arial" w:eastAsia="Arial" w:hAnsi="Arial"/>
          <w:sz w:val="16"/>
          <w:szCs w:val="16"/>
          <w:color w:val="auto"/>
        </w:rPr>
        <w:t>If we initiate legal proceedings against a third-party to enforce a patent covering one of our products or product candidates, should such a patent issue, the defendant could counterclaim that the patent covering our product or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inter partes review and equivalent proceedings in foreign jurisdictions. An adverse determination in any of the foregoing proceedings could result in the revocation or cancellation of, or amendment to, our patents in such a way that they no longer cover our products or product candidates. The outcome following legal assertions of invalidity and unenforceability is unpredictable. With respect to the validity question, for example, we cannot be certain that there is no invalidating prior art, of which the patent examiner and we were unaware during prosecution. If a defendant or third party were to prevail on a legal assertion of invalidity or unenforceability, we could lose at least part, and perhaps all, of the patent protection on one or more of our products and product candidates. Such a loss of patent protection could have a material adverse impact on our business.</w:t>
      </w:r>
    </w:p>
    <w:p>
      <w:pPr>
        <w:spacing w:after="0" w:line="189" w:lineRule="exact"/>
        <w:rPr>
          <w:sz w:val="20"/>
          <w:szCs w:val="20"/>
          <w:color w:val="auto"/>
        </w:rPr>
      </w:pPr>
    </w:p>
    <w:p>
      <w:pPr>
        <w:jc w:val="both"/>
        <w:ind w:right="80" w:firstLine="442"/>
        <w:spacing w:after="0" w:line="268" w:lineRule="auto"/>
        <w:rPr>
          <w:sz w:val="20"/>
          <w:szCs w:val="20"/>
          <w:color w:val="auto"/>
        </w:rPr>
      </w:pPr>
      <w:r>
        <w:rPr>
          <w:rFonts w:ascii="Arial" w:cs="Arial" w:eastAsia="Arial" w:hAnsi="Arial"/>
          <w:sz w:val="15"/>
          <w:szCs w:val="15"/>
          <w:color w:val="auto"/>
        </w:rPr>
        <w:t>For example, in January 2013, Pepscan filed a notice of opposition in respect of European patent 2 257 624, which is a foundational patent that is directed to our technology platform. In April 2015, Pepscan filed a notice of opposition in respect of European patent 2 474 613, which is a divisional patent that is directed to extensions of our technology platform. As of the date of this prospectus, no final decision has been issued by the European Patent Office. If we are unable 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prevail against these challenges, our intellectual property estate may be materially harmed, which would impair our ability to establish competitive barriers to entry in the form of intellectual property protections. See "Business — Legal Proceedings."</w:t>
      </w:r>
    </w:p>
    <w:p>
      <w:pPr>
        <w:spacing w:after="0" w:line="181"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190" w:lineRule="exact"/>
        <w:rPr>
          <w:sz w:val="20"/>
          <w:szCs w:val="20"/>
          <w:color w:val="auto"/>
        </w:rPr>
      </w:pPr>
    </w:p>
    <w:p>
      <w:pPr>
        <w:ind w:right="60" w:firstLine="442"/>
        <w:spacing w:after="0"/>
        <w:rPr>
          <w:sz w:val="20"/>
          <w:szCs w:val="20"/>
          <w:color w:val="auto"/>
        </w:rPr>
      </w:pPr>
      <w:r>
        <w:rPr>
          <w:rFonts w:ascii="Arial" w:cs="Arial" w:eastAsia="Arial" w:hAnsi="Arial"/>
          <w:sz w:val="16"/>
          <w:szCs w:val="16"/>
          <w:color w:val="auto"/>
        </w:rPr>
        <w:t>In addition, our trade secrets may otherwise become known or be independently discovered by competitors. Competitors and other third parties could purchase our products and product candidates and attempt to replicate some or all of the competitive advantages we derive from our development efforts, willfully infringe, misappropriate or otherwise violate our intellectual property rights, design around our protected technology or develop their own competitive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our trade secrets are not adequately protected or sufficient to provide an advantage over our competitors, our competitive position could be adversely affected, as could our business. Additionally, if the steps taken to maintain our trade secrets are deemed inadequate, we may have insufficient recourse against third parties for misappropriating our trade secrets.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w:t>
      </w:r>
    </w:p>
    <w:p>
      <w:pPr>
        <w:spacing w:after="0" w:line="21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We may be subject to claims that former employees, collaborators or other third parties have an ownership interest in the patents and intellectual property that we own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assignments may not be self-executing or may be breached. We could be subject to ownership disputes arising, for example, from conflicting obligations of employees, consultants or others who are involved in developing our products or product candidates. Litigation may be necessary to defend against any claims challenging inventorship or ownership. If we or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 The terms of one or more licenses that we enter into the future may not provide us with the ability to maintain or prosecute patents in the portfolio, and must therefore rely on third parties to do so.</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our products and product candidates, our business may be materially harmed.</w:t>
      </w:r>
    </w:p>
    <w:p>
      <w:pPr>
        <w:spacing w:after="0" w:line="213"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8" w:lineRule="exact"/>
        <w:rPr>
          <w:sz w:val="20"/>
          <w:szCs w:val="20"/>
          <w:color w:val="auto"/>
        </w:rPr>
      </w:pPr>
    </w:p>
    <w:p>
      <w:pPr>
        <w:ind w:right="40" w:firstLine="442"/>
        <w:spacing w:after="0"/>
        <w:rPr>
          <w:sz w:val="20"/>
          <w:szCs w:val="20"/>
          <w:color w:val="auto"/>
        </w:rPr>
      </w:pPr>
      <w:r>
        <w:rPr>
          <w:rFonts w:ascii="Arial" w:cs="Arial" w:eastAsia="Arial" w:hAnsi="Arial"/>
          <w:sz w:val="16"/>
          <w:szCs w:val="16"/>
          <w:color w:val="auto"/>
        </w:rPr>
        <w:t>In the future, if we obtain an issued patent covering one of our present or future product candidates, depending upon the timing, duration and specifics of any FDA marketing approval of such product candidates, such patent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failure to obtain a granted patent before approval of a product candidate, failure to exercise due diligence during the testing phase or regulatory review process, failure to apply within applicable deadlines, failure to apply prior to expiration of relevant patents or otherwise our failure to satisfy applicable requirements. A patent licensed to us by a third party may not be available for patent term extension.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ind w:right="540"/>
        <w:spacing w:after="0" w:line="272" w:lineRule="auto"/>
        <w:rPr>
          <w:sz w:val="20"/>
          <w:szCs w:val="20"/>
          <w:color w:val="auto"/>
        </w:rPr>
      </w:pPr>
      <w:r>
        <w:rPr>
          <w:rFonts w:ascii="Arial" w:cs="Arial" w:eastAsia="Arial" w:hAnsi="Arial"/>
          <w:sz w:val="16"/>
          <w:szCs w:val="16"/>
          <w:b w:val="1"/>
          <w:bCs w:val="1"/>
          <w:i w:val="1"/>
          <w:iCs w:val="1"/>
          <w:color w:val="auto"/>
        </w:rPr>
        <w:t>Changes in patent law in the United States and other jurisdictions could diminish the value of patents in general, thereby impairing our ability to protect our products and product candidates.</w:t>
      </w:r>
    </w:p>
    <w:p>
      <w:pPr>
        <w:spacing w:after="0" w:line="16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Changes in either the patent laws or the interpretation of the patent laws in the United States or other jurisdictions could increase the uncertainties and costs surrounding the prosecution of patent applications and the enforcement or defense of issued patents. On September 16, 2011, the Leahy-Smith America Invents Act, or the Leahy-Smith Act, was signed into law. When implemented, the Leahy-Smith Act included several significant changes to U.S. patent law that impacted how patent rights could be prosecuted, enforced and defended. In particular, the Leahy-Smith Act also included provisions that switched the United States from a "first-to-invent" system to a "first-to-file" system, allowed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governing the administration of the Leahy-Smith Act, and many of the substantive changes to patent law associated with the Leahy-Smith Act, and in particular, the first to file provisions, only became effective on March 16, 2013. It remains unclear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w:t>
      </w:r>
    </w:p>
    <w:p>
      <w:pPr>
        <w:spacing w:after="0" w:line="189"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88"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We cannot assure you that our efforts to seek patent protection for one or more of our products and product candidates will not be negatively impacted by the decisions described above, rulings in other cases or changes in guidance or procedures issued by the USPTO. We cannot fully predict what impact courts' decisions in historical and future cases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w:t>
      </w:r>
    </w:p>
    <w:p>
      <w:pPr>
        <w:spacing w:after="0" w:line="213" w:lineRule="exact"/>
        <w:rPr>
          <w:sz w:val="20"/>
          <w:szCs w:val="20"/>
          <w:color w:val="auto"/>
        </w:rPr>
      </w:pPr>
    </w:p>
    <w:p>
      <w:pPr>
        <w:ind w:right="260" w:firstLine="442"/>
        <w:spacing w:after="0" w:line="241" w:lineRule="auto"/>
        <w:rPr>
          <w:sz w:val="20"/>
          <w:szCs w:val="20"/>
          <w:color w:val="auto"/>
        </w:rPr>
      </w:pPr>
      <w:r>
        <w:rPr>
          <w:rFonts w:ascii="Arial" w:cs="Arial" w:eastAsia="Arial" w:hAnsi="Arial"/>
          <w:sz w:val="16"/>
          <w:szCs w:val="16"/>
          <w:color w:val="auto"/>
        </w:rPr>
        <w:t>Filing, prosecuting, maintaining, defending and enforcing patents on products and product candidates in all countries throughout the world would be prohibitively expensive, and our intellectual property rights in some countries outside the United States could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There can be no assurance that we will obtain or maintain patent rights in or outside the United States under any future license agreements. In addition, the laws of some foreign countries do not protect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intellectual property rights to the same extent as federal and state laws in the United States. Consequently, we may not be able to prevent third parties from practicing our inventions in all countries outside the United States, even in jurisdictions where we pursue patent protection, or from selling or importing products made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product candidates and our patents or other intellectual property rights may not be effective or sufficient to prevent them from competing.</w:t>
      </w:r>
    </w:p>
    <w:p>
      <w:pPr>
        <w:spacing w:after="0" w:line="188" w:lineRule="exact"/>
        <w:rPr>
          <w:sz w:val="20"/>
          <w:szCs w:val="20"/>
          <w:color w:val="auto"/>
        </w:rPr>
      </w:pPr>
    </w:p>
    <w:p>
      <w:pPr>
        <w:ind w:right="80" w:firstLine="442"/>
        <w:spacing w:after="0"/>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foreign countries have compulsory licensing laws under which a patent owner must grant licenses to third parties.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While we intend to protect our intellectual property rights in major markets for our products, we cannot ensure that we will be able to initiate or maintain similar efforts in all jurisdictions in which we may wish to market our products. Accordingly, our efforts to enforce our intellectual property rights around the world may be inadequate to obtain a significant commercial advantage from the intellectual property that we develop.</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and could prevent or delay us from developing or commercializing our product candidates.</w:t>
      </w:r>
    </w:p>
    <w:p>
      <w:pPr>
        <w:spacing w:after="0" w:line="163"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without infringing the intellectual property and other proprietary rights of third parties. Third parties may have U.S. and non-U.S. issued patents and pending patent applications relating to compounds, methods of manufacturing compounds and/or methods of use for the treatment of the disease indications for which we are developing our product candidates. If any third-party patents or patent applications are found to cover our product candidates or their methods of use or manufacture, we and our collaborators or sublicensees may not be free to manufacture or market our product candidates as planned without obtaining a license, which may not be available on commercially reasonable terms, or at all. We may also be required to indemnify our collaborators or sublicensees in such an event.</w:t>
      </w:r>
    </w:p>
    <w:p>
      <w:pPr>
        <w:spacing w:after="0" w:line="188"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 xml:space="preserve">For example, we are involved in ongoing litigation with Pepscan in relation to a patent license agreement, pursuant to which we licensed rights related to the scaffold used for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contained in certain of our product candidates, including our lead product candidate, BT1718. While we intend to continue to vigorously defend our rights in this proceeding, there can be no assurance that we will prevail. If the outcome of these proceedings results in our inability to use the scaffold contained in certain of our product candidates, our ability to commercialize the affected product candidates, including our lead product candidate BT1718 would be impaired, which could have a material adverse effect on our business and operating results.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firstLine="439"/>
        <w:spacing w:after="0" w:line="239"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candidates, including interference and post-grant proceedings before the USPTO. There may be third-party patents or patent applications with claims to materials, formulations, methods of manufacture or methods for treatment related to the composition, use or manufacture of our product candidates.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patent and pending application in the United States and abroad that is relevant to or necessary for the commercialization of our product candidates in any jurisdiction.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99"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172" w:lineRule="exact"/>
        <w:rPr>
          <w:sz w:val="20"/>
          <w:szCs w:val="20"/>
          <w:color w:val="auto"/>
        </w:rPr>
      </w:pPr>
    </w:p>
    <w:p>
      <w:pPr>
        <w:ind w:right="780"/>
        <w:spacing w:after="0" w:line="272"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63" w:lineRule="exact"/>
        <w:rPr>
          <w:sz w:val="20"/>
          <w:szCs w:val="20"/>
          <w:color w:val="auto"/>
        </w:rPr>
      </w:pPr>
    </w:p>
    <w:p>
      <w:pPr>
        <w:ind w:right="620" w:firstLine="442"/>
        <w:spacing w:after="0" w:line="249" w:lineRule="auto"/>
        <w:rPr>
          <w:sz w:val="20"/>
          <w:szCs w:val="20"/>
          <w:color w:val="auto"/>
        </w:rPr>
      </w:pPr>
      <w:r>
        <w:rPr>
          <w:rFonts w:ascii="Arial" w:cs="Arial" w:eastAsia="Arial" w:hAnsi="Arial"/>
          <w:sz w:val="16"/>
          <w:szCs w:val="16"/>
          <w:color w:val="auto"/>
        </w:rPr>
        <w:t>Many of our current and former employees, including our senior management, were previously employed at universities or at other biotechnology or pharmaceutical companies, including some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spacing w:after="0"/>
        <w:rPr>
          <w:sz w:val="20"/>
          <w:szCs w:val="20"/>
          <w:color w:val="auto"/>
        </w:rPr>
      </w:pPr>
      <w:r>
        <w:rPr>
          <w:rFonts w:ascii="Arial" w:cs="Arial" w:eastAsia="Arial" w:hAnsi="Arial"/>
          <w:sz w:val="16"/>
          <w:szCs w:val="16"/>
          <w:color w:val="auto"/>
        </w:rPr>
        <w:t>which may be competitors or potential competitors. Some of these employees may be subject to proprietary rights, non-disclosure and non-competition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For example, in the ongoing litigation with Pepscan, Pepscan claimed that we had breached certain confidentiality obligations, which was alleged to constitute sufficient grounds for the termination of our patent license agreement with Pepscan.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90" w:lineRule="exact"/>
        <w:rPr>
          <w:sz w:val="20"/>
          <w:szCs w:val="20"/>
          <w:color w:val="auto"/>
        </w:rPr>
      </w:pPr>
    </w:p>
    <w:p>
      <w:pPr>
        <w:ind w:right="80" w:firstLine="442"/>
        <w:spacing w:after="0" w:line="261" w:lineRule="auto"/>
        <w:rPr>
          <w:sz w:val="20"/>
          <w:szCs w:val="20"/>
          <w:color w:val="auto"/>
        </w:rPr>
      </w:pPr>
      <w:r>
        <w:rPr>
          <w:rFonts w:ascii="Arial" w:cs="Arial" w:eastAsia="Arial" w:hAnsi="Arial"/>
          <w:sz w:val="15"/>
          <w:szCs w:val="15"/>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57" w:lineRule="exact"/>
        <w:rPr>
          <w:sz w:val="20"/>
          <w:szCs w:val="20"/>
          <w:color w:val="auto"/>
        </w:rPr>
      </w:pPr>
    </w:p>
    <w:p>
      <w:pPr>
        <w:ind w:right="780"/>
        <w:spacing w:after="0" w:line="272"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and other intellectual property rights, which could be expensive, time-consuming and unsuccessful.</w:t>
      </w:r>
    </w:p>
    <w:p>
      <w:pPr>
        <w:spacing w:after="0" w:line="163"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In addition, our patents may become, involved in inventorship, priority, or validity disputes. To counter or defend against such claims can be expensive and time-consuming, and our adversaries may have the ability to dedicate substantially greater resources to prosecuting these legal actions than we can. Any claims we assert against perceived infringers could provoke these parties to assert counterclaims against us alleging that we infringe their patents, in addition to counterclaims asserting that our patents are invalid or unenforceable, or both.</w:t>
      </w:r>
    </w:p>
    <w:p>
      <w:pPr>
        <w:spacing w:after="0" w:line="188"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In an infringement proceeding, a court may decide that a patent is invalid or unenforceable, or may refuse to stop the other party from using the technology at issue on the grounds that our patents do not cover the technology in question. Accordingly, despite our efforts, we may not be able to prevent third parties from infringing upon or misappropriating intellectual property rights we own or control. An adverse result in any litigation proceeding could put one or more of our owned or in-licensed patents at risk of being invalidated or interpreted narrowly. Further, because of the substantial amount of discovery required in connection with intellectual property litigation, there is a risk that some of our confidential information could be compromised by disclosure during this type of litigation.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Even if resolved in our favor, the court may decide not to grant an injunction against further infringing activity and instead award only monetary damages, which may or may not be an adequate remedy.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ADSs. Such litigation or proceedings could substantially increase our operating losses and reduce the resources available for development activities or any future sales, marketing, or distribution activities.</w:t>
      </w:r>
    </w:p>
    <w:p>
      <w:pPr>
        <w:spacing w:after="0" w:line="188" w:lineRule="exact"/>
        <w:rPr>
          <w:sz w:val="20"/>
          <w:szCs w:val="20"/>
          <w:color w:val="auto"/>
        </w:rPr>
      </w:pPr>
    </w:p>
    <w:p>
      <w:pPr>
        <w:ind w:right="280" w:firstLine="442"/>
        <w:spacing w:after="0" w:line="242" w:lineRule="auto"/>
        <w:rPr>
          <w:sz w:val="20"/>
          <w:szCs w:val="20"/>
          <w:color w:val="auto"/>
        </w:rPr>
      </w:pPr>
      <w:r>
        <w:rPr>
          <w:rFonts w:ascii="Arial" w:cs="Arial" w:eastAsia="Arial" w:hAnsi="Arial"/>
          <w:sz w:val="16"/>
          <w:szCs w:val="16"/>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i w:val="1"/>
          <w:iCs w:val="1"/>
          <w:color w:val="auto"/>
        </w:rPr>
        <w:t>If we fail to comply with our obligations under any future intellectual property licenses with third parties, we could lose license rights that are important to our business.</w:t>
      </w:r>
    </w:p>
    <w:p>
      <w:pPr>
        <w:spacing w:after="0" w:line="163"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In connection with our efforts to build our product candidate pipeline, we may enter into license agreements in the future. We expect that such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170"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63" w:lineRule="exact"/>
        <w:rPr>
          <w:sz w:val="20"/>
          <w:szCs w:val="20"/>
          <w:color w:val="auto"/>
        </w:rPr>
      </w:pPr>
    </w:p>
    <w:p>
      <w:pPr>
        <w:ind w:right="40" w:firstLine="442"/>
        <w:spacing w:after="0"/>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354"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Risks Related to Employee Matters and Managing Growth</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only have a limited number of employees to manage and operate our business.</w:t>
      </w:r>
    </w:p>
    <w:p>
      <w:pPr>
        <w:spacing w:after="0" w:line="213" w:lineRule="exact"/>
        <w:rPr>
          <w:sz w:val="20"/>
          <w:szCs w:val="20"/>
          <w:color w:val="auto"/>
        </w:rPr>
      </w:pPr>
    </w:p>
    <w:p>
      <w:pPr>
        <w:ind w:right="300" w:firstLine="433"/>
        <w:spacing w:after="0" w:line="249" w:lineRule="auto"/>
        <w:rPr>
          <w:sz w:val="20"/>
          <w:szCs w:val="20"/>
          <w:color w:val="auto"/>
        </w:rPr>
      </w:pPr>
      <w:r>
        <w:rPr>
          <w:rFonts w:ascii="Arial" w:cs="Arial" w:eastAsia="Arial" w:hAnsi="Arial"/>
          <w:sz w:val="16"/>
          <w:szCs w:val="16"/>
          <w:color w:val="auto"/>
        </w:rPr>
        <w:t>As of March 31, 2019, we had 61 full-time or part-time employees. Our focus on the development of our product candidates requires us to optimize cash utilization and to manage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80"/>
        <w:spacing w:after="0" w:line="249" w:lineRule="auto"/>
        <w:rPr>
          <w:sz w:val="20"/>
          <w:szCs w:val="20"/>
          <w:color w:val="auto"/>
        </w:rPr>
      </w:pPr>
      <w:r>
        <w:rPr>
          <w:rFonts w:ascii="Arial" w:cs="Arial" w:eastAsia="Arial" w:hAnsi="Arial"/>
          <w:sz w:val="16"/>
          <w:szCs w:val="16"/>
          <w:color w:val="auto"/>
        </w:rPr>
        <w:t>operate our business in a highly efficient manner. We cannot assure you that we will be able to hire or retain adequate staffing levels to develop our product candidates or run our operations or to accomplish all of the objectives that we otherwise would seek to accomplish.</w:t>
      </w:r>
    </w:p>
    <w:p>
      <w:pPr>
        <w:spacing w:after="0" w:line="163" w:lineRule="exact"/>
        <w:rPr>
          <w:sz w:val="20"/>
          <w:szCs w:val="20"/>
          <w:color w:val="auto"/>
        </w:rPr>
      </w:pPr>
    </w:p>
    <w:p>
      <w:pPr>
        <w:ind w:right="620"/>
        <w:spacing w:after="0" w:line="272" w:lineRule="auto"/>
        <w:rPr>
          <w:sz w:val="20"/>
          <w:szCs w:val="20"/>
          <w:color w:val="auto"/>
        </w:rPr>
      </w:pPr>
      <w:r>
        <w:rPr>
          <w:rFonts w:ascii="Arial" w:cs="Arial" w:eastAsia="Arial" w:hAnsi="Arial"/>
          <w:sz w:val="16"/>
          <w:szCs w:val="16"/>
          <w:b w:val="1"/>
          <w:bCs w:val="1"/>
          <w:i w:val="1"/>
          <w:iCs w:val="1"/>
          <w:color w:val="auto"/>
        </w:rPr>
        <w:t>Cyber-attacks or other failures in telecommunications or information technology systems could result in information theft, data corruption and significant disruption of our business operations.</w:t>
      </w:r>
    </w:p>
    <w:p>
      <w:pPr>
        <w:spacing w:after="0" w:line="16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We utilize information technology, or IT, systems and networks to process, transmit and store electronic information in connection with our business activities. As use of digital technologies has increased, cyber incidents, including deliberate attacks and attempts to gain unauthorized access to computer systems and networks, have increased in frequency and sophistication. These threats pose a risk to the security of our systems and networks, the confidentiality and the availability and integrity of our data. For example, in 2018, we were the target of a cyber-attack. The cyber-attack comprised a phishing incident where two email accounts were accessed that resulted in the automatic forwarding of emails, to an unauthorized third party. Promptly after discovery of this cyber-attack, we performed a third-party investigation and determined that no further action was required under either U.S. or state law. This incident was reported to the U.K. information commissioners' office, who deemed no further action was required under GDPR regulations. The 2018 cyber-attack did not have a material impact to our business or financial condition. While we believe we responded appropriately, including implementing remedial measures to stop this cyber-attack and with the goal of preventing similar ones in the future, there can be no assurance that we will be successful in these remedial and preventative measures or successfully mitigating the effects of future cyber-attacks.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other data security breaches and may incur significant additional expense to respond appropriately to such breaches and to implement further data protection measures.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employees, consultants and advisors and to attract, retain and motivate qualified personnel.</w:t>
      </w:r>
    </w:p>
    <w:p>
      <w:pPr>
        <w:spacing w:after="0" w:line="213" w:lineRule="exact"/>
        <w:rPr>
          <w:sz w:val="20"/>
          <w:szCs w:val="20"/>
          <w:color w:val="auto"/>
        </w:rPr>
      </w:pPr>
    </w:p>
    <w:p>
      <w:pPr>
        <w:ind w:right="120" w:firstLine="442"/>
        <w:spacing w:after="0" w:line="241" w:lineRule="auto"/>
        <w:rPr>
          <w:sz w:val="20"/>
          <w:szCs w:val="20"/>
          <w:color w:val="auto"/>
        </w:rPr>
      </w:pPr>
      <w:r>
        <w:rPr>
          <w:rFonts w:ascii="Arial" w:cs="Arial" w:eastAsia="Arial" w:hAnsi="Arial"/>
          <w:sz w:val="16"/>
          <w:szCs w:val="16"/>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w:t>
      </w:r>
    </w:p>
    <w:p>
      <w:pPr>
        <w:spacing w:after="0" w:line="188"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80" w:firstLine="442"/>
        <w:spacing w:after="0" w:line="242" w:lineRule="auto"/>
        <w:rPr>
          <w:sz w:val="20"/>
          <w:szCs w:val="20"/>
          <w:color w:val="auto"/>
        </w:rPr>
      </w:pPr>
      <w:r>
        <w:rPr>
          <w:rFonts w:ascii="Arial" w:cs="Arial" w:eastAsia="Arial" w:hAnsi="Arial"/>
          <w:sz w:val="16"/>
          <w:szCs w:val="16"/>
          <w:color w:val="auto"/>
        </w:rPr>
        <w:t>In addition, 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87" w:lineRule="exact"/>
        <w:rPr>
          <w:sz w:val="20"/>
          <w:szCs w:val="20"/>
          <w:color w:val="auto"/>
        </w:rPr>
      </w:pPr>
    </w:p>
    <w:p>
      <w:pPr>
        <w:ind w:right="820" w:firstLine="439"/>
        <w:spacing w:after="0" w:line="249" w:lineRule="auto"/>
        <w:rPr>
          <w:sz w:val="20"/>
          <w:szCs w:val="20"/>
          <w:color w:val="auto"/>
        </w:rPr>
      </w:pPr>
      <w:r>
        <w:rPr>
          <w:rFonts w:ascii="Arial" w:cs="Arial" w:eastAsia="Arial" w:hAnsi="Arial"/>
          <w:sz w:val="16"/>
          <w:szCs w:val="16"/>
          <w:color w:val="auto"/>
        </w:rPr>
        <w:t>The inability to recruit or the loss of the services of any executive, key employee, consultant or advisor may impede the progress of our research, development and commercialization objectives.</w:t>
      </w:r>
    </w:p>
    <w:p>
      <w:pPr>
        <w:spacing w:after="0" w:line="163"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75" w:lineRule="exact"/>
        <w:rPr>
          <w:sz w:val="20"/>
          <w:szCs w:val="20"/>
          <w:color w:val="auto"/>
        </w:rPr>
      </w:pPr>
    </w:p>
    <w:p>
      <w:pPr>
        <w:ind w:right="20" w:firstLine="442"/>
        <w:spacing w:after="0" w:line="239" w:lineRule="auto"/>
        <w:rPr>
          <w:sz w:val="20"/>
          <w:szCs w:val="20"/>
          <w:color w:val="auto"/>
        </w:rPr>
      </w:pPr>
      <w:r>
        <w:rPr>
          <w:rFonts w:ascii="Arial" w:cs="Arial" w:eastAsia="Arial" w:hAnsi="Arial"/>
          <w:sz w:val="16"/>
          <w:szCs w:val="16"/>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 (1) FDA regulations or similar regulations of comparable non-U.S. regulatory authorities, including those laws requiring the reporting of true, complete and accurate information to such authorities, (2) manufacturing standards, (3) federal and state healthcare fraud and abuse laws and regulations and similar laws and regulations established and enforced by comparable non-U.S. regulatory authorities, and (4) laws that require the reporting of financial information or data accurately. In particular, sales, marketing and business arrangements in the healthcare industry are subject to extensive laws and regulations intended to prevent fraud, misconduct, kickbacks, self-dealing, bribery and other abusive practices. These laws and regulations restrict or prohibit a wide range of pricing, discounting, marketing and promotion, sales commission, customer incentive programs and other business arrangements. Employee or collaborator misconduct could also involve the improper use of, including trading on, information obtained in the course of clinical trials, which could result in regulatory sanctions and serious harm to our reputation. In connection with this offering, we intend to adopt a code of conduct and business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imprisionment, contractual damages, reputational harm, diminished profits and future earnings, and curtailment of our operations, any of which could have a material adverse effect on our ability to operate our business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213" w:lineRule="exact"/>
        <w:rPr>
          <w:sz w:val="20"/>
          <w:szCs w:val="20"/>
          <w:color w:val="auto"/>
        </w:rPr>
      </w:pPr>
    </w:p>
    <w:p>
      <w:pPr>
        <w:jc w:val="both"/>
        <w:ind w:right="40" w:firstLine="442"/>
        <w:spacing w:after="0" w:line="268" w:lineRule="auto"/>
        <w:rPr>
          <w:sz w:val="20"/>
          <w:szCs w:val="20"/>
          <w:color w:val="auto"/>
        </w:rPr>
      </w:pPr>
      <w:r>
        <w:rPr>
          <w:rFonts w:ascii="Arial" w:cs="Arial" w:eastAsia="Arial" w:hAnsi="Arial"/>
          <w:sz w:val="15"/>
          <w:szCs w:val="15"/>
          <w:color w:val="auto"/>
        </w:rPr>
        <w:t>We expect to experience significant growth in the number of our employees and the scope of our operations, particularly in the areas of drug manufacturing, regulatory affairs and sales, marketing and distribution, as well as to support our public company operations. To manage these growth activities, we must continue to implement and improve our managerial, operational and financial systems, expand our facilities and continue to recruit and train additional qualified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personnel. Our management may need to devote a significant amount of its attention to managing these growth activities. Moreover, our expected growth could require us to relocate to geographic areas beyond those where we have been historically located. For example, we maintain an office in Lexington, Massachusetts, at which many of our finance, management and administrative personnel work.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this Offering and Ownership of Our Securities</w:t>
      </w:r>
    </w:p>
    <w:p>
      <w:pPr>
        <w:spacing w:after="0" w:line="197" w:lineRule="exact"/>
        <w:rPr>
          <w:sz w:val="20"/>
          <w:szCs w:val="20"/>
          <w:color w:val="auto"/>
        </w:rPr>
      </w:pPr>
    </w:p>
    <w:p>
      <w:pPr>
        <w:ind w:right="480"/>
        <w:spacing w:after="0" w:line="272" w:lineRule="auto"/>
        <w:rPr>
          <w:sz w:val="20"/>
          <w:szCs w:val="20"/>
          <w:color w:val="auto"/>
        </w:rPr>
      </w:pPr>
      <w:r>
        <w:rPr>
          <w:rFonts w:ascii="Arial" w:cs="Arial" w:eastAsia="Arial" w:hAnsi="Arial"/>
          <w:sz w:val="16"/>
          <w:szCs w:val="16"/>
          <w:b w:val="1"/>
          <w:bCs w:val="1"/>
          <w:i w:val="1"/>
          <w:iCs w:val="1"/>
          <w:color w:val="auto"/>
        </w:rPr>
        <w:t>We do not know whether an active, liquid and orderly trading market will develop for our ADSs or what the market price of our ADSs will be. As a result, it may be difficult for you to sell your ADSs.</w:t>
      </w:r>
    </w:p>
    <w:p>
      <w:pPr>
        <w:spacing w:after="0" w:line="163" w:lineRule="exact"/>
        <w:rPr>
          <w:sz w:val="20"/>
          <w:szCs w:val="20"/>
          <w:color w:val="auto"/>
        </w:rPr>
      </w:pPr>
    </w:p>
    <w:p>
      <w:pPr>
        <w:ind w:right="100" w:firstLine="439"/>
        <w:spacing w:after="0" w:line="242" w:lineRule="auto"/>
        <w:rPr>
          <w:sz w:val="20"/>
          <w:szCs w:val="20"/>
          <w:color w:val="auto"/>
        </w:rPr>
      </w:pPr>
      <w:r>
        <w:rPr>
          <w:rFonts w:ascii="Arial" w:cs="Arial" w:eastAsia="Arial" w:hAnsi="Arial"/>
          <w:sz w:val="16"/>
          <w:szCs w:val="16"/>
          <w:color w:val="auto"/>
        </w:rPr>
        <w:t>This offering constitutes the initial public offering of our ADSs, and no public market has previously existed for our ADSs or ordinary shares. We have applied to have our ADSs listed on The Nasdaq Global Market, or Nasdaq, and we expect our ADSs to be quoted on Nasdaq, subject to completion of customary procedures in the United States. Any delay in the commencement of trading of the ADSs on Nasdaq would impair the liquidity of the market for the ADSs and make it more difficult for holders to sell the ADSs.</w:t>
      </w:r>
    </w:p>
    <w:p>
      <w:pPr>
        <w:spacing w:after="0" w:line="187" w:lineRule="exact"/>
        <w:rPr>
          <w:sz w:val="20"/>
          <w:szCs w:val="20"/>
          <w:color w:val="auto"/>
        </w:rPr>
      </w:pPr>
    </w:p>
    <w:p>
      <w:pPr>
        <w:ind w:right="140" w:firstLine="442"/>
        <w:spacing w:after="0" w:line="241" w:lineRule="auto"/>
        <w:rPr>
          <w:sz w:val="20"/>
          <w:szCs w:val="20"/>
          <w:color w:val="auto"/>
        </w:rPr>
      </w:pPr>
      <w:r>
        <w:rPr>
          <w:rFonts w:ascii="Arial" w:cs="Arial" w:eastAsia="Arial" w:hAnsi="Arial"/>
          <w:sz w:val="16"/>
          <w:szCs w:val="16"/>
          <w:color w:val="auto"/>
        </w:rPr>
        <w:t>If the ADSs are listed and quoted on Nasdaq, there can be no assurance that an active trading market for the ADSs will develop or be sustained after this offering is completed. The initial offering price will be determined by negotiations among the lead underwriters and us. Among the factors considered in determining the initial public offering price will be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public offering price.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ADSs may be highly volatile, and you may not be able to resell your ADSs at or above the initial public offering price.</w:t>
      </w:r>
    </w:p>
    <w:p>
      <w:pPr>
        <w:spacing w:after="0" w:line="213" w:lineRule="exact"/>
        <w:rPr>
          <w:sz w:val="20"/>
          <w:szCs w:val="20"/>
          <w:color w:val="auto"/>
        </w:rPr>
      </w:pPr>
    </w:p>
    <w:p>
      <w:pPr>
        <w:ind w:right="120" w:firstLine="439"/>
        <w:spacing w:after="0" w:line="242" w:lineRule="auto"/>
        <w:rPr>
          <w:sz w:val="20"/>
          <w:szCs w:val="20"/>
          <w:color w:val="auto"/>
        </w:rPr>
      </w:pPr>
      <w:r>
        <w:rPr>
          <w:rFonts w:ascii="Arial" w:cs="Arial" w:eastAsia="Arial" w:hAnsi="Arial"/>
          <w:sz w:val="16"/>
          <w:szCs w:val="16"/>
          <w:color w:val="auto"/>
        </w:rPr>
        <w:t>The market price of our ADSs following this offering is likely to be highly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ADSs at or above the initial public offering price. The market price for our ADSs may be influenced by many factors, including:</w:t>
      </w:r>
    </w:p>
    <w:p>
      <w:pPr>
        <w:spacing w:after="0" w:line="187" w:lineRule="exact"/>
        <w:rPr>
          <w:sz w:val="20"/>
          <w:szCs w:val="20"/>
          <w:color w:val="auto"/>
        </w:rPr>
      </w:pPr>
    </w:p>
    <w:p>
      <w:pPr>
        <w:ind w:left="980" w:hanging="493"/>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adverse results or delays in preclinical studies or clinical trials;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reports of adverse events in products similar or perceived to be similar to those we are developing or clinical trials of such products;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inability to obtain additional funding;</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failure by us to successfully develop and commercialize our product candidates;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by us to maintain our existing strategic collaborations or enter into new collaborations;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by us to identify additional product candidates for our pipeline;</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by us or our licensors and strategic partners to prosecute, maintain or enforce our intellectual property rights;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laws or regulations applicable to future products;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inability to obtain adequate product supply for our product candidates or the inability to do so at acceptable prices;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adverse regulatory decisions;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introduction of new products, services or technologies by our competitors;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by us to meet or exceed financial projections we may provide to the public;</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by us to meet or exceed the financial projections of the investment community;</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195" w:lineRule="exact"/>
        <w:rPr>
          <w:rFonts w:ascii="Arial" w:cs="Arial" w:eastAsia="Arial" w:hAnsi="Arial"/>
          <w:sz w:val="16"/>
          <w:szCs w:val="16"/>
          <w:color w:val="auto"/>
        </w:rPr>
      </w:pPr>
    </w:p>
    <w:p>
      <w:pPr>
        <w:ind w:left="980" w:right="800" w:hanging="493"/>
        <w:spacing w:after="0" w:line="249"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announcements of significant acquisitions, strategic partnerships, joint ventures or capital commitments by us, our strategic partner or our competitors;</w:t>
      </w:r>
    </w:p>
    <w:p>
      <w:pPr>
        <w:spacing w:after="0" w:line="168" w:lineRule="exact"/>
        <w:rPr>
          <w:rFonts w:ascii="Arial" w:cs="Arial" w:eastAsia="Arial" w:hAnsi="Arial"/>
          <w:sz w:val="16"/>
          <w:szCs w:val="16"/>
          <w:color w:val="auto"/>
        </w:rPr>
      </w:pPr>
    </w:p>
    <w:p>
      <w:pPr>
        <w:ind w:left="980" w:right="300" w:hanging="493"/>
        <w:spacing w:after="0" w:line="249"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disputes or other developments relating to proprietary rights, including patents, litigation matters and our ability to obtain patent protection for our technologies;</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additions or departures of key scientific or management personnel;</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significant lawsuits, including patent or shareholder litigation;</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the market valuations of similar companies;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sales of our ADSs or ordinary shares by us or our shareholders in the future; and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trading volume of our ADSs.</w:t>
      </w:r>
    </w:p>
    <w:p>
      <w:pPr>
        <w:spacing w:after="0" w:line="195" w:lineRule="exact"/>
        <w:rPr>
          <w:sz w:val="20"/>
          <w:szCs w:val="20"/>
          <w:color w:val="auto"/>
        </w:rPr>
      </w:pPr>
    </w:p>
    <w:p>
      <w:pPr>
        <w:ind w:right="180" w:firstLine="442"/>
        <w:spacing w:after="0" w:line="244" w:lineRule="auto"/>
        <w:rPr>
          <w:sz w:val="20"/>
          <w:szCs w:val="20"/>
          <w:color w:val="auto"/>
        </w:rPr>
      </w:pPr>
      <w:r>
        <w:rPr>
          <w:rFonts w:ascii="Arial" w:cs="Arial" w:eastAsia="Arial" w:hAnsi="Arial"/>
          <w:sz w:val="16"/>
          <w:szCs w:val="16"/>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our ADS price and trading volume could decline.</w:t>
      </w:r>
    </w:p>
    <w:p>
      <w:pPr>
        <w:spacing w:after="0" w:line="163" w:lineRule="exact"/>
        <w:rPr>
          <w:sz w:val="20"/>
          <w:szCs w:val="20"/>
          <w:color w:val="auto"/>
        </w:rPr>
      </w:pPr>
    </w:p>
    <w:p>
      <w:pPr>
        <w:ind w:firstLine="439"/>
        <w:spacing w:after="0" w:line="241" w:lineRule="auto"/>
        <w:rPr>
          <w:sz w:val="20"/>
          <w:szCs w:val="20"/>
          <w:color w:val="auto"/>
        </w:rPr>
      </w:pPr>
      <w:r>
        <w:rPr>
          <w:rFonts w:ascii="Arial" w:cs="Arial" w:eastAsia="Arial" w:hAnsi="Arial"/>
          <w:sz w:val="16"/>
          <w:szCs w:val="16"/>
          <w:color w:val="auto"/>
        </w:rPr>
        <w:t>The trading market for our ADSs will likely depend in part on the research and reports that securities or industry analysts publish about us or our business. We do not have any control over these analysts. We do not currently have research coverage, and there can be no assurance that analysts will cover us, or provide favorable coverage. Securities or industry analysts may elect not to provide research coverage of our ADSs after this offering, and such lack of research coverage may negatively impact the market price of our ADSs. In the event we do have analyst coverage, if one or more analysts downgrade our ADSs or change their opinion of our ADSs, our ADS price would likely decline. In addition, if one or more analysts cease coverage of our company or fail to regularly publish reports on us, we could lose visibility in the financial markets, which could cause our ADS price or trading volume to decline.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b w:val="1"/>
          <w:bCs w:val="1"/>
          <w:i w:val="1"/>
          <w:iCs w:val="1"/>
          <w:color w:val="auto"/>
        </w:rPr>
        <w:t>Concentration of ownership of our ordinary shares (including ordinary shares in the form of ADSs) among our existing executive officers, directors and principal shareholders may prevent new investors from influencing significant corporate decisions.</w:t>
      </w:r>
    </w:p>
    <w:p>
      <w:pPr>
        <w:spacing w:after="0" w:line="163" w:lineRule="exact"/>
        <w:rPr>
          <w:sz w:val="20"/>
          <w:szCs w:val="20"/>
          <w:color w:val="auto"/>
        </w:rPr>
      </w:pPr>
    </w:p>
    <w:p>
      <w:pPr>
        <w:ind w:firstLine="442"/>
        <w:spacing w:after="0" w:line="239" w:lineRule="auto"/>
        <w:rPr>
          <w:sz w:val="20"/>
          <w:szCs w:val="20"/>
          <w:color w:val="auto"/>
        </w:rPr>
      </w:pPr>
      <w:r>
        <w:rPr>
          <w:rFonts w:ascii="Arial" w:cs="Arial" w:eastAsia="Arial" w:hAnsi="Arial"/>
          <w:sz w:val="16"/>
          <w:szCs w:val="16"/>
          <w:color w:val="auto"/>
        </w:rPr>
        <w:t>Our executive officers, directors, greater than five percent shareholders and their affiliates beneficially own approximately % of our ordinary shares and, upon closing of this offering, that same group will beneficially own approximately % of our outstanding ordinary shares. Depending on the level of attendance</w:t>
      </w:r>
    </w:p>
    <w:p>
      <w:pPr>
        <w:spacing w:after="0"/>
        <w:rPr>
          <w:sz w:val="20"/>
          <w:szCs w:val="20"/>
          <w:color w:val="auto"/>
        </w:rPr>
      </w:pPr>
      <w:r>
        <w:rPr>
          <w:rFonts w:ascii="Arial" w:cs="Arial" w:eastAsia="Arial" w:hAnsi="Arial"/>
          <w:sz w:val="16"/>
          <w:szCs w:val="16"/>
          <w:color w:val="auto"/>
        </w:rPr>
        <w:t>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the approval of certain significant corporate transactions and amendments to our Articles of Association. Among other consequences, this concentration of ownership may prevent or discourage unsolicited acquisition proposals that you may believe are in your best interest as one of our shareholders. Some of these persons or entities may have interests different than yours. For example, because many of these shareholders purchased their ordinary shares at prices substantially below the price at which ADSs are being sold in this offering and have held their ordinary shares for a longer period, they may be more interested in selling our company to an acquirer than other investors or they may want us to pursue strategies that deviate from the interests of other shareholders.</w:t>
      </w:r>
    </w:p>
    <w:p>
      <w:pPr>
        <w:spacing w:after="0" w:line="172" w:lineRule="exact"/>
        <w:rPr>
          <w:sz w:val="20"/>
          <w:szCs w:val="20"/>
          <w:color w:val="auto"/>
        </w:rPr>
      </w:pPr>
    </w:p>
    <w:p>
      <w:pPr>
        <w:ind w:right="580"/>
        <w:spacing w:after="0" w:line="272" w:lineRule="auto"/>
        <w:rPr>
          <w:sz w:val="20"/>
          <w:szCs w:val="20"/>
          <w:color w:val="auto"/>
        </w:rPr>
      </w:pPr>
      <w:r>
        <w:rPr>
          <w:rFonts w:ascii="Arial" w:cs="Arial" w:eastAsia="Arial" w:hAnsi="Arial"/>
          <w:sz w:val="16"/>
          <w:szCs w:val="16"/>
          <w:b w:val="1"/>
          <w:bCs w:val="1"/>
          <w:i w:val="1"/>
          <w:iCs w:val="1"/>
          <w:color w:val="auto"/>
        </w:rPr>
        <w:t>Future sales, or the possibility of future sales, of a substantial number of our securities could adversely affect the price of the shares and dilute shareholders.</w:t>
      </w:r>
    </w:p>
    <w:p>
      <w:pPr>
        <w:spacing w:after="0" w:line="163" w:lineRule="exact"/>
        <w:rPr>
          <w:sz w:val="20"/>
          <w:szCs w:val="20"/>
          <w:color w:val="auto"/>
        </w:rPr>
      </w:pPr>
    </w:p>
    <w:p>
      <w:pPr>
        <w:jc w:val="both"/>
        <w:ind w:right="240" w:firstLine="442"/>
        <w:spacing w:after="0" w:line="255" w:lineRule="auto"/>
        <w:rPr>
          <w:sz w:val="20"/>
          <w:szCs w:val="20"/>
          <w:color w:val="auto"/>
        </w:rPr>
      </w:pPr>
      <w:r>
        <w:rPr>
          <w:rFonts w:ascii="Arial" w:cs="Arial" w:eastAsia="Arial" w:hAnsi="Arial"/>
          <w:sz w:val="15"/>
          <w:szCs w:val="15"/>
          <w:color w:val="auto"/>
        </w:rPr>
        <w:t>Sales of a substantial number of our ADSs in the public market could occur at any time, subject to certain restrictions described below. If our existing shareholders sell, or indicate an intent to sell, substantial amounts of our securities in the public market, the trading price of the ADSs could decline significantly</w:t>
      </w:r>
    </w:p>
    <w:p>
      <w:pPr>
        <w:jc w:val="both"/>
        <w:ind w:right="220"/>
        <w:spacing w:after="0" w:line="255" w:lineRule="auto"/>
        <w:rPr>
          <w:sz w:val="20"/>
          <w:szCs w:val="20"/>
          <w:color w:val="auto"/>
        </w:rPr>
      </w:pPr>
      <w:r>
        <w:rPr>
          <w:rFonts w:ascii="Arial" w:cs="Arial" w:eastAsia="Arial" w:hAnsi="Arial"/>
          <w:sz w:val="15"/>
          <w:szCs w:val="15"/>
          <w:color w:val="auto"/>
        </w:rPr>
        <w:t>and could decline below the public offering price in this offering. Upon completion of this offering, we will have outstanding ordinary shares (including ordinary shares represented by the ADSs), approximately of which are subject to a 180-day contractual lock-up or otherwise restricted from resale as a result of securities laws. The representatives of the underwriters may permit us and the holders of the lock-up shares to sell shares or ADSs prior to the expiration of the lock-up agreements. See "Shares and American Depositary Shares Eligible for Future Sale." After the lock-up agreements pertaining to this offering expire,</w:t>
      </w:r>
    </w:p>
    <w:p>
      <w:pPr>
        <w:spacing w:after="0" w:line="1"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these additional ordinary shares will be eligible for sale in the public market, though shares are held by directors and executive officers and other affiliates and will be subject to volume limitations under Rule 144 under the Securities Act of 1933, as amended, or the Securities Act, for sales in the United States. In addition, ordinary shares subject to outstanding options under our equity incentive plans and the ordinary shares reserved for future issuance under our equity incentive plans will become eligible for sale in the public market in the future, subject to certain legal and contractual limitations.</w:t>
      </w:r>
    </w:p>
    <w:p>
      <w:pPr>
        <w:spacing w:after="0" w:line="187" w:lineRule="exact"/>
        <w:rPr>
          <w:sz w:val="20"/>
          <w:szCs w:val="20"/>
          <w:color w:val="auto"/>
        </w:rPr>
      </w:pPr>
    </w:p>
    <w:p>
      <w:pPr>
        <w:ind w:right="140" w:firstLine="442"/>
        <w:spacing w:after="0" w:line="241" w:lineRule="auto"/>
        <w:rPr>
          <w:sz w:val="20"/>
          <w:szCs w:val="20"/>
          <w:color w:val="auto"/>
        </w:rPr>
      </w:pPr>
      <w:r>
        <w:rPr>
          <w:rFonts w:ascii="Arial" w:cs="Arial" w:eastAsia="Arial" w:hAnsi="Arial"/>
          <w:sz w:val="16"/>
          <w:szCs w:val="16"/>
          <w:color w:val="auto"/>
        </w:rPr>
        <w:t>Moreover, after this offering, holders of an aggregate of ordinary shares will have rights, subject to conditions, to require us to file registration statements covering their shares or to include their shares in registration statements that we may file for ourselves or other shareholders, as well as to cooperate in certain public offerings of such ordinary shares. In addition, we intend to register all ordinary shares that we may issue under our equity compensation plans. Once we register these ordinary shares, they can be freely sold in the public market upon issuance, subject to volume limitations applicable to affiliates and the lock-up agreements described in the "Shares and American Depositary Shares Eligible for Future Sale" section of this prospectus.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ADSs are not treated as holders of our ordinary shares.</w:t>
      </w:r>
    </w:p>
    <w:p>
      <w:pPr>
        <w:spacing w:after="0" w:line="213" w:lineRule="exact"/>
        <w:rPr>
          <w:sz w:val="20"/>
          <w:szCs w:val="20"/>
          <w:color w:val="auto"/>
        </w:rPr>
      </w:pPr>
    </w:p>
    <w:p>
      <w:pPr>
        <w:ind w:right="20" w:firstLine="442"/>
        <w:spacing w:after="0" w:line="264" w:lineRule="auto"/>
        <w:rPr>
          <w:sz w:val="20"/>
          <w:szCs w:val="20"/>
          <w:color w:val="auto"/>
        </w:rPr>
      </w:pPr>
      <w:r>
        <w:rPr>
          <w:rFonts w:ascii="Arial" w:cs="Arial" w:eastAsia="Arial" w:hAnsi="Arial"/>
          <w:sz w:val="15"/>
          <w:szCs w:val="15"/>
          <w:color w:val="auto"/>
        </w:rPr>
        <w:t>By participating in this offering you will become a holder of ADSs with underlying ordinary shares in a company incorporated under English law. 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"Description of American Depositary Shares."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ADSs may be subject to limitations on the transfer of their ADSs and the withdrawal of the underlying ordinary shares.</w:t>
      </w:r>
    </w:p>
    <w:p>
      <w:pPr>
        <w:spacing w:after="0" w:line="213" w:lineRule="exact"/>
        <w:rPr>
          <w:sz w:val="20"/>
          <w:szCs w:val="20"/>
          <w:color w:val="auto"/>
        </w:rPr>
      </w:pPr>
    </w:p>
    <w:p>
      <w:pPr>
        <w:ind w:firstLine="433"/>
        <w:spacing w:after="0" w:line="258" w:lineRule="auto"/>
        <w:rPr>
          <w:sz w:val="20"/>
          <w:szCs w:val="20"/>
          <w:color w:val="auto"/>
        </w:rPr>
      </w:pPr>
      <w:r>
        <w:rPr>
          <w:rFonts w:ascii="Arial" w:cs="Arial" w:eastAsia="Arial" w:hAnsi="Arial"/>
          <w:sz w:val="15"/>
          <w:szCs w:val="15"/>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160" w:lineRule="exact"/>
        <w:rPr>
          <w:sz w:val="20"/>
          <w:szCs w:val="20"/>
          <w:color w:val="auto"/>
        </w:rPr>
      </w:pPr>
    </w:p>
    <w:p>
      <w:pPr>
        <w:ind w:right="540"/>
        <w:spacing w:after="0" w:line="272" w:lineRule="auto"/>
        <w:rPr>
          <w:sz w:val="20"/>
          <w:szCs w:val="20"/>
          <w:color w:val="auto"/>
        </w:rPr>
      </w:pPr>
      <w:r>
        <w:rPr>
          <w:rFonts w:ascii="Arial" w:cs="Arial" w:eastAsia="Arial" w:hAnsi="Arial"/>
          <w:sz w:val="16"/>
          <w:szCs w:val="16"/>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63"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ind w:right="600"/>
        <w:spacing w:after="0" w:line="272" w:lineRule="auto"/>
        <w:rPr>
          <w:sz w:val="20"/>
          <w:szCs w:val="20"/>
          <w:color w:val="auto"/>
        </w:rPr>
      </w:pPr>
      <w:r>
        <w:rPr>
          <w:rFonts w:ascii="Arial" w:cs="Arial" w:eastAsia="Arial" w:hAnsi="Arial"/>
          <w:sz w:val="16"/>
          <w:szCs w:val="16"/>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63" w:lineRule="exact"/>
        <w:rPr>
          <w:sz w:val="20"/>
          <w:szCs w:val="20"/>
          <w:color w:val="auto"/>
        </w:rPr>
      </w:pPr>
    </w:p>
    <w:p>
      <w:pPr>
        <w:ind w:right="320" w:firstLine="439"/>
        <w:spacing w:after="0" w:line="244" w:lineRule="auto"/>
        <w:rPr>
          <w:sz w:val="20"/>
          <w:szCs w:val="20"/>
          <w:color w:val="auto"/>
        </w:rPr>
      </w:pPr>
      <w:r>
        <w:rPr>
          <w:rFonts w:ascii="Arial" w:cs="Arial" w:eastAsia="Arial" w:hAnsi="Arial"/>
          <w:sz w:val="16"/>
          <w:szCs w:val="16"/>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85"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0"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8" w:lineRule="exact"/>
        <w:rPr>
          <w:sz w:val="20"/>
          <w:szCs w:val="20"/>
          <w:color w:val="auto"/>
        </w:rPr>
      </w:pPr>
    </w:p>
    <w:p>
      <w:pPr>
        <w:ind w:right="540" w:firstLine="442"/>
        <w:spacing w:after="0" w:line="249" w:lineRule="auto"/>
        <w:rPr>
          <w:sz w:val="20"/>
          <w:szCs w:val="20"/>
          <w:color w:val="auto"/>
        </w:rPr>
      </w:pPr>
      <w:r>
        <w:rPr>
          <w:rFonts w:ascii="Arial" w:cs="Arial" w:eastAsia="Arial" w:hAnsi="Arial"/>
          <w:sz w:val="16"/>
          <w:szCs w:val="16"/>
          <w:color w:val="auto"/>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63"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b w:val="1"/>
          <w:bCs w:val="1"/>
          <w:i w:val="1"/>
          <w:iCs w:val="1"/>
          <w:color w:val="auto"/>
        </w:rPr>
        <w:t>You will not have the same voting rights as the holders of our ordinary shares and may not receive voting materials in time to be able to exercise your right to vote.</w:t>
      </w:r>
    </w:p>
    <w:p>
      <w:pPr>
        <w:spacing w:after="0" w:line="16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Except as described in this prospectus and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w:t>
      </w:r>
    </w:p>
    <w:p>
      <w:pPr>
        <w:spacing w:after="0" w:line="170" w:lineRule="exact"/>
        <w:rPr>
          <w:sz w:val="20"/>
          <w:szCs w:val="20"/>
          <w:color w:val="auto"/>
        </w:rPr>
      </w:pPr>
    </w:p>
    <w:p>
      <w:pPr>
        <w:ind w:right="420"/>
        <w:spacing w:after="0" w:line="272" w:lineRule="auto"/>
        <w:rPr>
          <w:sz w:val="20"/>
          <w:szCs w:val="20"/>
          <w:color w:val="auto"/>
        </w:rPr>
      </w:pPr>
      <w:r>
        <w:rPr>
          <w:rFonts w:ascii="Arial" w:cs="Arial" w:eastAsia="Arial" w:hAnsi="Arial"/>
          <w:sz w:val="16"/>
          <w:szCs w:val="16"/>
          <w:b w:val="1"/>
          <w:bCs w:val="1"/>
          <w:i w:val="1"/>
          <w:iCs w:val="1"/>
          <w:color w:val="auto"/>
        </w:rPr>
        <w:t>You may not receive distributions on our ordinary shares represented by the ADSs or any value for them if it is illegal or impractical to make them available to holders of ADSs.</w:t>
      </w:r>
    </w:p>
    <w:p>
      <w:pPr>
        <w:spacing w:after="0" w:line="163" w:lineRule="exact"/>
        <w:rPr>
          <w:sz w:val="20"/>
          <w:szCs w:val="20"/>
          <w:color w:val="auto"/>
        </w:rPr>
      </w:pPr>
    </w:p>
    <w:p>
      <w:pPr>
        <w:ind w:right="20" w:firstLine="439"/>
        <w:spacing w:after="0" w:line="241" w:lineRule="auto"/>
        <w:rPr>
          <w:sz w:val="20"/>
          <w:szCs w:val="20"/>
          <w:color w:val="auto"/>
        </w:rPr>
      </w:pPr>
      <w:r>
        <w:rPr>
          <w:rFonts w:ascii="Arial" w:cs="Arial" w:eastAsia="Arial" w:hAnsi="Arial"/>
          <w:sz w:val="16"/>
          <w:szCs w:val="16"/>
          <w:color w:val="auto"/>
        </w:rPr>
        <w:t>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b w:val="1"/>
          <w:bCs w:val="1"/>
          <w:i w:val="1"/>
          <w:iCs w:val="1"/>
          <w:color w:val="auto"/>
        </w:rPr>
        <w:t>Because we do not anticipate paying any cash dividends on our ADSs in the foreseeable future, capital appreciation, if any, will be your sole source of gains and you may never receive a return on your investment.</w:t>
      </w:r>
    </w:p>
    <w:p>
      <w:pPr>
        <w:spacing w:after="0" w:line="163"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Under current English law, a company's accumulated realized profits must exceed its accumulated realized losses (on a non-consolidated basis) before dividends can be declared and paid. Therefore, we must have distributable profits before declaring and paying a dividend. We have not paid dividends in the past on our ordinary shares. We intend to retain earnings, if any, for use in our business and do not anticipate paying any cash dividends in the foreseeable future. As a result, capital appreciation, if any, on our ADSs will be your sole source of gains for the foreseeable future, and you will suffer a loss on your investment if you are unable to sell your ADSs at or above the initial public offering price. Investors seeking cash dividends should not purchase our ADSs in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ADSs in this offering, you will incur immediate and substantial dilution in the book value of your shares.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Investors purchasing ADSs in this offering will pay a price per ordinary share that substantially exceeds the pro forma book value per share of our tangible</w:t>
      </w:r>
    </w:p>
    <w:tbl>
      <w:tblPr>
        <w:tblLayout w:type="fixed"/>
        <w:tblInd w:w="0" w:type="dxa"/>
        <w:tblCellMar>
          <w:top w:w="0" w:type="dxa"/>
          <w:left w:w="0" w:type="dxa"/>
          <w:bottom w:w="0" w:type="dxa"/>
          <w:right w:w="0" w:type="dxa"/>
        </w:tblCellMar>
      </w:tblPr>
      <w:tr>
        <w:trPr>
          <w:trHeight w:val="183"/>
        </w:trPr>
        <w:tc>
          <w:tcPr>
            <w:tcW w:w="9000" w:type="dxa"/>
            <w:vAlign w:val="bottom"/>
            <w:gridSpan w:val="3"/>
          </w:tcPr>
          <w:p>
            <w:pPr>
              <w:spacing w:after="0"/>
              <w:rPr>
                <w:sz w:val="20"/>
                <w:szCs w:val="20"/>
                <w:color w:val="auto"/>
              </w:rPr>
            </w:pPr>
            <w:r>
              <w:rPr>
                <w:rFonts w:ascii="Arial" w:cs="Arial" w:eastAsia="Arial" w:hAnsi="Arial"/>
                <w:sz w:val="16"/>
                <w:szCs w:val="16"/>
                <w:color w:val="auto"/>
              </w:rPr>
              <w:t>assets after subtracting our liabilities. As a result, investors purchasing ADSs in this offering will incur immediate dilution of $</w:t>
            </w:r>
          </w:p>
        </w:tc>
        <w:tc>
          <w:tcPr>
            <w:tcW w:w="2440" w:type="dxa"/>
            <w:vAlign w:val="bottom"/>
            <w:gridSpan w:val="2"/>
          </w:tcPr>
          <w:p>
            <w:pPr>
              <w:jc w:val="right"/>
              <w:ind w:right="461"/>
              <w:spacing w:after="0"/>
              <w:rPr>
                <w:sz w:val="20"/>
                <w:szCs w:val="20"/>
                <w:color w:val="auto"/>
              </w:rPr>
            </w:pPr>
            <w:r>
              <w:rPr>
                <w:rFonts w:ascii="Arial" w:cs="Arial" w:eastAsia="Arial" w:hAnsi="Arial"/>
                <w:sz w:val="16"/>
                <w:szCs w:val="16"/>
                <w:color w:val="auto"/>
              </w:rPr>
              <w:t>per ADS, based on the</w:t>
            </w:r>
          </w:p>
        </w:tc>
      </w:tr>
      <w:tr>
        <w:trPr>
          <w:trHeight w:val="183"/>
        </w:trPr>
        <w:tc>
          <w:tcPr>
            <w:tcW w:w="3060" w:type="dxa"/>
            <w:vAlign w:val="bottom"/>
          </w:tcPr>
          <w:p>
            <w:pPr>
              <w:spacing w:after="0"/>
              <w:rPr>
                <w:sz w:val="20"/>
                <w:szCs w:val="20"/>
                <w:color w:val="auto"/>
              </w:rPr>
            </w:pPr>
            <w:r>
              <w:rPr>
                <w:rFonts w:ascii="Arial" w:cs="Arial" w:eastAsia="Arial" w:hAnsi="Arial"/>
                <w:sz w:val="16"/>
                <w:szCs w:val="16"/>
                <w:color w:val="auto"/>
              </w:rPr>
              <w:t>assumed initial public offering price of $</w:t>
            </w:r>
          </w:p>
        </w:tc>
        <w:tc>
          <w:tcPr>
            <w:tcW w:w="8380" w:type="dxa"/>
            <w:vAlign w:val="bottom"/>
            <w:gridSpan w:val="4"/>
          </w:tcPr>
          <w:p>
            <w:pPr>
              <w:jc w:val="right"/>
              <w:ind w:right="301"/>
              <w:spacing w:after="0"/>
              <w:rPr>
                <w:sz w:val="20"/>
                <w:szCs w:val="20"/>
                <w:color w:val="auto"/>
              </w:rPr>
            </w:pPr>
            <w:r>
              <w:rPr>
                <w:rFonts w:ascii="Arial" w:cs="Arial" w:eastAsia="Arial" w:hAnsi="Arial"/>
                <w:sz w:val="16"/>
                <w:szCs w:val="16"/>
                <w:color w:val="auto"/>
              </w:rPr>
              <w:t>per ADS, after deducting estimated underwriting discounts and commissions and estimated offering expenses</w:t>
            </w:r>
          </w:p>
        </w:tc>
      </w:tr>
      <w:tr>
        <w:trPr>
          <w:trHeight w:val="183"/>
        </w:trPr>
        <w:tc>
          <w:tcPr>
            <w:tcW w:w="11440" w:type="dxa"/>
            <w:vAlign w:val="bottom"/>
            <w:gridSpan w:val="5"/>
          </w:tcPr>
          <w:p>
            <w:pPr>
              <w:spacing w:after="0"/>
              <w:rPr>
                <w:sz w:val="20"/>
                <w:szCs w:val="20"/>
                <w:color w:val="auto"/>
              </w:rPr>
            </w:pPr>
            <w:r>
              <w:rPr>
                <w:rFonts w:ascii="Arial" w:cs="Arial" w:eastAsia="Arial" w:hAnsi="Arial"/>
                <w:sz w:val="16"/>
                <w:szCs w:val="16"/>
                <w:color w:val="auto"/>
              </w:rPr>
              <w:t>payable by us, representing the difference between the assumed initial public offering price and our pro forma as adjusted net tangible book value as of</w:t>
            </w:r>
          </w:p>
        </w:tc>
      </w:tr>
      <w:tr>
        <w:trPr>
          <w:trHeight w:val="183"/>
        </w:trPr>
        <w:tc>
          <w:tcPr>
            <w:tcW w:w="9640" w:type="dxa"/>
            <w:vAlign w:val="bottom"/>
            <w:gridSpan w:val="4"/>
          </w:tcPr>
          <w:p>
            <w:pPr>
              <w:spacing w:after="0"/>
              <w:rPr>
                <w:sz w:val="20"/>
                <w:szCs w:val="20"/>
                <w:color w:val="auto"/>
              </w:rPr>
            </w:pPr>
            <w:r>
              <w:rPr>
                <w:rFonts w:ascii="Arial" w:cs="Arial" w:eastAsia="Arial" w:hAnsi="Arial"/>
                <w:sz w:val="16"/>
                <w:szCs w:val="16"/>
                <w:color w:val="auto"/>
              </w:rPr>
              <w:t>December 31, 2018 after giving effect to this offering. Further, investors purchasing ADSs in this offering will contribute approximately</w:t>
            </w:r>
          </w:p>
        </w:tc>
        <w:tc>
          <w:tcPr>
            <w:tcW w:w="1800" w:type="dxa"/>
            <w:vAlign w:val="bottom"/>
          </w:tcPr>
          <w:p>
            <w:pPr>
              <w:jc w:val="right"/>
              <w:spacing w:after="0"/>
              <w:rPr>
                <w:sz w:val="20"/>
                <w:szCs w:val="20"/>
                <w:color w:val="auto"/>
              </w:rPr>
            </w:pPr>
            <w:r>
              <w:rPr>
                <w:rFonts w:ascii="Arial" w:cs="Arial" w:eastAsia="Arial" w:hAnsi="Arial"/>
                <w:sz w:val="16"/>
                <w:szCs w:val="16"/>
                <w:color w:val="auto"/>
              </w:rPr>
              <w:t>% of the total amount</w:t>
            </w:r>
          </w:p>
        </w:tc>
      </w:tr>
      <w:tr>
        <w:trPr>
          <w:trHeight w:val="183"/>
        </w:trPr>
        <w:tc>
          <w:tcPr>
            <w:tcW w:w="5520" w:type="dxa"/>
            <w:vAlign w:val="bottom"/>
            <w:gridSpan w:val="2"/>
          </w:tcPr>
          <w:p>
            <w:pPr>
              <w:spacing w:after="0"/>
              <w:rPr>
                <w:sz w:val="20"/>
                <w:szCs w:val="20"/>
                <w:color w:val="auto"/>
              </w:rPr>
            </w:pPr>
            <w:r>
              <w:rPr>
                <w:rFonts w:ascii="Arial" w:cs="Arial" w:eastAsia="Arial" w:hAnsi="Arial"/>
                <w:sz w:val="16"/>
                <w:szCs w:val="16"/>
                <w:color w:val="auto"/>
              </w:rPr>
              <w:t>invested by shareholders since our inception, but will own only approximately</w:t>
            </w:r>
          </w:p>
        </w:tc>
        <w:tc>
          <w:tcPr>
            <w:tcW w:w="5920" w:type="dxa"/>
            <w:vAlign w:val="bottom"/>
            <w:gridSpan w:val="3"/>
          </w:tcPr>
          <w:p>
            <w:pPr>
              <w:jc w:val="right"/>
              <w:ind w:right="461"/>
              <w:spacing w:after="0"/>
              <w:rPr>
                <w:sz w:val="20"/>
                <w:szCs w:val="20"/>
                <w:color w:val="auto"/>
              </w:rPr>
            </w:pPr>
            <w:r>
              <w:rPr>
                <w:rFonts w:ascii="Arial" w:cs="Arial" w:eastAsia="Arial" w:hAnsi="Arial"/>
                <w:sz w:val="16"/>
                <w:szCs w:val="16"/>
                <w:color w:val="auto"/>
              </w:rPr>
              <w:t>% of the ordinary shares outstanding. Furthermore, if the underwriters</w:t>
            </w:r>
          </w:p>
        </w:tc>
      </w:tr>
      <w:tr>
        <w:trPr>
          <w:trHeight w:val="192"/>
        </w:trPr>
        <w:tc>
          <w:tcPr>
            <w:tcW w:w="9000" w:type="dxa"/>
            <w:vAlign w:val="bottom"/>
            <w:gridSpan w:val="3"/>
          </w:tcPr>
          <w:p>
            <w:pPr>
              <w:spacing w:after="0"/>
              <w:rPr>
                <w:sz w:val="20"/>
                <w:szCs w:val="20"/>
                <w:color w:val="auto"/>
              </w:rPr>
            </w:pPr>
            <w:r>
              <w:rPr>
                <w:rFonts w:ascii="Arial" w:cs="Arial" w:eastAsia="Arial" w:hAnsi="Arial"/>
                <w:sz w:val="16"/>
                <w:szCs w:val="16"/>
                <w:color w:val="auto"/>
              </w:rPr>
              <w:t>exercise their option to purchase additional shares or our previously issued options to acquire ordinary shares at prices</w:t>
            </w:r>
          </w:p>
        </w:tc>
        <w:tc>
          <w:tcPr>
            <w:tcW w:w="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79"/>
        </w:trPr>
        <w:tc>
          <w:tcPr>
            <w:tcW w:w="3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80" w:type="dxa"/>
            <w:vAlign w:val="bottom"/>
          </w:tcPr>
          <w:p>
            <w:pPr>
              <w:jc w:val="right"/>
              <w:ind w:right="3121"/>
              <w:spacing w:after="0"/>
              <w:rPr>
                <w:sz w:val="20"/>
                <w:szCs w:val="20"/>
                <w:color w:val="auto"/>
              </w:rPr>
            </w:pPr>
            <w:r>
              <w:rPr>
                <w:rFonts w:ascii="Arial" w:cs="Arial" w:eastAsia="Arial" w:hAnsi="Arial"/>
                <w:sz w:val="16"/>
                <w:szCs w:val="16"/>
                <w:color w:val="auto"/>
              </w:rPr>
              <w:t>70</w:t>
            </w: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93"/>
        </w:trPr>
        <w:tc>
          <w:tcPr>
            <w:tcW w:w="3060" w:type="dxa"/>
            <w:vAlign w:val="bottom"/>
            <w:tcBorders>
              <w:bottom w:val="single" w:sz="8" w:color="808080"/>
            </w:tcBorders>
          </w:tcPr>
          <w:p>
            <w:pPr>
              <w:spacing w:after="0"/>
              <w:rPr>
                <w:sz w:val="16"/>
                <w:szCs w:val="16"/>
                <w:color w:val="auto"/>
              </w:rPr>
            </w:pPr>
          </w:p>
        </w:tc>
        <w:tc>
          <w:tcPr>
            <w:tcW w:w="2460" w:type="dxa"/>
            <w:vAlign w:val="bottom"/>
            <w:tcBorders>
              <w:bottom w:val="single" w:sz="8" w:color="808080"/>
            </w:tcBorders>
          </w:tcPr>
          <w:p>
            <w:pPr>
              <w:spacing w:after="0"/>
              <w:rPr>
                <w:sz w:val="16"/>
                <w:szCs w:val="16"/>
                <w:color w:val="auto"/>
              </w:rPr>
            </w:pPr>
          </w:p>
        </w:tc>
        <w:tc>
          <w:tcPr>
            <w:tcW w:w="348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18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below the assumed initial public offering price are exercised, you will experience further dilution. For additional information on the dilution that you will experience immediately after this offering, see the section titled "Dilution."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in the use of the net proceeds from this offering and may not use them effectively.</w:t>
      </w:r>
    </w:p>
    <w:p>
      <w:pPr>
        <w:spacing w:after="0" w:line="213" w:lineRule="exact"/>
        <w:rPr>
          <w:sz w:val="20"/>
          <w:szCs w:val="20"/>
          <w:color w:val="auto"/>
        </w:rPr>
      </w:pPr>
    </w:p>
    <w:p>
      <w:pPr>
        <w:ind w:right="180" w:firstLine="442"/>
        <w:spacing w:after="0" w:line="241"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Claims of U.S. civil liabilities may not be enforceable against us.</w:t>
      </w:r>
    </w:p>
    <w:p>
      <w:pPr>
        <w:spacing w:after="0" w:line="213"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We are incorporated under English law. Certain members of our board of directors and senior management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w:t>
      </w:r>
    </w:p>
    <w:p>
      <w:pPr>
        <w:spacing w:after="0" w:line="187" w:lineRule="exact"/>
        <w:rPr>
          <w:sz w:val="20"/>
          <w:szCs w:val="20"/>
          <w:color w:val="auto"/>
        </w:rPr>
      </w:pPr>
    </w:p>
    <w:p>
      <w:pPr>
        <w:ind w:right="20" w:firstLine="439"/>
        <w:spacing w:after="0"/>
        <w:rPr>
          <w:sz w:val="20"/>
          <w:szCs w:val="20"/>
          <w:color w:val="auto"/>
        </w:rPr>
      </w:pPr>
      <w:r>
        <w:rPr>
          <w:rFonts w:ascii="Arial" w:cs="Arial" w:eastAsia="Arial" w:hAnsi="Arial"/>
          <w:sz w:val="16"/>
          <w:szCs w:val="16"/>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90" w:lineRule="exact"/>
        <w:rPr>
          <w:sz w:val="20"/>
          <w:szCs w:val="20"/>
          <w:color w:val="auto"/>
        </w:rPr>
      </w:pPr>
    </w:p>
    <w:p>
      <w:pPr>
        <w:ind w:right="340" w:firstLine="433"/>
        <w:spacing w:after="0" w:line="244" w:lineRule="auto"/>
        <w:rPr>
          <w:sz w:val="20"/>
          <w:szCs w:val="20"/>
          <w:color w:val="auto"/>
        </w:rPr>
      </w:pPr>
      <w:r>
        <w:rPr>
          <w:rFonts w:ascii="Arial" w:cs="Arial" w:eastAsia="Arial" w:hAnsi="Arial"/>
          <w:sz w:val="16"/>
          <w:szCs w:val="16"/>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b w:val="1"/>
          <w:bCs w:val="1"/>
          <w:i w:val="1"/>
          <w:iCs w:val="1"/>
          <w:color w:val="auto"/>
        </w:rPr>
        <w:t>We are an "emerging growth company," and the reduced disclosure requirements applicable to emerging growth companies may make our ADSs less attractive to investors.</w:t>
      </w:r>
    </w:p>
    <w:p>
      <w:pPr>
        <w:spacing w:after="0" w:line="163" w:lineRule="exact"/>
        <w:rPr>
          <w:sz w:val="20"/>
          <w:szCs w:val="20"/>
          <w:color w:val="auto"/>
        </w:rPr>
      </w:pPr>
    </w:p>
    <w:p>
      <w:pPr>
        <w:ind w:right="160" w:firstLine="442"/>
        <w:spacing w:after="0" w:line="249" w:lineRule="auto"/>
        <w:rPr>
          <w:sz w:val="20"/>
          <w:szCs w:val="20"/>
          <w:color w:val="auto"/>
        </w:rPr>
      </w:pPr>
      <w:r>
        <w:rPr>
          <w:rFonts w:ascii="Arial" w:cs="Arial" w:eastAsia="Arial" w:hAnsi="Arial"/>
          <w:sz w:val="16"/>
          <w:szCs w:val="16"/>
          <w:color w:val="auto"/>
        </w:rPr>
        <w:t>We are an emerging growth company and we will remain an emerging growth company until the earlier to occur of (1) the last day of 2023, (2) the last day of the fiscal year in which we have total annual gross revenues of at least $1.07 billion, (3) the last day of the fiscal year in which we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80"/>
        <w:spacing w:after="0" w:line="242" w:lineRule="auto"/>
        <w:rPr>
          <w:sz w:val="20"/>
          <w:szCs w:val="20"/>
          <w:color w:val="auto"/>
        </w:rPr>
      </w:pPr>
      <w:r>
        <w:rPr>
          <w:rFonts w:ascii="Arial" w:cs="Arial" w:eastAsia="Arial" w:hAnsi="Arial"/>
          <w:sz w:val="16"/>
          <w:szCs w:val="16"/>
          <w:color w:val="auto"/>
        </w:rPr>
        <w:t>are deemed to be a "large accelerated filer," under the rules of the U.S. Securities and Exchange Commission, or SEC, which means the market value of our equity securities that is held by non-affiliates exceeds $700 million as of the prior June 30th, and (4) the date on which we have issued more than $1.0 billion in non-convertible debt during the prior three-year period. For so long as we remain an EGC, we are permitted and intend to rely on exemptions from certain disclosure requirements that are applicable to other public companies that are not emerging growth companies. These exemptions include:</w:t>
      </w:r>
    </w:p>
    <w:p>
      <w:pPr>
        <w:spacing w:after="0" w:line="187" w:lineRule="exact"/>
        <w:rPr>
          <w:sz w:val="20"/>
          <w:szCs w:val="20"/>
          <w:color w:val="auto"/>
        </w:rPr>
      </w:pPr>
    </w:p>
    <w:p>
      <w:pPr>
        <w:ind w:left="980" w:hanging="493"/>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 or Section 404;</w:t>
      </w:r>
    </w:p>
    <w:p>
      <w:pPr>
        <w:spacing w:after="0" w:line="195" w:lineRule="exact"/>
        <w:rPr>
          <w:rFonts w:ascii="Arial" w:cs="Arial" w:eastAsia="Arial" w:hAnsi="Arial"/>
          <w:sz w:val="16"/>
          <w:szCs w:val="16"/>
          <w:color w:val="auto"/>
        </w:rPr>
      </w:pPr>
    </w:p>
    <w:p>
      <w:pPr>
        <w:ind w:left="980" w:right="280" w:hanging="493"/>
        <w:spacing w:after="0" w:line="282" w:lineRule="auto"/>
        <w:tabs>
          <w:tab w:leader="none" w:pos="9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has or may be adopted by the Public Company Accounting Oversight Board regarding mandatory audit firm rotation or a supplement to the auditor's report providing additional information about the audit and the financial statements;</w:t>
      </w:r>
    </w:p>
    <w:p>
      <w:pPr>
        <w:spacing w:after="0" w:line="144" w:lineRule="exact"/>
        <w:rPr>
          <w:rFonts w:ascii="Arial" w:cs="Arial" w:eastAsia="Arial" w:hAnsi="Arial"/>
          <w:sz w:val="15"/>
          <w:szCs w:val="15"/>
          <w:color w:val="auto"/>
        </w:rPr>
      </w:pPr>
    </w:p>
    <w:p>
      <w:pPr>
        <w:ind w:left="980" w:right="260" w:hanging="493"/>
        <w:spacing w:after="0" w:line="244"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this initial registration statement, in addition to any required unaudited interim financial statements, with correspondingly reduced "Management's Discussion and Analysis of Financial Condition and Results of Operations" disclosure;</w:t>
      </w:r>
    </w:p>
    <w:p>
      <w:pPr>
        <w:spacing w:after="0" w:line="172" w:lineRule="exact"/>
        <w:rPr>
          <w:rFonts w:ascii="Arial" w:cs="Arial" w:eastAsia="Arial" w:hAnsi="Arial"/>
          <w:sz w:val="16"/>
          <w:szCs w:val="16"/>
          <w:color w:val="auto"/>
        </w:rPr>
      </w:pPr>
    </w:p>
    <w:p>
      <w:pPr>
        <w:ind w:left="980" w:hanging="493"/>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and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exemption from the requirement to seek nonbinding advisory votes on executive compensation or golden parachute arrangements.</w:t>
      </w:r>
    </w:p>
    <w:p>
      <w:pPr>
        <w:spacing w:after="0" w:line="195" w:lineRule="exact"/>
        <w:rPr>
          <w:sz w:val="20"/>
          <w:szCs w:val="20"/>
          <w:color w:val="auto"/>
        </w:rPr>
      </w:pPr>
    </w:p>
    <w:p>
      <w:pPr>
        <w:ind w:right="40" w:firstLine="442"/>
        <w:spacing w:after="0" w:line="242"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ADSs less attractive if we rely on certain or all of these exemptions. If some investors find our ADSs less attractive as a result, there may be a less active trading market for our ADSs and our ADS price may be more volatile.</w:t>
      </w:r>
    </w:p>
    <w:p>
      <w:pPr>
        <w:spacing w:after="0" w:line="187" w:lineRule="exact"/>
        <w:rPr>
          <w:sz w:val="20"/>
          <w:szCs w:val="20"/>
          <w:color w:val="auto"/>
        </w:rPr>
      </w:pPr>
    </w:p>
    <w:p>
      <w:pPr>
        <w:ind w:right="120" w:firstLine="442"/>
        <w:spacing w:after="0" w:line="242" w:lineRule="auto"/>
        <w:rPr>
          <w:sz w:val="20"/>
          <w:szCs w:val="20"/>
          <w:color w:val="auto"/>
        </w:rPr>
      </w:pPr>
      <w:r>
        <w:rPr>
          <w:rFonts w:ascii="Arial" w:cs="Arial" w:eastAsia="Arial" w:hAnsi="Arial"/>
          <w:sz w:val="16"/>
          <w:szCs w:val="16"/>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87" w:lineRule="exact"/>
        <w:rPr>
          <w:sz w:val="20"/>
          <w:szCs w:val="20"/>
          <w:color w:val="auto"/>
        </w:rPr>
      </w:pPr>
    </w:p>
    <w:p>
      <w:pPr>
        <w:ind w:right="260" w:firstLine="442"/>
        <w:spacing w:after="0" w:line="264" w:lineRule="auto"/>
        <w:rPr>
          <w:sz w:val="20"/>
          <w:szCs w:val="20"/>
          <w:color w:val="auto"/>
        </w:rPr>
      </w:pPr>
      <w:r>
        <w:rPr>
          <w:rFonts w:ascii="Arial" w:cs="Arial" w:eastAsia="Arial" w:hAnsi="Arial"/>
          <w:sz w:val="15"/>
          <w:szCs w:val="15"/>
          <w:color w:val="auto"/>
        </w:rPr>
        <w:t>Even after we no longer qualify as an emerging growth company, we may still qualify as a "smaller reporting company" if the market value of our ordinary shares held by non-affiliates is below $250 million (or $700 million if our annual revenue is less than $100 million) as of June 30 in any given year,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152"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company whose ADSs are publicly traded in the United States, and our management will be required to devote substantial time to new compliance initiatives.</w:t>
      </w:r>
    </w:p>
    <w:p>
      <w:pPr>
        <w:spacing w:after="0" w:line="163" w:lineRule="exact"/>
        <w:rPr>
          <w:sz w:val="20"/>
          <w:szCs w:val="20"/>
          <w:color w:val="auto"/>
        </w:rPr>
      </w:pPr>
    </w:p>
    <w:p>
      <w:pPr>
        <w:ind w:firstLine="433"/>
        <w:spacing w:after="0" w:line="244" w:lineRule="auto"/>
        <w:rPr>
          <w:sz w:val="20"/>
          <w:szCs w:val="20"/>
          <w:color w:val="auto"/>
        </w:rPr>
      </w:pPr>
      <w:r>
        <w:rPr>
          <w:rFonts w:ascii="Arial" w:cs="Arial" w:eastAsia="Arial" w:hAnsi="Arial"/>
          <w:sz w:val="16"/>
          <w:szCs w:val="16"/>
          <w:color w:val="auto"/>
        </w:rPr>
        <w:t>As a U.S. public company, and particularly after we are no longer an EGC, we will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both"/>
        <w:ind w:right="100"/>
        <w:spacing w:after="0" w:line="242" w:lineRule="auto"/>
        <w:rPr>
          <w:sz w:val="20"/>
          <w:szCs w:val="20"/>
          <w:color w:val="auto"/>
        </w:rPr>
      </w:pPr>
      <w:r>
        <w:rPr>
          <w:rFonts w:ascii="Arial" w:cs="Arial" w:eastAsia="Arial" w:hAnsi="Arial"/>
          <w:sz w:val="16"/>
          <w:szCs w:val="16"/>
          <w:color w:val="auto"/>
        </w:rPr>
        <w:t>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87" w:lineRule="exact"/>
        <w:rPr>
          <w:sz w:val="20"/>
          <w:szCs w:val="20"/>
          <w:color w:val="auto"/>
        </w:rPr>
      </w:pPr>
    </w:p>
    <w:p>
      <w:pPr>
        <w:ind w:right="40" w:firstLine="442"/>
        <w:spacing w:after="0"/>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we will not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are unable to remedy the material weakness,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ADS price.</w:t>
      </w:r>
    </w:p>
    <w:p>
      <w:pPr>
        <w:spacing w:after="0" w:line="17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We have historically been a private limited company, and as such, have not historically been subject to the reporting requirements of Section 404 or an audit performed in accordance with auditing standards issued by the PCAOB. However, in connection with the preparation of our consolidated financial statements for the year ended December 31, 2018, we identified an error in our previously reported financial statements due to a material weakness in our internal control over financial reporting related to the valuation of our warrant liability. The material weakness is attributable to a deficiency in the design and operating effectiveness of our review of the respective third party valuation reports. Specifically, the findings relate to our internal control infrastructure that existed as of December 31, 2017 and September 30, 2018 where we did not design or implement sufficient processes, controls or other review processes to ensure that the liquidation preferences of our Series A and Series B1 warrants per our articles of association were properly reflected as an input in the valuations during the year ended December 31, 2017, or for the nine month periods ended September 30, 2018 as previously reported. As a result, the financial statements for those periods required restatement.</w:t>
      </w:r>
    </w:p>
    <w:p>
      <w:pPr>
        <w:spacing w:after="0" w:line="190"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We have implemented and are continuing to implement measures designed to improve our internal control over financial reporting to remediate the material weakness,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We commenced efforts to enhance our control structure by hiring a full-time corporate controller with significant U.S. GAAP, SEC reporting and biotechnology industry experience in the second quarter of 2018, as well as by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340"/>
        <w:spacing w:after="0" w:line="249" w:lineRule="auto"/>
        <w:rPr>
          <w:sz w:val="20"/>
          <w:szCs w:val="20"/>
          <w:color w:val="auto"/>
        </w:rPr>
      </w:pPr>
      <w:r>
        <w:rPr>
          <w:rFonts w:ascii="Arial" w:cs="Arial" w:eastAsia="Arial" w:hAnsi="Arial"/>
          <w:sz w:val="16"/>
          <w:szCs w:val="16"/>
          <w:color w:val="auto"/>
        </w:rPr>
        <w:t>engaging financial consultants to assist with the evaluation and documentation of technical accounting matters. We expect to hire additional senior accounting staff, including those with expertise in SEC reporting and internal controls upon becoming a public company.</w:t>
      </w:r>
    </w:p>
    <w:p>
      <w:pPr>
        <w:spacing w:after="0" w:line="181"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We expect to incur additional costs to remediate the material weakness, though there can be no assurance that our efforts will be successful or avoid potential future material weaknesses. In addition, neither our management nor an independent registered public accounting firm has ever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ADS price may decline as a result. We also could become subject to investigations by Nasdaq, the SEC or other regulatory authorities.</w:t>
      </w:r>
    </w:p>
    <w:p>
      <w:pPr>
        <w:spacing w:after="0" w:line="172" w:lineRule="exact"/>
        <w:rPr>
          <w:sz w:val="20"/>
          <w:szCs w:val="20"/>
          <w:color w:val="auto"/>
        </w:rPr>
      </w:pPr>
    </w:p>
    <w:p>
      <w:pPr>
        <w:jc w:val="both"/>
        <w:ind w:right="360"/>
        <w:spacing w:after="0" w:line="256"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175" w:lineRule="exact"/>
        <w:rPr>
          <w:sz w:val="20"/>
          <w:szCs w:val="20"/>
          <w:color w:val="auto"/>
        </w:rPr>
      </w:pPr>
    </w:p>
    <w:p>
      <w:pPr>
        <w:ind w:right="80" w:firstLine="442"/>
        <w:spacing w:after="0" w:line="260" w:lineRule="auto"/>
        <w:rPr>
          <w:sz w:val="20"/>
          <w:szCs w:val="20"/>
          <w:color w:val="auto"/>
        </w:rPr>
      </w:pPr>
      <w:r>
        <w:rPr>
          <w:rFonts w:ascii="Arial" w:cs="Arial" w:eastAsia="Arial" w:hAnsi="Arial"/>
          <w:sz w:val="15"/>
          <w:szCs w:val="15"/>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ADSs.</w:t>
      </w:r>
    </w:p>
    <w:p>
      <w:pPr>
        <w:spacing w:after="0" w:line="175"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 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13" w:lineRule="exact"/>
        <w:rPr>
          <w:sz w:val="20"/>
          <w:szCs w:val="20"/>
          <w:color w:val="auto"/>
        </w:rPr>
      </w:pPr>
    </w:p>
    <w:p>
      <w:pPr>
        <w:ind w:right="100" w:firstLine="442"/>
        <w:spacing w:after="0" w:line="241" w:lineRule="auto"/>
        <w:rPr>
          <w:sz w:val="20"/>
          <w:szCs w:val="20"/>
          <w:color w:val="auto"/>
        </w:rPr>
      </w:pPr>
      <w:r>
        <w:rPr>
          <w:rFonts w:ascii="Arial" w:cs="Arial" w:eastAsia="Arial" w:hAnsi="Arial"/>
          <w:sz w:val="16"/>
          <w:szCs w:val="16"/>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tax reform legislation could adversely affect our business and financial condition.</w:t>
      </w:r>
    </w:p>
    <w:p>
      <w:pPr>
        <w:spacing w:after="0" w:line="213"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On December 22, 2017, President Trump signed into law the TCJA, which makes significant changes to the Internal Revenue Code of 1986, as amended, or the Code. The TCJA, among other things, contains significant changes to corporate taxation and other changes that may impact our operations, in particular the operations of our wholly owned U.S. subsidiary, Bicycle Therapeutics Inc. We continue to examine the impact the TCJA may have on our business, though the effect of the TCJA on our business is uncertain. We urge investors to consult with their legal and tax advisers regarding the implications of the TCJA on an investment in our ordinary shares or ADSs.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a controlled foreign corporation, there could be adverse U.S. federal income tax consequences to certain U.S. holders.</w:t>
      </w:r>
    </w:p>
    <w:p>
      <w:pPr>
        <w:spacing w:after="0" w:line="21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and investment of earnings in U.S. property, even if the CFC has made no distributions to its shareholders. Subpart F income generally includes dividends, interest, rents, royalties, "global intangible low-taxed income,"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90" w:lineRule="exact"/>
        <w:rPr>
          <w:sz w:val="20"/>
          <w:szCs w:val="20"/>
          <w:color w:val="auto"/>
        </w:rPr>
      </w:pPr>
    </w:p>
    <w:p>
      <w:pPr>
        <w:jc w:val="both"/>
        <w:ind w:right="200" w:firstLine="442"/>
        <w:spacing w:after="0" w:line="242" w:lineRule="auto"/>
        <w:rPr>
          <w:sz w:val="20"/>
          <w:szCs w:val="20"/>
          <w:color w:val="auto"/>
        </w:rPr>
      </w:pPr>
      <w:r>
        <w:rPr>
          <w:rFonts w:ascii="Arial" w:cs="Arial" w:eastAsia="Arial" w:hAnsi="Arial"/>
          <w:sz w:val="16"/>
          <w:szCs w:val="16"/>
          <w:color w:val="auto"/>
        </w:rPr>
        <w:t>We believe that we were not a CFC in the 2018 taxable year and we do not expect to be a CFC in the current taxable year. However, the determination of CFC status is complex and includes attribution rules, the application of which is not entirely certain. U.S. Holders (as defined below under "Material Income Tax Considerations—Material United States Federal Income Tax Considerations for U.S. Holders") should consult their own tax advisors with respect to the potential adverse U.S. tax consequences of becoming a Ten Percent Shareholder in a CFC.</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a PFIC, there could be adverse U.S. federal income tax consequences to U.S. holders.</w:t>
      </w:r>
    </w:p>
    <w:p>
      <w:pPr>
        <w:spacing w:after="0" w:line="213" w:lineRule="exact"/>
        <w:rPr>
          <w:sz w:val="20"/>
          <w:szCs w:val="20"/>
          <w:color w:val="auto"/>
        </w:rPr>
      </w:pPr>
    </w:p>
    <w:p>
      <w:pPr>
        <w:ind w:right="60" w:firstLine="442"/>
        <w:spacing w:after="0" w:line="242" w:lineRule="auto"/>
        <w:rPr>
          <w:sz w:val="20"/>
          <w:szCs w:val="20"/>
          <w:color w:val="auto"/>
        </w:rPr>
      </w:pPr>
      <w:r>
        <w:rPr>
          <w:rFonts w:ascii="Arial" w:cs="Arial" w:eastAsia="Arial" w:hAnsi="Arial"/>
          <w:sz w:val="16"/>
          <w:szCs w:val="16"/>
          <w:color w:val="auto"/>
        </w:rPr>
        <w:t>Under the Code, we will be a PFIC, for any taxable year in which (1) 75% or more of our gross income consists of passive income or (2)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the shares of another corporation is treated as holding and receiving directly its proportionate share of assets and income of such corporation. If we are a PFIC for any taxable year during which a U.S. Holder holds our shares,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187"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Based on our analysis of our income, assets, activities and market capitalization, we believe that we were a PFIC in the 2018 taxable year. We have not yet determined our PFIC status for the current taxable year, but we may be a PFIC. The determination of whether we are a PFIC is a fact-intensive determination made on an annual basis applying principles and methodologies that in some circumstances are unclear and subject to varying interpretation. The value of our assets would also be determined differently for the purposes of this determination if we were treated as a CFC, as discussed above. As a result, there can be no assurance regarding if we currently are treated as a PFIC, or may be treated as a PFIC in the future. In addition, for our current and future taxable years, the total value of our assets for PFIC testing purposes may be determined in part by reference to the market price of our ordinary shares or ADSs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we spend the cash we raise in any offering, including this offering.</w:t>
      </w:r>
    </w:p>
    <w:p>
      <w:pPr>
        <w:spacing w:after="0" w:line="190" w:lineRule="exact"/>
        <w:rPr>
          <w:sz w:val="20"/>
          <w:szCs w:val="20"/>
          <w:color w:val="auto"/>
        </w:rPr>
      </w:pPr>
    </w:p>
    <w:p>
      <w:pPr>
        <w:ind w:right="180" w:firstLine="442"/>
        <w:spacing w:after="0" w:line="241" w:lineRule="auto"/>
        <w:rPr>
          <w:sz w:val="20"/>
          <w:szCs w:val="20"/>
          <w:color w:val="auto"/>
        </w:rPr>
      </w:pPr>
      <w:r>
        <w:rPr>
          <w:rFonts w:ascii="Arial" w:cs="Arial" w:eastAsia="Arial" w:hAnsi="Arial"/>
          <w:sz w:val="16"/>
          <w:szCs w:val="16"/>
          <w:color w:val="auto"/>
        </w:rPr>
        <w:t>In certain circumstances, a U.S. Holder of shares in a PFIC may alleviate some of the adverse tax consequences described above by making either a "qualified electing fund," or QEF, election or a mark-to-market election (if our ordinary shares or ADSs constitute "marketable" securities under the Code). A U.S. Holder would be able to make a mark-to-market election with respect to our ordinary shares or ADSs as long as those shares or ADSs constitute marketable securities under the Code. However, a U.S. Holder may make a QEF election with respect to our ordinary shares or ADSs only if we agree to furnish such U.S. Holder annually with required information. If we determine that we are a PFIC for this taxable year or any future taxable year, we currently expect that we would make available the information necessary for U.S. Holders to make a QEF Election.</w:t>
      </w:r>
    </w:p>
    <w:p>
      <w:pPr>
        <w:spacing w:after="0" w:line="188" w:lineRule="exact"/>
        <w:rPr>
          <w:sz w:val="20"/>
          <w:szCs w:val="20"/>
          <w:color w:val="auto"/>
        </w:rPr>
      </w:pPr>
    </w:p>
    <w:p>
      <w:pPr>
        <w:ind w:right="100" w:firstLine="442"/>
        <w:spacing w:after="0" w:line="249" w:lineRule="auto"/>
        <w:rPr>
          <w:sz w:val="20"/>
          <w:szCs w:val="20"/>
          <w:color w:val="auto"/>
        </w:rPr>
      </w:pPr>
      <w:r>
        <w:rPr>
          <w:rFonts w:ascii="Arial" w:cs="Arial" w:eastAsia="Arial" w:hAnsi="Arial"/>
          <w:sz w:val="16"/>
          <w:szCs w:val="16"/>
          <w:color w:val="auto"/>
        </w:rPr>
        <w:t>For further discussion of the PFIC rules and the adverse U.S. federal income tax consequences in the event we are classified as a PFIC, see the section of this prospectus entitled "Material Income Tax Considerations — Material United States Federal Income Considerations for U.S. Holders."</w:t>
      </w:r>
    </w:p>
    <w:p>
      <w:pPr>
        <w:spacing w:after="0" w:line="163" w:lineRule="exact"/>
        <w:rPr>
          <w:sz w:val="20"/>
          <w:szCs w:val="20"/>
          <w:color w:val="auto"/>
        </w:rPr>
      </w:pPr>
    </w:p>
    <w:p>
      <w:pPr>
        <w:ind w:right="440"/>
        <w:spacing w:after="0" w:line="272" w:lineRule="auto"/>
        <w:rPr>
          <w:sz w:val="20"/>
          <w:szCs w:val="20"/>
          <w:color w:val="auto"/>
        </w:rPr>
      </w:pPr>
      <w:r>
        <w:rPr>
          <w:rFonts w:ascii="Arial" w:cs="Arial" w:eastAsia="Arial" w:hAnsi="Arial"/>
          <w:sz w:val="16"/>
          <w:szCs w:val="16"/>
          <w:b w:val="1"/>
          <w:bCs w:val="1"/>
          <w:i w:val="1"/>
          <w:iCs w:val="1"/>
          <w:color w:val="auto"/>
        </w:rPr>
        <w:t>We may be unable to use net operating loss and tax credit carryforwards and certain built-in losses to reduce future tax payments or benefit from favorable U.K. tax legislation.</w:t>
      </w:r>
    </w:p>
    <w:p>
      <w:pPr>
        <w:spacing w:after="0" w:line="163" w:lineRule="exact"/>
        <w:rPr>
          <w:sz w:val="20"/>
          <w:szCs w:val="20"/>
          <w:color w:val="auto"/>
        </w:rPr>
      </w:pPr>
    </w:p>
    <w:p>
      <w:pPr>
        <w:ind w:firstLine="433"/>
        <w:spacing w:after="0"/>
        <w:rPr>
          <w:sz w:val="20"/>
          <w:szCs w:val="20"/>
          <w:color w:val="auto"/>
        </w:rPr>
      </w:pPr>
      <w:r>
        <w:rPr>
          <w:rFonts w:ascii="Arial" w:cs="Arial" w:eastAsia="Arial" w:hAnsi="Arial"/>
          <w:sz w:val="16"/>
          <w:szCs w:val="16"/>
          <w:color w:val="auto"/>
        </w:rPr>
        <w:t>As a U.K. incorporated and tax resident entity, we are subject to U.K. corporate taxation on tax-adjusted trading profits. Due to the nature of our business, we have generated losses since inception and therefore have not paid any U.K. corporation tax. As of December 31, 2018, we had cumulative carryforward tax losses of $29.1 million in the U.K. Subject to numerous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we expect these to be eligible for carry forward and utilization against future operating profits. The use of loss carryforwards in relation to U.K. profits incurred on or after April 1, 2017 will be limited each year to £5.0 million plus an incremental 50% of U.K. taxable profits. In addition, if we were to have a major change in the nature of the conduct of our trade, loss carryforwards may be restricted or extinguished.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60" w:firstLine="433"/>
        <w:spacing w:after="0"/>
        <w:rPr>
          <w:sz w:val="20"/>
          <w:szCs w:val="20"/>
          <w:color w:val="auto"/>
        </w:rPr>
      </w:pPr>
      <w:r>
        <w:rPr>
          <w:rFonts w:ascii="Arial" w:cs="Arial" w:eastAsia="Arial" w:hAnsi="Arial"/>
          <w:sz w:val="16"/>
          <w:szCs w:val="16"/>
          <w:color w:val="auto"/>
        </w:rPr>
        <w:t>As a company that carries out extensive research and development activities, we seek to benefit from one of two U.K. research and development tax relief programs, the Small and Medium-sized Enterprises R&amp;D Tax Credit Program, or SME Program, and the Research and Development Expenditure program, or RDEC Program. Where available, under the SME Program, we may be able to surrender the trading losses that arise from our qualifying research and development activities for cash or carried forward for potential offset against future profits (subject to relevant restrictions). The majority of our pipeline research, clinical trials management and manufacturing development activities are eligible for inclusion within these SME Program tax credit cash rebate claims. On October 29, 2018, the U.K. government proposed that from April 1, 2020 the amount of payable credit that a qualifying loss-making SME business can receive through R&amp;D relief in any one year will be capped at three times the company's total PAYE and NICs liability for that year.</w:t>
      </w:r>
    </w:p>
    <w:p>
      <w:pPr>
        <w:spacing w:after="0" w:line="192"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We may benefit in the future from the United Kingdom's "patent box" regime, which allows certain profits attributable to revenues from patented products (and other qualifying income) to be taxed at an effective rate of 10%. We are the exclusive licensee or owner of several patent applications which, if issued, would cover our product candidates, and accordingly, future upfront fees, milestone fees, product revenues and royalties could be taxed at this tax rate. When taken in combination with the enhanced relief available on our research and development expenditures, we expect a long-term lower rate of corporation tax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changes to tax laws could materially adversely affect our company and reduce net returns to our shareholders.</w:t>
      </w:r>
    </w:p>
    <w:p>
      <w:pPr>
        <w:spacing w:after="0" w:line="213" w:lineRule="exact"/>
        <w:rPr>
          <w:sz w:val="20"/>
          <w:szCs w:val="20"/>
          <w:color w:val="auto"/>
        </w:rPr>
      </w:pPr>
    </w:p>
    <w:p>
      <w:pPr>
        <w:ind w:right="20" w:firstLine="439"/>
        <w:spacing w:after="0"/>
        <w:rPr>
          <w:sz w:val="20"/>
          <w:szCs w:val="20"/>
          <w:color w:val="auto"/>
        </w:rPr>
      </w:pPr>
      <w:r>
        <w:rPr>
          <w:rFonts w:ascii="Arial" w:cs="Arial" w:eastAsia="Arial" w:hAnsi="Arial"/>
          <w:sz w:val="16"/>
          <w:szCs w:val="16"/>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73" w:lineRule="exact"/>
        <w:rPr>
          <w:sz w:val="20"/>
          <w:szCs w:val="20"/>
          <w:color w:val="auto"/>
        </w:rPr>
      </w:pPr>
    </w:p>
    <w:p>
      <w:pPr>
        <w:ind w:right="580"/>
        <w:spacing w:after="0" w:line="272" w:lineRule="auto"/>
        <w:rPr>
          <w:sz w:val="20"/>
          <w:szCs w:val="20"/>
          <w:color w:val="auto"/>
        </w:rPr>
      </w:pPr>
      <w:r>
        <w:rPr>
          <w:rFonts w:ascii="Arial" w:cs="Arial" w:eastAsia="Arial" w:hAnsi="Arial"/>
          <w:sz w:val="16"/>
          <w:szCs w:val="16"/>
          <w:b w:val="1"/>
          <w:bCs w:val="1"/>
          <w:i w:val="1"/>
          <w:iCs w:val="1"/>
          <w:color w:val="auto"/>
        </w:rPr>
        <w:t>Tax authorities may disagree with our positions and conclusions regarding certain tax positions, resulting in unanticipated costs, taxes or non-realization of expected benefits.</w:t>
      </w:r>
    </w:p>
    <w:p>
      <w:pPr>
        <w:spacing w:after="0" w:line="163" w:lineRule="exact"/>
        <w:rPr>
          <w:sz w:val="20"/>
          <w:szCs w:val="20"/>
          <w:color w:val="auto"/>
        </w:rPr>
      </w:pPr>
    </w:p>
    <w:p>
      <w:pPr>
        <w:ind w:right="140" w:firstLine="433"/>
        <w:spacing w:after="0" w:line="241"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HM Revenue &amp; Customs, or HMRC,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67"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b w:val="1"/>
          <w:bCs w:val="1"/>
          <w:i w:val="1"/>
          <w:iCs w:val="1"/>
          <w:color w:val="auto"/>
        </w:rPr>
        <w:t>Shareholder protections found in provisions under the U.K. City Code on Takeovers and Mergers, or the Takeover Code, will not apply if our place of management and control is considered to change to outside the United Kingdom.</w:t>
      </w:r>
    </w:p>
    <w:p>
      <w:pPr>
        <w:spacing w:after="0" w:line="163"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Prior to the consummation of this offering, we will re-register as a public limited company incorporated in England and Wales. Our place of central management and control is currently in the United Kingdom. Accordingly, we are currently subject to the Takeover Code and, as a result, our shareholders are entitled to the benefit of certain takeover offer protections provided under the Takeover Code. The Takeover Code provides a framework within which takeovers of companies are regulated and conducted. If, at the time of a takeover offer, the Panel on Takeovers and Mergers determines that we do not have our place of central management and control in the United Kingdom, then the Takeover Code would not apply to us and our shareholders would not be entitled to the benefit of the various protections that the Takeover Code affords. In particular, we would not be subject to the rules regarding mandatory takeover bids. The following is a brief summary of some of the most important rules of the Takeover Code:</w:t>
      </w:r>
    </w:p>
    <w:p>
      <w:pPr>
        <w:spacing w:after="0" w:line="192" w:lineRule="exact"/>
        <w:rPr>
          <w:sz w:val="20"/>
          <w:szCs w:val="20"/>
          <w:color w:val="auto"/>
        </w:rPr>
      </w:pPr>
    </w:p>
    <w:p>
      <w:pPr>
        <w:ind w:left="980" w:right="120" w:hanging="493"/>
        <w:spacing w:after="0" w:line="241"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188" w:lineRule="exact"/>
        <w:rPr>
          <w:rFonts w:ascii="Arial" w:cs="Arial" w:eastAsia="Arial" w:hAnsi="Arial"/>
          <w:sz w:val="16"/>
          <w:szCs w:val="16"/>
          <w:color w:val="auto"/>
        </w:rPr>
      </w:pPr>
    </w:p>
    <w:p>
      <w:pPr>
        <w:ind w:left="980" w:right="60" w:hanging="493"/>
        <w:spacing w:after="0" w:line="241"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176" w:lineRule="exact"/>
        <w:rPr>
          <w:rFonts w:ascii="Arial" w:cs="Arial" w:eastAsia="Arial" w:hAnsi="Arial"/>
          <w:sz w:val="16"/>
          <w:szCs w:val="16"/>
          <w:color w:val="auto"/>
        </w:rPr>
      </w:pPr>
    </w:p>
    <w:p>
      <w:pPr>
        <w:ind w:left="980" w:hanging="493"/>
        <w:spacing w:after="0" w:line="244"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spacing w:after="0" w:line="172" w:lineRule="exact"/>
        <w:rPr>
          <w:rFonts w:ascii="Arial" w:cs="Arial" w:eastAsia="Arial" w:hAnsi="Arial"/>
          <w:sz w:val="16"/>
          <w:szCs w:val="16"/>
          <w:color w:val="auto"/>
        </w:rPr>
      </w:pPr>
    </w:p>
    <w:p>
      <w:pPr>
        <w:ind w:left="980" w:right="240" w:hanging="493"/>
        <w:spacing w:after="0" w:line="239"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relation to a voluntary offer (i.e. any offer which is not a mandatory offer), when interests in shares representing 10% or more of the shares of a class have been acquired for cash by an offeror (i.e., a bidder) and any person acting in concert with it in the offer period and the previous</w:t>
      </w:r>
    </w:p>
    <w:p>
      <w:pPr>
        <w:jc w:val="both"/>
        <w:ind w:left="980" w:right="340"/>
        <w:spacing w:after="0" w:line="242" w:lineRule="auto"/>
        <w:rPr>
          <w:rFonts w:ascii="Arial" w:cs="Arial" w:eastAsia="Arial" w:hAnsi="Arial"/>
          <w:sz w:val="16"/>
          <w:szCs w:val="16"/>
          <w:color w:val="auto"/>
        </w:rPr>
      </w:pPr>
      <w:r>
        <w:rPr>
          <w:rFonts w:ascii="Arial" w:cs="Arial" w:eastAsia="Arial" w:hAnsi="Arial"/>
          <w:sz w:val="16"/>
          <w:szCs w:val="16"/>
          <w:color w:val="auto"/>
        </w:rPr>
        <w:t>12 months, the offer must be in cash or include a cash alternative for all shareholders of that class at not less than the highest price paid for any interest in shares of that class by the offeror and by any person acting in concert with it in that period. Further, if an offeror acquires for cash any interest in shares during the offer period, a cash alternative must be made available at not less than the highest price paid for any interest in the shares of that class;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right="580" w:hanging="493"/>
        <w:spacing w:after="0" w:line="249"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offeror acquires an interest in shares in an offeree company (i.e., a target) at a price higher than the value of the offer, the offer must be increased to not less than the highest price paid for the interest in shares so acquired;</w:t>
      </w:r>
    </w:p>
    <w:p>
      <w:pPr>
        <w:spacing w:after="0" w:line="180" w:lineRule="exact"/>
        <w:rPr>
          <w:rFonts w:ascii="Arial" w:cs="Arial" w:eastAsia="Arial" w:hAnsi="Arial"/>
          <w:sz w:val="16"/>
          <w:szCs w:val="16"/>
          <w:color w:val="auto"/>
        </w:rPr>
      </w:pPr>
    </w:p>
    <w:p>
      <w:pPr>
        <w:ind w:left="980" w:right="220" w:hanging="493"/>
        <w:spacing w:after="0" w:line="249"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offeree company must obtain competent advice as to whether the terms of any offer are fair and reasonable and the substance of such advice must be made known to all the shareholders, together with the opinion of the board of directors of the offeree company;</w:t>
      </w:r>
    </w:p>
    <w:p>
      <w:pPr>
        <w:spacing w:after="0" w:line="168" w:lineRule="exact"/>
        <w:rPr>
          <w:rFonts w:ascii="Arial" w:cs="Arial" w:eastAsia="Arial" w:hAnsi="Arial"/>
          <w:sz w:val="16"/>
          <w:szCs w:val="16"/>
          <w:color w:val="auto"/>
        </w:rPr>
      </w:pPr>
    </w:p>
    <w:p>
      <w:pPr>
        <w:ind w:left="980" w:right="160" w:hanging="493"/>
        <w:spacing w:after="0" w:line="249"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shareholders must be given the same information;</w:t>
      </w:r>
    </w:p>
    <w:p>
      <w:pPr>
        <w:spacing w:after="0" w:line="195" w:lineRule="exact"/>
        <w:rPr>
          <w:rFonts w:ascii="Arial" w:cs="Arial" w:eastAsia="Arial" w:hAnsi="Arial"/>
          <w:sz w:val="16"/>
          <w:szCs w:val="16"/>
          <w:color w:val="auto"/>
        </w:rPr>
      </w:pPr>
    </w:p>
    <w:p>
      <w:pPr>
        <w:ind w:left="980" w:hanging="493"/>
        <w:spacing w:after="0" w:line="249"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document published in connection with an offer by or on behalf of the offeror or offeree must state that the directors of the offeror or the offeree, as the case may be, accept responsibility for the information contained therein;</w:t>
      </w:r>
    </w:p>
    <w:p>
      <w:pPr>
        <w:spacing w:after="0" w:line="168" w:lineRule="exact"/>
        <w:rPr>
          <w:rFonts w:ascii="Arial" w:cs="Arial" w:eastAsia="Arial" w:hAnsi="Arial"/>
          <w:sz w:val="16"/>
          <w:szCs w:val="16"/>
          <w:color w:val="auto"/>
        </w:rPr>
      </w:pPr>
    </w:p>
    <w:p>
      <w:pPr>
        <w:ind w:left="980" w:right="460" w:hanging="493"/>
        <w:spacing w:after="0" w:line="249"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profit forecasts, quantified financial benefits statements and asset valuations must be made to specified standards and must be reported on by professional advisers;</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misleading, inaccurate or unsubstantiated statements made in documents or to the media must be publicly corrected immediately;</w:t>
      </w:r>
    </w:p>
    <w:p>
      <w:pPr>
        <w:spacing w:after="0" w:line="195" w:lineRule="exact"/>
        <w:rPr>
          <w:rFonts w:ascii="Arial" w:cs="Arial" w:eastAsia="Arial" w:hAnsi="Arial"/>
          <w:sz w:val="16"/>
          <w:szCs w:val="16"/>
          <w:color w:val="auto"/>
        </w:rPr>
      </w:pPr>
    </w:p>
    <w:p>
      <w:pPr>
        <w:ind w:left="980" w:right="20" w:hanging="493"/>
        <w:spacing w:after="0" w:line="244"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172" w:lineRule="exact"/>
        <w:rPr>
          <w:rFonts w:ascii="Arial" w:cs="Arial" w:eastAsia="Arial" w:hAnsi="Arial"/>
          <w:sz w:val="16"/>
          <w:szCs w:val="16"/>
          <w:color w:val="auto"/>
        </w:rPr>
      </w:pPr>
    </w:p>
    <w:p>
      <w:pPr>
        <w:ind w:left="980" w:right="60" w:hanging="493"/>
        <w:spacing w:after="0" w:line="244"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stringent and detailed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 and</w:t>
      </w:r>
    </w:p>
    <w:p>
      <w:pPr>
        <w:spacing w:after="0" w:line="172" w:lineRule="exact"/>
        <w:rPr>
          <w:rFonts w:ascii="Arial" w:cs="Arial" w:eastAsia="Arial" w:hAnsi="Arial"/>
          <w:sz w:val="16"/>
          <w:szCs w:val="16"/>
          <w:color w:val="auto"/>
        </w:rPr>
      </w:pPr>
    </w:p>
    <w:p>
      <w:pPr>
        <w:ind w:left="980" w:right="80" w:hanging="493"/>
        <w:spacing w:after="0" w:line="244"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rights of our shareholders may differ from the rights typically offered to shareholders of a U.S. corporation.</w:t>
      </w:r>
    </w:p>
    <w:p>
      <w:pPr>
        <w:spacing w:after="0" w:line="213" w:lineRule="exact"/>
        <w:rPr>
          <w:sz w:val="20"/>
          <w:szCs w:val="20"/>
          <w:color w:val="auto"/>
        </w:rPr>
      </w:pPr>
    </w:p>
    <w:p>
      <w:pPr>
        <w:ind w:right="160" w:firstLine="442"/>
        <w:spacing w:after="0" w:line="241" w:lineRule="auto"/>
        <w:rPr>
          <w:sz w:val="20"/>
          <w:szCs w:val="20"/>
          <w:color w:val="auto"/>
        </w:rPr>
      </w:pPr>
      <w:r>
        <w:rPr>
          <w:rFonts w:ascii="Arial" w:cs="Arial" w:eastAsia="Arial" w:hAnsi="Arial"/>
          <w:sz w:val="16"/>
          <w:szCs w:val="16"/>
          <w:color w:val="auto"/>
        </w:rPr>
        <w:t>We are incorporated under English law. The rights of holders of ordinary shares and, therefore, certain of the rights of holders of ADSs, are governed by English law, including the provisions of the U.K. Companies Act, or the Companies Act, and by our Articles of Association. These rights differ in certain respects from the rights of shareholders in typical U.S. corporations. See "Description of Share Capital and Articles of Association — Differences in Corporate Law" in this prospectus for a description of the principal differences between the provisions of the Companies Act applicable to us and, for example, the Delaware General Corporation Law relating to stockholders' rights and protections.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principal differences include the following:</w:t>
      </w:r>
    </w:p>
    <w:p>
      <w:pPr>
        <w:spacing w:after="0" w:line="207" w:lineRule="exact"/>
        <w:rPr>
          <w:sz w:val="20"/>
          <w:szCs w:val="20"/>
          <w:color w:val="auto"/>
        </w:rPr>
      </w:pPr>
    </w:p>
    <w:p>
      <w:pPr>
        <w:ind w:left="980" w:right="160" w:hanging="493"/>
        <w:spacing w:after="0" w:line="244"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right="160" w:hanging="493"/>
        <w:spacing w:after="0" w:line="249"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80" w:lineRule="exact"/>
        <w:rPr>
          <w:rFonts w:ascii="Arial" w:cs="Arial" w:eastAsia="Arial" w:hAnsi="Arial"/>
          <w:sz w:val="16"/>
          <w:szCs w:val="16"/>
          <w:color w:val="auto"/>
        </w:rPr>
      </w:pPr>
    </w:p>
    <w:p>
      <w:pPr>
        <w:ind w:left="980" w:right="240" w:hanging="493"/>
        <w:spacing w:after="0" w:line="244"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172" w:lineRule="exact"/>
        <w:rPr>
          <w:rFonts w:ascii="Arial" w:cs="Arial" w:eastAsia="Arial" w:hAnsi="Arial"/>
          <w:sz w:val="16"/>
          <w:szCs w:val="16"/>
          <w:color w:val="auto"/>
        </w:rPr>
      </w:pPr>
    </w:p>
    <w:p>
      <w:pPr>
        <w:ind w:left="980" w:right="100" w:hanging="493"/>
        <w:spacing w:after="0" w:line="241"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76" w:lineRule="exact"/>
        <w:rPr>
          <w:rFonts w:ascii="Arial" w:cs="Arial" w:eastAsia="Arial" w:hAnsi="Arial"/>
          <w:sz w:val="16"/>
          <w:szCs w:val="16"/>
          <w:color w:val="auto"/>
        </w:rPr>
      </w:pPr>
    </w:p>
    <w:p>
      <w:pPr>
        <w:ind w:left="980" w:right="40" w:hanging="493"/>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for so long as we continue to be subject to the Takeover Code,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191" w:lineRule="exact"/>
        <w:rPr>
          <w:rFonts w:ascii="Arial" w:cs="Arial" w:eastAsia="Arial" w:hAnsi="Arial"/>
          <w:sz w:val="16"/>
          <w:szCs w:val="16"/>
          <w:color w:val="auto"/>
        </w:rPr>
      </w:pPr>
    </w:p>
    <w:p>
      <w:pPr>
        <w:ind w:left="980" w:right="80" w:hanging="493"/>
        <w:spacing w:after="0" w:line="242"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w:t>
      </w:r>
    </w:p>
    <w:p>
      <w:pPr>
        <w:spacing w:after="0" w:line="174" w:lineRule="exact"/>
        <w:rPr>
          <w:rFonts w:ascii="Arial" w:cs="Arial" w:eastAsia="Arial" w:hAnsi="Arial"/>
          <w:sz w:val="16"/>
          <w:szCs w:val="16"/>
          <w:color w:val="auto"/>
        </w:rPr>
      </w:pPr>
    </w:p>
    <w:p>
      <w:pPr>
        <w:ind w:left="980" w:hanging="493"/>
        <w:spacing w:after="0" w:line="241"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99" w:lineRule="exact"/>
        <w:rPr>
          <w:sz w:val="20"/>
          <w:szCs w:val="20"/>
          <w:color w:val="auto"/>
        </w:rPr>
      </w:pPr>
    </w:p>
    <w:p>
      <w:pPr>
        <w:ind w:firstLine="442"/>
        <w:spacing w:after="0" w:line="245" w:lineRule="auto"/>
        <w:rPr>
          <w:sz w:val="20"/>
          <w:szCs w:val="20"/>
          <w:color w:val="auto"/>
        </w:rPr>
      </w:pPr>
      <w:r>
        <w:rPr>
          <w:rFonts w:ascii="Arial" w:cs="Arial" w:eastAsia="Arial" w:hAnsi="Arial"/>
          <w:sz w:val="16"/>
          <w:szCs w:val="16"/>
          <w:i w:val="1"/>
          <w:iCs w:val="1"/>
          <w:color w:val="auto"/>
        </w:rPr>
        <w:t>This prospectus, including the sections titled "Prospectus Summary," "Risk Factors," "Management's Discussion and Analysis of Financial Condition and Results of Operations" and "Business," contains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 this prospectus include, but are not limited to, statements about:</w:t>
      </w:r>
    </w:p>
    <w:p>
      <w:pPr>
        <w:spacing w:after="0" w:line="185" w:lineRule="exact"/>
        <w:rPr>
          <w:sz w:val="20"/>
          <w:szCs w:val="20"/>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initiation, timing, progress and results of our preclinical studies and clinical trials, and our research and development programs;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advance our product candidates into, and successfully complete, clinical trials;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reliance on the success of our product candidates in our BTC program and our other pipeline programs;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utilize our screening platform to identify and advance additional product candidates into clinical development;</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timing or likelihood of regulatory filings and approvals;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commercialization of our product candidates, if approved;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develop sales and marketing capabilities;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pricing, coverage and reimbursement of our product candidates, if approved;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implementation of our business model, strategic plans for our business, product candidates and technology;</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operate our business without infringing the intellectual property rights and proprietary technology of third parties;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cost associated with defending intellectual property infringement, product liability and other claims;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regulatory development in the United States, under the laws and regulations of England and Wales, and other jurisdictions;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potential benefits of strategic collaboration agreements and our ability to enter into strategic arrangements;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maintain and establish collaborations or obtain additional grant funding;</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rate and degree of market acceptance of any approved products;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including competing therapies;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effectively manage our anticipated growth;</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hanging="493"/>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ability to attract and retain qualified employees and key personnel;</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expectations regarding the period during which we qualify as an emerging growth company under the JOBS Act;</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statements regarding future revenue, hiring plans, expenses, capital expenditures, capital requirements and share performance;</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expected use of proceeds of this offering;</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future trading price of the ADSs and impact of securities analysts' reports on these prices; and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risks and uncertainties, including those listed under the caption "Risk Factors."</w:t>
      </w:r>
    </w:p>
    <w:p>
      <w:pPr>
        <w:spacing w:after="0" w:line="195"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90" w:lineRule="exact"/>
        <w:rPr>
          <w:sz w:val="20"/>
          <w:szCs w:val="20"/>
          <w:color w:val="auto"/>
        </w:rPr>
      </w:pPr>
    </w:p>
    <w:p>
      <w:pPr>
        <w:ind w:firstLine="439"/>
        <w:spacing w:after="0" w:line="242" w:lineRule="auto"/>
        <w:rPr>
          <w:sz w:val="20"/>
          <w:szCs w:val="20"/>
          <w:color w:val="auto"/>
        </w:rPr>
      </w:pPr>
      <w:r>
        <w:rPr>
          <w:rFonts w:ascii="Arial" w:cs="Arial" w:eastAsia="Arial" w:hAnsi="Arial"/>
          <w:sz w:val="16"/>
          <w:szCs w:val="16"/>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MARKET, INDUSTRY AND OTHER DATA</w:t>
      </w:r>
    </w:p>
    <w:p>
      <w:pPr>
        <w:spacing w:after="0" w:line="215" w:lineRule="exact"/>
        <w:rPr>
          <w:sz w:val="20"/>
          <w:szCs w:val="20"/>
          <w:color w:val="auto"/>
        </w:rPr>
      </w:pPr>
    </w:p>
    <w:p>
      <w:pPr>
        <w:ind w:right="60" w:firstLine="439"/>
        <w:spacing w:after="0" w:line="241"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pacing w:after="0" w:line="189"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those expressed in the industry publications, as well as from our assumptions and estimates. See the section titled "Special Note Regarding Forward-Looking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188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7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395"/>
        </w:trPr>
        <w:tc>
          <w:tcPr>
            <w:tcW w:w="12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0" w:type="dxa"/>
            <w:vAlign w:val="bottom"/>
          </w:tcPr>
          <w:p>
            <w:pPr>
              <w:ind w:left="340"/>
              <w:spacing w:after="0"/>
              <w:rPr>
                <w:sz w:val="20"/>
                <w:szCs w:val="20"/>
                <w:color w:val="auto"/>
              </w:rPr>
            </w:pPr>
            <w:r>
              <w:rPr>
                <w:rFonts w:ascii="Arial" w:cs="Arial" w:eastAsia="Arial" w:hAnsi="Arial"/>
                <w:sz w:val="16"/>
                <w:szCs w:val="16"/>
                <w:b w:val="1"/>
                <w:bCs w:val="1"/>
                <w:color w:val="auto"/>
              </w:rPr>
              <w:t>USE OF PROCEEDS</w:t>
            </w:r>
          </w:p>
        </w:tc>
        <w:tc>
          <w:tcPr>
            <w:tcW w:w="2940" w:type="dxa"/>
            <w:vAlign w:val="bottom"/>
          </w:tcPr>
          <w:p>
            <w:pPr>
              <w:spacing w:after="0"/>
              <w:rPr>
                <w:sz w:val="24"/>
                <w:szCs w:val="24"/>
                <w:color w:val="auto"/>
              </w:rPr>
            </w:pPr>
          </w:p>
        </w:tc>
      </w:tr>
      <w:tr>
        <w:trPr>
          <w:trHeight w:val="371"/>
        </w:trPr>
        <w:tc>
          <w:tcPr>
            <w:tcW w:w="4580" w:type="dxa"/>
            <w:vAlign w:val="bottom"/>
            <w:gridSpan w:val="3"/>
          </w:tcPr>
          <w:p>
            <w:pPr>
              <w:ind w:left="440"/>
              <w:spacing w:after="0"/>
              <w:rPr>
                <w:sz w:val="20"/>
                <w:szCs w:val="20"/>
                <w:color w:val="auto"/>
              </w:rPr>
            </w:pPr>
            <w:r>
              <w:rPr>
                <w:rFonts w:ascii="Arial" w:cs="Arial" w:eastAsia="Arial" w:hAnsi="Arial"/>
                <w:sz w:val="16"/>
                <w:szCs w:val="16"/>
                <w:color w:val="auto"/>
              </w:rPr>
              <w:t>We estimate that the net proceeds to us from the sale of</w:t>
            </w:r>
          </w:p>
        </w:tc>
        <w:tc>
          <w:tcPr>
            <w:tcW w:w="3600" w:type="dxa"/>
            <w:vAlign w:val="bottom"/>
          </w:tcPr>
          <w:p>
            <w:pPr>
              <w:ind w:left="200"/>
              <w:spacing w:after="0"/>
              <w:rPr>
                <w:sz w:val="20"/>
                <w:szCs w:val="20"/>
                <w:color w:val="auto"/>
              </w:rPr>
            </w:pPr>
            <w:r>
              <w:rPr>
                <w:rFonts w:ascii="Arial" w:cs="Arial" w:eastAsia="Arial" w:hAnsi="Arial"/>
                <w:sz w:val="16"/>
                <w:szCs w:val="16"/>
                <w:color w:val="auto"/>
              </w:rPr>
              <w:t>ADSs in this offering will be approximately $</w:t>
            </w:r>
          </w:p>
        </w:tc>
        <w:tc>
          <w:tcPr>
            <w:tcW w:w="2940" w:type="dxa"/>
            <w:vAlign w:val="bottom"/>
          </w:tcPr>
          <w:p>
            <w:pPr>
              <w:ind w:left="300"/>
              <w:spacing w:after="0"/>
              <w:rPr>
                <w:sz w:val="20"/>
                <w:szCs w:val="20"/>
                <w:color w:val="auto"/>
              </w:rPr>
            </w:pPr>
            <w:r>
              <w:rPr>
                <w:rFonts w:ascii="Arial" w:cs="Arial" w:eastAsia="Arial" w:hAnsi="Arial"/>
                <w:sz w:val="16"/>
                <w:szCs w:val="16"/>
                <w:color w:val="auto"/>
                <w:w w:val="98"/>
              </w:rPr>
              <w:t>million based upon an assumed initial</w:t>
            </w:r>
          </w:p>
        </w:tc>
      </w:tr>
      <w:tr>
        <w:trPr>
          <w:trHeight w:val="183"/>
        </w:trPr>
        <w:tc>
          <w:tcPr>
            <w:tcW w:w="1880" w:type="dxa"/>
            <w:vAlign w:val="bottom"/>
            <w:gridSpan w:val="2"/>
          </w:tcPr>
          <w:p>
            <w:pPr>
              <w:spacing w:after="0"/>
              <w:rPr>
                <w:sz w:val="20"/>
                <w:szCs w:val="20"/>
                <w:color w:val="auto"/>
              </w:rPr>
            </w:pPr>
            <w:r>
              <w:rPr>
                <w:rFonts w:ascii="Arial" w:cs="Arial" w:eastAsia="Arial" w:hAnsi="Arial"/>
                <w:sz w:val="16"/>
                <w:szCs w:val="16"/>
                <w:color w:val="auto"/>
              </w:rPr>
              <w:t>public offering price of $</w:t>
            </w:r>
          </w:p>
        </w:tc>
        <w:tc>
          <w:tcPr>
            <w:tcW w:w="9240" w:type="dxa"/>
            <w:vAlign w:val="bottom"/>
            <w:gridSpan w:val="3"/>
          </w:tcPr>
          <w:p>
            <w:pPr>
              <w:ind w:left="200"/>
              <w:spacing w:after="0"/>
              <w:rPr>
                <w:sz w:val="20"/>
                <w:szCs w:val="20"/>
                <w:color w:val="auto"/>
              </w:rPr>
            </w:pPr>
            <w:r>
              <w:rPr>
                <w:rFonts w:ascii="Arial" w:cs="Arial" w:eastAsia="Arial" w:hAnsi="Arial"/>
                <w:sz w:val="16"/>
                <w:szCs w:val="16"/>
                <w:color w:val="auto"/>
              </w:rPr>
              <w:t>per ADS, the midpoint of the price range set forth on the cover of this prospectus, and after deducting estimated underwriting</w:t>
            </w:r>
          </w:p>
        </w:tc>
      </w:tr>
    </w:tbl>
    <w:p>
      <w:pPr>
        <w:spacing w:after="0"/>
        <w:rPr>
          <w:sz w:val="20"/>
          <w:szCs w:val="20"/>
          <w:color w:val="auto"/>
        </w:rPr>
      </w:pPr>
      <w:r>
        <w:rPr>
          <w:rFonts w:ascii="Arial" w:cs="Arial" w:eastAsia="Arial" w:hAnsi="Arial"/>
          <w:sz w:val="16"/>
          <w:szCs w:val="16"/>
          <w:color w:val="auto"/>
        </w:rPr>
        <w:t>discounts and commissions and estimated offering expenses payable by us. If the underwriters exercise their option to purchase additional ADSs in full, we</w:t>
      </w:r>
    </w:p>
    <w:p>
      <w:pPr>
        <w:spacing w:after="0" w:line="367"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estimate that our net proceeds will be approximately $ million, after deducting estimated underwriting discounts and commissions and estimated offering expenses payable by us.</w:t>
      </w:r>
    </w:p>
    <w:p>
      <w:pPr>
        <w:spacing w:after="0" w:line="181" w:lineRule="exact"/>
        <w:rPr>
          <w:sz w:val="20"/>
          <w:szCs w:val="20"/>
          <w:color w:val="auto"/>
        </w:rPr>
      </w:pPr>
    </w:p>
    <w:p>
      <w:pPr>
        <w:ind w:right="280" w:firstLine="442"/>
        <w:spacing w:after="0" w:line="239" w:lineRule="auto"/>
        <w:rPr>
          <w:sz w:val="20"/>
          <w:szCs w:val="20"/>
          <w:color w:val="auto"/>
        </w:rPr>
      </w:pPr>
      <w:r>
        <w:rPr>
          <w:rFonts w:ascii="Arial" w:cs="Arial" w:eastAsia="Arial" w:hAnsi="Arial"/>
          <w:sz w:val="16"/>
          <w:szCs w:val="16"/>
          <w:color w:val="auto"/>
        </w:rPr>
        <w:t>Each $1.00 increase (decrease) in the assumed initial public offering price of $ per ADS would increase (decrease) the net proceeds to us from this offering by approximately $ million, assuming the number of ADSs offered by us, as set forth on the cover page of this prospectus, remains the same and</w:t>
      </w:r>
    </w:p>
    <w:p>
      <w:pPr>
        <w:spacing w:after="0"/>
        <w:rPr>
          <w:sz w:val="20"/>
          <w:szCs w:val="20"/>
          <w:color w:val="auto"/>
        </w:rPr>
      </w:pPr>
      <w:r>
        <w:rPr>
          <w:rFonts w:ascii="Arial" w:cs="Arial" w:eastAsia="Arial" w:hAnsi="Arial"/>
          <w:sz w:val="16"/>
          <w:szCs w:val="16"/>
          <w:color w:val="auto"/>
        </w:rPr>
        <w:t>after deducting estimated underwriting discounts and commissions and estimated offering expenses payable by us. Similarly, each increase (decrease) of</w:t>
      </w:r>
    </w:p>
    <w:p>
      <w:pPr>
        <w:ind w:right="160"/>
        <w:spacing w:after="0" w:line="249" w:lineRule="auto"/>
        <w:rPr>
          <w:sz w:val="20"/>
          <w:szCs w:val="20"/>
          <w:color w:val="auto"/>
        </w:rPr>
      </w:pPr>
      <w:r>
        <w:rPr>
          <w:rFonts w:ascii="Arial" w:cs="Arial" w:eastAsia="Arial" w:hAnsi="Arial"/>
          <w:sz w:val="16"/>
          <w:szCs w:val="16"/>
          <w:color w:val="auto"/>
        </w:rPr>
        <w:t>1,000,000 ADSs offered by us would increase (decrease) the net proceeds to us from this offering by approximately $ million, assuming the assumed initial public offering price remains the same and after deducting estimated underwriting discounts and commissions and estimated offering expenses payable by us.</w:t>
      </w:r>
    </w:p>
    <w:p>
      <w:pPr>
        <w:spacing w:after="0" w:line="181" w:lineRule="exact"/>
        <w:rPr>
          <w:sz w:val="20"/>
          <w:szCs w:val="20"/>
          <w:color w:val="auto"/>
        </w:rPr>
      </w:pPr>
    </w:p>
    <w:p>
      <w:pPr>
        <w:ind w:right="140" w:firstLine="439"/>
        <w:spacing w:after="0" w:line="249" w:lineRule="auto"/>
        <w:rPr>
          <w:sz w:val="20"/>
          <w:szCs w:val="20"/>
          <w:color w:val="auto"/>
        </w:rPr>
      </w:pPr>
      <w:r>
        <w:rPr>
          <w:rFonts w:ascii="Arial" w:cs="Arial" w:eastAsia="Arial" w:hAnsi="Arial"/>
          <w:sz w:val="16"/>
          <w:szCs w:val="16"/>
          <w:color w:val="auto"/>
        </w:rPr>
        <w:t>The principal purposes of this offering are to create a public market for the ADSs, and to facilitate our future access to the public equity markets and obtain additional capital. We currently expect to use the net proceeds from this offering, together with our existing cash, as follows:</w:t>
      </w:r>
    </w:p>
    <w:p>
      <w:pPr>
        <w:sectPr>
          <w:pgSz w:w="11900" w:h="16838" w:orient="portrait"/>
          <w:cols w:equalWidth="0" w:num="1">
            <w:col w:w="11420"/>
          </w:cols>
          <w:pgMar w:left="240" w:top="114" w:right="239" w:bottom="1440" w:gutter="0" w:footer="0" w:header="0"/>
        </w:sectPr>
      </w:pPr>
    </w:p>
    <w:p>
      <w:pPr>
        <w:spacing w:after="0" w:line="18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approximately $ million to $ million to complete preparation for Phase II and III clinical development of BT1718, including manufacturing activities, and to advance BT5528 and BT8009 through Phase I and IIa clinical development;</w:t>
      </w:r>
    </w:p>
    <w:p>
      <w:pPr>
        <w:spacing w:after="0" w:line="168" w:lineRule="exact"/>
        <w:rPr>
          <w:sz w:val="20"/>
          <w:szCs w:val="20"/>
          <w:color w:val="auto"/>
        </w:rPr>
      </w:pPr>
    </w:p>
    <w:p>
      <w:pPr>
        <w:sectPr>
          <w:pgSz w:w="11900" w:h="16838" w:orient="portrait"/>
          <w:cols w:equalWidth="0" w:num="2">
            <w:col w:w="540" w:space="440"/>
            <w:col w:w="10440"/>
          </w:cols>
          <w:pgMar w:left="240" w:top="114" w:right="23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6"/>
          <w:szCs w:val="16"/>
          <w:color w:val="auto"/>
        </w:rPr>
        <w:t>approximately $ million to $ million to advance our CD137 programs through preclinical development, including IND-enabling studies, and to advance one CD137 multimeric program through Phase I clinical development; and</w:t>
      </w:r>
    </w:p>
    <w:p>
      <w:pPr>
        <w:spacing w:after="0" w:line="168" w:lineRule="exact"/>
        <w:rPr>
          <w:sz w:val="20"/>
          <w:szCs w:val="20"/>
          <w:color w:val="auto"/>
        </w:rPr>
      </w:pPr>
    </w:p>
    <w:p>
      <w:pPr>
        <w:sectPr>
          <w:pgSz w:w="11900" w:h="16838" w:orient="portrait"/>
          <w:cols w:equalWidth="0" w:num="2">
            <w:col w:w="540" w:space="440"/>
            <w:col w:w="10440"/>
          </w:cols>
          <w:pgMar w:left="240" w:top="114" w:right="239" w:bottom="1440" w:gutter="0" w:footer="0" w:header="0"/>
          <w:type w:val="continuous"/>
        </w:sectPr>
      </w:pPr>
    </w:p>
    <w:p>
      <w:pPr>
        <w:ind w:left="980" w:right="160" w:hanging="493"/>
        <w:spacing w:after="0" w:line="249"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remainder on drug discovery, further expansion of our infrastructure to support our pipeline as well as to fund working capital and other general corporate purposes.</w:t>
      </w:r>
    </w:p>
    <w:p>
      <w:pPr>
        <w:spacing w:after="0" w:line="181"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This expected use of the net proceeds from this offering and our existing cash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 and may change the allocation of use of these proceeds among the uses described above. An investor will not have the opportunity to evaluate the economic, financial or other information on which we base our decisions on how to use the proceeds.</w:t>
      </w:r>
    </w:p>
    <w:p>
      <w:pPr>
        <w:spacing w:after="0" w:line="191" w:lineRule="exact"/>
        <w:rPr>
          <w:sz w:val="20"/>
          <w:szCs w:val="20"/>
          <w:color w:val="auto"/>
        </w:rPr>
      </w:pPr>
    </w:p>
    <w:p>
      <w:pPr>
        <w:ind w:right="160" w:firstLine="442"/>
        <w:spacing w:after="0" w:line="242" w:lineRule="auto"/>
        <w:rPr>
          <w:sz w:val="20"/>
          <w:szCs w:val="20"/>
          <w:color w:val="auto"/>
        </w:rPr>
      </w:pPr>
      <w:r>
        <w:rPr>
          <w:rFonts w:ascii="Arial" w:cs="Arial" w:eastAsia="Arial" w:hAnsi="Arial"/>
          <w:sz w:val="16"/>
          <w:szCs w:val="16"/>
          <w:color w:val="auto"/>
        </w:rPr>
        <w:t>We may use a portion of the net proceeds of this offering for the acquisition or licensing, as the case may be, of additional technologies, other assets or businesses, or for other strategic investments or opportunities, although we have no current understandings, agreements or commitments to do so at this time. Pending our use of the net proceeds from this offering, we intend to invest the net proceeds in a variety of capital preservation investments, including short-term, investment-grade, interest-bearing instruments, or hold as cash.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90" w:name="page91"/>
    <w:bookmarkEnd w:id="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DIVIDEND POLICY</w:t>
      </w:r>
    </w:p>
    <w:p>
      <w:pPr>
        <w:spacing w:after="0" w:line="215" w:lineRule="exact"/>
        <w:rPr>
          <w:sz w:val="20"/>
          <w:szCs w:val="20"/>
          <w:color w:val="auto"/>
        </w:rPr>
      </w:pPr>
    </w:p>
    <w:p>
      <w:pPr>
        <w:jc w:val="both"/>
        <w:ind w:right="60" w:firstLine="442"/>
        <w:spacing w:after="0" w:line="244" w:lineRule="auto"/>
        <w:rPr>
          <w:sz w:val="20"/>
          <w:szCs w:val="20"/>
          <w:color w:val="auto"/>
        </w:rPr>
      </w:pPr>
      <w:r>
        <w:rPr>
          <w:rFonts w:ascii="Arial" w:cs="Arial" w:eastAsia="Arial" w:hAnsi="Arial"/>
          <w:sz w:val="16"/>
          <w:szCs w:val="16"/>
          <w:color w:val="auto"/>
        </w:rPr>
        <w:t>We have not declared or paid any dividends to our shareholders on our ordinary shares or our convertible preferred shares. We currently intend to retain all available funds and any future earnings, if any, to fund the development and expansion of our business and we do not anticipate paying any cash dividends in the foreseeable future. Investors should not purchase the ADSs with the expectation of receiving cash dividends.</w:t>
      </w:r>
    </w:p>
    <w:p>
      <w:pPr>
        <w:spacing w:after="0" w:line="185" w:lineRule="exact"/>
        <w:rPr>
          <w:sz w:val="20"/>
          <w:szCs w:val="20"/>
          <w:color w:val="auto"/>
        </w:rPr>
      </w:pPr>
    </w:p>
    <w:p>
      <w:pPr>
        <w:ind w:firstLine="433"/>
        <w:spacing w:after="0"/>
        <w:rPr>
          <w:sz w:val="20"/>
          <w:szCs w:val="20"/>
          <w:color w:val="auto"/>
        </w:rPr>
      </w:pPr>
      <w:r>
        <w:rPr>
          <w:rFonts w:ascii="Arial" w:cs="Arial" w:eastAsia="Arial" w:hAnsi="Arial"/>
          <w:sz w:val="16"/>
          <w:szCs w:val="16"/>
          <w:color w:val="auto"/>
        </w:rPr>
        <w:t>Any future determination to pay dividends will be made at the discretion of our board of directors and may be based on a number of factors, including our future operations and earnings, capital requirements and surplus, general financial condition, contractual restrictions and other factors that our board of directors may deem relevant. In addition, our ability to pay dividends may be limited under English law. See "Risk Factors—Because we do not anticipate paying any cash dividends on our ADSs in the foreseeable future, capital appreciation, if any, will be your sole source of gains and you may never receive a return on your investment." If we pay any dividends, we will pay the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SHARE CAPITAL REORGANIZATION AND RE-REGISTRATION</w:t>
      </w:r>
    </w:p>
    <w:p>
      <w:pPr>
        <w:spacing w:after="0" w:line="215" w:lineRule="exact"/>
        <w:rPr>
          <w:sz w:val="20"/>
          <w:szCs w:val="20"/>
          <w:color w:val="auto"/>
        </w:rPr>
      </w:pPr>
    </w:p>
    <w:p>
      <w:pPr>
        <w:ind w:right="80" w:firstLine="439"/>
        <w:spacing w:after="0" w:line="239" w:lineRule="auto"/>
        <w:rPr>
          <w:sz w:val="20"/>
          <w:szCs w:val="20"/>
          <w:color w:val="auto"/>
        </w:rPr>
      </w:pPr>
      <w:r>
        <w:rPr>
          <w:rFonts w:ascii="Arial" w:cs="Arial" w:eastAsia="Arial" w:hAnsi="Arial"/>
          <w:sz w:val="16"/>
          <w:szCs w:val="16"/>
          <w:color w:val="auto"/>
        </w:rPr>
        <w:t>The share capital reorganization described below shall be implemented prior to the completion of this offering so that ordinary shares of £ nominal value each shall be in issue prior to the completion of this offering. We shall re-register Bicycle Therapeutics Limited as a public limited company and rename it Bicycle</w:t>
      </w:r>
    </w:p>
    <w:p>
      <w:pPr>
        <w:ind w:right="420"/>
        <w:spacing w:after="0" w:line="249" w:lineRule="auto"/>
        <w:rPr>
          <w:sz w:val="20"/>
          <w:szCs w:val="20"/>
          <w:color w:val="auto"/>
        </w:rPr>
      </w:pPr>
      <w:r>
        <w:rPr>
          <w:rFonts w:ascii="Arial" w:cs="Arial" w:eastAsia="Arial" w:hAnsi="Arial"/>
          <w:sz w:val="16"/>
          <w:szCs w:val="16"/>
          <w:color w:val="auto"/>
        </w:rPr>
        <w:t>Therapeutics plc. Therefore, investors in this offering will acquire, and this prospectus only describes the offering of, ADSs each representing ordinary shares of Bicycle Therapeutics plc.</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Capital Reorganization</w:t>
      </w:r>
    </w:p>
    <w:p>
      <w:pPr>
        <w:spacing w:after="0" w:line="211" w:lineRule="exact"/>
        <w:rPr>
          <w:sz w:val="20"/>
          <w:szCs w:val="20"/>
          <w:color w:val="auto"/>
        </w:rPr>
      </w:pPr>
    </w:p>
    <w:p>
      <w:pPr>
        <w:ind w:right="20" w:firstLine="439"/>
        <w:spacing w:after="0" w:line="241" w:lineRule="auto"/>
        <w:rPr>
          <w:sz w:val="20"/>
          <w:szCs w:val="20"/>
          <w:color w:val="auto"/>
        </w:rPr>
      </w:pPr>
      <w:r>
        <w:rPr>
          <w:rFonts w:ascii="Arial" w:cs="Arial" w:eastAsia="Arial" w:hAnsi="Arial"/>
          <w:sz w:val="16"/>
          <w:szCs w:val="16"/>
          <w:color w:val="auto"/>
        </w:rPr>
        <w:t>To effect the share capital reorganization, Bicycle Therapeutics Limited shall capitalize a certain sum standing to the credit of Bicycle Therapeutics Limited's share premium account, and apply such sum in paying up newly issued fully paid shares by means of a bonus share issue. The calculation of the number of bonus shares to be issued will be determined based on the final price per ADS in this offering. The issue of bonus shares will vary the share capital of the Company and will also results in an adjustment to the number of: (a) warrant shares granted pursuant to the existing warrant instruments; and (b) options under the option agreements in each case to maintain the percentage interest in the Company's fully diluted share capital held by each warrant holder and option holder before the bonus shares were issued.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Reorganization of the Share Capital and Re-registration of Bicycle Therapeutics Limited as Bicycle Therapeutics plc</w:t>
      </w:r>
    </w:p>
    <w:p>
      <w:pPr>
        <w:spacing w:after="0" w:line="211" w:lineRule="exact"/>
        <w:rPr>
          <w:sz w:val="20"/>
          <w:szCs w:val="20"/>
          <w:color w:val="auto"/>
        </w:rPr>
      </w:pPr>
    </w:p>
    <w:p>
      <w:pPr>
        <w:ind w:right="200" w:firstLine="442"/>
        <w:spacing w:after="0" w:line="244" w:lineRule="auto"/>
        <w:rPr>
          <w:sz w:val="20"/>
          <w:szCs w:val="20"/>
          <w:color w:val="auto"/>
        </w:rPr>
      </w:pPr>
      <w:r>
        <w:rPr>
          <w:rFonts w:ascii="Arial" w:cs="Arial" w:eastAsia="Arial" w:hAnsi="Arial"/>
          <w:sz w:val="16"/>
          <w:szCs w:val="16"/>
          <w:color w:val="auto"/>
        </w:rPr>
        <w:t>Prior to completion of this offering, Bicycle Therapeutics Limited will re-register as a public limited company. Such re-registration will require the passing of special resolutions by the shareholders of Bicycle Therapeutics Limited to approve the re-registration as a public company, the name change to Bicycle Therapeutics plc and the adoption of a new set of articles of association for Bicycle Therapeutics plc.</w:t>
      </w:r>
    </w:p>
    <w:p>
      <w:pPr>
        <w:spacing w:after="0" w:line="185" w:lineRule="exact"/>
        <w:rPr>
          <w:sz w:val="20"/>
          <w:szCs w:val="20"/>
          <w:color w:val="auto"/>
        </w:rPr>
      </w:pPr>
    </w:p>
    <w:p>
      <w:pPr>
        <w:ind w:right="140" w:firstLine="442"/>
        <w:spacing w:after="0" w:line="249" w:lineRule="auto"/>
        <w:rPr>
          <w:sz w:val="20"/>
          <w:szCs w:val="20"/>
          <w:color w:val="auto"/>
        </w:rPr>
      </w:pPr>
      <w:r>
        <w:rPr>
          <w:rFonts w:ascii="Arial" w:cs="Arial" w:eastAsia="Arial" w:hAnsi="Arial"/>
          <w:sz w:val="16"/>
          <w:szCs w:val="16"/>
          <w:color w:val="auto"/>
        </w:rPr>
        <w:t>Certain further resolutions will be required to be passed by the shareholders of the Company prior to the completion of this offering, details of which are set out in the section titled "Description of Share Capital and Articles of Association."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gridSpan w:val="6"/>
          </w:tcPr>
          <w:p>
            <w:pPr>
              <w:ind w:left="440"/>
              <w:spacing w:after="0"/>
              <w:rPr>
                <w:sz w:val="20"/>
                <w:szCs w:val="20"/>
                <w:color w:val="auto"/>
              </w:rPr>
            </w:pPr>
            <w:r>
              <w:rPr>
                <w:rFonts w:ascii="Arial" w:cs="Arial" w:eastAsia="Arial" w:hAnsi="Arial"/>
                <w:sz w:val="16"/>
                <w:szCs w:val="16"/>
                <w:color w:val="auto"/>
              </w:rPr>
              <w:t>Conditional upon and effectively immediately prior to completion of this offering, assuming an initial public offering price of $</w:t>
            </w:r>
          </w:p>
        </w:tc>
        <w:tc>
          <w:tcPr>
            <w:tcW w:w="2180" w:type="dxa"/>
            <w:vAlign w:val="bottom"/>
          </w:tcPr>
          <w:p>
            <w:pPr>
              <w:ind w:left="140"/>
              <w:spacing w:after="0"/>
              <w:rPr>
                <w:sz w:val="20"/>
                <w:szCs w:val="20"/>
                <w:color w:val="auto"/>
              </w:rPr>
            </w:pPr>
            <w:r>
              <w:rPr>
                <w:rFonts w:ascii="Arial" w:cs="Arial" w:eastAsia="Arial" w:hAnsi="Arial"/>
                <w:sz w:val="16"/>
                <w:szCs w:val="16"/>
                <w:color w:val="auto"/>
              </w:rPr>
              <w:t>per ADS, each class of</w:t>
            </w:r>
          </w:p>
        </w:tc>
      </w:tr>
      <w:tr>
        <w:trPr>
          <w:trHeight w:val="183"/>
        </w:trPr>
        <w:tc>
          <w:tcPr>
            <w:tcW w:w="8640" w:type="dxa"/>
            <w:vAlign w:val="bottom"/>
            <w:gridSpan w:val="5"/>
          </w:tcPr>
          <w:p>
            <w:pPr>
              <w:spacing w:after="0"/>
              <w:rPr>
                <w:sz w:val="20"/>
                <w:szCs w:val="20"/>
                <w:color w:val="auto"/>
              </w:rPr>
            </w:pPr>
            <w:r>
              <w:rPr>
                <w:rFonts w:ascii="Arial" w:cs="Arial" w:eastAsia="Arial" w:hAnsi="Arial"/>
                <w:sz w:val="16"/>
                <w:szCs w:val="16"/>
                <w:color w:val="auto"/>
              </w:rPr>
              <w:t>shares in the issued share capital of Bicycle Therapeutics plc will be reorganized and re-designated into an aggregate of</w:t>
            </w:r>
          </w:p>
        </w:tc>
        <w:tc>
          <w:tcPr>
            <w:tcW w:w="2800" w:type="dxa"/>
            <w:vAlign w:val="bottom"/>
            <w:gridSpan w:val="2"/>
          </w:tcPr>
          <w:p>
            <w:pPr>
              <w:ind w:left="200"/>
              <w:spacing w:after="0"/>
              <w:rPr>
                <w:sz w:val="20"/>
                <w:szCs w:val="20"/>
                <w:color w:val="auto"/>
              </w:rPr>
            </w:pPr>
            <w:r>
              <w:rPr>
                <w:rFonts w:ascii="Arial" w:cs="Arial" w:eastAsia="Arial" w:hAnsi="Arial"/>
                <w:sz w:val="16"/>
                <w:szCs w:val="16"/>
                <w:color w:val="auto"/>
              </w:rPr>
              <w:t>shares of a single class of ordinary</w:t>
            </w:r>
          </w:p>
        </w:tc>
      </w:tr>
      <w:tr>
        <w:trPr>
          <w:trHeight w:val="192"/>
        </w:trPr>
        <w:tc>
          <w:tcPr>
            <w:tcW w:w="6760" w:type="dxa"/>
            <w:vAlign w:val="bottom"/>
            <w:gridSpan w:val="4"/>
          </w:tcPr>
          <w:p>
            <w:pPr>
              <w:spacing w:after="0"/>
              <w:rPr>
                <w:sz w:val="20"/>
                <w:szCs w:val="20"/>
                <w:color w:val="auto"/>
              </w:rPr>
            </w:pPr>
            <w:r>
              <w:rPr>
                <w:rFonts w:ascii="Arial" w:cs="Arial" w:eastAsia="Arial" w:hAnsi="Arial"/>
                <w:sz w:val="16"/>
                <w:szCs w:val="16"/>
                <w:color w:val="auto"/>
              </w:rPr>
              <w:t>shares of nominal value £0.01 per ordinary share of Bicycle Therapeutics plc.</w:t>
            </w: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71"/>
        </w:trPr>
        <w:tc>
          <w:tcPr>
            <w:tcW w:w="6760" w:type="dxa"/>
            <w:vAlign w:val="bottom"/>
            <w:gridSpan w:val="4"/>
          </w:tcPr>
          <w:p>
            <w:pPr>
              <w:ind w:left="440"/>
              <w:spacing w:after="0"/>
              <w:rPr>
                <w:sz w:val="20"/>
                <w:szCs w:val="20"/>
                <w:color w:val="auto"/>
              </w:rPr>
            </w:pPr>
            <w:r>
              <w:rPr>
                <w:rFonts w:ascii="Arial" w:cs="Arial" w:eastAsia="Arial" w:hAnsi="Arial"/>
                <w:sz w:val="16"/>
                <w:szCs w:val="16"/>
                <w:color w:val="auto"/>
              </w:rPr>
              <w:t>In the event of a $1.00 increase in the assumed initial public offering price per ADS to $</w:t>
            </w:r>
          </w:p>
        </w:tc>
        <w:tc>
          <w:tcPr>
            <w:tcW w:w="4680" w:type="dxa"/>
            <w:vAlign w:val="bottom"/>
            <w:gridSpan w:val="3"/>
          </w:tcPr>
          <w:p>
            <w:pPr>
              <w:ind w:left="200"/>
              <w:spacing w:after="0"/>
              <w:rPr>
                <w:sz w:val="20"/>
                <w:szCs w:val="20"/>
                <w:color w:val="auto"/>
              </w:rPr>
            </w:pPr>
            <w:r>
              <w:rPr>
                <w:rFonts w:ascii="Arial" w:cs="Arial" w:eastAsia="Arial" w:hAnsi="Arial"/>
                <w:sz w:val="16"/>
                <w:szCs w:val="16"/>
                <w:color w:val="auto"/>
              </w:rPr>
              <w:t>per ADS, the shareholders of Bicycle Therapeutics plc</w:t>
            </w:r>
          </w:p>
        </w:tc>
      </w:tr>
      <w:tr>
        <w:trPr>
          <w:trHeight w:val="183"/>
        </w:trPr>
        <w:tc>
          <w:tcPr>
            <w:tcW w:w="5140" w:type="dxa"/>
            <w:vAlign w:val="bottom"/>
            <w:gridSpan w:val="3"/>
          </w:tcPr>
          <w:p>
            <w:pPr>
              <w:spacing w:after="0"/>
              <w:rPr>
                <w:sz w:val="20"/>
                <w:szCs w:val="20"/>
                <w:color w:val="auto"/>
              </w:rPr>
            </w:pPr>
            <w:r>
              <w:rPr>
                <w:rFonts w:ascii="Arial" w:cs="Arial" w:eastAsia="Arial" w:hAnsi="Arial"/>
                <w:sz w:val="16"/>
                <w:szCs w:val="16"/>
                <w:color w:val="auto"/>
              </w:rPr>
              <w:t>immediately before completion of the offering will hold an aggregate of</w:t>
            </w:r>
          </w:p>
        </w:tc>
        <w:tc>
          <w:tcPr>
            <w:tcW w:w="6300" w:type="dxa"/>
            <w:vAlign w:val="bottom"/>
            <w:gridSpan w:val="4"/>
          </w:tcPr>
          <w:p>
            <w:pPr>
              <w:ind w:left="200"/>
              <w:spacing w:after="0"/>
              <w:rPr>
                <w:sz w:val="20"/>
                <w:szCs w:val="20"/>
                <w:color w:val="auto"/>
              </w:rPr>
            </w:pPr>
            <w:r>
              <w:rPr>
                <w:rFonts w:ascii="Arial" w:cs="Arial" w:eastAsia="Arial" w:hAnsi="Arial"/>
                <w:sz w:val="16"/>
                <w:szCs w:val="16"/>
                <w:color w:val="auto"/>
              </w:rPr>
              <w:t>ordinary shares of Bicycle Therapeutics plc. In the event of a $1.00 decrease in the</w:t>
            </w:r>
          </w:p>
        </w:tc>
      </w:tr>
      <w:tr>
        <w:trPr>
          <w:trHeight w:val="183"/>
        </w:trPr>
        <w:tc>
          <w:tcPr>
            <w:tcW w:w="3620" w:type="dxa"/>
            <w:vAlign w:val="bottom"/>
            <w:gridSpan w:val="2"/>
          </w:tcPr>
          <w:p>
            <w:pPr>
              <w:spacing w:after="0"/>
              <w:rPr>
                <w:sz w:val="20"/>
                <w:szCs w:val="20"/>
                <w:color w:val="auto"/>
              </w:rPr>
            </w:pPr>
            <w:r>
              <w:rPr>
                <w:rFonts w:ascii="Arial" w:cs="Arial" w:eastAsia="Arial" w:hAnsi="Arial"/>
                <w:sz w:val="16"/>
                <w:szCs w:val="16"/>
                <w:color w:val="auto"/>
              </w:rPr>
              <w:t>assumed initial public offering price per ADS to $</w:t>
            </w:r>
          </w:p>
        </w:tc>
        <w:tc>
          <w:tcPr>
            <w:tcW w:w="7820" w:type="dxa"/>
            <w:vAlign w:val="bottom"/>
            <w:gridSpan w:val="5"/>
          </w:tcPr>
          <w:p>
            <w:pPr>
              <w:ind w:left="200"/>
              <w:spacing w:after="0"/>
              <w:rPr>
                <w:sz w:val="20"/>
                <w:szCs w:val="20"/>
                <w:color w:val="auto"/>
              </w:rPr>
            </w:pPr>
            <w:r>
              <w:rPr>
                <w:rFonts w:ascii="Arial" w:cs="Arial" w:eastAsia="Arial" w:hAnsi="Arial"/>
                <w:sz w:val="16"/>
                <w:szCs w:val="16"/>
                <w:color w:val="auto"/>
              </w:rPr>
              <w:t>per ADS, the shareholders of Bicycle Therapeutics plc immediately before completion of the offering will</w:t>
            </w:r>
          </w:p>
        </w:tc>
      </w:tr>
      <w:tr>
        <w:trPr>
          <w:trHeight w:val="192"/>
        </w:trPr>
        <w:tc>
          <w:tcPr>
            <w:tcW w:w="1660" w:type="dxa"/>
            <w:vAlign w:val="bottom"/>
          </w:tcPr>
          <w:p>
            <w:pPr>
              <w:spacing w:after="0"/>
              <w:rPr>
                <w:sz w:val="20"/>
                <w:szCs w:val="20"/>
                <w:color w:val="auto"/>
              </w:rPr>
            </w:pPr>
            <w:r>
              <w:rPr>
                <w:rFonts w:ascii="Arial" w:cs="Arial" w:eastAsia="Arial" w:hAnsi="Arial"/>
                <w:sz w:val="16"/>
                <w:szCs w:val="16"/>
                <w:color w:val="auto"/>
              </w:rPr>
              <w:t>hold an aggregate of</w:t>
            </w: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ordinary shares of Bicycle Therapeutics plc.</w:t>
            </w:r>
          </w:p>
        </w:tc>
        <w:tc>
          <w:tcPr>
            <w:tcW w:w="16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79"/>
        </w:trPr>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jc w:val="right"/>
              <w:ind w:right="881"/>
              <w:spacing w:after="0"/>
              <w:rPr>
                <w:sz w:val="20"/>
                <w:szCs w:val="20"/>
                <w:color w:val="auto"/>
              </w:rPr>
            </w:pPr>
            <w:r>
              <w:rPr>
                <w:rFonts w:ascii="Arial" w:cs="Arial" w:eastAsia="Arial" w:hAnsi="Arial"/>
                <w:sz w:val="16"/>
                <w:szCs w:val="16"/>
                <w:color w:val="auto"/>
              </w:rPr>
              <w:t>86</w:t>
            </w: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93"/>
        </w:trPr>
        <w:tc>
          <w:tcPr>
            <w:tcW w:w="1660" w:type="dxa"/>
            <w:vAlign w:val="bottom"/>
            <w:tcBorders>
              <w:bottom w:val="single" w:sz="8" w:color="808080"/>
            </w:tcBorders>
          </w:tcPr>
          <w:p>
            <w:pPr>
              <w:spacing w:after="0"/>
              <w:rPr>
                <w:sz w:val="16"/>
                <w:szCs w:val="16"/>
                <w:color w:val="auto"/>
              </w:rPr>
            </w:pPr>
          </w:p>
        </w:tc>
        <w:tc>
          <w:tcPr>
            <w:tcW w:w="1960" w:type="dxa"/>
            <w:vAlign w:val="bottom"/>
            <w:tcBorders>
              <w:bottom w:val="single" w:sz="8" w:color="808080"/>
            </w:tcBorders>
          </w:tcPr>
          <w:p>
            <w:pPr>
              <w:spacing w:after="0"/>
              <w:rPr>
                <w:sz w:val="16"/>
                <w:szCs w:val="16"/>
                <w:color w:val="auto"/>
              </w:rPr>
            </w:pPr>
          </w:p>
        </w:tc>
        <w:tc>
          <w:tcPr>
            <w:tcW w:w="152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188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21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CAPITALIZATION</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our cash and capitalization as of December 31, 2018 on:</w:t>
      </w:r>
    </w:p>
    <w:p>
      <w:pPr>
        <w:spacing w:after="0" w:line="195" w:lineRule="exact"/>
        <w:rPr>
          <w:sz w:val="20"/>
          <w:szCs w:val="20"/>
          <w:color w:val="auto"/>
        </w:rPr>
      </w:pPr>
    </w:p>
    <w:p>
      <w:pPr>
        <w:ind w:left="980" w:hanging="493"/>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actual basis;</w:t>
      </w:r>
    </w:p>
    <w:p>
      <w:pPr>
        <w:spacing w:after="0" w:line="195" w:lineRule="exact"/>
        <w:rPr>
          <w:rFonts w:ascii="Arial" w:cs="Arial" w:eastAsia="Arial" w:hAnsi="Arial"/>
          <w:sz w:val="16"/>
          <w:szCs w:val="16"/>
          <w:color w:val="auto"/>
        </w:rPr>
      </w:pPr>
    </w:p>
    <w:p>
      <w:pPr>
        <w:ind w:left="980" w:right="20" w:hanging="493"/>
        <w:spacing w:after="0" w:line="241"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pro forma basis to give effect to (i) the issuance of 80,385 Series B2 convertible preferred shares in January 2019 for aggregate consideration of $1.6 million, (ii) the exercise of warrants to subscribe for 200,000 Series A convertible preferred shares immediately prior to the completion of this offering, (iii) the exercise of warrants to subscribe for 371,645 Series B1 convertible preferred shares immediately prior to the completion of this offering, (iv) the automatic conversion of all outstanding convertible preferred shares as of December 31, 2018 into an aggregate of 8,722,477 ordinary shares upon the completion of this offering, and (v) the reclassification of the warrant liability into additional paid-in capital, upon the completion of this offering; and</w:t>
      </w:r>
    </w:p>
    <w:p>
      <w:pPr>
        <w:spacing w:after="0" w:line="175" w:lineRule="exact"/>
        <w:rPr>
          <w:rFonts w:ascii="Arial" w:cs="Arial" w:eastAsia="Arial" w:hAnsi="Arial"/>
          <w:sz w:val="16"/>
          <w:szCs w:val="16"/>
          <w:color w:val="auto"/>
        </w:rPr>
      </w:pPr>
    </w:p>
    <w:p>
      <w:pPr>
        <w:ind w:left="980" w:right="300" w:hanging="493"/>
        <w:spacing w:after="0" w:line="249"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a pro forma as adjusted basis giving effect to the pro forma adjustments set forth above and to give further effect to the sale of ADSs in this offering.</w:t>
      </w:r>
    </w:p>
    <w:p>
      <w:pPr>
        <w:spacing w:after="0" w:line="181" w:lineRule="exact"/>
        <w:rPr>
          <w:sz w:val="20"/>
          <w:szCs w:val="20"/>
          <w:color w:val="auto"/>
        </w:rPr>
      </w:pPr>
    </w:p>
    <w:p>
      <w:pPr>
        <w:ind w:right="180" w:firstLine="439"/>
        <w:spacing w:after="0" w:line="249" w:lineRule="auto"/>
        <w:rPr>
          <w:sz w:val="20"/>
          <w:szCs w:val="20"/>
          <w:color w:val="auto"/>
        </w:rPr>
      </w:pPr>
      <w:r>
        <w:rPr>
          <w:rFonts w:ascii="Arial" w:cs="Arial" w:eastAsia="Arial" w:hAnsi="Arial"/>
          <w:sz w:val="16"/>
          <w:szCs w:val="16"/>
          <w:color w:val="auto"/>
        </w:rPr>
        <w:t>The pro forma as adjusted calculations assume an initial public offering price of $ per ADS, which is the midpoint of the price range set forth on the cover page of this prospectus, after deducting estimated underwriting discounts and commissions and estimated offering expenses payable by us.</w:t>
      </w:r>
    </w:p>
    <w:p>
      <w:pPr>
        <w:spacing w:after="0" w:line="181" w:lineRule="exact"/>
        <w:rPr>
          <w:sz w:val="20"/>
          <w:szCs w:val="20"/>
          <w:color w:val="auto"/>
        </w:rPr>
      </w:pPr>
    </w:p>
    <w:p>
      <w:pPr>
        <w:ind w:firstLine="439"/>
        <w:spacing w:after="0" w:line="249" w:lineRule="auto"/>
        <w:rPr>
          <w:sz w:val="20"/>
          <w:szCs w:val="20"/>
          <w:color w:val="auto"/>
        </w:rPr>
      </w:pPr>
      <w:r>
        <w:rPr>
          <w:rFonts w:ascii="Arial" w:cs="Arial" w:eastAsia="Arial" w:hAnsi="Arial"/>
          <w:sz w:val="16"/>
          <w:szCs w:val="16"/>
          <w:color w:val="auto"/>
        </w:rPr>
        <w:t>You should read this information together with our audited consolidated financial statements and related notes appearing elsewhere in this prospectus and the information set forth under the sections titled "Selected Consolidated Financial Data," "Exchange Rate Information," "Use of</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60"/>
          </w:cols>
          <w:pgMar w:left="240" w:top="142" w:right="39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Proceeds" and "Management's Discussion and Analysis of Financial Condition and Results Of Operations."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63"/>
        </w:trPr>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80"/>
              <w:spacing w:after="0"/>
              <w:rPr>
                <w:sz w:val="20"/>
                <w:szCs w:val="20"/>
                <w:color w:val="auto"/>
              </w:rPr>
            </w:pPr>
            <w:r>
              <w:rPr>
                <w:rFonts w:ascii="Arial" w:cs="Arial" w:eastAsia="Arial" w:hAnsi="Arial"/>
                <w:sz w:val="13"/>
                <w:szCs w:val="13"/>
                <w:b w:val="1"/>
                <w:bCs w:val="1"/>
                <w:color w:val="auto"/>
              </w:rPr>
              <w:t>As of December 31, 2018</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left="15"/>
              <w:spacing w:after="0" w:line="135" w:lineRule="exact"/>
              <w:rPr>
                <w:sz w:val="20"/>
                <w:szCs w:val="20"/>
                <w:color w:val="auto"/>
              </w:rPr>
            </w:pPr>
            <w:r>
              <w:rPr>
                <w:rFonts w:ascii="Arial" w:cs="Arial" w:eastAsia="Arial" w:hAnsi="Arial"/>
                <w:sz w:val="13"/>
                <w:szCs w:val="13"/>
                <w:b w:val="1"/>
                <w:bCs w:val="1"/>
                <w:color w:val="auto"/>
                <w:w w:val="98"/>
              </w:rPr>
              <w:t>Pro Forma</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rPr>
              <w:t>Pro</w:t>
            </w:r>
          </w:p>
        </w:tc>
        <w:tc>
          <w:tcPr>
            <w:tcW w:w="92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6"/>
              </w:rPr>
              <w:t>As</w:t>
            </w: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Actual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3"/>
                <w:szCs w:val="13"/>
                <w:b w:val="1"/>
                <w:bCs w:val="1"/>
                <w:color w:val="auto"/>
                <w:w w:val="90"/>
              </w:rPr>
              <w:t>Forma</w:t>
            </w:r>
            <w:r>
              <w:rPr>
                <w:rFonts w:ascii="Arial" w:cs="Arial" w:eastAsia="Arial" w:hAnsi="Arial"/>
                <w:sz w:val="19"/>
                <w:szCs w:val="19"/>
                <w:b w:val="1"/>
                <w:bCs w:val="1"/>
                <w:color w:val="auto"/>
                <w:w w:val="90"/>
                <w:vertAlign w:val="superscript"/>
              </w:rPr>
              <w:t>(1)</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ind w:left="15"/>
              <w:spacing w:after="0" w:line="186" w:lineRule="exact"/>
              <w:rPr>
                <w:sz w:val="20"/>
                <w:szCs w:val="20"/>
                <w:color w:val="auto"/>
              </w:rPr>
            </w:pPr>
            <w:r>
              <w:rPr>
                <w:rFonts w:ascii="Arial" w:cs="Arial" w:eastAsia="Arial" w:hAnsi="Arial"/>
                <w:sz w:val="13"/>
                <w:szCs w:val="13"/>
                <w:b w:val="1"/>
                <w:bCs w:val="1"/>
                <w:color w:val="auto"/>
                <w:w w:val="95"/>
              </w:rPr>
              <w:t>Adjusted</w:t>
            </w:r>
            <w:r>
              <w:rPr>
                <w:rFonts w:ascii="Arial" w:cs="Arial" w:eastAsia="Arial" w:hAnsi="Arial"/>
                <w:sz w:val="19"/>
                <w:szCs w:val="19"/>
                <w:b w:val="1"/>
                <w:bCs w:val="1"/>
                <w:color w:val="auto"/>
                <w:w w:val="95"/>
                <w:vertAlign w:val="superscript"/>
              </w:rPr>
              <w:t>(2)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8"/>
          </w:tcPr>
          <w:p>
            <w:pPr>
              <w:jc w:val="center"/>
              <w:ind w:right="180"/>
              <w:spacing w:after="0" w:line="135" w:lineRule="exact"/>
              <w:rPr>
                <w:sz w:val="20"/>
                <w:szCs w:val="20"/>
                <w:color w:val="auto"/>
              </w:rPr>
            </w:pPr>
            <w:r>
              <w:rPr>
                <w:rFonts w:ascii="Arial" w:cs="Arial" w:eastAsia="Arial" w:hAnsi="Arial"/>
                <w:sz w:val="13"/>
                <w:szCs w:val="13"/>
                <w:b w:val="1"/>
                <w:bCs w:val="1"/>
                <w:color w:val="auto"/>
                <w:w w:val="99"/>
              </w:rPr>
              <w:t>(in thousands, except share and</w:t>
            </w:r>
          </w:p>
        </w:tc>
        <w:tc>
          <w:tcPr>
            <w:tcW w:w="0" w:type="dxa"/>
            <w:vAlign w:val="bottom"/>
          </w:tcPr>
          <w:p>
            <w:pPr>
              <w:spacing w:after="0"/>
              <w:rPr>
                <w:sz w:val="1"/>
                <w:szCs w:val="1"/>
                <w:color w:val="auto"/>
              </w:rPr>
            </w:pPr>
          </w:p>
        </w:tc>
      </w:tr>
      <w:tr>
        <w:trPr>
          <w:trHeight w:val="158"/>
        </w:trPr>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6"/>
          </w:tcPr>
          <w:p>
            <w:pPr>
              <w:jc w:val="center"/>
              <w:ind w:right="760"/>
              <w:spacing w:after="0"/>
              <w:rPr>
                <w:sz w:val="20"/>
                <w:szCs w:val="20"/>
                <w:color w:val="auto"/>
              </w:rPr>
            </w:pPr>
            <w:r>
              <w:rPr>
                <w:rFonts w:ascii="Arial" w:cs="Arial" w:eastAsia="Arial" w:hAnsi="Arial"/>
                <w:sz w:val="13"/>
                <w:szCs w:val="13"/>
                <w:b w:val="1"/>
                <w:bCs w:val="1"/>
                <w:color w:val="auto"/>
              </w:rPr>
              <w:t>per share data)</w:t>
            </w:r>
          </w:p>
        </w:tc>
        <w:tc>
          <w:tcPr>
            <w:tcW w:w="0" w:type="dxa"/>
            <w:vAlign w:val="bottom"/>
          </w:tcPr>
          <w:p>
            <w:pPr>
              <w:spacing w:after="0"/>
              <w:rPr>
                <w:sz w:val="1"/>
                <w:szCs w:val="1"/>
                <w:color w:val="auto"/>
              </w:rPr>
            </w:pPr>
          </w:p>
        </w:tc>
      </w:tr>
      <w:tr>
        <w:trPr>
          <w:trHeight w:val="183"/>
        </w:trPr>
        <w:tc>
          <w:tcPr>
            <w:tcW w:w="1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w:t>
            </w:r>
          </w:p>
        </w:tc>
        <w:tc>
          <w:tcPr>
            <w:tcW w:w="28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63,380</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64,983</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gridSpan w:val="2"/>
            <w:vMerge w:val="restart"/>
          </w:tcPr>
          <w:p>
            <w:pPr>
              <w:spacing w:after="0"/>
              <w:rPr>
                <w:sz w:val="20"/>
                <w:szCs w:val="20"/>
                <w:color w:val="auto"/>
              </w:rPr>
            </w:pPr>
            <w:r>
              <w:rPr>
                <w:rFonts w:ascii="Arial" w:cs="Arial" w:eastAsia="Arial" w:hAnsi="Arial"/>
                <w:sz w:val="13"/>
                <w:szCs w:val="13"/>
                <w:color w:val="auto"/>
              </w:rPr>
              <w:t>Warrant liability</w:t>
            </w:r>
          </w:p>
        </w:tc>
        <w:tc>
          <w:tcPr>
            <w:tcW w:w="2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32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3"/>
                <w:szCs w:val="13"/>
                <w:color w:val="auto"/>
              </w:rPr>
              <w:t>4,804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40"/>
              <w:spacing w:after="0" w:line="124"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84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Series A convertible prefered shares, £0.01 nominal value; 3,000,001 shares authorized, 2,800,001 shares issued</w:t>
            </w: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40" w:type="dxa"/>
            <w:vAlign w:val="bottom"/>
            <w:gridSpan w:val="6"/>
            <w:shd w:val="clear" w:color="auto" w:fill="CCEEFF"/>
          </w:tcPr>
          <w:p>
            <w:pPr>
              <w:ind w:left="140"/>
              <w:spacing w:after="0" w:line="147" w:lineRule="exact"/>
              <w:rPr>
                <w:sz w:val="20"/>
                <w:szCs w:val="20"/>
                <w:color w:val="auto"/>
              </w:rPr>
            </w:pPr>
            <w:r>
              <w:rPr>
                <w:rFonts w:ascii="Arial" w:cs="Arial" w:eastAsia="Arial" w:hAnsi="Arial"/>
                <w:sz w:val="13"/>
                <w:szCs w:val="13"/>
                <w:color w:val="auto"/>
              </w:rPr>
              <w:t>and outstanding at December 31, 2018, actual; no shares authorized, issued or outstanding, pro forma and pro</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3"/>
                <w:szCs w:val="13"/>
                <w:color w:val="auto"/>
              </w:rPr>
              <w:t>forma as adjusted</w:t>
            </w:r>
          </w:p>
        </w:tc>
        <w:tc>
          <w:tcPr>
            <w:tcW w:w="28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41,820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40" w:type="dxa"/>
            <w:vAlign w:val="bottom"/>
            <w:gridSpan w:val="6"/>
          </w:tcPr>
          <w:p>
            <w:pPr>
              <w:spacing w:after="0"/>
              <w:rPr>
                <w:sz w:val="20"/>
                <w:szCs w:val="20"/>
                <w:color w:val="auto"/>
              </w:rPr>
            </w:pPr>
            <w:r>
              <w:rPr>
                <w:rFonts w:ascii="Arial" w:cs="Arial" w:eastAsia="Arial" w:hAnsi="Arial"/>
                <w:sz w:val="13"/>
                <w:szCs w:val="13"/>
                <w:color w:val="auto"/>
              </w:rPr>
              <w:t>Series B1 convertible prefered shares, £0.01 nominal value: 4,690,485 shares authorized, 3,947,198 shares</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40" w:type="dxa"/>
            <w:vAlign w:val="bottom"/>
            <w:gridSpan w:val="6"/>
          </w:tcPr>
          <w:p>
            <w:pPr>
              <w:ind w:left="140"/>
              <w:spacing w:after="0" w:line="147" w:lineRule="exact"/>
              <w:rPr>
                <w:sz w:val="20"/>
                <w:szCs w:val="20"/>
                <w:color w:val="auto"/>
              </w:rPr>
            </w:pPr>
            <w:r>
              <w:rPr>
                <w:rFonts w:ascii="Arial" w:cs="Arial" w:eastAsia="Arial" w:hAnsi="Arial"/>
                <w:sz w:val="13"/>
                <w:szCs w:val="13"/>
                <w:color w:val="auto"/>
              </w:rPr>
              <w:t>issued and outstanding at December 31, 2018, actual; no shares authorized, issued or outstanding, pro forma</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gridSpan w:val="3"/>
          </w:tcPr>
          <w:p>
            <w:pPr>
              <w:ind w:left="140"/>
              <w:spacing w:after="0" w:line="143" w:lineRule="exact"/>
              <w:rPr>
                <w:sz w:val="20"/>
                <w:szCs w:val="20"/>
                <w:color w:val="auto"/>
              </w:rPr>
            </w:pPr>
            <w:r>
              <w:rPr>
                <w:rFonts w:ascii="Arial" w:cs="Arial" w:eastAsia="Arial" w:hAnsi="Arial"/>
                <w:sz w:val="13"/>
                <w:szCs w:val="13"/>
                <w:color w:val="auto"/>
              </w:rPr>
              <w:t>and pro forma as adjusted</w:t>
            </w: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54,621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4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Series B2 convertible preferred shares, £0.01 nominal value; 1,403,633 shares authorized, 1,323,248 shares</w:t>
            </w: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40" w:type="dxa"/>
            <w:vAlign w:val="bottom"/>
            <w:gridSpan w:val="6"/>
            <w:shd w:val="clear" w:color="auto" w:fill="CCEEFF"/>
          </w:tcPr>
          <w:p>
            <w:pPr>
              <w:ind w:left="140"/>
              <w:spacing w:after="0" w:line="147" w:lineRule="exact"/>
              <w:rPr>
                <w:sz w:val="20"/>
                <w:szCs w:val="20"/>
                <w:color w:val="auto"/>
              </w:rPr>
            </w:pPr>
            <w:r>
              <w:rPr>
                <w:rFonts w:ascii="Arial" w:cs="Arial" w:eastAsia="Arial" w:hAnsi="Arial"/>
                <w:sz w:val="13"/>
                <w:szCs w:val="13"/>
                <w:color w:val="auto"/>
              </w:rPr>
              <w:t>issued and outstanding at December 31, 2018, actual; no shares authorized, issued or outstanding, pro forma</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gridSpan w:val="3"/>
            <w:shd w:val="clear" w:color="auto" w:fill="CCEEFF"/>
          </w:tcPr>
          <w:p>
            <w:pPr>
              <w:ind w:left="140"/>
              <w:spacing w:after="0" w:line="143" w:lineRule="exact"/>
              <w:rPr>
                <w:sz w:val="20"/>
                <w:szCs w:val="20"/>
                <w:color w:val="auto"/>
              </w:rPr>
            </w:pPr>
            <w:r>
              <w:rPr>
                <w:rFonts w:ascii="Arial" w:cs="Arial" w:eastAsia="Arial" w:hAnsi="Arial"/>
                <w:sz w:val="13"/>
                <w:szCs w:val="13"/>
                <w:color w:val="auto"/>
              </w:rPr>
              <w:t>and pro forma as adjusted</w:t>
            </w:r>
          </w:p>
        </w:tc>
        <w:tc>
          <w:tcPr>
            <w:tcW w:w="1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25,756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00" w:type="dxa"/>
            <w:vAlign w:val="bottom"/>
            <w:gridSpan w:val="3"/>
          </w:tcPr>
          <w:p>
            <w:pPr>
              <w:spacing w:after="0" w:line="147" w:lineRule="exact"/>
              <w:rPr>
                <w:sz w:val="20"/>
                <w:szCs w:val="20"/>
                <w:color w:val="auto"/>
              </w:rPr>
            </w:pPr>
            <w:r>
              <w:rPr>
                <w:rFonts w:ascii="Arial" w:cs="Arial" w:eastAsia="Arial" w:hAnsi="Arial"/>
                <w:sz w:val="13"/>
                <w:szCs w:val="13"/>
                <w:color w:val="auto"/>
              </w:rPr>
              <w:t>Shareholders' (deficit) equity:</w:t>
            </w: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40" w:type="dxa"/>
            <w:vAlign w:val="bottom"/>
            <w:gridSpan w:val="6"/>
            <w:shd w:val="clear" w:color="auto" w:fill="CCEEFF"/>
          </w:tcPr>
          <w:p>
            <w:pPr>
              <w:ind w:left="140"/>
              <w:spacing w:after="0"/>
              <w:rPr>
                <w:sz w:val="20"/>
                <w:szCs w:val="20"/>
                <w:color w:val="auto"/>
              </w:rPr>
            </w:pPr>
            <w:r>
              <w:rPr>
                <w:rFonts w:ascii="Arial" w:cs="Arial" w:eastAsia="Arial" w:hAnsi="Arial"/>
                <w:sz w:val="13"/>
                <w:szCs w:val="13"/>
                <w:color w:val="auto"/>
              </w:rPr>
              <w:t>Ordinary shares, £0.01 nominal value; 10,813,450 shares authorized, 628,902 shares issued and 570,156</w:t>
            </w: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40" w:type="dxa"/>
            <w:vAlign w:val="bottom"/>
            <w:gridSpan w:val="6"/>
            <w:shd w:val="clear" w:color="auto" w:fill="CCEEFF"/>
          </w:tcPr>
          <w:p>
            <w:pPr>
              <w:ind w:left="260"/>
              <w:spacing w:after="0" w:line="147" w:lineRule="exact"/>
              <w:rPr>
                <w:sz w:val="20"/>
                <w:szCs w:val="20"/>
                <w:color w:val="auto"/>
              </w:rPr>
            </w:pPr>
            <w:r>
              <w:rPr>
                <w:rFonts w:ascii="Arial" w:cs="Arial" w:eastAsia="Arial" w:hAnsi="Arial"/>
                <w:sz w:val="13"/>
                <w:szCs w:val="13"/>
                <w:color w:val="auto"/>
              </w:rPr>
              <w:t>shares outstanding at December 31, 2018, actual: 8,905,805 shares authorized, 9,351,377 shares issued and</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00" w:type="dxa"/>
            <w:vAlign w:val="bottom"/>
            <w:gridSpan w:val="3"/>
            <w:shd w:val="clear" w:color="auto" w:fill="CCEEFF"/>
          </w:tcPr>
          <w:p>
            <w:pPr>
              <w:ind w:left="260"/>
              <w:spacing w:after="0" w:line="147" w:lineRule="exact"/>
              <w:rPr>
                <w:sz w:val="20"/>
                <w:szCs w:val="20"/>
                <w:color w:val="auto"/>
              </w:rPr>
            </w:pPr>
            <w:r>
              <w:rPr>
                <w:rFonts w:ascii="Arial" w:cs="Arial" w:eastAsia="Arial" w:hAnsi="Arial"/>
                <w:sz w:val="13"/>
                <w:szCs w:val="13"/>
                <w:color w:val="auto"/>
              </w:rPr>
              <w:t>9,292,633 shares outstanding at December 31, 2018, pro forma;</w:t>
            </w:r>
          </w:p>
        </w:tc>
        <w:tc>
          <w:tcPr>
            <w:tcW w:w="1540" w:type="dxa"/>
            <w:vAlign w:val="bottom"/>
            <w:shd w:val="clear" w:color="auto" w:fill="CCEEFF"/>
          </w:tcPr>
          <w:p>
            <w:pPr>
              <w:ind w:left="240"/>
              <w:spacing w:after="0" w:line="147" w:lineRule="exact"/>
              <w:rPr>
                <w:sz w:val="20"/>
                <w:szCs w:val="20"/>
                <w:color w:val="auto"/>
              </w:rPr>
            </w:pPr>
            <w:r>
              <w:rPr>
                <w:rFonts w:ascii="Arial" w:cs="Arial" w:eastAsia="Arial" w:hAnsi="Arial"/>
                <w:sz w:val="13"/>
                <w:szCs w:val="13"/>
                <w:color w:val="auto"/>
              </w:rPr>
              <w:t>shares authorized,</w:t>
            </w:r>
          </w:p>
        </w:tc>
        <w:tc>
          <w:tcPr>
            <w:tcW w:w="1100" w:type="dxa"/>
            <w:vAlign w:val="bottom"/>
            <w:gridSpan w:val="2"/>
            <w:shd w:val="clear" w:color="auto" w:fill="CCEEFF"/>
          </w:tcPr>
          <w:p>
            <w:pPr>
              <w:jc w:val="right"/>
              <w:ind w:right="460"/>
              <w:spacing w:after="0" w:line="147" w:lineRule="exact"/>
              <w:rPr>
                <w:sz w:val="20"/>
                <w:szCs w:val="20"/>
                <w:color w:val="auto"/>
              </w:rPr>
            </w:pPr>
            <w:r>
              <w:rPr>
                <w:rFonts w:ascii="Arial" w:cs="Arial" w:eastAsia="Arial" w:hAnsi="Arial"/>
                <w:sz w:val="13"/>
                <w:szCs w:val="13"/>
                <w:color w:val="auto"/>
              </w:rPr>
              <w:t>shares</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gridSpan w:val="2"/>
            <w:shd w:val="clear" w:color="auto" w:fill="CCEEFF"/>
          </w:tcPr>
          <w:p>
            <w:pPr>
              <w:ind w:left="260"/>
              <w:spacing w:after="0" w:line="143" w:lineRule="exact"/>
              <w:rPr>
                <w:sz w:val="20"/>
                <w:szCs w:val="20"/>
                <w:color w:val="auto"/>
              </w:rPr>
            </w:pPr>
            <w:r>
              <w:rPr>
                <w:rFonts w:ascii="Arial" w:cs="Arial" w:eastAsia="Arial" w:hAnsi="Arial"/>
                <w:sz w:val="13"/>
                <w:szCs w:val="13"/>
                <w:color w:val="auto"/>
              </w:rPr>
              <w:t>issued and</w:t>
            </w:r>
          </w:p>
        </w:tc>
        <w:tc>
          <w:tcPr>
            <w:tcW w:w="2880" w:type="dxa"/>
            <w:vAlign w:val="bottom"/>
            <w:shd w:val="clear" w:color="auto" w:fill="CCEEFF"/>
          </w:tcPr>
          <w:p>
            <w:pPr>
              <w:ind w:left="40"/>
              <w:spacing w:after="0" w:line="143" w:lineRule="exact"/>
              <w:rPr>
                <w:sz w:val="20"/>
                <w:szCs w:val="20"/>
                <w:color w:val="auto"/>
              </w:rPr>
            </w:pPr>
            <w:r>
              <w:rPr>
                <w:rFonts w:ascii="Arial" w:cs="Arial" w:eastAsia="Arial" w:hAnsi="Arial"/>
                <w:sz w:val="13"/>
                <w:szCs w:val="13"/>
                <w:color w:val="auto"/>
              </w:rPr>
              <w:t>shares outstanding, pro forma as adjusted</w:t>
            </w:r>
          </w:p>
        </w:tc>
        <w:tc>
          <w:tcPr>
            <w:tcW w:w="1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119</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00" w:type="dxa"/>
            <w:vAlign w:val="bottom"/>
            <w:gridSpan w:val="3"/>
          </w:tcPr>
          <w:p>
            <w:pPr>
              <w:ind w:left="140"/>
              <w:spacing w:after="0" w:line="147" w:lineRule="exact"/>
              <w:rPr>
                <w:sz w:val="20"/>
                <w:szCs w:val="20"/>
                <w:color w:val="auto"/>
              </w:rPr>
            </w:pPr>
            <w:r>
              <w:rPr>
                <w:rFonts w:ascii="Arial" w:cs="Arial" w:eastAsia="Arial" w:hAnsi="Arial"/>
                <w:sz w:val="13"/>
                <w:szCs w:val="13"/>
                <w:color w:val="auto"/>
              </w:rPr>
              <w:t>Additional paid-in capital</w:t>
            </w: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3"/>
                <w:szCs w:val="13"/>
                <w:color w:val="auto"/>
              </w:rPr>
              <w:t>1,859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3"/>
                <w:szCs w:val="13"/>
                <w:color w:val="auto"/>
              </w:rPr>
              <w:t>130,352</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00" w:type="dxa"/>
            <w:vAlign w:val="bottom"/>
            <w:gridSpan w:val="3"/>
            <w:shd w:val="clear" w:color="auto" w:fill="CCEEFF"/>
          </w:tcPr>
          <w:p>
            <w:pPr>
              <w:ind w:left="140"/>
              <w:spacing w:after="0" w:line="147" w:lineRule="exact"/>
              <w:rPr>
                <w:sz w:val="20"/>
                <w:szCs w:val="20"/>
                <w:color w:val="auto"/>
              </w:rPr>
            </w:pPr>
            <w:r>
              <w:rPr>
                <w:rFonts w:ascii="Arial" w:cs="Arial" w:eastAsia="Arial" w:hAnsi="Arial"/>
                <w:sz w:val="13"/>
                <w:szCs w:val="13"/>
                <w:color w:val="auto"/>
              </w:rPr>
              <w:t>Accumulated other comprehensive loss</w:t>
            </w:r>
          </w:p>
        </w:tc>
        <w:tc>
          <w:tcPr>
            <w:tcW w:w="1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3"/>
                <w:szCs w:val="13"/>
                <w:color w:val="auto"/>
              </w:rPr>
              <w:t>(1,751)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(1,751)</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320" w:type="dxa"/>
            <w:vAlign w:val="bottom"/>
            <w:gridSpan w:val="2"/>
          </w:tcPr>
          <w:p>
            <w:pPr>
              <w:ind w:left="140"/>
              <w:spacing w:after="0"/>
              <w:rPr>
                <w:sz w:val="20"/>
                <w:szCs w:val="20"/>
                <w:color w:val="auto"/>
              </w:rPr>
            </w:pPr>
            <w:r>
              <w:rPr>
                <w:rFonts w:ascii="Arial" w:cs="Arial" w:eastAsia="Arial" w:hAnsi="Arial"/>
                <w:sz w:val="13"/>
                <w:szCs w:val="13"/>
                <w:color w:val="auto"/>
              </w:rPr>
              <w:t>Accumulated deficit</w:t>
            </w:r>
          </w:p>
        </w:tc>
        <w:tc>
          <w:tcPr>
            <w:tcW w:w="2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(69,942)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(69,942)</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shareholders' (deficit) equity</w:t>
            </w:r>
          </w:p>
        </w:tc>
        <w:tc>
          <w:tcPr>
            <w:tcW w:w="1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(69,826)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58,778</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20" w:type="dxa"/>
            <w:vAlign w:val="bottom"/>
            <w:gridSpan w:val="2"/>
          </w:tcPr>
          <w:p>
            <w:pPr>
              <w:ind w:left="140"/>
              <w:spacing w:after="0"/>
              <w:rPr>
                <w:sz w:val="20"/>
                <w:szCs w:val="20"/>
                <w:color w:val="auto"/>
              </w:rPr>
            </w:pPr>
            <w:r>
              <w:rPr>
                <w:rFonts w:ascii="Arial" w:cs="Arial" w:eastAsia="Arial" w:hAnsi="Arial"/>
                <w:sz w:val="13"/>
                <w:szCs w:val="13"/>
                <w:color w:val="auto"/>
              </w:rPr>
              <w:t>Total capitalization</w:t>
            </w:r>
          </w:p>
        </w:tc>
        <w:tc>
          <w:tcPr>
            <w:tcW w:w="2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57,175</w:t>
            </w:r>
          </w:p>
        </w:tc>
        <w:tc>
          <w:tcPr>
            <w:tcW w:w="6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58,778</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94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40" w:hanging="499"/>
        <w:spacing w:after="0" w:line="224" w:lineRule="auto"/>
        <w:tabs>
          <w:tab w:leader="none" w:pos="1640" w:val="left"/>
        </w:tabs>
        <w:numPr>
          <w:ilvl w:val="0"/>
          <w:numId w:val="47"/>
        </w:numPr>
        <w:rPr>
          <w:rFonts w:ascii="Arial" w:cs="Arial" w:eastAsia="Arial" w:hAnsi="Arial"/>
          <w:sz w:val="20"/>
          <w:szCs w:val="20"/>
          <w:color w:val="auto"/>
          <w:vertAlign w:val="superscript"/>
        </w:rPr>
      </w:pPr>
      <w:r>
        <w:rPr>
          <w:rFonts w:ascii="Arial" w:cs="Arial" w:eastAsia="Arial" w:hAnsi="Arial"/>
          <w:sz w:val="13"/>
          <w:szCs w:val="13"/>
          <w:color w:val="auto"/>
        </w:rPr>
        <w:t>The number of ordinary shares to be outstanding after this offering is based on 628,902 shares (which includes 58,746 unvested restricted shares subject to repurchase by us) outstanding as of December 31, 2018, and gives effect to (i) the issuance of 80,385 Series B2 convertible preferred shares in January 2019 for aggregate consideration of $1.6 million, (ii) the exercise of warrants to subscribe for 200,000 Series A convertible preferred shares immediately prior to the completion of this offering, (iii) the exercise of warrants to subscribe for 371,645 Series B1 convertible preferred shares immediately prior to the completion of this offering, (iv) the automatic conversion of all outstanding convertible preferred shares as of December 31, 2018 into an aggregate of 8,722,477 ordinary shares upon the completion of this offering, and (v) the reclassification of the warrant liability into additional paid-in capital, upon the completion of this offering, and excludes:</w:t>
      </w:r>
    </w:p>
    <w:p>
      <w:pPr>
        <w:spacing w:after="0" w:line="383" w:lineRule="exact"/>
        <w:rPr>
          <w:rFonts w:ascii="Arial" w:cs="Arial" w:eastAsia="Arial" w:hAnsi="Arial"/>
          <w:sz w:val="20"/>
          <w:szCs w:val="20"/>
          <w:color w:val="auto"/>
          <w:vertAlign w:val="superscript"/>
        </w:rPr>
      </w:pPr>
    </w:p>
    <w:p>
      <w:pPr>
        <w:ind w:left="2120" w:right="300" w:hanging="490"/>
        <w:spacing w:after="0" w:line="217" w:lineRule="auto"/>
        <w:tabs>
          <w:tab w:leader="none" w:pos="2120" w:val="left"/>
        </w:tabs>
        <w:numPr>
          <w:ilvl w:val="1"/>
          <w:numId w:val="47"/>
        </w:numPr>
        <w:rPr>
          <w:rFonts w:ascii="Arial" w:cs="Arial" w:eastAsia="Arial" w:hAnsi="Arial"/>
          <w:sz w:val="16"/>
          <w:szCs w:val="16"/>
          <w:color w:val="auto"/>
        </w:rPr>
      </w:pPr>
      <w:r>
        <w:rPr>
          <w:rFonts w:ascii="Arial" w:cs="Arial" w:eastAsia="Arial" w:hAnsi="Arial"/>
          <w:sz w:val="13"/>
          <w:szCs w:val="13"/>
          <w:color w:val="auto"/>
        </w:rPr>
        <w:t>604,444 ordinary shares issuable upon the exercise of options to subscribe for ordinary shares outstanding as of December 31, 2018 at a weighted average exercise price of $1.44 per ordinary share;</w:t>
      </w:r>
    </w:p>
    <w:p>
      <w:pPr>
        <w:spacing w:after="0" w:line="159" w:lineRule="exact"/>
        <w:rPr>
          <w:rFonts w:ascii="Arial" w:cs="Arial" w:eastAsia="Arial" w:hAnsi="Arial"/>
          <w:sz w:val="16"/>
          <w:szCs w:val="16"/>
          <w:color w:val="auto"/>
        </w:rPr>
      </w:pPr>
    </w:p>
    <w:p>
      <w:pPr>
        <w:ind w:left="2120" w:hanging="490"/>
        <w:spacing w:after="0"/>
        <w:tabs>
          <w:tab w:leader="none" w:pos="2120" w:val="left"/>
        </w:tabs>
        <w:numPr>
          <w:ilvl w:val="1"/>
          <w:numId w:val="47"/>
        </w:numPr>
        <w:rPr>
          <w:rFonts w:ascii="Arial" w:cs="Arial" w:eastAsia="Arial" w:hAnsi="Arial"/>
          <w:sz w:val="16"/>
          <w:szCs w:val="16"/>
          <w:color w:val="auto"/>
        </w:rPr>
      </w:pPr>
      <w:r>
        <w:rPr>
          <w:rFonts w:ascii="Arial" w:cs="Arial" w:eastAsia="Arial" w:hAnsi="Arial"/>
          <w:sz w:val="13"/>
          <w:szCs w:val="13"/>
          <w:color w:val="auto"/>
        </w:rPr>
        <w:t>485,985 ordinary shares reserved for future issuance as of December 31, 2018 in connection with equity awards;</w:t>
      </w:r>
    </w:p>
    <w:p>
      <w:pPr>
        <w:spacing w:after="0" w:line="174" w:lineRule="exact"/>
        <w:rPr>
          <w:rFonts w:ascii="Arial" w:cs="Arial" w:eastAsia="Arial" w:hAnsi="Arial"/>
          <w:sz w:val="16"/>
          <w:szCs w:val="16"/>
          <w:color w:val="auto"/>
        </w:rPr>
      </w:pPr>
    </w:p>
    <w:p>
      <w:pPr>
        <w:ind w:left="2120" w:right="20" w:hanging="490"/>
        <w:spacing w:after="0" w:line="217" w:lineRule="auto"/>
        <w:tabs>
          <w:tab w:leader="none" w:pos="2591" w:val="left"/>
        </w:tabs>
        <w:numPr>
          <w:ilvl w:val="1"/>
          <w:numId w:val="47"/>
        </w:numPr>
        <w:rPr>
          <w:rFonts w:ascii="Arial" w:cs="Arial" w:eastAsia="Arial" w:hAnsi="Arial"/>
          <w:sz w:val="16"/>
          <w:szCs w:val="16"/>
          <w:color w:val="auto"/>
        </w:rPr>
      </w:pPr>
      <w:r>
        <w:rPr>
          <w:rFonts w:ascii="Arial" w:cs="Arial" w:eastAsia="Arial" w:hAnsi="Arial"/>
          <w:sz w:val="13"/>
          <w:szCs w:val="13"/>
          <w:color w:val="auto"/>
        </w:rPr>
        <w:t>ordinary shares that will be made available for future issuance under our 2019 Share Option and Incentive Plan upon the effectiveness of the registration statement of which this prospectus forms a part; and</w:t>
      </w:r>
    </w:p>
    <w:p>
      <w:pPr>
        <w:spacing w:after="0" w:line="175" w:lineRule="exact"/>
        <w:rPr>
          <w:rFonts w:ascii="Arial" w:cs="Arial" w:eastAsia="Arial" w:hAnsi="Arial"/>
          <w:sz w:val="16"/>
          <w:szCs w:val="16"/>
          <w:color w:val="auto"/>
        </w:rPr>
      </w:pPr>
    </w:p>
    <w:p>
      <w:pPr>
        <w:ind w:left="2120" w:right="20" w:hanging="490"/>
        <w:spacing w:after="0" w:line="217" w:lineRule="auto"/>
        <w:tabs>
          <w:tab w:leader="none" w:pos="2591" w:val="left"/>
        </w:tabs>
        <w:numPr>
          <w:ilvl w:val="1"/>
          <w:numId w:val="47"/>
        </w:numPr>
        <w:rPr>
          <w:rFonts w:ascii="Arial" w:cs="Arial" w:eastAsia="Arial" w:hAnsi="Arial"/>
          <w:sz w:val="16"/>
          <w:szCs w:val="16"/>
          <w:color w:val="auto"/>
        </w:rPr>
      </w:pPr>
      <w:r>
        <w:rPr>
          <w:rFonts w:ascii="Arial" w:cs="Arial" w:eastAsia="Arial" w:hAnsi="Arial"/>
          <w:sz w:val="13"/>
          <w:szCs w:val="13"/>
          <w:color w:val="auto"/>
        </w:rPr>
        <w:t>ordinary shares that will be made available for future issuance under our 2019 Employee Share Purchase Plan, upon the effectiveness of the registration statement of which this prospectus forms a part.</w:t>
      </w:r>
    </w:p>
    <w:p>
      <w:pPr>
        <w:spacing w:after="0" w:line="251" w:lineRule="exact"/>
        <w:rPr>
          <w:rFonts w:ascii="Arial" w:cs="Arial" w:eastAsia="Arial" w:hAnsi="Arial"/>
          <w:sz w:val="16"/>
          <w:szCs w:val="16"/>
          <w:color w:val="auto"/>
        </w:rPr>
      </w:pPr>
    </w:p>
    <w:p>
      <w:pPr>
        <w:ind w:left="1640" w:hanging="499"/>
        <w:spacing w:after="0"/>
        <w:tabs>
          <w:tab w:leader="none" w:pos="1640" w:val="left"/>
        </w:tabs>
        <w:numPr>
          <w:ilvl w:val="0"/>
          <w:numId w:val="47"/>
        </w:numPr>
        <w:rPr>
          <w:rFonts w:ascii="Arial" w:cs="Arial" w:eastAsia="Arial" w:hAnsi="Arial"/>
          <w:sz w:val="20"/>
          <w:szCs w:val="20"/>
          <w:color w:val="auto"/>
          <w:vertAlign w:val="superscript"/>
        </w:rPr>
      </w:pPr>
      <w:r>
        <w:rPr>
          <w:rFonts w:ascii="Arial" w:cs="Arial" w:eastAsia="Arial" w:hAnsi="Arial"/>
          <w:sz w:val="13"/>
          <w:szCs w:val="13"/>
          <w:color w:val="auto"/>
        </w:rPr>
        <w:t>The pro forma as adjusted information discussed above is illustrative only and will change based on the actual initial public offering price and other terms of this offering</w:t>
      </w:r>
    </w:p>
    <w:p>
      <w:pPr>
        <w:ind w:left="1640" w:right="40"/>
        <w:spacing w:after="0" w:line="235" w:lineRule="auto"/>
        <w:rPr>
          <w:sz w:val="20"/>
          <w:szCs w:val="20"/>
          <w:color w:val="auto"/>
        </w:rPr>
      </w:pPr>
      <w:r>
        <w:rPr>
          <w:rFonts w:ascii="Arial" w:cs="Arial" w:eastAsia="Arial" w:hAnsi="Arial"/>
          <w:sz w:val="13"/>
          <w:szCs w:val="13"/>
          <w:color w:val="auto"/>
        </w:rPr>
        <w:t>determined at pricing. Each $1.00 increase (decrease) in the assumed initial public offering price of $ per ADS, which is the midpoint of the price range set forth on the cover page of this prospectus, would increase (decrease) the pro forma as adjusted amount of each of cash, total shareholders' (deficit) equity and total capitalization</w:t>
      </w:r>
    </w:p>
    <w:p>
      <w:pPr>
        <w:spacing w:after="0" w:line="1" w:lineRule="exact"/>
        <w:rPr>
          <w:sz w:val="20"/>
          <w:szCs w:val="20"/>
          <w:color w:val="auto"/>
        </w:rPr>
      </w:pPr>
    </w:p>
    <w:p>
      <w:pPr>
        <w:ind w:left="1640"/>
        <w:spacing w:after="0" w:line="235" w:lineRule="auto"/>
        <w:rPr>
          <w:sz w:val="20"/>
          <w:szCs w:val="20"/>
          <w:color w:val="auto"/>
        </w:rPr>
      </w:pPr>
      <w:r>
        <w:rPr>
          <w:rFonts w:ascii="Arial" w:cs="Arial" w:eastAsia="Arial" w:hAnsi="Arial"/>
          <w:sz w:val="13"/>
          <w:szCs w:val="13"/>
          <w:color w:val="auto"/>
        </w:rPr>
        <w:t>by $ million, assuming that the number of ADSs offered by us, as set forth on the cover page of this prospectus, remains the same. Each increase (decrease) of 1,000,000 in the number of ADSs offered by us, as set forth on the cover page of this prospectus, would increase (decrease) the pro forma as adjusted amount of each of</w:t>
      </w:r>
    </w:p>
    <w:p>
      <w:pPr>
        <w:spacing w:after="0" w:line="1" w:lineRule="exact"/>
        <w:rPr>
          <w:sz w:val="20"/>
          <w:szCs w:val="20"/>
          <w:color w:val="auto"/>
        </w:rPr>
      </w:pPr>
    </w:p>
    <w:p>
      <w:pPr>
        <w:ind w:left="1640"/>
        <w:spacing w:after="0"/>
        <w:tabs>
          <w:tab w:leader="none" w:pos="5840" w:val="left"/>
        </w:tabs>
        <w:rPr>
          <w:sz w:val="20"/>
          <w:szCs w:val="20"/>
          <w:color w:val="auto"/>
        </w:rPr>
      </w:pPr>
      <w:r>
        <w:rPr>
          <w:rFonts w:ascii="Arial" w:cs="Arial" w:eastAsia="Arial" w:hAnsi="Arial"/>
          <w:sz w:val="13"/>
          <w:szCs w:val="13"/>
          <w:color w:val="auto"/>
        </w:rPr>
        <w:t>cash, total shareholders' (deficit) equity and total capitalization by $</w:t>
      </w:r>
      <w:r>
        <w:rPr>
          <w:sz w:val="20"/>
          <w:szCs w:val="20"/>
          <w:color w:val="auto"/>
        </w:rPr>
        <w:tab/>
      </w:r>
      <w:r>
        <w:rPr>
          <w:rFonts w:ascii="Arial" w:cs="Arial" w:eastAsia="Arial" w:hAnsi="Arial"/>
          <w:sz w:val="13"/>
          <w:szCs w:val="13"/>
          <w:color w:val="auto"/>
        </w:rPr>
        <w:t>million, assuming no change in the initial public offering price per ADS.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4" w:name="page95"/>
    <w:bookmarkEnd w:id="94"/>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DILUTION</w:t>
      </w:r>
    </w:p>
    <w:p>
      <w:pPr>
        <w:spacing w:after="0" w:line="215" w:lineRule="exact"/>
        <w:rPr>
          <w:sz w:val="20"/>
          <w:szCs w:val="20"/>
          <w:color w:val="auto"/>
        </w:rPr>
      </w:pPr>
    </w:p>
    <w:p>
      <w:pPr>
        <w:ind w:left="2" w:right="180" w:firstLine="442"/>
        <w:spacing w:after="0" w:line="244" w:lineRule="auto"/>
        <w:rPr>
          <w:sz w:val="20"/>
          <w:szCs w:val="20"/>
          <w:color w:val="auto"/>
        </w:rPr>
      </w:pPr>
      <w:r>
        <w:rPr>
          <w:rFonts w:ascii="Arial" w:cs="Arial" w:eastAsia="Arial" w:hAnsi="Arial"/>
          <w:sz w:val="16"/>
          <w:szCs w:val="16"/>
          <w:color w:val="auto"/>
        </w:rPr>
        <w:t>If you invest in the ADSs in this offering, your interest will be diluted to the extent of the difference between the initial public offering price per ADS and the pro forma as adjusted net tangible book value per ordinary share/ADS immediately after this offering. Dilution results from the fact that the initial public offering price per ADS is substantially in excess of the net tangible book value per ordinary share/ADS.</w:t>
      </w:r>
    </w:p>
    <w:p>
      <w:pPr>
        <w:spacing w:after="0" w:line="185" w:lineRule="exact"/>
        <w:rPr>
          <w:sz w:val="20"/>
          <w:szCs w:val="20"/>
          <w:color w:val="auto"/>
        </w:rPr>
      </w:pPr>
    </w:p>
    <w:p>
      <w:pPr>
        <w:ind w:left="2" w:firstLine="442"/>
        <w:spacing w:after="0" w:line="242" w:lineRule="auto"/>
        <w:rPr>
          <w:sz w:val="20"/>
          <w:szCs w:val="20"/>
          <w:color w:val="auto"/>
        </w:rPr>
      </w:pPr>
      <w:r>
        <w:rPr>
          <w:rFonts w:ascii="Arial" w:cs="Arial" w:eastAsia="Arial" w:hAnsi="Arial"/>
          <w:sz w:val="16"/>
          <w:szCs w:val="16"/>
          <w:color w:val="auto"/>
        </w:rPr>
        <w:t>Our net tangible book value as of December 31, 2018 was $(71.5) million, or $(113.64) per ordinary share/ADS. Net tangible book value represents our total assets less our total liabilities and the carrying value of our convertible preferred shares, excluding deferred offering costs, and net tangible book value per share as of December 31, 2018 represents net tangible book value divided by the 628,902 ordinary shares outstanding, including 58,746 unvested restricted shares subject to repurchase by us.</w:t>
      </w:r>
    </w:p>
    <w:p>
      <w:pPr>
        <w:spacing w:after="0" w:line="187" w:lineRule="exact"/>
        <w:rPr>
          <w:sz w:val="20"/>
          <w:szCs w:val="20"/>
          <w:color w:val="auto"/>
        </w:rPr>
      </w:pPr>
    </w:p>
    <w:p>
      <w:pPr>
        <w:ind w:left="2" w:right="100" w:firstLine="442"/>
        <w:spacing w:after="0" w:line="239" w:lineRule="auto"/>
        <w:rPr>
          <w:sz w:val="20"/>
          <w:szCs w:val="20"/>
          <w:color w:val="auto"/>
        </w:rPr>
      </w:pPr>
      <w:r>
        <w:rPr>
          <w:rFonts w:ascii="Arial" w:cs="Arial" w:eastAsia="Arial" w:hAnsi="Arial"/>
          <w:sz w:val="16"/>
          <w:szCs w:val="16"/>
          <w:color w:val="auto"/>
        </w:rPr>
        <w:t>Our pro forma net tangible book value as of December 31, 2018 was $57.1 million, or $6.11 per share/ADS. Pro forma net tangible book value per share is calculated after giving effect to (i) the issuance of 80,385 Series B2 convertible preferred shares in January 2019 for aggregate consideration of $1.6 million,</w:t>
      </w:r>
    </w:p>
    <w:p>
      <w:pPr>
        <w:ind w:left="2" w:right="160" w:hanging="2"/>
        <w:spacing w:after="0" w:line="242" w:lineRule="auto"/>
        <w:tabs>
          <w:tab w:leader="none" w:pos="22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exercise of warrants to subscribe for 200,000 Series A convertible preferred shares immediately prior to the completion of this offering, (iii) the exercise of warrants to subscribe for 371,645 Series B1 convertible preferred shares immediately prior to the completion of this offering, (iv) the automatic conversion of all outstanding preferred shares as of December 31, 2018 into an aggregate of 8,722,477 ordinary shares upon the completion of this offering, and (v) the reclassification of the warrant liability into additional paid-in capital, upon the completion of this offering.</w:t>
      </w:r>
    </w:p>
    <w:p>
      <w:pPr>
        <w:spacing w:after="0" w:line="187" w:lineRule="exact"/>
        <w:rPr>
          <w:sz w:val="20"/>
          <w:szCs w:val="20"/>
          <w:color w:val="auto"/>
        </w:rPr>
      </w:pPr>
    </w:p>
    <w:p>
      <w:pPr>
        <w:ind w:left="2" w:right="40" w:firstLine="433"/>
        <w:spacing w:after="0" w:line="244" w:lineRule="auto"/>
        <w:rPr>
          <w:sz w:val="20"/>
          <w:szCs w:val="20"/>
          <w:color w:val="auto"/>
        </w:rPr>
      </w:pPr>
      <w:r>
        <w:rPr>
          <w:rFonts w:ascii="Arial" w:cs="Arial" w:eastAsia="Arial" w:hAnsi="Arial"/>
          <w:sz w:val="16"/>
          <w:szCs w:val="16"/>
          <w:color w:val="auto"/>
        </w:rPr>
        <w:t>After giving further effect to our issuance and sale of ADSs in this offering at the assumed initial public offering price of $ per ADS, the midpoint of the price range set forth on the cover page of this prospectus, after deducting estimated underwriting discounts and commissions and estimated offering expenses payable by us, our pro forma as adjusted net tangible book value as of December 31, 2018 would have been $ million, or $ per share/ADS.</w:t>
      </w:r>
    </w:p>
    <w:p>
      <w:pPr>
        <w:spacing w:after="0" w:line="185" w:lineRule="exact"/>
        <w:rPr>
          <w:sz w:val="20"/>
          <w:szCs w:val="20"/>
          <w:color w:val="auto"/>
        </w:rPr>
      </w:pPr>
    </w:p>
    <w:p>
      <w:pPr>
        <w:ind w:left="2" w:right="220" w:firstLine="439"/>
        <w:spacing w:after="0" w:line="242" w:lineRule="auto"/>
        <w:rPr>
          <w:sz w:val="20"/>
          <w:szCs w:val="20"/>
          <w:color w:val="auto"/>
        </w:rPr>
      </w:pPr>
      <w:r>
        <w:rPr>
          <w:rFonts w:ascii="Arial" w:cs="Arial" w:eastAsia="Arial" w:hAnsi="Arial"/>
          <w:sz w:val="16"/>
          <w:szCs w:val="16"/>
          <w:color w:val="auto"/>
        </w:rPr>
        <w:t>This represents an immediate increase in pro forma as adjusted net tangible book value per ordinary share of $ to existing shareholders and immediate dilution in pro forma as adjusted net tangible book value per ADS of $ to new investors purchasing ADSs in this offering. Dilution per ADS to new investors is determined by subtracting pro forma as adjusted net tangible book value per ADS after this offering from the initial public offering price per ADS paid by new investors. The following table illustrates this dilution:</w:t>
      </w:r>
    </w:p>
    <w:p>
      <w:pPr>
        <w:spacing w:after="0" w:line="184" w:lineRule="exact"/>
        <w:rPr>
          <w:sz w:val="20"/>
          <w:szCs w:val="20"/>
          <w:color w:val="auto"/>
        </w:rPr>
      </w:pPr>
    </w:p>
    <w:tbl>
      <w:tblPr>
        <w:tblLayout w:type="fixed"/>
        <w:tblInd w:w="1142" w:type="dxa"/>
        <w:tblCellMar>
          <w:top w:w="0" w:type="dxa"/>
          <w:left w:w="0" w:type="dxa"/>
          <w:bottom w:w="0" w:type="dxa"/>
          <w:right w:w="0" w:type="dxa"/>
        </w:tblCellMar>
      </w:tblPr>
      <w:tr>
        <w:trPr>
          <w:trHeight w:val="184"/>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Assumed initial public offering price</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r>
      <w:tr>
        <w:trPr>
          <w:trHeight w:val="183"/>
        </w:trPr>
        <w:tc>
          <w:tcPr>
            <w:tcW w:w="6740" w:type="dxa"/>
            <w:vAlign w:val="bottom"/>
          </w:tcPr>
          <w:p>
            <w:pPr>
              <w:ind w:left="160"/>
              <w:spacing w:after="0"/>
              <w:rPr>
                <w:sz w:val="20"/>
                <w:szCs w:val="20"/>
                <w:color w:val="auto"/>
              </w:rPr>
            </w:pPr>
            <w:r>
              <w:rPr>
                <w:rFonts w:ascii="Arial" w:cs="Arial" w:eastAsia="Arial" w:hAnsi="Arial"/>
                <w:sz w:val="16"/>
                <w:szCs w:val="16"/>
                <w:color w:val="auto"/>
              </w:rPr>
              <w:t>Historical net tangible book value per ADS as of December 31, 2018</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(113.64)</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3"/>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 forma increase in net tangible book value per ADS as of December 31, 2018</w:t>
            </w:r>
          </w:p>
        </w:tc>
        <w:tc>
          <w:tcPr>
            <w:tcW w:w="7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119.75</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6"/>
        </w:trPr>
        <w:tc>
          <w:tcPr>
            <w:tcW w:w="6740" w:type="dxa"/>
            <w:vAlign w:val="bottom"/>
          </w:tcPr>
          <w:p>
            <w:pPr>
              <w:ind w:left="160"/>
              <w:spacing w:after="0" w:line="176" w:lineRule="exact"/>
              <w:rPr>
                <w:sz w:val="20"/>
                <w:szCs w:val="20"/>
                <w:color w:val="auto"/>
              </w:rPr>
            </w:pPr>
            <w:r>
              <w:rPr>
                <w:rFonts w:ascii="Arial" w:cs="Arial" w:eastAsia="Arial" w:hAnsi="Arial"/>
                <w:sz w:val="16"/>
                <w:szCs w:val="16"/>
                <w:color w:val="auto"/>
              </w:rPr>
              <w:t>Pro forma net tangible book value per ADS as of December 31, 2018</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6.11</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3"/>
        </w:trPr>
        <w:tc>
          <w:tcPr>
            <w:tcW w:w="6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 in pro forma net tangible book value per ADS attributable to new investors</w:t>
            </w:r>
          </w:p>
        </w:tc>
        <w:tc>
          <w:tcPr>
            <w:tcW w:w="7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6"/>
        </w:trPr>
        <w:tc>
          <w:tcPr>
            <w:tcW w:w="6740" w:type="dxa"/>
            <w:vAlign w:val="bottom"/>
          </w:tcPr>
          <w:p>
            <w:pPr>
              <w:spacing w:after="0" w:line="176" w:lineRule="exact"/>
              <w:rPr>
                <w:sz w:val="20"/>
                <w:szCs w:val="20"/>
                <w:color w:val="auto"/>
              </w:rPr>
            </w:pPr>
            <w:r>
              <w:rPr>
                <w:rFonts w:ascii="Arial" w:cs="Arial" w:eastAsia="Arial" w:hAnsi="Arial"/>
                <w:sz w:val="16"/>
                <w:szCs w:val="16"/>
                <w:color w:val="auto"/>
              </w:rPr>
              <w:t>Pro forma as adjusted net tangible book value per ADS after this offering</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67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Dilution per ADS to investors participating in this offering</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520"/>
              <w:spacing w:after="0" w:line="176"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sectPr>
          <w:pgSz w:w="11900" w:h="16838" w:orient="portrait"/>
          <w:cols w:equalWidth="0" w:num="1">
            <w:col w:w="11402"/>
          </w:cols>
          <w:pgMar w:left="238" w:top="142" w:right="259" w:bottom="1440" w:gutter="0" w:footer="0" w:header="0"/>
        </w:sectPr>
      </w:pPr>
    </w:p>
    <w:p>
      <w:pPr>
        <w:ind w:left="2" w:firstLine="442"/>
        <w:spacing w:after="0" w:line="282" w:lineRule="auto"/>
        <w:rPr>
          <w:sz w:val="20"/>
          <w:szCs w:val="20"/>
          <w:color w:val="auto"/>
        </w:rPr>
      </w:pPr>
      <w:r>
        <w:rPr>
          <w:rFonts w:ascii="Arial" w:cs="Arial" w:eastAsia="Arial" w:hAnsi="Arial"/>
          <w:sz w:val="15"/>
          <w:szCs w:val="15"/>
          <w:color w:val="auto"/>
        </w:rPr>
        <w:t>Each $1.00 increase (decrease) in the assumed initial public offering price of $ page of this prospectus, would increase (decrease) the dilution to new investors by $</w:t>
      </w:r>
    </w:p>
    <w:p>
      <w:pPr>
        <w:spacing w:after="0" w:line="157" w:lineRule="exact"/>
        <w:rPr>
          <w:sz w:val="20"/>
          <w:szCs w:val="20"/>
          <w:color w:val="auto"/>
        </w:rPr>
      </w:pPr>
    </w:p>
    <w:p>
      <w:pPr>
        <w:ind w:left="5622"/>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firstLine="6"/>
        <w:spacing w:after="0" w:line="249" w:lineRule="auto"/>
        <w:rPr>
          <w:sz w:val="20"/>
          <w:szCs w:val="20"/>
          <w:color w:val="auto"/>
        </w:rPr>
      </w:pPr>
      <w:r>
        <w:rPr>
          <w:rFonts w:ascii="Arial" w:cs="Arial" w:eastAsia="Arial" w:hAnsi="Arial"/>
          <w:sz w:val="16"/>
          <w:szCs w:val="16"/>
          <w:color w:val="auto"/>
        </w:rPr>
        <w:t>per ADS, which is the midpoint of the price range set forth on the cover per ADS, assuming the number of ADSs</w:t>
      </w:r>
    </w:p>
    <w:p>
      <w:pPr>
        <w:sectPr>
          <w:pgSz w:w="11900" w:h="16838" w:orient="portrait"/>
          <w:cols w:equalWidth="0" w:num="2">
            <w:col w:w="5962" w:space="160"/>
            <w:col w:w="5280"/>
          </w:cols>
          <w:pgMar w:left="238" w:top="142" w:right="259" w:bottom="1440" w:gutter="0" w:footer="0" w:header="0"/>
          <w:type w:val="continuous"/>
        </w:sectPr>
      </w:pPr>
    </w:p>
    <w:bookmarkStart w:id="95" w:name="page96"/>
    <w:bookmarkEnd w:id="95"/>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2" w:right="20"/>
        <w:spacing w:after="0" w:line="241" w:lineRule="auto"/>
        <w:rPr>
          <w:sz w:val="20"/>
          <w:szCs w:val="20"/>
          <w:color w:val="auto"/>
        </w:rPr>
      </w:pPr>
      <w:r>
        <w:rPr>
          <w:rFonts w:ascii="Arial" w:cs="Arial" w:eastAsia="Arial" w:hAnsi="Arial"/>
          <w:sz w:val="16"/>
          <w:szCs w:val="16"/>
          <w:color w:val="auto"/>
        </w:rPr>
        <w:t>offered by us, as set forth on the cover page of this prospectus, remains the same, and after deducting estimated underwriting discounts and commissions and estimated expenses payable by us. An increase of 1,000,000 ADSs offered by us would decrease the dilution to new investors by $ per ADS, assuming the assumed initial public offering price remains the same and after deducting estimated underwriting discounts and commissions and estimated expenses payable by us. A decrease of 1,000,000 ADSs offered by us would increase the dilution to new investors by $ per ADS, assuming the assumed initial public offering price remains the same and after deducting estimated underwriting discounts and commissions and estimated expenses payable by us.</w:t>
      </w:r>
    </w:p>
    <w:p>
      <w:pPr>
        <w:spacing w:after="0" w:line="189" w:lineRule="exact"/>
        <w:rPr>
          <w:sz w:val="20"/>
          <w:szCs w:val="20"/>
          <w:color w:val="auto"/>
        </w:rPr>
      </w:pPr>
    </w:p>
    <w:p>
      <w:pPr>
        <w:ind w:left="2" w:right="360" w:firstLine="442"/>
        <w:spacing w:after="0" w:line="249" w:lineRule="auto"/>
        <w:rPr>
          <w:sz w:val="20"/>
          <w:szCs w:val="20"/>
          <w:color w:val="auto"/>
        </w:rPr>
      </w:pPr>
      <w:r>
        <w:rPr>
          <w:rFonts w:ascii="Arial" w:cs="Arial" w:eastAsia="Arial" w:hAnsi="Arial"/>
          <w:sz w:val="16"/>
          <w:szCs w:val="16"/>
          <w:color w:val="auto"/>
        </w:rPr>
        <w:t>If the underwriters exercise their option to purchase additional ADSs in full, the pro forma as adjusted net tangible book value would be $ per ordinary share/ADS, and the dilution in pro forma as adjusted net tangible book value to investors in this offering would be $ per ADS.</w:t>
      </w:r>
    </w:p>
    <w:p>
      <w:pPr>
        <w:spacing w:after="0" w:line="181" w:lineRule="exact"/>
        <w:rPr>
          <w:sz w:val="20"/>
          <w:szCs w:val="20"/>
          <w:color w:val="auto"/>
        </w:rPr>
      </w:pPr>
    </w:p>
    <w:p>
      <w:pPr>
        <w:ind w:left="2" w:right="180" w:firstLine="439"/>
        <w:spacing w:after="0" w:line="241" w:lineRule="auto"/>
        <w:rPr>
          <w:sz w:val="20"/>
          <w:szCs w:val="20"/>
          <w:color w:val="auto"/>
        </w:rPr>
      </w:pPr>
      <w:r>
        <w:rPr>
          <w:rFonts w:ascii="Arial" w:cs="Arial" w:eastAsia="Arial" w:hAnsi="Arial"/>
          <w:sz w:val="16"/>
          <w:szCs w:val="16"/>
          <w:color w:val="auto"/>
        </w:rPr>
        <w:t>The following table summarizes, on a pro forma as adjusted basis as of December 31, 2018, the differences between existing shareholders, including holders of our convertible preferred shares, and new investors with respect to the number of ordinary shares (in the form of ADSs or shares) purchased from us, the total consideration paid and the average price per ordinary share/ADS paid before deducting estimated underwriting discounts and commissions and estimated offering expenses payable by us, at an assumed initial public offering price of $ per ADS, which is the midpoint of the price range set forth on the cover of this prospectus.</w:t>
      </w:r>
    </w:p>
    <w:p>
      <w:pPr>
        <w:spacing w:after="0" w:line="189" w:lineRule="exact"/>
        <w:rPr>
          <w:sz w:val="20"/>
          <w:szCs w:val="20"/>
          <w:color w:val="auto"/>
        </w:rPr>
      </w:pPr>
    </w:p>
    <w:p>
      <w:pPr>
        <w:ind w:left="2" w:right="180" w:firstLine="439"/>
        <w:spacing w:after="0" w:line="249" w:lineRule="auto"/>
        <w:rPr>
          <w:sz w:val="20"/>
          <w:szCs w:val="20"/>
          <w:color w:val="auto"/>
        </w:rPr>
      </w:pPr>
      <w:r>
        <w:rPr>
          <w:rFonts w:ascii="Arial" w:cs="Arial" w:eastAsia="Arial" w:hAnsi="Arial"/>
          <w:sz w:val="16"/>
          <w:szCs w:val="16"/>
          <w:color w:val="auto"/>
        </w:rPr>
        <w:t>The total number of ordinary shares does not include ordinary shares underlying the ADSs issuable upon the exercise of the option to purchase additional ADSs granted to the underwriters.</w:t>
      </w:r>
    </w:p>
    <w:p>
      <w:pPr>
        <w:spacing w:after="0" w:line="160" w:lineRule="exact"/>
        <w:rPr>
          <w:sz w:val="20"/>
          <w:szCs w:val="20"/>
          <w:color w:val="auto"/>
        </w:rPr>
      </w:pPr>
    </w:p>
    <w:tbl>
      <w:tblPr>
        <w:tblLayout w:type="fixed"/>
        <w:tblInd w:w="1142"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8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9"/>
              </w:rPr>
              <w:t>Ordinary Shares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3500" w:type="dxa"/>
            <w:vAlign w:val="bottom"/>
          </w:tcPr>
          <w:p>
            <w:pPr>
              <w:spacing w:after="0"/>
              <w:rPr>
                <w:sz w:val="15"/>
                <w:szCs w:val="15"/>
                <w:color w:val="auto"/>
              </w:rPr>
            </w:pPr>
          </w:p>
        </w:tc>
        <w:tc>
          <w:tcPr>
            <w:tcW w:w="18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7"/>
              </w:rPr>
              <w:t>(ADSs)</w:t>
            </w:r>
          </w:p>
        </w:tc>
        <w:tc>
          <w:tcPr>
            <w:tcW w:w="18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9"/>
              </w:rPr>
              <w:t>Total</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9"/>
              </w:rPr>
              <w:t>Price per</w:t>
            </w:r>
          </w:p>
        </w:tc>
        <w:tc>
          <w:tcPr>
            <w:tcW w:w="140" w:type="dxa"/>
            <w:vAlign w:val="bottom"/>
          </w:tcPr>
          <w:p>
            <w:pPr>
              <w:spacing w:after="0"/>
              <w:rPr>
                <w:sz w:val="15"/>
                <w:szCs w:val="15"/>
                <w:color w:val="auto"/>
              </w:rPr>
            </w:pPr>
          </w:p>
        </w:tc>
        <w:tc>
          <w:tcPr>
            <w:tcW w:w="1020" w:type="dxa"/>
            <w:vAlign w:val="bottom"/>
            <w:gridSpan w:val="2"/>
          </w:tcPr>
          <w:p>
            <w:pPr>
              <w:jc w:val="center"/>
              <w:ind w:left="1"/>
              <w:spacing w:after="0"/>
              <w:rPr>
                <w:sz w:val="20"/>
                <w:szCs w:val="20"/>
                <w:color w:val="auto"/>
              </w:rPr>
            </w:pPr>
            <w:r>
              <w:rPr>
                <w:rFonts w:ascii="Arial" w:cs="Arial" w:eastAsia="Arial" w:hAnsi="Arial"/>
                <w:sz w:val="16"/>
                <w:szCs w:val="16"/>
                <w:b w:val="1"/>
                <w:bCs w:val="1"/>
                <w:color w:val="auto"/>
                <w:w w:val="98"/>
              </w:rPr>
              <w:t>Average</w:t>
            </w:r>
          </w:p>
        </w:tc>
      </w:tr>
      <w:tr>
        <w:trPr>
          <w:trHeight w:val="205"/>
        </w:trPr>
        <w:tc>
          <w:tcPr>
            <w:tcW w:w="3500" w:type="dxa"/>
            <w:vAlign w:val="bottom"/>
          </w:tcPr>
          <w:p>
            <w:pPr>
              <w:spacing w:after="0"/>
              <w:rPr>
                <w:sz w:val="17"/>
                <w:szCs w:val="17"/>
                <w:color w:val="auto"/>
              </w:rPr>
            </w:pPr>
          </w:p>
        </w:tc>
        <w:tc>
          <w:tcPr>
            <w:tcW w:w="18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7"/>
              </w:rPr>
              <w:t>Purchased</w:t>
            </w:r>
          </w:p>
        </w:tc>
        <w:tc>
          <w:tcPr>
            <w:tcW w:w="18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8"/>
              </w:rPr>
              <w:t>Consideration</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Ordinary</w:t>
            </w:r>
          </w:p>
        </w:tc>
        <w:tc>
          <w:tcPr>
            <w:tcW w:w="140" w:type="dxa"/>
            <w:vAlign w:val="bottom"/>
          </w:tcPr>
          <w:p>
            <w:pPr>
              <w:spacing w:after="0"/>
              <w:rPr>
                <w:sz w:val="17"/>
                <w:szCs w:val="17"/>
                <w:color w:val="auto"/>
              </w:rPr>
            </w:pPr>
          </w:p>
        </w:tc>
        <w:tc>
          <w:tcPr>
            <w:tcW w:w="1020" w:type="dxa"/>
            <w:vAlign w:val="bottom"/>
            <w:gridSpan w:val="2"/>
          </w:tcPr>
          <w:p>
            <w:pPr>
              <w:jc w:val="center"/>
              <w:ind w:left="1"/>
              <w:spacing w:after="0"/>
              <w:rPr>
                <w:sz w:val="20"/>
                <w:szCs w:val="20"/>
                <w:color w:val="auto"/>
              </w:rPr>
            </w:pPr>
            <w:r>
              <w:rPr>
                <w:rFonts w:ascii="Arial" w:cs="Arial" w:eastAsia="Arial" w:hAnsi="Arial"/>
                <w:sz w:val="16"/>
                <w:szCs w:val="16"/>
                <w:b w:val="1"/>
                <w:bCs w:val="1"/>
                <w:color w:val="auto"/>
                <w:w w:val="96"/>
              </w:rPr>
              <w:t>Price</w:t>
            </w:r>
          </w:p>
        </w:tc>
      </w:tr>
      <w:tr>
        <w:trPr>
          <w:trHeight w:val="196"/>
        </w:trPr>
        <w:tc>
          <w:tcPr>
            <w:tcW w:w="3500" w:type="dxa"/>
            <w:vAlign w:val="bottom"/>
          </w:tcPr>
          <w:p>
            <w:pPr>
              <w:spacing w:after="0"/>
              <w:rPr>
                <w:sz w:val="17"/>
                <w:szCs w:val="17"/>
                <w:color w:val="auto"/>
              </w:rPr>
            </w:pPr>
          </w:p>
        </w:tc>
        <w:tc>
          <w:tcPr>
            <w:tcW w:w="7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w w:val="99"/>
              </w:rPr>
              <w:t>Number</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w w:val="98"/>
              </w:rPr>
              <w:t>Percent</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Amount   Percent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Share</w:t>
            </w:r>
          </w:p>
        </w:tc>
        <w:tc>
          <w:tcPr>
            <w:tcW w:w="140" w:type="dxa"/>
            <w:vAlign w:val="bottom"/>
          </w:tcPr>
          <w:p>
            <w:pPr>
              <w:spacing w:after="0"/>
              <w:rPr>
                <w:sz w:val="17"/>
                <w:szCs w:val="17"/>
                <w:color w:val="auto"/>
              </w:rPr>
            </w:pPr>
          </w:p>
        </w:tc>
        <w:tc>
          <w:tcPr>
            <w:tcW w:w="1020" w:type="dxa"/>
            <w:vAlign w:val="bottom"/>
            <w:gridSpan w:val="2"/>
          </w:tcPr>
          <w:p>
            <w:pPr>
              <w:jc w:val="center"/>
              <w:ind w:left="1"/>
              <w:spacing w:after="0"/>
              <w:rPr>
                <w:sz w:val="20"/>
                <w:szCs w:val="20"/>
                <w:color w:val="auto"/>
              </w:rPr>
            </w:pPr>
            <w:r>
              <w:rPr>
                <w:rFonts w:ascii="Arial" w:cs="Arial" w:eastAsia="Arial" w:hAnsi="Arial"/>
                <w:sz w:val="16"/>
                <w:szCs w:val="16"/>
                <w:b w:val="1"/>
                <w:bCs w:val="1"/>
                <w:color w:val="auto"/>
                <w:w w:val="98"/>
              </w:rPr>
              <w:t>per ADS</w:t>
            </w:r>
          </w:p>
        </w:tc>
      </w:tr>
      <w:tr>
        <w:trPr>
          <w:trHeight w:val="24"/>
        </w:trPr>
        <w:tc>
          <w:tcPr>
            <w:tcW w:w="3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Existing shareholders</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r>
      <w:tr>
        <w:trPr>
          <w:trHeight w:val="183"/>
        </w:trPr>
        <w:tc>
          <w:tcPr>
            <w:tcW w:w="3500" w:type="dxa"/>
            <w:vAlign w:val="bottom"/>
          </w:tcPr>
          <w:p>
            <w:pPr>
              <w:spacing w:after="0"/>
              <w:rPr>
                <w:sz w:val="20"/>
                <w:szCs w:val="20"/>
                <w:color w:val="auto"/>
              </w:rPr>
            </w:pPr>
            <w:r>
              <w:rPr>
                <w:rFonts w:ascii="Arial" w:cs="Arial" w:eastAsia="Arial" w:hAnsi="Arial"/>
                <w:sz w:val="16"/>
                <w:szCs w:val="16"/>
                <w:color w:val="auto"/>
              </w:rPr>
              <w:t>New investors</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422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6"/>
                <w:szCs w:val="16"/>
                <w:color w:val="auto"/>
              </w:rPr>
              <w:t>Total</w:t>
            </w:r>
          </w:p>
        </w:tc>
        <w:tc>
          <w:tcPr>
            <w:tcW w:w="112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100%$</w:t>
            </w:r>
          </w:p>
        </w:tc>
        <w:tc>
          <w:tcPr>
            <w:tcW w:w="1680" w:type="dxa"/>
            <w:vAlign w:val="bottom"/>
            <w:gridSpan w:val="4"/>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
        </w:trPr>
        <w:tc>
          <w:tcPr>
            <w:tcW w:w="3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9" w:lineRule="exact"/>
        <w:rPr>
          <w:sz w:val="20"/>
          <w:szCs w:val="20"/>
          <w:color w:val="auto"/>
        </w:rPr>
      </w:pPr>
    </w:p>
    <w:p>
      <w:pPr>
        <w:ind w:left="2" w:firstLine="439"/>
        <w:spacing w:after="0" w:line="255" w:lineRule="auto"/>
        <w:rPr>
          <w:sz w:val="20"/>
          <w:szCs w:val="20"/>
          <w:color w:val="auto"/>
        </w:rPr>
      </w:pPr>
      <w:r>
        <w:rPr>
          <w:rFonts w:ascii="Arial" w:cs="Arial" w:eastAsia="Arial" w:hAnsi="Arial"/>
          <w:sz w:val="15"/>
          <w:szCs w:val="15"/>
          <w:color w:val="auto"/>
        </w:rPr>
        <w:t>The tables and calculations above are based on 628,902 shares (which includes 58,746 unvested restricted shares subject to repurchase by us) outstanding as of December 31, 2018, and gives effect to (i) the issuance of 80,385 Series B2 preferred shares in January 2019 for aggregate consideration of $1.6 million,</w:t>
      </w:r>
    </w:p>
    <w:p>
      <w:pPr>
        <w:jc w:val="both"/>
        <w:ind w:left="2" w:right="160" w:hanging="2"/>
        <w:spacing w:after="0" w:line="242" w:lineRule="auto"/>
        <w:tabs>
          <w:tab w:leader="none" w:pos="22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exercise of warrants to subscribe for 200,000 Series A convertible preferred shares immediately prior to the completion of this offering, (iii) the exercise of warrants to subscribe for 371,645 Series B1 convertible preferred shares immediately prior to the completion of this offering, and (iv) the automatic conversion of all outstanding convertible preferred shares as of December 31, 2018 into an aggregate of 8,722,477 ordinary shares upon completion of this offering, and excludes:</w:t>
      </w:r>
    </w:p>
    <w:p>
      <w:pPr>
        <w:spacing w:after="0" w:line="187" w:lineRule="exact"/>
        <w:rPr>
          <w:rFonts w:ascii="Arial" w:cs="Arial" w:eastAsia="Arial" w:hAnsi="Arial"/>
          <w:sz w:val="16"/>
          <w:szCs w:val="16"/>
          <w:color w:val="auto"/>
        </w:rPr>
      </w:pPr>
    </w:p>
    <w:p>
      <w:pPr>
        <w:ind w:left="982" w:right="120" w:hanging="493"/>
        <w:spacing w:after="0" w:line="249" w:lineRule="auto"/>
        <w:tabs>
          <w:tab w:leader="none" w:pos="982" w:val="left"/>
        </w:tabs>
        <w:numPr>
          <w:ilvl w:val="1"/>
          <w:numId w:val="49"/>
        </w:numPr>
        <w:rPr>
          <w:rFonts w:ascii="Arial" w:cs="Arial" w:eastAsia="Arial" w:hAnsi="Arial"/>
          <w:sz w:val="16"/>
          <w:szCs w:val="16"/>
          <w:color w:val="auto"/>
        </w:rPr>
      </w:pPr>
      <w:r>
        <w:rPr>
          <w:rFonts w:ascii="Arial" w:cs="Arial" w:eastAsia="Arial" w:hAnsi="Arial"/>
          <w:sz w:val="16"/>
          <w:szCs w:val="16"/>
          <w:color w:val="auto"/>
        </w:rPr>
        <w:t>604,444 ordinary shares issuable upon the exercise of options to subscribe for ordinary shares outstanding as of December 31, 2018 at a weighted average exercise price of $1.44 per ordinary share;</w:t>
      </w:r>
    </w:p>
    <w:p>
      <w:pPr>
        <w:spacing w:after="0" w:line="180" w:lineRule="exact"/>
        <w:rPr>
          <w:rFonts w:ascii="Arial" w:cs="Arial" w:eastAsia="Arial" w:hAnsi="Arial"/>
          <w:sz w:val="16"/>
          <w:szCs w:val="16"/>
          <w:color w:val="auto"/>
        </w:rPr>
      </w:pPr>
    </w:p>
    <w:p>
      <w:pPr>
        <w:ind w:left="982" w:hanging="493"/>
        <w:spacing w:after="0"/>
        <w:tabs>
          <w:tab w:leader="none" w:pos="982" w:val="left"/>
        </w:tabs>
        <w:numPr>
          <w:ilvl w:val="1"/>
          <w:numId w:val="49"/>
        </w:numPr>
        <w:rPr>
          <w:rFonts w:ascii="Arial" w:cs="Arial" w:eastAsia="Arial" w:hAnsi="Arial"/>
          <w:sz w:val="16"/>
          <w:szCs w:val="16"/>
          <w:color w:val="auto"/>
        </w:rPr>
      </w:pPr>
      <w:r>
        <w:rPr>
          <w:rFonts w:ascii="Arial" w:cs="Arial" w:eastAsia="Arial" w:hAnsi="Arial"/>
          <w:sz w:val="16"/>
          <w:szCs w:val="16"/>
          <w:color w:val="auto"/>
        </w:rPr>
        <w:t>485,985 ordinary shares reserved for future issuance as of December 31, 2018 in connection with equity awards;</w:t>
      </w:r>
    </w:p>
    <w:p>
      <w:pPr>
        <w:spacing w:after="0" w:line="182" w:lineRule="exact"/>
        <w:rPr>
          <w:rFonts w:ascii="Arial" w:cs="Arial" w:eastAsia="Arial" w:hAnsi="Arial"/>
          <w:sz w:val="16"/>
          <w:szCs w:val="16"/>
          <w:color w:val="auto"/>
        </w:rPr>
      </w:pPr>
    </w:p>
    <w:p>
      <w:pPr>
        <w:ind w:left="982" w:right="260" w:hanging="493"/>
        <w:spacing w:after="0" w:line="249" w:lineRule="auto"/>
        <w:tabs>
          <w:tab w:leader="none" w:pos="1557" w:val="left"/>
        </w:tabs>
        <w:numPr>
          <w:ilvl w:val="1"/>
          <w:numId w:val="49"/>
        </w:numPr>
        <w:rPr>
          <w:rFonts w:ascii="Arial" w:cs="Arial" w:eastAsia="Arial" w:hAnsi="Arial"/>
          <w:sz w:val="16"/>
          <w:szCs w:val="16"/>
          <w:color w:val="auto"/>
        </w:rPr>
      </w:pPr>
      <w:r>
        <w:rPr>
          <w:rFonts w:ascii="Arial" w:cs="Arial" w:eastAsia="Arial" w:hAnsi="Arial"/>
          <w:sz w:val="16"/>
          <w:szCs w:val="16"/>
          <w:color w:val="auto"/>
        </w:rPr>
        <w:t>ordinary shares that will be made available for future issuance under our 2019 Share Option and Incentive Plan upon the effectiveness of the registration statement of which this prospectus forms a part; and</w:t>
      </w:r>
    </w:p>
    <w:p>
      <w:pPr>
        <w:spacing w:after="0" w:line="18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42"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right="160" w:hanging="493"/>
        <w:spacing w:after="0" w:line="249" w:lineRule="auto"/>
        <w:tabs>
          <w:tab w:leader="none" w:pos="1554" w:val="left"/>
        </w:tabs>
        <w:numPr>
          <w:ilvl w:val="0"/>
          <w:numId w:val="50"/>
        </w:numPr>
        <w:rPr>
          <w:rFonts w:ascii="Arial" w:cs="Arial" w:eastAsia="Arial" w:hAnsi="Arial"/>
          <w:sz w:val="16"/>
          <w:szCs w:val="16"/>
          <w:color w:val="auto"/>
        </w:rPr>
      </w:pPr>
      <w:r>
        <w:rPr>
          <w:rFonts w:ascii="Arial" w:cs="Arial" w:eastAsia="Arial" w:hAnsi="Arial"/>
          <w:sz w:val="16"/>
          <w:szCs w:val="16"/>
          <w:color w:val="auto"/>
        </w:rPr>
        <w:t>ordinary shares that will be made available for future issuance under our 2019 Employee Share Purchase Plan, upon the effectiveness of the registration statement of which this prospectus forms a part.</w:t>
      </w:r>
    </w:p>
    <w:p>
      <w:pPr>
        <w:spacing w:after="0" w:line="181" w:lineRule="exact"/>
        <w:rPr>
          <w:sz w:val="20"/>
          <w:szCs w:val="20"/>
          <w:color w:val="auto"/>
        </w:rPr>
      </w:pPr>
    </w:p>
    <w:p>
      <w:pPr>
        <w:ind w:right="360" w:firstLine="439"/>
        <w:spacing w:after="0" w:line="249" w:lineRule="auto"/>
        <w:rPr>
          <w:sz w:val="20"/>
          <w:szCs w:val="20"/>
          <w:color w:val="auto"/>
        </w:rPr>
      </w:pPr>
      <w:r>
        <w:rPr>
          <w:rFonts w:ascii="Arial" w:cs="Arial" w:eastAsia="Arial" w:hAnsi="Arial"/>
          <w:sz w:val="16"/>
          <w:szCs w:val="16"/>
          <w:color w:val="auto"/>
        </w:rPr>
        <w:t>The pro forma information discussed above is illustrative only. Our net tangible book value following the closing of this offering is subject to adjustment based on the actual initial public offering price of the ADSs and other terms of this offering determined at pricing.</w:t>
      </w:r>
    </w:p>
    <w:p>
      <w:pPr>
        <w:spacing w:after="0" w:line="181" w:lineRule="exact"/>
        <w:rPr>
          <w:sz w:val="20"/>
          <w:szCs w:val="20"/>
          <w:color w:val="auto"/>
        </w:rPr>
      </w:pPr>
    </w:p>
    <w:p>
      <w:pPr>
        <w:ind w:firstLine="439"/>
        <w:spacing w:after="0" w:line="242" w:lineRule="auto"/>
        <w:rPr>
          <w:sz w:val="20"/>
          <w:szCs w:val="20"/>
          <w:color w:val="auto"/>
        </w:rPr>
      </w:pPr>
      <w:r>
        <w:rPr>
          <w:rFonts w:ascii="Arial" w:cs="Arial" w:eastAsia="Arial" w:hAnsi="Arial"/>
          <w:sz w:val="16"/>
          <w:szCs w:val="16"/>
          <w:color w:val="auto"/>
        </w:rPr>
        <w:t>To the extent that outstanding options and warrants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shareholders.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SELECTED CONSOLIDATED FINANCIAL DATA</w:t>
      </w:r>
    </w:p>
    <w:p>
      <w:pPr>
        <w:spacing w:after="0" w:line="199" w:lineRule="exact"/>
        <w:rPr>
          <w:sz w:val="20"/>
          <w:szCs w:val="20"/>
          <w:color w:val="auto"/>
        </w:rPr>
      </w:pPr>
    </w:p>
    <w:p>
      <w:pPr>
        <w:ind w:right="20" w:firstLine="442"/>
        <w:spacing w:after="0" w:line="247" w:lineRule="auto"/>
        <w:rPr>
          <w:sz w:val="20"/>
          <w:szCs w:val="20"/>
          <w:color w:val="auto"/>
        </w:rPr>
      </w:pPr>
      <w:r>
        <w:rPr>
          <w:rFonts w:ascii="Arial" w:cs="Arial" w:eastAsia="Arial" w:hAnsi="Arial"/>
          <w:sz w:val="16"/>
          <w:szCs w:val="16"/>
          <w:i w:val="1"/>
          <w:iCs w:val="1"/>
          <w:color w:val="auto"/>
        </w:rPr>
        <w:t xml:space="preserve">The following tables present the selected consolidated financial data as of the dates and for the periods indicated for Bicycle Therapeutics Limited. We derived the selected consolidated statements of operations and comprehensive loss data for the years ended December 31, 2017 and 2018 and the consolidated balance sheet data as of December 31, 2017 and 2018 from our audited consolidated financial statements included elsewhere in this prospectus. Our historical audited consolidated financial statements as of and for the year ended December 31, 2017 have been restated. See Note 1 to the audited consolidated financial statements included elsewhere in this prospectus. </w:t>
      </w:r>
      <w:r>
        <w:rPr>
          <w:rFonts w:ascii="Arial" w:cs="Arial" w:eastAsia="Arial" w:hAnsi="Arial"/>
          <w:sz w:val="16"/>
          <w:szCs w:val="16"/>
          <w:color w:val="auto"/>
        </w:rPr>
        <w:t>We prepare our consolidated financial statements in accordance with U.S. GAAP.</w:t>
      </w:r>
    </w:p>
    <w:p>
      <w:pPr>
        <w:spacing w:after="0" w:line="166" w:lineRule="exact"/>
        <w:rPr>
          <w:sz w:val="20"/>
          <w:szCs w:val="20"/>
          <w:color w:val="auto"/>
        </w:rPr>
      </w:pPr>
    </w:p>
    <w:p>
      <w:pPr>
        <w:ind w:firstLine="442"/>
        <w:spacing w:after="0" w:line="254" w:lineRule="auto"/>
        <w:rPr>
          <w:sz w:val="20"/>
          <w:szCs w:val="20"/>
          <w:color w:val="auto"/>
        </w:rPr>
      </w:pPr>
      <w:r>
        <w:rPr>
          <w:rFonts w:ascii="Arial" w:cs="Arial" w:eastAsia="Arial" w:hAnsi="Arial"/>
          <w:sz w:val="16"/>
          <w:szCs w:val="16"/>
          <w:i w:val="1"/>
          <w:iCs w:val="1"/>
          <w:color w:val="auto"/>
        </w:rPr>
        <w:t>Our historical results are not necessarily indicative of our future results. You should read this data together with our consolidated financial statements and related notes appearing elsewhere in this prospectus and the information under the sections titled "Capitalization" and "Management's Discussion and Analysis of Financial Condition and Results of Operations."</w:t>
      </w:r>
    </w:p>
    <w:p>
      <w:pPr>
        <w:spacing w:after="0" w:line="162" w:lineRule="exact"/>
        <w:rPr>
          <w:sz w:val="20"/>
          <w:szCs w:val="20"/>
          <w:color w:val="auto"/>
        </w:rPr>
      </w:pPr>
    </w:p>
    <w:p>
      <w:pPr>
        <w:ind w:firstLine="442"/>
        <w:spacing w:after="0" w:line="245" w:lineRule="auto"/>
        <w:rPr>
          <w:sz w:val="20"/>
          <w:szCs w:val="20"/>
          <w:color w:val="auto"/>
        </w:rPr>
      </w:pPr>
      <w:r>
        <w:rPr>
          <w:rFonts w:ascii="Arial" w:cs="Arial" w:eastAsia="Arial" w:hAnsi="Arial"/>
          <w:sz w:val="16"/>
          <w:szCs w:val="16"/>
          <w:i w:val="1"/>
          <w:iCs w:val="1"/>
          <w:color w:val="auto"/>
        </w:rPr>
        <w:t>The functional currency of Bicycle Therapeutics Limited and its wholly owned subsidiaries in the United Kingdom, BicycleTx Limited and BicycleRD Limited, is the pound sterling. The functional currency of Bicycle Therapeutics Inc. is the U.S. dollar. For financial reporting purposes, the financial statements of Bicycle Therapeutics Limited, BicycleTx Limited and BicycleRD Limited, which are prepared using the functional currency, have been translated into U.S. dollars. Our assets and liabilities are translated at the exchange rates at the balance sheet date, our revenue and expenses are translated at average exchange rates and shareholders' (deficit) equity is translated based on historical exchange rates. Translation adjustments are not included in determining net loss but are included in foreign exchange translation adjustment within accumulated other comprehensive income (loss), a component of shareholders' (deficit) equity.</w:t>
      </w:r>
    </w:p>
    <w:p>
      <w:pPr>
        <w:spacing w:after="0" w:line="169" w:lineRule="exact"/>
        <w:rPr>
          <w:sz w:val="20"/>
          <w:szCs w:val="20"/>
          <w:color w:val="auto"/>
        </w:rPr>
      </w:pPr>
    </w:p>
    <w:p>
      <w:pPr>
        <w:ind w:right="60" w:firstLine="442"/>
        <w:spacing w:after="0" w:line="249" w:lineRule="auto"/>
        <w:rPr>
          <w:sz w:val="20"/>
          <w:szCs w:val="20"/>
          <w:color w:val="auto"/>
        </w:rPr>
      </w:pPr>
      <w:r>
        <w:rPr>
          <w:rFonts w:ascii="Arial" w:cs="Arial" w:eastAsia="Arial" w:hAnsi="Arial"/>
          <w:sz w:val="16"/>
          <w:szCs w:val="16"/>
          <w:i w:val="1"/>
          <w:iCs w:val="1"/>
          <w:color w:val="auto"/>
        </w:rPr>
        <w:t>Foreign currency transactions in currencies different from the functional currency are translated into the functional currency using the exchange rates prevailing at the dates of the transactions. Foreign exchange differences resulting from the settlement of such transactions and from the translation at period-end exchange rates of monetary assets and liabilities denominated in foreign currencies are recorded in general and administrative expense in the consolidated statements of operations and comprehensive loss.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As of December 31, 2018, the last business day of the year ended December 31, 2018, the representative exchange rate was $1.2763 = £1.00.</w:t>
      </w:r>
    </w:p>
    <w:p>
      <w:pPr>
        <w:spacing w:after="0" w:line="195" w:lineRule="exact"/>
        <w:rPr>
          <w:sz w:val="20"/>
          <w:szCs w:val="20"/>
          <w:color w:val="auto"/>
        </w:rPr>
      </w:pPr>
    </w:p>
    <w:p>
      <w:pPr>
        <w:ind w:right="160" w:firstLine="442"/>
        <w:spacing w:after="0" w:line="270" w:lineRule="auto"/>
        <w:rPr>
          <w:sz w:val="20"/>
          <w:szCs w:val="20"/>
          <w:color w:val="auto"/>
        </w:rPr>
      </w:pPr>
      <w:r>
        <w:rPr>
          <w:rFonts w:ascii="Arial" w:cs="Arial" w:eastAsia="Arial" w:hAnsi="Arial"/>
          <w:sz w:val="16"/>
          <w:szCs w:val="16"/>
          <w:i w:val="1"/>
          <w:iCs w:val="1"/>
          <w:color w:val="auto"/>
        </w:rPr>
        <w:t>Prior to the completion of this offering, we intend to reorganize our share capital and re-register Bicycle Therapeutics Limited as a public limited company and to change our name from Bicycle Therapeutics Limited to Bicycle Therapeutics plc. See "Share Capital Reorganization and Re-Registration."</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794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1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9"/>
              </w:rPr>
              <w:t>Year ended December 31,</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b w:val="1"/>
                <w:bCs w:val="1"/>
                <w:color w:val="auto"/>
                <w:w w:val="98"/>
              </w:rPr>
              <w:t>(as restated)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8"/>
              </w:rPr>
              <w:t>(in thousands, except</w:t>
            </w: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9"/>
              </w:rPr>
              <w:t>share and per share data)</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940" w:type="dxa"/>
            <w:vAlign w:val="bottom"/>
            <w:gridSpan w:val="3"/>
          </w:tcPr>
          <w:p>
            <w:pPr>
              <w:ind w:left="1140"/>
              <w:spacing w:after="0"/>
              <w:rPr>
                <w:sz w:val="20"/>
                <w:szCs w:val="20"/>
                <w:color w:val="auto"/>
              </w:rPr>
            </w:pPr>
            <w:r>
              <w:rPr>
                <w:rFonts w:ascii="Arial" w:cs="Arial" w:eastAsia="Arial" w:hAnsi="Arial"/>
                <w:sz w:val="16"/>
                <w:szCs w:val="16"/>
                <w:color w:val="auto"/>
              </w:rPr>
              <w:t>Collaboration revenues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15"/>
                <w:szCs w:val="15"/>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7,136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0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11,866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20,761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00" w:type="dxa"/>
            <w:vAlign w:val="bottom"/>
          </w:tcPr>
          <w:p>
            <w:pPr>
              <w:ind w:left="200"/>
              <w:spacing w:after="0" w:line="176" w:lineRule="exact"/>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18,273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28,882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8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(16,213)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(21,746)</w:t>
            </w:r>
          </w:p>
        </w:tc>
        <w:tc>
          <w:tcPr>
            <w:tcW w:w="0" w:type="dxa"/>
            <w:vAlign w:val="bottom"/>
          </w:tcPr>
          <w:p>
            <w:pPr>
              <w:spacing w:after="0"/>
              <w:rPr>
                <w:sz w:val="1"/>
                <w:szCs w:val="1"/>
                <w:color w:val="auto"/>
              </w:rPr>
            </w:pPr>
          </w:p>
        </w:tc>
      </w:tr>
      <w:tr>
        <w:trPr>
          <w:trHeight w:val="176"/>
        </w:trPr>
        <w:tc>
          <w:tcPr>
            <w:tcW w:w="7940" w:type="dxa"/>
            <w:vAlign w:val="bottom"/>
            <w:gridSpan w:val="3"/>
          </w:tcPr>
          <w:p>
            <w:pPr>
              <w:ind w:left="1140"/>
              <w:spacing w:after="0" w:line="176" w:lineRule="exact"/>
              <w:rPr>
                <w:sz w:val="20"/>
                <w:szCs w:val="20"/>
                <w:color w:val="auto"/>
              </w:rPr>
            </w:pPr>
            <w:r>
              <w:rPr>
                <w:rFonts w:ascii="Arial" w:cs="Arial" w:eastAsia="Arial" w:hAnsi="Arial"/>
                <w:sz w:val="16"/>
                <w:szCs w:val="16"/>
                <w:color w:val="auto"/>
              </w:rPr>
              <w:t>Other income (expenses):</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and other income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0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(119)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700" w:type="dxa"/>
            <w:vAlign w:val="bottom"/>
            <w:shd w:val="clear" w:color="auto" w:fill="CCEEFF"/>
          </w:tcPr>
          <w:p>
            <w:pPr>
              <w:ind w:left="200"/>
              <w:spacing w:after="0" w:line="176" w:lineRule="exact"/>
              <w:rPr>
                <w:sz w:val="20"/>
                <w:szCs w:val="20"/>
                <w:color w:val="auto"/>
              </w:rPr>
            </w:pPr>
            <w:r>
              <w:rPr>
                <w:rFonts w:ascii="Arial" w:cs="Arial" w:eastAsia="Arial" w:hAnsi="Arial"/>
                <w:sz w:val="16"/>
                <w:szCs w:val="16"/>
                <w:color w:val="auto"/>
              </w:rPr>
              <w:t>Total other expense, net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(69)</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ind w:left="1140"/>
              <w:spacing w:after="0"/>
              <w:rPr>
                <w:sz w:val="20"/>
                <w:szCs w:val="20"/>
                <w:color w:val="auto"/>
              </w:rPr>
            </w:pPr>
            <w:r>
              <w:rPr>
                <w:rFonts w:ascii="Arial" w:cs="Arial" w:eastAsia="Arial" w:hAnsi="Arial"/>
                <w:sz w:val="16"/>
                <w:szCs w:val="16"/>
                <w:color w:val="auto"/>
              </w:rPr>
              <w:t>Net loss before income tax provision</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(16,282)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(22,242)</w:t>
            </w: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from income taxes</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ind w:left="114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40" w:type="dxa"/>
            <w:vAlign w:val="bottom"/>
            <w:gridSpan w:val="3"/>
            <w:vMerge w:val="continue"/>
          </w:tcPr>
          <w:p>
            <w:pPr>
              <w:spacing w:after="0"/>
              <w:rPr>
                <w:sz w:val="15"/>
                <w:szCs w:val="15"/>
                <w:color w:val="auto"/>
              </w:rPr>
            </w:pPr>
          </w:p>
        </w:tc>
        <w:tc>
          <w:tcPr>
            <w:tcW w:w="1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(16,259)</w:t>
            </w:r>
          </w:p>
        </w:tc>
        <w:tc>
          <w:tcPr>
            <w:tcW w:w="2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(21,846)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tcPr>
          <w:p>
            <w:pPr>
              <w:spacing w:after="0"/>
              <w:rPr>
                <w:sz w:val="13"/>
                <w:szCs w:val="13"/>
                <w:color w:val="auto"/>
              </w:rPr>
            </w:pPr>
          </w:p>
        </w:tc>
        <w:tc>
          <w:tcPr>
            <w:tcW w:w="680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rPr>
              <w:t>Net loss attributable to ordinary shareholders</w:t>
            </w:r>
          </w:p>
        </w:tc>
        <w:tc>
          <w:tcPr>
            <w:tcW w:w="18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6"/>
                <w:szCs w:val="16"/>
                <w:color w:val="auto"/>
              </w:rPr>
              <w:t>(16,259)</w:t>
            </w:r>
          </w:p>
        </w:tc>
        <w:tc>
          <w:tcPr>
            <w:tcW w:w="20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6"/>
                <w:szCs w:val="16"/>
                <w:color w:val="auto"/>
              </w:rPr>
              <w:t>(21,846)</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ind w:left="1140"/>
              <w:spacing w:after="0"/>
              <w:rPr>
                <w:sz w:val="20"/>
                <w:szCs w:val="20"/>
                <w:color w:val="auto"/>
              </w:rPr>
            </w:pPr>
            <w:r>
              <w:rPr>
                <w:rFonts w:ascii="Arial" w:cs="Arial" w:eastAsia="Arial" w:hAnsi="Arial"/>
                <w:sz w:val="16"/>
                <w:szCs w:val="16"/>
                <w:color w:val="auto"/>
              </w:rPr>
              <w:t>Net loss per share attributable to ordinary shareholders, basic and diluted</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40" w:type="dxa"/>
            <w:vAlign w:val="bottom"/>
            <w:gridSpan w:val="3"/>
            <w:vMerge w:val="continue"/>
          </w:tcPr>
          <w:p>
            <w:pPr>
              <w:spacing w:after="0"/>
              <w:rPr>
                <w:sz w:val="13"/>
                <w:szCs w:val="13"/>
                <w:color w:val="auto"/>
              </w:rPr>
            </w:pPr>
          </w:p>
        </w:tc>
        <w:tc>
          <w:tcPr>
            <w:tcW w:w="18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(69.74)</w:t>
            </w:r>
          </w:p>
        </w:tc>
        <w:tc>
          <w:tcPr>
            <w:tcW w:w="2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tcPr>
          <w:p>
            <w:pPr>
              <w:spacing w:after="0"/>
              <w:rPr>
                <w:sz w:val="13"/>
                <w:szCs w:val="13"/>
                <w:color w:val="auto"/>
              </w:rPr>
            </w:pPr>
          </w:p>
        </w:tc>
        <w:tc>
          <w:tcPr>
            <w:tcW w:w="680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rPr>
              <w:t>Weighted average ordinary shares outstanding, basic and diluted</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6"/>
                <w:szCs w:val="16"/>
                <w:color w:val="auto"/>
              </w:rPr>
              <w:t>233,134</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6"/>
                <w:szCs w:val="16"/>
                <w:color w:val="auto"/>
              </w:rPr>
              <w:t>307,123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ind w:left="1140"/>
              <w:spacing w:after="0"/>
              <w:rPr>
                <w:sz w:val="20"/>
                <w:szCs w:val="20"/>
                <w:color w:val="auto"/>
              </w:rPr>
            </w:pPr>
            <w:r>
              <w:rPr>
                <w:rFonts w:ascii="Arial" w:cs="Arial" w:eastAsia="Arial" w:hAnsi="Arial"/>
                <w:sz w:val="16"/>
                <w:szCs w:val="16"/>
                <w:color w:val="auto"/>
              </w:rPr>
              <w:t>Pro forma net loss per share attributable to ordinary shareholders, basic and diluted (unaudited)</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6800" w:type="dxa"/>
            <w:vAlign w:val="bottom"/>
            <w:gridSpan w:val="2"/>
            <w:shd w:val="clear" w:color="auto" w:fill="CCEEFF"/>
          </w:tcPr>
          <w:p>
            <w:pPr>
              <w:spacing w:after="0" w:line="163" w:lineRule="exact"/>
              <w:rPr>
                <w:sz w:val="20"/>
                <w:szCs w:val="20"/>
                <w:color w:val="auto"/>
              </w:rPr>
            </w:pPr>
            <w:r>
              <w:rPr>
                <w:rFonts w:ascii="Arial" w:cs="Arial" w:eastAsia="Arial" w:hAnsi="Arial"/>
                <w:sz w:val="16"/>
                <w:szCs w:val="16"/>
                <w:color w:val="auto"/>
              </w:rPr>
              <w:t>Pro forma weighted average number of ordinary shares outstanding, basic and diluted</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70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(unaudited)</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7,665,736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680" w:firstLine="442"/>
        <w:spacing w:after="0" w:line="270" w:lineRule="auto"/>
        <w:rPr>
          <w:sz w:val="20"/>
          <w:szCs w:val="20"/>
          <w:color w:val="auto"/>
        </w:rPr>
      </w:pPr>
      <w:r>
        <w:rPr>
          <w:rFonts w:ascii="Arial" w:cs="Arial" w:eastAsia="Arial" w:hAnsi="Arial"/>
          <w:sz w:val="16"/>
          <w:szCs w:val="16"/>
          <w:i w:val="1"/>
          <w:iCs w:val="1"/>
          <w:color w:val="auto"/>
        </w:rPr>
        <w:t>See Note 2 within the notes to our consolidated financial statements appearing at the end of this prospectus for a description of the method used to calculate basic and diluted net loss per share applicable to ordinary shareholders and unaudited pro forma basic and diluted net loss per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As of December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0"/>
        </w:trPr>
        <w:tc>
          <w:tcPr>
            <w:tcW w:w="1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1"/>
        </w:trPr>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1"/>
        </w:trPr>
        <w:tc>
          <w:tcPr>
            <w:tcW w:w="1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(as restated)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2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500" w:type="dxa"/>
            <w:vAlign w:val="bottom"/>
          </w:tcPr>
          <w:p>
            <w:pPr>
              <w:ind w:left="140"/>
              <w:spacing w:after="0"/>
              <w:rPr>
                <w:sz w:val="20"/>
                <w:szCs w:val="20"/>
                <w:color w:val="auto"/>
              </w:rPr>
            </w:pPr>
            <w:r>
              <w:rPr>
                <w:rFonts w:ascii="Arial" w:cs="Arial" w:eastAsia="Arial" w:hAnsi="Arial"/>
                <w:sz w:val="16"/>
                <w:szCs w:val="16"/>
                <w:color w:val="auto"/>
              </w:rPr>
              <w:t>Cash</w:t>
            </w:r>
          </w:p>
        </w:tc>
        <w:tc>
          <w:tcPr>
            <w:tcW w:w="26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67,663</w:t>
            </w:r>
          </w:p>
        </w:tc>
        <w:tc>
          <w:tcPr>
            <w:tcW w:w="80" w:type="dxa"/>
            <w:vAlign w:val="bottom"/>
          </w:tcPr>
          <w:p>
            <w:pPr>
              <w:spacing w:after="0"/>
              <w:rPr>
                <w:sz w:val="15"/>
                <w:szCs w:val="15"/>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63,380</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Working capital</w:t>
            </w:r>
          </w:p>
        </w:tc>
        <w:tc>
          <w:tcPr>
            <w:tcW w:w="2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62,061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67,840</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50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74,001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81,626</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deferred revenue</w:t>
            </w:r>
          </w:p>
        </w:tc>
        <w:tc>
          <w:tcPr>
            <w:tcW w:w="2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14,635</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500" w:type="dxa"/>
            <w:vAlign w:val="bottom"/>
          </w:tcPr>
          <w:p>
            <w:pPr>
              <w:ind w:left="140"/>
              <w:spacing w:after="0"/>
              <w:rPr>
                <w:sz w:val="20"/>
                <w:szCs w:val="20"/>
                <w:color w:val="auto"/>
              </w:rPr>
            </w:pPr>
            <w:r>
              <w:rPr>
                <w:rFonts w:ascii="Arial" w:cs="Arial" w:eastAsia="Arial" w:hAnsi="Arial"/>
                <w:sz w:val="16"/>
                <w:szCs w:val="16"/>
                <w:color w:val="auto"/>
              </w:rPr>
              <w:t>Warrant liability</w:t>
            </w:r>
          </w:p>
        </w:tc>
        <w:tc>
          <w:tcPr>
            <w:tcW w:w="2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4,411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4,804</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Convertible preferred shares</w:t>
            </w:r>
          </w:p>
        </w:tc>
        <w:tc>
          <w:tcPr>
            <w:tcW w:w="2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96,441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122,197</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95"/>
        </w:trPr>
        <w:tc>
          <w:tcPr>
            <w:tcW w:w="1140" w:type="dxa"/>
            <w:vAlign w:val="bottom"/>
          </w:tcPr>
          <w:p>
            <w:pPr>
              <w:spacing w:after="0"/>
              <w:rPr>
                <w:sz w:val="16"/>
                <w:szCs w:val="16"/>
                <w:color w:val="auto"/>
              </w:rPr>
            </w:pPr>
          </w:p>
        </w:tc>
        <w:tc>
          <w:tcPr>
            <w:tcW w:w="3500" w:type="dxa"/>
            <w:vAlign w:val="bottom"/>
          </w:tcPr>
          <w:p>
            <w:pPr>
              <w:ind w:left="140"/>
              <w:spacing w:after="0"/>
              <w:rPr>
                <w:sz w:val="20"/>
                <w:szCs w:val="20"/>
                <w:color w:val="auto"/>
              </w:rPr>
            </w:pPr>
            <w:r>
              <w:rPr>
                <w:rFonts w:ascii="Arial" w:cs="Arial" w:eastAsia="Arial" w:hAnsi="Arial"/>
                <w:sz w:val="16"/>
                <w:szCs w:val="16"/>
                <w:color w:val="auto"/>
              </w:rPr>
              <w:t>Total shareholders' (deficit) equity</w:t>
            </w:r>
          </w:p>
        </w:tc>
        <w:tc>
          <w:tcPr>
            <w:tcW w:w="26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ind w:right="40"/>
              <w:spacing w:after="0"/>
              <w:rPr>
                <w:sz w:val="20"/>
                <w:szCs w:val="20"/>
                <w:color w:val="auto"/>
              </w:rPr>
            </w:pPr>
            <w:r>
              <w:rPr>
                <w:rFonts w:ascii="Arial" w:cs="Arial" w:eastAsia="Arial" w:hAnsi="Arial"/>
                <w:sz w:val="16"/>
                <w:szCs w:val="16"/>
                <w:color w:val="auto"/>
              </w:rPr>
              <w:t>(47,184)</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(69,826)</w:t>
            </w:r>
          </w:p>
        </w:tc>
        <w:tc>
          <w:tcPr>
            <w:tcW w:w="1140" w:type="dxa"/>
            <w:vAlign w:val="bottom"/>
          </w:tcPr>
          <w:p>
            <w:pPr>
              <w:spacing w:after="0"/>
              <w:rPr>
                <w:sz w:val="16"/>
                <w:szCs w:val="16"/>
                <w:color w:val="auto"/>
              </w:rPr>
            </w:pPr>
          </w:p>
        </w:tc>
      </w:tr>
      <w:tr>
        <w:trPr>
          <w:trHeight w:val="379"/>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0" w:type="dxa"/>
            <w:vAlign w:val="bottom"/>
          </w:tcPr>
          <w:p>
            <w:pPr>
              <w:jc w:val="right"/>
              <w:ind w:right="961"/>
              <w:spacing w:after="0"/>
              <w:rPr>
                <w:sz w:val="20"/>
                <w:szCs w:val="20"/>
                <w:color w:val="auto"/>
              </w:rPr>
            </w:pPr>
            <w:r>
              <w:rPr>
                <w:rFonts w:ascii="Arial" w:cs="Arial" w:eastAsia="Arial" w:hAnsi="Arial"/>
                <w:sz w:val="16"/>
                <w:szCs w:val="16"/>
                <w:color w:val="auto"/>
              </w:rPr>
              <w:t>93</w:t>
            </w: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1140" w:type="dxa"/>
            <w:vAlign w:val="bottom"/>
            <w:tcBorders>
              <w:bottom w:val="single" w:sz="8" w:color="808080"/>
            </w:tcBorders>
          </w:tcPr>
          <w:p>
            <w:pPr>
              <w:spacing w:after="0"/>
              <w:rPr>
                <w:sz w:val="16"/>
                <w:szCs w:val="16"/>
                <w:color w:val="auto"/>
              </w:rPr>
            </w:pPr>
          </w:p>
        </w:tc>
        <w:tc>
          <w:tcPr>
            <w:tcW w:w="3500" w:type="dxa"/>
            <w:vAlign w:val="bottom"/>
            <w:tcBorders>
              <w:bottom w:val="single" w:sz="8" w:color="808080"/>
            </w:tcBorders>
          </w:tcPr>
          <w:p>
            <w:pPr>
              <w:spacing w:after="0"/>
              <w:rPr>
                <w:sz w:val="16"/>
                <w:szCs w:val="16"/>
                <w:color w:val="auto"/>
              </w:rPr>
            </w:pPr>
          </w:p>
        </w:tc>
        <w:tc>
          <w:tcPr>
            <w:tcW w:w="220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19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RESULTS OF OPERATIONS</w:t>
      </w:r>
    </w:p>
    <w:p>
      <w:pPr>
        <w:spacing w:after="0" w:line="179" w:lineRule="exact"/>
        <w:rPr>
          <w:sz w:val="20"/>
          <w:szCs w:val="20"/>
          <w:color w:val="auto"/>
        </w:rPr>
      </w:pPr>
    </w:p>
    <w:p>
      <w:pPr>
        <w:ind w:right="40" w:firstLine="442"/>
        <w:spacing w:after="0" w:line="244" w:lineRule="auto"/>
        <w:rPr>
          <w:sz w:val="20"/>
          <w:szCs w:val="20"/>
          <w:color w:val="auto"/>
        </w:rPr>
      </w:pPr>
      <w:r>
        <w:rPr>
          <w:rFonts w:ascii="Arial" w:cs="Arial" w:eastAsia="Arial" w:hAnsi="Arial"/>
          <w:sz w:val="16"/>
          <w:szCs w:val="16"/>
          <w:i w:val="1"/>
          <w:iCs w:val="1"/>
          <w:color w:val="auto"/>
        </w:rPr>
        <w:t>You should read this discussion and analysis of our financial condition and consolidated results of operations together with the consolidated financial statements, related notes and other financial information included in this prospectus. Our historical consolidated financial statements as of and for the year ended December 31, 2017 have been restated. See Note 1 to the consolidated financial statements included elsewhere in this prospectus. Some of the information contained in this discussion and analysis or set forth elsewhere in this prospectus, including statements of our plans, objectives, expectations and intentions, contain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Please also see the section titled "Special Note Regarding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9" w:lineRule="exact"/>
        <w:rPr>
          <w:sz w:val="20"/>
          <w:szCs w:val="20"/>
          <w:color w:val="auto"/>
        </w:rPr>
      </w:pPr>
    </w:p>
    <w:p>
      <w:pPr>
        <w:ind w:right="60" w:firstLine="442"/>
        <w:spacing w:after="0" w:line="245" w:lineRule="auto"/>
        <w:rPr>
          <w:sz w:val="20"/>
          <w:szCs w:val="20"/>
          <w:color w:val="auto"/>
        </w:rPr>
      </w:pPr>
      <w:r>
        <w:rPr>
          <w:rFonts w:ascii="Arial" w:cs="Arial" w:eastAsia="Arial" w:hAnsi="Arial"/>
          <w:sz w:val="16"/>
          <w:szCs w:val="16"/>
          <w:color w:val="auto"/>
        </w:rPr>
        <w:t xml:space="preserve">We are a clinical-stage biopharmaceutical company developing a novel class of medicines, which we refer to as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 for diseases that are underserved by existing therapeutics.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fully synthetic short peptides constrained to form two loops which stabilize their structural geometry. This constraint is designed to confer high affinity and selectivity and the relatively large surface area presented by the molecule allows targets to be drugged that have historically been intractable to non-biological approaches.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a unique therapeutic modality combining the pharmacology usually associated with a biologic with the manufacturing and pharmacokinetic, or PK, properties of a small molecule.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excreted by the kidney rather than the liver and have shown no signs of immunogenicity to date, which we believe together support a favorable toxicological profile.</w:t>
      </w:r>
    </w:p>
    <w:p>
      <w:pPr>
        <w:spacing w:after="0" w:line="169" w:lineRule="exact"/>
        <w:rPr>
          <w:sz w:val="20"/>
          <w:szCs w:val="20"/>
          <w:color w:val="auto"/>
        </w:rPr>
      </w:pPr>
    </w:p>
    <w:p>
      <w:pPr>
        <w:ind w:firstLine="442"/>
        <w:spacing w:after="0" w:line="247" w:lineRule="auto"/>
        <w:rPr>
          <w:sz w:val="20"/>
          <w:szCs w:val="20"/>
          <w:color w:val="auto"/>
        </w:rPr>
      </w:pPr>
      <w:r>
        <w:rPr>
          <w:rFonts w:ascii="Arial" w:cs="Arial" w:eastAsia="Arial" w:hAnsi="Arial"/>
          <w:sz w:val="16"/>
          <w:szCs w:val="16"/>
          <w:color w:val="auto"/>
        </w:rPr>
        <w:t xml:space="preserve">We have a novel and proprietary phage display screening platform which we use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 an efficient manner. The platform initially displays linear peptides on the surface of engineered bacteriophages, or phages, before "on-phage" cyclization with a range of small molecule scaffolds which can confer differentiated physicochemical and structural properties. Our platform encodes quadrillions of potential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which can be screened to identify molecules for optimization to potential product candidates. We have used this powerful screening technology to identify our current portfolio of candidates in oncology and intend to use it in conjunction with our collaborators to seek to develop additional future candidates across a range of other disease areas.</w:t>
      </w:r>
    </w:p>
    <w:p>
      <w:pPr>
        <w:spacing w:after="0" w:line="166" w:lineRule="exact"/>
        <w:rPr>
          <w:sz w:val="20"/>
          <w:szCs w:val="20"/>
          <w:color w:val="auto"/>
        </w:rPr>
      </w:pPr>
    </w:p>
    <w:p>
      <w:pPr>
        <w:ind w:firstLine="442"/>
        <w:spacing w:after="0" w:line="261" w:lineRule="auto"/>
        <w:rPr>
          <w:sz w:val="20"/>
          <w:szCs w:val="20"/>
          <w:color w:val="auto"/>
        </w:rPr>
      </w:pPr>
      <w:r>
        <w:rPr>
          <w:rFonts w:ascii="Arial" w:cs="Arial" w:eastAsia="Arial" w:hAnsi="Arial"/>
          <w:sz w:val="15"/>
          <w:szCs w:val="15"/>
          <w:color w:val="auto"/>
        </w:rPr>
        <w:t xml:space="preserve">Our initial internal programs are focused on oncology indications with high unmet medical need. Our lead product candidate, BT1718, is a </w:t>
      </w:r>
      <w:r>
        <w:rPr>
          <w:rFonts w:ascii="Arial" w:cs="Arial" w:eastAsia="Arial" w:hAnsi="Arial"/>
          <w:sz w:val="15"/>
          <w:szCs w:val="15"/>
          <w:i w:val="1"/>
          <w:iCs w:val="1"/>
          <w:color w:val="auto"/>
        </w:rPr>
        <w:t>Bicycle</w:t>
      </w:r>
      <w:r>
        <w:rPr>
          <w:rFonts w:ascii="Arial" w:cs="Arial" w:eastAsia="Arial" w:hAnsi="Arial"/>
          <w:sz w:val="15"/>
          <w:szCs w:val="15"/>
          <w:color w:val="auto"/>
        </w:rPr>
        <w:t xml:space="preserve"> Toxin Conjugate, or BTC. This </w:t>
      </w:r>
      <w:r>
        <w:rPr>
          <w:rFonts w:ascii="Arial" w:cs="Arial" w:eastAsia="Arial" w:hAnsi="Arial"/>
          <w:sz w:val="15"/>
          <w:szCs w:val="15"/>
          <w:i w:val="1"/>
          <w:iCs w:val="1"/>
          <w:color w:val="auto"/>
        </w:rPr>
        <w:t>Bicycle</w:t>
      </w:r>
      <w:r>
        <w:rPr>
          <w:rFonts w:ascii="Arial" w:cs="Arial" w:eastAsia="Arial" w:hAnsi="Arial"/>
          <w:sz w:val="15"/>
          <w:szCs w:val="15"/>
          <w:color w:val="auto"/>
        </w:rPr>
        <w:t xml:space="preserve"> is being developed to target tumors that express Membrane Type 1 matrix metalloprotease, or MT1-MMP. MT1-MMP is expressed in approximately 76% to 96% of the ovarian, bladder, endometrial and triple negative breast cancer samples we have tested, depending on cancer type. The </w:t>
      </w:r>
      <w:r>
        <w:rPr>
          <w:rFonts w:ascii="Arial" w:cs="Arial" w:eastAsia="Arial" w:hAnsi="Arial"/>
          <w:sz w:val="15"/>
          <w:szCs w:val="15"/>
          <w:i w:val="1"/>
          <w:iCs w:val="1"/>
          <w:color w:val="auto"/>
        </w:rPr>
        <w:t xml:space="preserve">Bicycle </w:t>
      </w:r>
      <w:r>
        <w:rPr>
          <w:rFonts w:ascii="Arial" w:cs="Arial" w:eastAsia="Arial" w:hAnsi="Arial"/>
          <w:sz w:val="15"/>
          <w:szCs w:val="15"/>
          <w:color w:val="auto"/>
        </w:rPr>
        <w:t>is chemically attached to a toxin that when administered is cleaved from the</w:t>
      </w:r>
      <w:r>
        <w:rPr>
          <w:rFonts w:ascii="Arial" w:cs="Arial" w:eastAsia="Arial" w:hAnsi="Arial"/>
          <w:sz w:val="15"/>
          <w:szCs w:val="15"/>
          <w:i w:val="1"/>
          <w:iCs w:val="1"/>
          <w:color w:val="auto"/>
        </w:rPr>
        <w:t xml:space="preserve"> Bicycle </w:t>
      </w:r>
      <w:r>
        <w:rPr>
          <w:rFonts w:ascii="Arial" w:cs="Arial" w:eastAsia="Arial" w:hAnsi="Arial"/>
          <w:sz w:val="15"/>
          <w:szCs w:val="15"/>
          <w:color w:val="auto"/>
        </w:rPr>
        <w:t>and kills the tumor cells. BT1718 is being investigated for safety,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tolerability and efficacy in an ongoing Phase I/IIa clinical trial in collaboration with, and fully funded by, the Centre for Drug Development of Cancer Research UK, or CRUK. We expect to report preliminary data from the Phase I part of this clinical trial in the second half of 2019. We are also developing BT5528 and BT8009, which are BTCs targeting Ephrin type-A receptor 2, or EphA2, and Nectin-4, respectively, for oncology indications. BT5528 and BT8009 are being investigated for safety, activity and to establish a rationale for therapeutic use in preclinical studies. We are currently conducting Investigational New Drug application, or IND, - enabling activities for BT5528 and BT8009. Our discovery pipeline in oncology includes </w:t>
      </w:r>
      <w:r>
        <w:rPr>
          <w:rFonts w:ascii="Arial" w:cs="Arial" w:eastAsia="Arial" w:hAnsi="Arial"/>
          <w:sz w:val="15"/>
          <w:szCs w:val="15"/>
          <w:i w:val="1"/>
          <w:iCs w:val="1"/>
          <w:color w:val="auto"/>
        </w:rPr>
        <w:t>Bicycle</w:t>
      </w:r>
      <w:r>
        <w:rPr>
          <w:rFonts w:ascii="Arial" w:cs="Arial" w:eastAsia="Arial" w:hAnsi="Arial"/>
          <w:sz w:val="15"/>
          <w:szCs w:val="15"/>
          <w:color w:val="auto"/>
        </w:rPr>
        <w:t>-targeted innate immune activators as well as T-cell modulators.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9" w:lineRule="exact"/>
        <w:rPr>
          <w:sz w:val="20"/>
          <w:szCs w:val="20"/>
          <w:color w:val="auto"/>
        </w:rPr>
      </w:pPr>
    </w:p>
    <w:p>
      <w:pPr>
        <w:ind w:firstLine="442"/>
        <w:spacing w:after="0" w:line="254" w:lineRule="auto"/>
        <w:rPr>
          <w:sz w:val="20"/>
          <w:szCs w:val="20"/>
          <w:color w:val="auto"/>
        </w:rPr>
      </w:pPr>
      <w:r>
        <w:rPr>
          <w:rFonts w:ascii="Arial" w:cs="Arial" w:eastAsia="Arial" w:hAnsi="Arial"/>
          <w:sz w:val="16"/>
          <w:szCs w:val="16"/>
          <w:color w:val="auto"/>
        </w:rPr>
        <w:t xml:space="preserve">Beyond oncology, we are collaborating with biopharmaceutical companies and organizations in therapeutic areas where we believe our proprietary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screening platform can identify therapies to treat diseases with significant unmet medical need. Our partnered programs outside of oncology include collaborations for anti-bacterial, cardiovascular, hematology, ophthalmology and respiratory indications.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Overview</w:t>
      </w:r>
    </w:p>
    <w:p>
      <w:pPr>
        <w:spacing w:after="0" w:line="199"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 xml:space="preserve">Since our inception, we have devoted substantially all of our resources to developing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platform and our lead product candidates, BT1718, BT5528 and BT8009, conducting research and development of our product candidates and preclinical programs, raising capital and providing general and administrative support for our operations. To date, we have financed our operations primarily with proceeds from the sale of convertible preferred shares, as well as proceeds received from upfront payments, research and development payments, and development milestone payments from our collaboration agreements with Oxurion, AstraZeneca and Bioverativ (a Sanofi Company). Since our inception in 2009 through December 31, 2018, we have received gross proceeds of $126.4 million from the sale of convertible preferred shares, and $20.7 million of cash payments under our collaboration revenue arrangements including</w:t>
      </w:r>
    </w:p>
    <w:p>
      <w:pPr>
        <w:spacing w:after="0" w:line="3"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$4.1 million from Oxurion, $2.3 million from AstraZeneca and $14.3 million from Bioverativ. In January 2019, we received $1.6 million of proceeds from the sale of Series B2 convertible preferred shares as well as an additional $5.0 million that was paid to us by AstraZeneca. We do not have any products approved for sale and have not generated any revenue from product sales.</w:t>
      </w:r>
    </w:p>
    <w:p>
      <w:pPr>
        <w:spacing w:after="0" w:line="185"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Since our inception, we have incurred significant operating losses. Our ability to generate product revenue sufficient to achieve profitability will depend on the successful development and eventual commercialization of one or more of our product candidates. Our net losses were $16.3 million and $21.8 million for the years ended December 31, 2017 and December 31, 2018, respectively. As of December 31, 2018, we had an accumulated deficit of $69.9 million. These losses have resulted primarily from costs incurred in connection with research and development activities and general and administrative costs associated with our operations. We expect to continue to incur significant expenses and increasing operating losses for the foreseeable future.</w:t>
      </w:r>
    </w:p>
    <w:p>
      <w:pPr>
        <w:spacing w:after="0" w:line="189"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We anticipate that our expenses and capital requirements will increase substantially in connection with our ongoing activities, particularly as we advance the preclinical activities and clinical trials of our product candidates and, if any product candidates are approved, pursue the commercialization of such product candidates by building internal sales and marketing capabilities. In addition, we expect to incur additional costs associated with operating as a public company following the completion of this offering, including significant legal, accounting, investor relations and other expenses that we did not incur as a private company. We expect that our expenses and capital requirements will increase substantially if and as we:</w:t>
      </w:r>
    </w:p>
    <w:p>
      <w:pPr>
        <w:spacing w:after="0" w:line="189" w:lineRule="exact"/>
        <w:rPr>
          <w:sz w:val="20"/>
          <w:szCs w:val="20"/>
          <w:color w:val="auto"/>
        </w:rPr>
      </w:pPr>
    </w:p>
    <w:p>
      <w:pPr>
        <w:ind w:left="980" w:hanging="493"/>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conducting future clinical trials of BT1718;</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progress the preclinical and clinical development of BT5528 and BT8009;</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seek to identify and develop additional product candidates;</w:t>
      </w:r>
    </w:p>
    <w:p>
      <w:pPr>
        <w:spacing w:after="0" w:line="182" w:lineRule="exact"/>
        <w:rPr>
          <w:rFonts w:ascii="Arial" w:cs="Arial" w:eastAsia="Arial" w:hAnsi="Arial"/>
          <w:sz w:val="16"/>
          <w:szCs w:val="16"/>
          <w:color w:val="auto"/>
        </w:rPr>
      </w:pPr>
    </w:p>
    <w:p>
      <w:pPr>
        <w:ind w:left="980" w:right="700" w:hanging="493"/>
        <w:spacing w:after="0" w:line="249"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develop the necessary processes, controls and manufacturing data to obtain marketing approval for our product candidates and to support manufacturing to commercial scale;</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develop, maintain, expand and protect our intellectual property portfolio;</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seek marketing approvals for our product candidates that successfully complete clinical trials, if any;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right="760" w:hanging="493"/>
        <w:spacing w:after="0" w:line="249"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hire and retain additional personnel, such as non-clinical, clinical, pharmacovigilance, quality assurance, regulatory affairs, manufacturing, distribution, legal, compliance, medical affairs, commercial and scientific personnel;</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acquire or in-license other products and technologies;</w:t>
      </w:r>
    </w:p>
    <w:p>
      <w:pPr>
        <w:spacing w:after="0" w:line="182" w:lineRule="exact"/>
        <w:rPr>
          <w:rFonts w:ascii="Arial" w:cs="Arial" w:eastAsia="Arial" w:hAnsi="Arial"/>
          <w:sz w:val="16"/>
          <w:szCs w:val="16"/>
          <w:color w:val="auto"/>
        </w:rPr>
      </w:pPr>
    </w:p>
    <w:p>
      <w:pPr>
        <w:ind w:left="980" w:right="200" w:hanging="493"/>
        <w:spacing w:after="0" w:line="249"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expand our infrastructure and facilities to accommodate our growing employee base, including adding equipment and infrastructure to support our research and development; and</w:t>
      </w:r>
    </w:p>
    <w:p>
      <w:pPr>
        <w:spacing w:after="0" w:line="168" w:lineRule="exact"/>
        <w:rPr>
          <w:rFonts w:ascii="Arial" w:cs="Arial" w:eastAsia="Arial" w:hAnsi="Arial"/>
          <w:sz w:val="16"/>
          <w:szCs w:val="16"/>
          <w:color w:val="auto"/>
        </w:rPr>
      </w:pPr>
    </w:p>
    <w:p>
      <w:pPr>
        <w:ind w:left="980" w:right="460" w:hanging="493"/>
        <w:spacing w:after="0" w:line="282" w:lineRule="auto"/>
        <w:tabs>
          <w:tab w:leader="none" w:pos="9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add operational, financial and management information systems and personnel, including personnel to support our research and development programs, any future commercialization efforts and our transition to operating as a public company following the completion of this offering.</w:t>
      </w:r>
    </w:p>
    <w:p>
      <w:pPr>
        <w:spacing w:after="0" w:line="157"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We do not expect to generate revenue from product sales unless and until we successfully complete development and obtain marketing approval for one or more of our product candidates, which we expect will take many years and is subject to significant uncertainty. We have no commercial-scale manufacturing facilities of our own, and all of our manufacturing activities have been and are planned to be contracted out to third parties. Additionally, we currently utilize third-party contract research organizations, or CROs, to carry out our clinical development activities. If we seek to obtain marketing approval for any of our product candidates from which we obtain promising results in clinical development, we expect to incur significant commercialization expenses as we prepare for product sales, marketing, manufacturing, and distribution.</w:t>
      </w:r>
    </w:p>
    <w:p>
      <w:pPr>
        <w:spacing w:after="0" w:line="188" w:lineRule="exact"/>
        <w:rPr>
          <w:sz w:val="20"/>
          <w:szCs w:val="20"/>
          <w:color w:val="auto"/>
        </w:rPr>
      </w:pPr>
    </w:p>
    <w:p>
      <w:pPr>
        <w:ind w:right="20" w:firstLine="433"/>
        <w:spacing w:after="0" w:line="241"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charitable grants, monetization transactions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89"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As of December 31, 2018, we had cash of $63.4 million. We believe that the anticipated net proceeds from this offering, together with our existing cash, will</w:t>
      </w:r>
    </w:p>
    <w:p>
      <w:pPr>
        <w:spacing w:after="0" w:line="11"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enable us to fund our operating expenses and capital expenditure requirements . We have based this estimate on assumptions that may prove to be wrong, and we could deplete our available capital resources sooner than we expect. See "— Liquidity and Capital Resources." To finance our operations beyond that point, we will need to raise additional capital, which cannot be assured.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Collaboration Revenues</w:t>
      </w:r>
    </w:p>
    <w:p>
      <w:pPr>
        <w:spacing w:after="0" w:line="213" w:lineRule="exact"/>
        <w:rPr>
          <w:sz w:val="20"/>
          <w:szCs w:val="20"/>
          <w:color w:val="auto"/>
        </w:rPr>
      </w:pPr>
    </w:p>
    <w:p>
      <w:pPr>
        <w:ind w:right="420" w:firstLine="439"/>
        <w:spacing w:after="0" w:line="249" w:lineRule="auto"/>
        <w:rPr>
          <w:sz w:val="20"/>
          <w:szCs w:val="20"/>
          <w:color w:val="auto"/>
        </w:rPr>
      </w:pPr>
      <w:r>
        <w:rPr>
          <w:rFonts w:ascii="Arial" w:cs="Arial" w:eastAsia="Arial" w:hAnsi="Arial"/>
          <w:sz w:val="16"/>
          <w:szCs w:val="16"/>
          <w:color w:val="auto"/>
        </w:rPr>
        <w:t>To date, we have not generated any revenue from product sales and we do not expect to generate any revenue from product sales for the foreseeable future. Our revenue consists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collaboration revenue under our arrangements with AstraZeneca, Bioverativ and Oxurion, including amounts that are recognized related to upfront payments, milestone payments and amounts due to us for research and development services. In the future, revenue may include additional milestone payments, option exercise payments, and royalties on any net product sales under our collaborations. We expect that any revenue we generate will fluctuate from period to period as a result of the timing and amount of license, research and development services, and milestone and other payments.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211" w:lineRule="exact"/>
        <w:rPr>
          <w:sz w:val="20"/>
          <w:szCs w:val="20"/>
          <w:color w:val="auto"/>
        </w:rPr>
      </w:pPr>
    </w:p>
    <w:p>
      <w:pPr>
        <w:ind w:right="20" w:firstLine="442"/>
        <w:spacing w:after="0" w:line="249" w:lineRule="auto"/>
        <w:rPr>
          <w:sz w:val="20"/>
          <w:szCs w:val="20"/>
          <w:color w:val="auto"/>
        </w:rPr>
      </w:pPr>
      <w:r>
        <w:rPr>
          <w:rFonts w:ascii="Arial" w:cs="Arial" w:eastAsia="Arial" w:hAnsi="Arial"/>
          <w:sz w:val="16"/>
          <w:szCs w:val="16"/>
          <w:color w:val="auto"/>
        </w:rPr>
        <w:t>Research and development expenses consist primarily of costs incurred for our research and development activities, including our discovery efforts, and the development of our product candidates, which include:</w:t>
      </w:r>
    </w:p>
    <w:p>
      <w:pPr>
        <w:spacing w:after="0" w:line="181" w:lineRule="exact"/>
        <w:rPr>
          <w:sz w:val="20"/>
          <w:szCs w:val="20"/>
          <w:color w:val="auto"/>
        </w:rPr>
      </w:pPr>
    </w:p>
    <w:p>
      <w:pPr>
        <w:ind w:left="980" w:hanging="493"/>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and share-based compensation expense;</w:t>
      </w:r>
    </w:p>
    <w:p>
      <w:pPr>
        <w:spacing w:after="0" w:line="195" w:lineRule="exact"/>
        <w:rPr>
          <w:rFonts w:ascii="Arial" w:cs="Arial" w:eastAsia="Arial" w:hAnsi="Arial"/>
          <w:sz w:val="16"/>
          <w:szCs w:val="16"/>
          <w:color w:val="auto"/>
        </w:rPr>
      </w:pPr>
    </w:p>
    <w:p>
      <w:pPr>
        <w:ind w:left="980" w:right="800" w:hanging="493"/>
        <w:spacing w:after="0" w:line="249"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expenses incurred under agreements with third parties that conduct research and development, preclinical activities, clinical activities and manufacturing on our behalf;</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cost of consultants;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cost of lab supplies and acquiring, developing and manufacturing preclinical study materials and clinical trial materials;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costs related to compliance with regulatory requirements; and</w:t>
      </w:r>
    </w:p>
    <w:p>
      <w:pPr>
        <w:spacing w:after="0" w:line="182" w:lineRule="exact"/>
        <w:rPr>
          <w:rFonts w:ascii="Arial" w:cs="Arial" w:eastAsia="Arial" w:hAnsi="Arial"/>
          <w:sz w:val="16"/>
          <w:szCs w:val="16"/>
          <w:color w:val="auto"/>
        </w:rPr>
      </w:pPr>
    </w:p>
    <w:p>
      <w:pPr>
        <w:ind w:left="980" w:right="120" w:hanging="493"/>
        <w:spacing w:after="0" w:line="249"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direct and allocated expenses for rent and maintenance of facilities, insurance, and other operating costs.</w:t>
      </w:r>
    </w:p>
    <w:p>
      <w:pPr>
        <w:spacing w:after="0" w:line="181"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Research and development costs are expensed as incurred. Costs for certain activities are recognized based on an evaluation of the progress to completion of specific tasks. Payments for these activities are based on the terms of the individual agreements, which may differ from the pattern of costs incurred, and are reflected in our consolidated financial statements as a prepaid expense or accrued research and development expenses.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U.K. research and development tax credits are recorded as an offset to research and development expense. See "—Benefit from Income Taxes."</w:t>
      </w:r>
    </w:p>
    <w:p>
      <w:pPr>
        <w:spacing w:after="0" w:line="195"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Our direct external research and development expenses are tracked on a program-by-program basis and consist of costs, such as fees paid to consultants, contractors and contract manufacturing organizations, or CMOs, in connection with our preclinical and clinical development activities. Costs incurred after a product candidate has been designated and that are directly related to the product candidate are included in direct research and development expenses for that program. Costs incurred prior to designating a product candidate are included in other discovery and platform related expense. We do not allocate employee costs, costs associated with our discovery efforts, laboratory supplies, and facilities, including depreciation or other indirect costs, to specific product development programs because these costs are deployed across multiple product development programs and, as such, are not separately classified.</w:t>
      </w:r>
    </w:p>
    <w:p>
      <w:pPr>
        <w:spacing w:after="0" w:line="188" w:lineRule="exact"/>
        <w:rPr>
          <w:sz w:val="20"/>
          <w:szCs w:val="20"/>
          <w:color w:val="auto"/>
        </w:rPr>
      </w:pPr>
    </w:p>
    <w:p>
      <w:pPr>
        <w:ind w:right="140" w:firstLine="442"/>
        <w:spacing w:after="0" w:line="249" w:lineRule="auto"/>
        <w:rPr>
          <w:sz w:val="20"/>
          <w:szCs w:val="20"/>
          <w:color w:val="auto"/>
        </w:rPr>
      </w:pPr>
      <w:r>
        <w:rPr>
          <w:rFonts w:ascii="Arial" w:cs="Arial" w:eastAsia="Arial" w:hAnsi="Arial"/>
          <w:sz w:val="16"/>
          <w:szCs w:val="16"/>
          <w:color w:val="auto"/>
        </w:rPr>
        <w:t>In December, 2016, we entered into a Clinical Trial and License Agreement with the Cancer Research Technology Limited, or CRTL and Cancer Research UK, or CRUK, whereby the CRUK's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3" w:name="page104"/>
    <w:bookmarkEnd w:id="103"/>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2"/>
        <w:spacing w:after="0"/>
        <w:rPr>
          <w:sz w:val="20"/>
          <w:szCs w:val="20"/>
          <w:color w:val="auto"/>
        </w:rPr>
      </w:pPr>
      <w:r>
        <w:rPr>
          <w:rFonts w:ascii="Arial" w:cs="Arial" w:eastAsia="Arial" w:hAnsi="Arial"/>
          <w:sz w:val="16"/>
          <w:szCs w:val="16"/>
          <w:color w:val="auto"/>
        </w:rPr>
        <w:t>Centre for Drug Development is sponsoring and funding a Phase I/IIa clinical trial for our lead product candidate, BT1718, in patients with advanced solid tumors. CRUK has designed and prepared and is carrying out and sponsoring the clinical trial at its own cost. Upon the completion of the Phase I/IIa clinical trial, we have the right to obtain a license to the results of the clinical trial upon the payment of a milestone, in cash and ordinary shares, with a combined value in the mid six digit dollar amount. If such license is not acquired, or if it is acquired and the license is terminated and we decide to abandon development of all products that deliver cytotoxic payloads to the MT1 target antigen, we will assign or grant to Cancer Research Technology Limited an exclusive license to develop and commercialize the product on a revenue sharing basis (in which case we will receive tiered royalties of 70% to 90% of the net revenue depending on the stage of development when the license is granted is less certain costs, as defined by the agreement). The CRUK agreement contains additional future milestone payments upon the achievement of development, regulatory and commercial milestones, payable in cash and shares, with an aggregate total value of $50.9 million, as well as royalty payments based on a single digit percentage on net sales of products developed. Upon the completion of the Phase IIa part of the clinical trial, we expect research and development expenses to increase significantly as we expect to fund the continued development of BT1718, as well as incur additional development milestone payments.</w:t>
      </w:r>
    </w:p>
    <w:p>
      <w:pPr>
        <w:spacing w:after="0" w:line="189" w:lineRule="exact"/>
        <w:rPr>
          <w:sz w:val="20"/>
          <w:szCs w:val="20"/>
          <w:color w:val="auto"/>
        </w:rPr>
      </w:pPr>
    </w:p>
    <w:p>
      <w:pPr>
        <w:ind w:left="2" w:firstLine="442"/>
        <w:spacing w:after="0" w:line="255" w:lineRule="auto"/>
        <w:rPr>
          <w:sz w:val="20"/>
          <w:szCs w:val="20"/>
          <w:color w:val="auto"/>
        </w:rPr>
      </w:pPr>
      <w:r>
        <w:rPr>
          <w:rFonts w:ascii="Arial" w:cs="Arial" w:eastAsia="Arial" w:hAnsi="Arial"/>
          <w:sz w:val="15"/>
          <w:szCs w:val="15"/>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a result of our expanded portfolio of product candidates and as we:</w:t>
      </w:r>
    </w:p>
    <w:p>
      <w:pPr>
        <w:ind w:left="2" w:right="400" w:hanging="2"/>
        <w:spacing w:after="0" w:line="244" w:lineRule="auto"/>
        <w:tabs>
          <w:tab w:leader="none" w:pos="188"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continue the clinical development and obtain marketing approval for our product candidates, including BT1718; (ii) initiate clinical trials for our product candidates, including BT5528 and BT8009; and (iii) build our in-house process development and analytical capabilities and continue to discover and develop additional product candidates.</w:t>
      </w:r>
    </w:p>
    <w:p>
      <w:pPr>
        <w:spacing w:after="0" w:line="185" w:lineRule="exact"/>
        <w:rPr>
          <w:sz w:val="20"/>
          <w:szCs w:val="20"/>
          <w:color w:val="auto"/>
        </w:rPr>
      </w:pPr>
    </w:p>
    <w:p>
      <w:pPr>
        <w:ind w:left="2" w:right="40" w:firstLine="439"/>
        <w:spacing w:after="0" w:line="242" w:lineRule="auto"/>
        <w:rPr>
          <w:sz w:val="20"/>
          <w:szCs w:val="20"/>
          <w:color w:val="auto"/>
        </w:rPr>
      </w:pPr>
      <w:r>
        <w:rPr>
          <w:rFonts w:ascii="Arial" w:cs="Arial" w:eastAsia="Arial" w:hAnsi="Arial"/>
          <w:sz w:val="16"/>
          <w:szCs w:val="16"/>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these product candidates. We are also unable to predict when, if ever, material net cash inflows will commence from our product candidates. This is due to the numerous risks and uncertainties associated with developing products, including the uncertainty of:</w:t>
      </w:r>
    </w:p>
    <w:p>
      <w:pPr>
        <w:spacing w:after="0" w:line="187" w:lineRule="exact"/>
        <w:rPr>
          <w:sz w:val="20"/>
          <w:szCs w:val="20"/>
          <w:color w:val="auto"/>
        </w:rPr>
      </w:pPr>
    </w:p>
    <w:p>
      <w:pPr>
        <w:ind w:left="982" w:hanging="493"/>
        <w:spacing w:after="0"/>
        <w:tabs>
          <w:tab w:leader="none" w:pos="982"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completing research and preclinical development of our product candidates, including conducting future clinical trials of BT1718;</w:t>
      </w:r>
    </w:p>
    <w:p>
      <w:pPr>
        <w:spacing w:after="0" w:line="195" w:lineRule="exact"/>
        <w:rPr>
          <w:rFonts w:ascii="Arial" w:cs="Arial" w:eastAsia="Arial" w:hAnsi="Arial"/>
          <w:sz w:val="16"/>
          <w:szCs w:val="16"/>
          <w:color w:val="auto"/>
        </w:rPr>
      </w:pPr>
    </w:p>
    <w:p>
      <w:pPr>
        <w:ind w:left="982" w:hanging="493"/>
        <w:spacing w:after="0"/>
        <w:tabs>
          <w:tab w:leader="none" w:pos="982"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progressing the preclinical and clinical development of BT5528 and BT8009;</w:t>
      </w:r>
    </w:p>
    <w:p>
      <w:pPr>
        <w:spacing w:after="0" w:line="182" w:lineRule="exact"/>
        <w:rPr>
          <w:rFonts w:ascii="Arial" w:cs="Arial" w:eastAsia="Arial" w:hAnsi="Arial"/>
          <w:sz w:val="16"/>
          <w:szCs w:val="16"/>
          <w:color w:val="auto"/>
        </w:rPr>
      </w:pPr>
    </w:p>
    <w:p>
      <w:pPr>
        <w:ind w:left="982" w:hanging="493"/>
        <w:spacing w:after="0"/>
        <w:tabs>
          <w:tab w:leader="none" w:pos="982" w:val="left"/>
        </w:tabs>
        <w:numPr>
          <w:ilvl w:val="0"/>
          <w:numId w:val="55"/>
        </w:numPr>
        <w:rPr>
          <w:rFonts w:ascii="Arial" w:cs="Arial" w:eastAsia="Arial" w:hAnsi="Arial"/>
          <w:sz w:val="16"/>
          <w:szCs w:val="16"/>
          <w:color w:val="auto"/>
        </w:rPr>
      </w:pPr>
      <w:r>
        <w:rPr>
          <w:rFonts w:ascii="Arial" w:cs="Arial" w:eastAsia="Arial" w:hAnsi="Arial"/>
          <w:sz w:val="16"/>
          <w:szCs w:val="16"/>
          <w:color w:val="auto"/>
        </w:rPr>
        <w:t>establishing an appropriate safety profile with IND-enabling studies to advance our preclinical programs into clinical development;</w:t>
      </w:r>
    </w:p>
    <w:p>
      <w:pPr>
        <w:spacing w:after="0" w:line="182" w:lineRule="exact"/>
        <w:rPr>
          <w:rFonts w:ascii="Arial" w:cs="Arial" w:eastAsia="Arial" w:hAnsi="Arial"/>
          <w:sz w:val="16"/>
          <w:szCs w:val="16"/>
          <w:color w:val="auto"/>
        </w:rPr>
      </w:pPr>
    </w:p>
    <w:p>
      <w:pPr>
        <w:ind w:left="982" w:hanging="493"/>
        <w:spacing w:after="0"/>
        <w:tabs>
          <w:tab w:leader="none" w:pos="98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identifying new product candidates to add to our development pipeline;</w:t>
      </w:r>
    </w:p>
    <w:p>
      <w:pPr>
        <w:spacing w:after="0" w:line="195" w:lineRule="exact"/>
        <w:rPr>
          <w:rFonts w:ascii="Arial" w:cs="Arial" w:eastAsia="Arial" w:hAnsi="Arial"/>
          <w:sz w:val="16"/>
          <w:szCs w:val="16"/>
          <w:color w:val="auto"/>
        </w:rPr>
      </w:pPr>
    </w:p>
    <w:p>
      <w:pPr>
        <w:ind w:left="982" w:hanging="493"/>
        <w:spacing w:after="0"/>
        <w:tabs>
          <w:tab w:leader="none" w:pos="982"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successful enrollment in, and the initiation and completion of clinical trials;</w:t>
      </w:r>
    </w:p>
    <w:p>
      <w:pPr>
        <w:spacing w:after="0" w:line="182" w:lineRule="exact"/>
        <w:rPr>
          <w:rFonts w:ascii="Arial" w:cs="Arial" w:eastAsia="Arial" w:hAnsi="Arial"/>
          <w:sz w:val="16"/>
          <w:szCs w:val="16"/>
          <w:color w:val="auto"/>
        </w:rPr>
      </w:pPr>
    </w:p>
    <w:p>
      <w:pPr>
        <w:ind w:left="982" w:hanging="493"/>
        <w:spacing w:after="0"/>
        <w:tabs>
          <w:tab w:leader="none" w:pos="98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timing, receipt and terms of any marketing approvals from applicable regulatory authorities;</w:t>
      </w:r>
    </w:p>
    <w:p>
      <w:pPr>
        <w:spacing w:after="0" w:line="182" w:lineRule="exact"/>
        <w:rPr>
          <w:rFonts w:ascii="Arial" w:cs="Arial" w:eastAsia="Arial" w:hAnsi="Arial"/>
          <w:sz w:val="16"/>
          <w:szCs w:val="16"/>
          <w:color w:val="auto"/>
        </w:rPr>
      </w:pPr>
    </w:p>
    <w:p>
      <w:pPr>
        <w:ind w:left="982" w:hanging="493"/>
        <w:spacing w:after="0"/>
        <w:tabs>
          <w:tab w:leader="none" w:pos="982"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commercializing the product candidates, if and when approved, whether alone or in collaboration with others;</w:t>
      </w:r>
    </w:p>
    <w:p>
      <w:pPr>
        <w:spacing w:after="0" w:line="195" w:lineRule="exact"/>
        <w:rPr>
          <w:rFonts w:ascii="Arial" w:cs="Arial" w:eastAsia="Arial" w:hAnsi="Arial"/>
          <w:sz w:val="16"/>
          <w:szCs w:val="16"/>
          <w:color w:val="auto"/>
        </w:rPr>
      </w:pPr>
    </w:p>
    <w:p>
      <w:pPr>
        <w:ind w:left="982" w:hanging="493"/>
        <w:spacing w:after="0"/>
        <w:tabs>
          <w:tab w:leader="none" w:pos="982" w:val="left"/>
        </w:tabs>
        <w:numPr>
          <w:ilvl w:val="0"/>
          <w:numId w:val="55"/>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 party manufacturers;</w:t>
      </w:r>
    </w:p>
    <w:p>
      <w:pPr>
        <w:spacing w:after="0" w:line="195"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2"/>
          </w:cols>
          <w:pgMar w:left="238" w:top="142" w:right="27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hanging="493"/>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development and timely delivery of commercial-grade drug formulations that can be used in our clinical trials;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addressing any competing technological and market developments, as well as any changes in governmental regulations;</w:t>
      </w:r>
    </w:p>
    <w:p>
      <w:pPr>
        <w:spacing w:after="0" w:line="182" w:lineRule="exact"/>
        <w:rPr>
          <w:rFonts w:ascii="Arial" w:cs="Arial" w:eastAsia="Arial" w:hAnsi="Arial"/>
          <w:sz w:val="16"/>
          <w:szCs w:val="16"/>
          <w:color w:val="auto"/>
        </w:rPr>
      </w:pPr>
    </w:p>
    <w:p>
      <w:pPr>
        <w:ind w:left="980" w:right="20" w:hanging="493"/>
        <w:spacing w:after="0" w:line="249"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negotiating favorable terms in any collaboration, licensing or other arrangements into which we may enter and performing our obligations under such arrangements;</w:t>
      </w:r>
    </w:p>
    <w:p>
      <w:pPr>
        <w:spacing w:after="0" w:line="168" w:lineRule="exact"/>
        <w:rPr>
          <w:rFonts w:ascii="Arial" w:cs="Arial" w:eastAsia="Arial" w:hAnsi="Arial"/>
          <w:sz w:val="16"/>
          <w:szCs w:val="16"/>
          <w:color w:val="auto"/>
        </w:rPr>
      </w:pPr>
    </w:p>
    <w:p>
      <w:pPr>
        <w:ind w:left="980" w:right="20" w:hanging="493"/>
        <w:spacing w:after="0" w:line="249"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maintaining, protecting and expanding our portfolio of intellectual property rights, including patents, trade secrets and know-how, as well as obtaining and maintaining regulatory exclusivity for our product candidates;</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continued acceptable safety profile of the drugs following approval; and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attracting, hiring and retaining qualified personnel.</w:t>
      </w:r>
    </w:p>
    <w:p>
      <w:pPr>
        <w:spacing w:after="0" w:line="195" w:lineRule="exact"/>
        <w:rPr>
          <w:sz w:val="20"/>
          <w:szCs w:val="20"/>
          <w:color w:val="auto"/>
        </w:rPr>
      </w:pPr>
    </w:p>
    <w:p>
      <w:pPr>
        <w:ind w:right="40" w:firstLine="433"/>
        <w:spacing w:after="0"/>
        <w:rPr>
          <w:sz w:val="20"/>
          <w:szCs w:val="20"/>
          <w:color w:val="auto"/>
        </w:rPr>
      </w:pPr>
      <w:r>
        <w:rPr>
          <w:rFonts w:ascii="Arial" w:cs="Arial" w:eastAsia="Arial" w:hAnsi="Arial"/>
          <w:sz w:val="16"/>
          <w:szCs w:val="16"/>
          <w:color w:val="auto"/>
        </w:rPr>
        <w:t>A change in the outcome of any of these variables with respect to the development of a product candidate could mean a significant change in the costs and timing associated with the development of that product candidate. For example, the FDA, EMA or another regulatory authority may require us to conduct clinical trials beyond those that we anticipate will be required for the completion of clinical development of a product candidate, or we may experience significant trial delays due to patient enrollment or other reasons, in which case we would be required to expend significant additional financial resources and time on the completion of clinical development. In addition, we may obtain unexpected results from our clinical trials and we may elect to discontinue, delay or modify clinical trials of some product candidates or focus on others.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11"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share-based compensation, for personnel in our executive, finance, corporate and business development and administrative functions. General and administrative expenses also include professional fees for legal, patent, accounting, auditing, tax and consulting services, travel expenses and facility-related expenses, which include direct depreciation costs and allocated expenses for rent and maintenance of facilities and other operating costs.</w:t>
      </w:r>
    </w:p>
    <w:p>
      <w:pPr>
        <w:spacing w:after="0" w:line="187"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Foreign currency transactions in currencies different from the functional currency of our UK entities are translated into the functional currency using the exchange rates prevailing at the dates of the transactions. Foreign exchange differences resulting from the settlement of such transactions and from the translation at period-end exchange rates in foreign currencies are recorded in general and administrative expense in the statement of operations and comprehensive loss. As such, our operating expenses may be impacted by future changes in exchange rates. See "</w:t>
      </w:r>
      <w:r>
        <w:rPr>
          <w:rFonts w:ascii="Arial" w:cs="Arial" w:eastAsia="Arial" w:hAnsi="Arial"/>
          <w:sz w:val="16"/>
          <w:szCs w:val="16"/>
          <w:i w:val="1"/>
          <w:iCs w:val="1"/>
          <w:color w:val="auto"/>
        </w:rPr>
        <w:t>Quantitative and Qualitative Disclosures About Market Risks</w:t>
      </w:r>
      <w:r>
        <w:rPr>
          <w:rFonts w:ascii="Arial" w:cs="Arial" w:eastAsia="Arial" w:hAnsi="Arial"/>
          <w:sz w:val="16"/>
          <w:szCs w:val="16"/>
          <w:color w:val="auto"/>
        </w:rPr>
        <w:t>" for further discussion.</w:t>
      </w:r>
    </w:p>
    <w:p>
      <w:pPr>
        <w:spacing w:after="0" w:line="189" w:lineRule="exact"/>
        <w:rPr>
          <w:sz w:val="20"/>
          <w:szCs w:val="20"/>
          <w:color w:val="auto"/>
        </w:rPr>
      </w:pPr>
    </w:p>
    <w:p>
      <w:pPr>
        <w:ind w:right="120" w:firstLine="442"/>
        <w:spacing w:after="0" w:line="242" w:lineRule="auto"/>
        <w:rPr>
          <w:sz w:val="20"/>
          <w:szCs w:val="20"/>
          <w:color w:val="auto"/>
        </w:rPr>
      </w:pPr>
      <w:r>
        <w:rPr>
          <w:rFonts w:ascii="Arial" w:cs="Arial" w:eastAsia="Arial" w:hAnsi="Arial"/>
          <w:sz w:val="16"/>
          <w:szCs w:val="16"/>
          <w:color w:val="auto"/>
        </w:rPr>
        <w:t>We expect that our general and administrative expenses will increase in the future as we increase our general and administrative headcount to support our continued research and development and potential commercialization of our portfolio of product candidates. We also expect to incur increased expenses associated with being a public company, including costs of accounting, audit, information systems, legal, regulatory and tax compliance services, director and officer insurance costs and investor and public relations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and Other Income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and other income consists primarily of interest earned on our cash held in operating accounts.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w:t>
      </w:r>
    </w:p>
    <w:p>
      <w:pPr>
        <w:spacing w:after="0" w:line="211" w:lineRule="exact"/>
        <w:rPr>
          <w:sz w:val="20"/>
          <w:szCs w:val="20"/>
          <w:color w:val="auto"/>
        </w:rPr>
      </w:pPr>
    </w:p>
    <w:p>
      <w:pPr>
        <w:ind w:right="40" w:firstLine="442"/>
        <w:spacing w:after="0" w:line="242" w:lineRule="auto"/>
        <w:rPr>
          <w:sz w:val="20"/>
          <w:szCs w:val="20"/>
          <w:color w:val="auto"/>
        </w:rPr>
      </w:pPr>
      <w:r>
        <w:rPr>
          <w:rFonts w:ascii="Arial" w:cs="Arial" w:eastAsia="Arial" w:hAnsi="Arial"/>
          <w:sz w:val="16"/>
          <w:szCs w:val="16"/>
          <w:color w:val="auto"/>
        </w:rPr>
        <w:t>Other expense, consists primarily of changes in the fair value associated with the remeasurement of the warrant liability for warrants we issued to purchase Series A and Series B1 convertible preferred shares. We will continue to remeasure the warrant liability at fair value at each reporting period. We expect the warrant liability to increase until the completion of this offering. Upon the completion of this offering, the respective warrants will expire or will be exercised, and as such, we do not expect to incur additional expense related to the remeasurement of the warrant liability subsequent to this offering.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Benefit From Income Taxes</w:t>
      </w:r>
    </w:p>
    <w:p>
      <w:pPr>
        <w:spacing w:after="0" w:line="213" w:lineRule="exact"/>
        <w:rPr>
          <w:sz w:val="20"/>
          <w:szCs w:val="20"/>
          <w:color w:val="auto"/>
        </w:rPr>
      </w:pPr>
    </w:p>
    <w:p>
      <w:pPr>
        <w:ind w:right="160" w:firstLine="442"/>
        <w:spacing w:after="0" w:line="242" w:lineRule="auto"/>
        <w:rPr>
          <w:sz w:val="20"/>
          <w:szCs w:val="20"/>
          <w:color w:val="auto"/>
        </w:rPr>
      </w:pPr>
      <w:r>
        <w:rPr>
          <w:rFonts w:ascii="Arial" w:cs="Arial" w:eastAsia="Arial" w:hAnsi="Arial"/>
          <w:sz w:val="16"/>
          <w:szCs w:val="16"/>
          <w:color w:val="auto"/>
        </w:rPr>
        <w:t>We are subject to corporate taxation in the United States and the United Kingdom. We have generated losses since inception and have therefore not paid United Kingdom corporation tax. The income tax benefit (provision) presented in our consolidated statements of operations and comprehensive loss represents the tax impact from our operating activities in the United States, which has generated taxable income in certain periods based on intercompany service arrangements.</w:t>
      </w:r>
    </w:p>
    <w:p>
      <w:pPr>
        <w:spacing w:after="0" w:line="187" w:lineRule="exact"/>
        <w:rPr>
          <w:sz w:val="20"/>
          <w:szCs w:val="20"/>
          <w:color w:val="auto"/>
        </w:rPr>
      </w:pPr>
    </w:p>
    <w:p>
      <w:pPr>
        <w:ind w:right="140" w:firstLine="439"/>
        <w:spacing w:after="0" w:line="241" w:lineRule="auto"/>
        <w:rPr>
          <w:sz w:val="20"/>
          <w:szCs w:val="20"/>
          <w:color w:val="auto"/>
        </w:rPr>
      </w:pPr>
      <w:r>
        <w:rPr>
          <w:rFonts w:ascii="Arial" w:cs="Arial" w:eastAsia="Arial" w:hAnsi="Arial"/>
          <w:sz w:val="16"/>
          <w:szCs w:val="16"/>
          <w:color w:val="auto"/>
        </w:rPr>
        <w:t>The research and development tax credit received in the U.K. is recorded as a reduction to research and development expenses. The U.K. research and development tax credit, as described below, is fully refundable to us after surrendering tax losses and is not dependent on current or future taxable income. As a result, we have recorded the entire benefit from the U.K. research and development tax credit as a reduction to research and development expenses and is not reflected as part of the income tax provision. If, in the future, any U.K. research and development tax credits generated are needed to offset a corporate income tax liability in the U.K., that portion would be recorded as a benefit within the income tax provision and any refundable portion not dependent on taxable income would continue to be recorded as a reduction to research and development expenses.</w:t>
      </w:r>
    </w:p>
    <w:p>
      <w:pPr>
        <w:spacing w:after="0" w:line="188" w:lineRule="exact"/>
        <w:rPr>
          <w:sz w:val="20"/>
          <w:szCs w:val="20"/>
          <w:color w:val="auto"/>
        </w:rPr>
      </w:pPr>
    </w:p>
    <w:p>
      <w:pPr>
        <w:ind w:right="80" w:firstLine="433"/>
        <w:spacing w:after="0" w:line="241" w:lineRule="auto"/>
        <w:rPr>
          <w:sz w:val="20"/>
          <w:szCs w:val="20"/>
          <w:color w:val="auto"/>
        </w:rPr>
      </w:pPr>
      <w:r>
        <w:rPr>
          <w:rFonts w:ascii="Arial" w:cs="Arial" w:eastAsia="Arial" w:hAnsi="Arial"/>
          <w:sz w:val="16"/>
          <w:szCs w:val="16"/>
          <w:color w:val="auto"/>
        </w:rPr>
        <w:t>As a company that carries out extensive research and development activities, we seek to benefit from one of two U.K. research and development tax credit cash rebate regimes: The Small and Medium-sized Enterprises R&amp;D Tax Credit Program, or SME Program, and the Research and Development Expenditure program, or RDEC Program. Qualifying expenditures largely comprise employment costs for research staff, consumables expenses incurred under agreements with third parties that conduct research and development, preclinical activities, clinical activities and manufacturing on our behalf and certain internal overhead costs incurred as part of research projects.</w:t>
      </w:r>
    </w:p>
    <w:p>
      <w:pPr>
        <w:spacing w:after="0" w:line="189"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Based on criteria established by U.K. law, a portion of expenditures being carried out in relation to our pipeline research and development, clinical trials management and manufacturing development activities are to be eligible for the RDEC Program for the year ended December 31, 2018. We will assess whether it is possible to qualify under the more favorable SME regime for future accounting periods, but this will be affected as a result of becoming a large company by reference to our staff headcount and/or our financial results. public company listed in the United States.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0" w:firstLine="442"/>
        <w:spacing w:after="0" w:line="244" w:lineRule="auto"/>
        <w:rPr>
          <w:sz w:val="20"/>
          <w:szCs w:val="20"/>
          <w:color w:val="auto"/>
        </w:rPr>
      </w:pPr>
      <w:r>
        <w:rPr>
          <w:rFonts w:ascii="Arial" w:cs="Arial" w:eastAsia="Arial" w:hAnsi="Arial"/>
          <w:sz w:val="16"/>
          <w:szCs w:val="16"/>
          <w:color w:val="auto"/>
        </w:rPr>
        <w:t>Unsurrendered U.K. losses may be carried forward indefinitely to be offset against future taxable profits, subject to numerous utilization criteria and restrictions. The amount that can be offset each year is limited to £5.0 million plus an incremental 50% of U.K. taxable profits. After accounting for tax credits receivable, we had accumulated tax losses for carry forward in the U.K. of $29.1 million as of December 31, 2018.</w:t>
      </w:r>
    </w:p>
    <w:p>
      <w:pPr>
        <w:spacing w:after="0" w:line="185" w:lineRule="exact"/>
        <w:rPr>
          <w:sz w:val="20"/>
          <w:szCs w:val="20"/>
          <w:color w:val="auto"/>
        </w:rPr>
      </w:pPr>
    </w:p>
    <w:p>
      <w:pPr>
        <w:jc w:val="both"/>
        <w:ind w:firstLine="442"/>
        <w:spacing w:after="0" w:line="244" w:lineRule="auto"/>
        <w:rPr>
          <w:sz w:val="20"/>
          <w:szCs w:val="20"/>
          <w:color w:val="auto"/>
        </w:rPr>
      </w:pPr>
      <w:r>
        <w:rPr>
          <w:rFonts w:ascii="Arial" w:cs="Arial" w:eastAsia="Arial" w:hAnsi="Arial"/>
          <w:sz w:val="16"/>
          <w:szCs w:val="16"/>
          <w:color w:val="auto"/>
        </w:rPr>
        <w:t>Value Added Tax, or VAT, is broadly charged on all taxable supplies of goods and services by VAT-registered businesses. Under current rates, an amount of 20% of the value, as determined for VAT purposes, of the goods or services supplied is added to all sales invoices and is payable to HMRC. Similarly, VAT paid on purchase invoices is generally reclaimable from HMRC.</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Years Ended December 31, 2017 and 2018</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results of operations for the years ended December 31, 2017 and 2018:</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41"/>
              <w:spacing w:after="0" w:line="166" w:lineRule="exact"/>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6"/>
                <w:szCs w:val="16"/>
                <w:b w:val="1"/>
                <w:bCs w:val="1"/>
                <w:color w:val="auto"/>
              </w:rPr>
              <w:t>(as restated)</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right"/>
              <w:ind w:right="8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gridSpan w:val="2"/>
          </w:tcPr>
          <w:p>
            <w:pPr>
              <w:spacing w:after="0"/>
              <w:rPr>
                <w:sz w:val="20"/>
                <w:szCs w:val="20"/>
                <w:color w:val="auto"/>
              </w:rPr>
            </w:pPr>
            <w:r>
              <w:rPr>
                <w:rFonts w:ascii="Arial" w:cs="Arial" w:eastAsia="Arial" w:hAnsi="Arial"/>
                <w:sz w:val="12"/>
                <w:szCs w:val="12"/>
                <w:b w:val="1"/>
                <w:bCs w:val="1"/>
                <w:color w:val="auto"/>
                <w:w w:val="81"/>
              </w:rPr>
              <w:t>(in</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thousands)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Collaboration revenues</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1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7,136</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80" w:type="dxa"/>
            <w:vAlign w:val="bottom"/>
          </w:tcPr>
          <w:p>
            <w:pPr>
              <w:spacing w:after="0"/>
              <w:rPr>
                <w:sz w:val="20"/>
                <w:szCs w:val="20"/>
                <w:color w:val="auto"/>
              </w:rPr>
            </w:pPr>
            <w:r>
              <w:rPr>
                <w:rFonts w:ascii="Arial" w:cs="Arial" w:eastAsia="Arial" w:hAnsi="Arial"/>
                <w:sz w:val="16"/>
                <w:szCs w:val="16"/>
                <w:color w:val="auto"/>
              </w:rPr>
              <w:t>Operating expenses:</w:t>
            </w: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1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80" w:type="dxa"/>
            <w:vAlign w:val="bottom"/>
          </w:tcPr>
          <w:p>
            <w:pPr>
              <w:ind w:left="160"/>
              <w:spacing w:after="0"/>
              <w:rPr>
                <w:sz w:val="20"/>
                <w:szCs w:val="20"/>
                <w:color w:val="auto"/>
              </w:rPr>
            </w:pPr>
            <w:r>
              <w:rPr>
                <w:rFonts w:ascii="Arial" w:cs="Arial" w:eastAsia="Arial" w:hAnsi="Arial"/>
                <w:sz w:val="16"/>
                <w:szCs w:val="16"/>
                <w:color w:val="auto"/>
              </w:rPr>
              <w:t>General and administrative</w:t>
            </w:r>
          </w:p>
        </w:tc>
        <w:tc>
          <w:tcPr>
            <w:tcW w:w="1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ind w:left="160"/>
              <w:spacing w:after="0" w:line="176" w:lineRule="exact"/>
              <w:rPr>
                <w:sz w:val="20"/>
                <w:szCs w:val="20"/>
                <w:color w:val="auto"/>
              </w:rPr>
            </w:pPr>
            <w:r>
              <w:rPr>
                <w:rFonts w:ascii="Arial" w:cs="Arial" w:eastAsia="Arial" w:hAnsi="Arial"/>
                <w:sz w:val="16"/>
                <w:szCs w:val="16"/>
                <w:color w:val="auto"/>
              </w:rPr>
              <w:t>Total operating expenses</w:t>
            </w:r>
          </w:p>
        </w:tc>
        <w:tc>
          <w:tcPr>
            <w:tcW w:w="16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18,273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28,882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10,609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6"/>
                <w:szCs w:val="16"/>
                <w:color w:val="auto"/>
              </w:rPr>
              <w:t>Loss from operations</w:t>
            </w: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(16,213)</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(21,746)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(5,533)</w:t>
            </w: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(expenses):</w:t>
            </w:r>
          </w:p>
        </w:tc>
        <w:tc>
          <w:tcPr>
            <w:tcW w:w="1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80" w:type="dxa"/>
            <w:vAlign w:val="bottom"/>
          </w:tcPr>
          <w:p>
            <w:pPr>
              <w:ind w:left="160"/>
              <w:spacing w:after="0"/>
              <w:rPr>
                <w:sz w:val="20"/>
                <w:szCs w:val="20"/>
                <w:color w:val="auto"/>
              </w:rPr>
            </w:pPr>
            <w:r>
              <w:rPr>
                <w:rFonts w:ascii="Arial" w:cs="Arial" w:eastAsia="Arial" w:hAnsi="Arial"/>
                <w:sz w:val="16"/>
                <w:szCs w:val="16"/>
                <w:color w:val="auto"/>
              </w:rPr>
              <w:t>Interest and other income</w:t>
            </w: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expense</w:t>
            </w:r>
          </w:p>
        </w:tc>
        <w:tc>
          <w:tcPr>
            <w:tcW w:w="1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320"/>
              <w:spacing w:after="0"/>
              <w:rPr>
                <w:sz w:val="20"/>
                <w:szCs w:val="20"/>
                <w:color w:val="auto"/>
              </w:rPr>
            </w:pPr>
            <w:r>
              <w:rPr>
                <w:rFonts w:ascii="Arial" w:cs="Arial" w:eastAsia="Arial" w:hAnsi="Arial"/>
                <w:sz w:val="16"/>
                <w:szCs w:val="16"/>
                <w:color w:val="auto"/>
              </w:rPr>
              <w:t>Total other expense, net</w:t>
            </w:r>
          </w:p>
        </w:tc>
        <w:tc>
          <w:tcPr>
            <w:tcW w:w="1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8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(69)</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(496)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loss before income tax provision</w:t>
            </w:r>
          </w:p>
        </w:tc>
        <w:tc>
          <w:tcPr>
            <w:tcW w:w="1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(16,282)</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(22,242)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(5,960)</w:t>
            </w:r>
          </w:p>
        </w:tc>
        <w:tc>
          <w:tcPr>
            <w:tcW w:w="0" w:type="dxa"/>
            <w:vAlign w:val="bottom"/>
          </w:tcPr>
          <w:p>
            <w:pPr>
              <w:spacing w:after="0"/>
              <w:rPr>
                <w:sz w:val="1"/>
                <w:szCs w:val="1"/>
                <w:color w:val="auto"/>
              </w:rPr>
            </w:pPr>
          </w:p>
        </w:tc>
      </w:tr>
      <w:tr>
        <w:trPr>
          <w:trHeight w:val="183"/>
        </w:trPr>
        <w:tc>
          <w:tcPr>
            <w:tcW w:w="4180" w:type="dxa"/>
            <w:vAlign w:val="bottom"/>
          </w:tcPr>
          <w:p>
            <w:pPr>
              <w:spacing w:after="0"/>
              <w:rPr>
                <w:sz w:val="20"/>
                <w:szCs w:val="20"/>
                <w:color w:val="auto"/>
              </w:rPr>
            </w:pPr>
            <w:r>
              <w:rPr>
                <w:rFonts w:ascii="Arial" w:cs="Arial" w:eastAsia="Arial" w:hAnsi="Arial"/>
                <w:sz w:val="16"/>
                <w:szCs w:val="16"/>
                <w:color w:val="auto"/>
              </w:rPr>
              <w:t>Benefit from income taxes</w:t>
            </w: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(396)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loss</w:t>
            </w:r>
          </w:p>
        </w:tc>
        <w:tc>
          <w:tcPr>
            <w:tcW w:w="17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(16,259)</w:t>
            </w:r>
          </w:p>
        </w:tc>
        <w:tc>
          <w:tcPr>
            <w:tcW w:w="360" w:type="dxa"/>
            <w:vAlign w:val="bottom"/>
            <w:gridSpan w:val="2"/>
            <w:shd w:val="clear" w:color="auto" w:fill="CCEEFF"/>
          </w:tcPr>
          <w:p>
            <w:pPr>
              <w:jc w:val="right"/>
              <w:ind w:right="141"/>
              <w:spacing w:after="0" w:line="176" w:lineRule="exact"/>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(21,846)</w:t>
            </w:r>
          </w:p>
        </w:tc>
        <w:tc>
          <w:tcPr>
            <w:tcW w:w="2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(5,587)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 Revenues</w:t>
      </w:r>
    </w:p>
    <w:p>
      <w:pPr>
        <w:spacing w:after="0" w:line="211"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Collaboration revenues increased by $5.1 million during the year ended December 31, 2018 compared to the year ended December 31, 2017, primarily due to increases of $3.7 million of revenue from our collaboration with Bioverativ and $0.5 million of revenue under the AstraZeneca collaboration agreement as the year ended December 31, 2017 included less than a year of collaboration activities for both arrangements. In addition, revenue under our collaboration agreement with Oxurion increased by $0.9 million due to $0.5 million of additional research services performed in the year ended December 31, 2018 pursuant to an amendment to the collaboration agreement, as well as incremental revenue related to the achievement of developmental milestones of $0.4 million for the advancement of the research by Oxurion into a Phase I clinical trial.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1240" w:type="dxa"/>
            <w:vAlign w:val="bottom"/>
            <w:tcBorders>
              <w:bottom w:val="single" w:sz="8" w:color="0000EE"/>
            </w:tcBorders>
            <w:gridSpan w:val="2"/>
          </w:tcPr>
          <w:p>
            <w:pPr>
              <w:spacing w:after="0"/>
              <w:rPr>
                <w:rFonts w:ascii="Arial" w:cs="Arial" w:eastAsia="Arial" w:hAnsi="Arial"/>
                <w:sz w:val="16"/>
                <w:szCs w:val="16"/>
                <w:color w:val="0000EE"/>
                <w:w w:val="96"/>
              </w:rPr>
            </w:pPr>
            <w:hyperlink w:anchor="page4">
              <w:r>
                <w:rPr>
                  <w:rFonts w:ascii="Arial" w:cs="Arial" w:eastAsia="Arial" w:hAnsi="Arial"/>
                  <w:sz w:val="16"/>
                  <w:szCs w:val="16"/>
                  <w:color w:val="0000EE"/>
                  <w:w w:val="96"/>
                </w:rPr>
                <w:t>Table of Contents</w:t>
              </w:r>
            </w:hyperlink>
          </w:p>
        </w:tc>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7140" w:type="dxa"/>
            <w:vAlign w:val="bottom"/>
            <w:gridSpan w:val="3"/>
          </w:tcPr>
          <w:p>
            <w:pPr>
              <w:spacing w:after="0"/>
              <w:rPr>
                <w:sz w:val="20"/>
                <w:szCs w:val="20"/>
                <w:color w:val="auto"/>
              </w:rPr>
            </w:pPr>
            <w:r>
              <w:rPr>
                <w:rFonts w:ascii="Arial" w:cs="Arial" w:eastAsia="Arial" w:hAnsi="Arial"/>
                <w:sz w:val="16"/>
                <w:szCs w:val="16"/>
                <w:i w:val="1"/>
                <w:iCs w:val="1"/>
                <w:color w:val="auto"/>
              </w:rPr>
              <w:t>Research and Development Expenses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140" w:type="dxa"/>
            <w:vAlign w:val="bottom"/>
            <w:gridSpan w:val="3"/>
          </w:tcPr>
          <w:p>
            <w:pPr>
              <w:ind w:left="440"/>
              <w:spacing w:after="0"/>
              <w:rPr>
                <w:sz w:val="20"/>
                <w:szCs w:val="20"/>
                <w:color w:val="auto"/>
              </w:rPr>
            </w:pPr>
            <w:r>
              <w:rPr>
                <w:rFonts w:ascii="Arial" w:cs="Arial" w:eastAsia="Arial" w:hAnsi="Arial"/>
                <w:sz w:val="16"/>
                <w:szCs w:val="16"/>
                <w:color w:val="auto"/>
              </w:rPr>
              <w:t>The table below summarizes our research and development expenses for the period:</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6"/>
          </w:tcPr>
          <w:p>
            <w:pPr>
              <w:jc w:val="right"/>
              <w:ind w:right="54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241"/>
              <w:spacing w:after="0" w:line="166" w:lineRule="exact"/>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restated)</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BT1718 (MT1)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BT5528 (EphA2)</w:t>
            </w:r>
          </w:p>
        </w:tc>
        <w:tc>
          <w:tcPr>
            <w:tcW w:w="1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4,569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4,569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BT8009 (Nectin-4)</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Other discovery and platform related expense</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8,702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Employee and contractor related expenses</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7,698</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Facility expenses</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Research and development incentives</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(2,873)</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(5,879)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(3,006)</w:t>
            </w:r>
          </w:p>
        </w:tc>
        <w:tc>
          <w:tcPr>
            <w:tcW w:w="0" w:type="dxa"/>
            <w:vAlign w:val="bottom"/>
          </w:tcPr>
          <w:p>
            <w:pPr>
              <w:spacing w:after="0"/>
              <w:rPr>
                <w:sz w:val="1"/>
                <w:szCs w:val="1"/>
                <w:color w:val="auto"/>
              </w:rPr>
            </w:pPr>
          </w:p>
        </w:tc>
      </w:tr>
      <w:tr>
        <w:trPr>
          <w:trHeight w:val="20"/>
        </w:trPr>
        <w:tc>
          <w:tcPr>
            <w:tcW w:w="7140" w:type="dxa"/>
            <w:vAlign w:val="bottom"/>
            <w:gridSpan w:val="3"/>
            <w:vMerge w:val="restart"/>
          </w:tcPr>
          <w:p>
            <w:pPr>
              <w:ind w:left="1140"/>
              <w:spacing w:after="0"/>
              <w:rPr>
                <w:sz w:val="20"/>
                <w:szCs w:val="20"/>
                <w:color w:val="auto"/>
              </w:rPr>
            </w:pPr>
            <w:r>
              <w:rPr>
                <w:rFonts w:ascii="Arial" w:cs="Arial" w:eastAsia="Arial" w:hAnsi="Arial"/>
                <w:sz w:val="16"/>
                <w:szCs w:val="16"/>
                <w:color w:val="auto"/>
              </w:rPr>
              <w:t>Total research and development expenses</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40" w:type="dxa"/>
            <w:vAlign w:val="bottom"/>
            <w:gridSpan w:val="3"/>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11,866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20,761</w:t>
            </w:r>
          </w:p>
        </w:tc>
        <w:tc>
          <w:tcPr>
            <w:tcW w:w="100" w:type="dxa"/>
            <w:vAlign w:val="bottom"/>
          </w:tcPr>
          <w:p>
            <w:pPr>
              <w:spacing w:after="0"/>
              <w:rPr>
                <w:sz w:val="15"/>
                <w:szCs w:val="15"/>
                <w:color w:val="auto"/>
              </w:rPr>
            </w:pPr>
          </w:p>
        </w:tc>
        <w:tc>
          <w:tcPr>
            <w:tcW w:w="1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8,895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00" w:firstLine="442"/>
        <w:spacing w:after="0"/>
        <w:rPr>
          <w:sz w:val="20"/>
          <w:szCs w:val="20"/>
          <w:color w:val="auto"/>
        </w:rPr>
      </w:pPr>
      <w:r>
        <w:rPr>
          <w:rFonts w:ascii="Arial" w:cs="Arial" w:eastAsia="Arial" w:hAnsi="Arial"/>
          <w:sz w:val="16"/>
          <w:szCs w:val="16"/>
          <w:color w:val="auto"/>
        </w:rPr>
        <w:t>Research and development expense increased by $8.9 million in the year ended December 31, 2018 as compared to the prior year, primarily due to increases of $4.6 million and $2.8 million in the BT5528 and BT8009 program spending, respectively, as we nominated candidates for these development programs in 2018, as well as an increase of $0.9 million in other unallocated discovery and platform related expense, an increase of $3.9 million in employee and contractor related expenses, and an increase of $0.5 million in facilities related expenses due to an increase in headcount as we expanded our operations in the United States and the United Kingdom. These expenses were offset by a decrease in program spending on BT1718 of $0.8 million due to the timing of clinical material manufacturing, as well as an increase in the research and development tax credit reimbursement of $3.0 million, due to the corresponding increase in research and development spending in the United Kingdom.</w:t>
      </w:r>
    </w:p>
    <w:p>
      <w:pPr>
        <w:spacing w:after="0" w:line="192" w:lineRule="exact"/>
        <w:rPr>
          <w:sz w:val="20"/>
          <w:szCs w:val="20"/>
          <w:color w:val="auto"/>
        </w:rPr>
      </w:pPr>
    </w:p>
    <w:p>
      <w:pPr>
        <w:ind w:right="200" w:firstLine="442"/>
        <w:spacing w:after="0" w:line="244" w:lineRule="auto"/>
        <w:rPr>
          <w:sz w:val="20"/>
          <w:szCs w:val="20"/>
          <w:color w:val="auto"/>
        </w:rPr>
      </w:pPr>
      <w:r>
        <w:rPr>
          <w:rFonts w:ascii="Arial" w:cs="Arial" w:eastAsia="Arial" w:hAnsi="Arial"/>
          <w:sz w:val="16"/>
          <w:szCs w:val="16"/>
          <w:color w:val="auto"/>
        </w:rPr>
        <w:t>We begin to separately track program expenses at candidate nomination, at which point we will accumulate all costs to support that program to date. Through December 31, 2018, since the candidate nominations of BT1718, BT5528 and BT8009, we have incurred approximately $11.7 million, $4.6 million and $2.8 million of direct expenses for the development of these programs,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11"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General and administrative expenses were $8.1 million for the year ended December 31, 2018, compared to $6.4 million for the year ended December 31, 2017. The increase of $1.7 million primarily reflected increases of $1.5 million in personnel related costs, $0.2 million in facilities related costs, and $1.0 million in professional fees. These increases were due to the hiring of additional personnel in our general and administrative functions as we expanded our operations in the United States and the United Kingdom. These amounts were offset by an increase in gains from the effect of foreign exchange rates of $0.9 million during year ended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net</w:t>
      </w:r>
    </w:p>
    <w:p>
      <w:pPr>
        <w:spacing w:after="0" w:line="211" w:lineRule="exact"/>
        <w:rPr>
          <w:sz w:val="20"/>
          <w:szCs w:val="20"/>
          <w:color w:val="auto"/>
        </w:rPr>
      </w:pPr>
    </w:p>
    <w:p>
      <w:pPr>
        <w:jc w:val="both"/>
        <w:ind w:right="360" w:firstLine="442"/>
        <w:spacing w:after="0" w:line="244" w:lineRule="auto"/>
        <w:rPr>
          <w:sz w:val="20"/>
          <w:szCs w:val="20"/>
          <w:color w:val="auto"/>
        </w:rPr>
      </w:pPr>
      <w:r>
        <w:rPr>
          <w:rFonts w:ascii="Arial" w:cs="Arial" w:eastAsia="Arial" w:hAnsi="Arial"/>
          <w:sz w:val="16"/>
          <w:szCs w:val="16"/>
          <w:color w:val="auto"/>
        </w:rPr>
        <w:t>Other expense, net increased by $0.4 million during the year ended December 31, 2018, compared to year ended December 31, 2017, primarily due to additional expense of $0.7 million related to the re-measurement associated with changes in the fair value of the warrant liability for warrants to subscribe for Series A and Series B1 convertible preferred shares. This was offset by an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increase in interest income as a result of higher cash balances in 2018 following the closing of our Series B1 financings in May and October of 2017 and Series B2 financing in December 2018.</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5" w:lineRule="exact"/>
        <w:rPr>
          <w:sz w:val="20"/>
          <w:szCs w:val="20"/>
          <w:color w:val="auto"/>
        </w:rPr>
      </w:pPr>
    </w:p>
    <w:p>
      <w:pPr>
        <w:ind w:right="460" w:firstLine="442"/>
        <w:spacing w:after="0" w:line="249" w:lineRule="auto"/>
        <w:rPr>
          <w:sz w:val="20"/>
          <w:szCs w:val="20"/>
          <w:color w:val="auto"/>
        </w:rPr>
      </w:pPr>
      <w:r>
        <w:rPr>
          <w:rFonts w:ascii="Arial" w:cs="Arial" w:eastAsia="Arial" w:hAnsi="Arial"/>
          <w:sz w:val="16"/>
          <w:szCs w:val="16"/>
          <w:color w:val="auto"/>
        </w:rPr>
        <w:t>From our inception through December 31, 2018, we have not generated any revenue from product sales and incurred significant operating losses and negative cash flows from our operations. We do not expect to generate significant revenue from sales of any products for several years, if at all.</w:t>
      </w:r>
    </w:p>
    <w:p>
      <w:pPr>
        <w:spacing w:after="0" w:line="181" w:lineRule="exact"/>
        <w:rPr>
          <w:sz w:val="20"/>
          <w:szCs w:val="20"/>
          <w:color w:val="auto"/>
        </w:rPr>
      </w:pPr>
    </w:p>
    <w:p>
      <w:pPr>
        <w:ind w:right="20" w:firstLine="439"/>
        <w:spacing w:after="0" w:line="244" w:lineRule="auto"/>
        <w:rPr>
          <w:sz w:val="20"/>
          <w:szCs w:val="20"/>
          <w:color w:val="auto"/>
        </w:rPr>
      </w:pPr>
      <w:r>
        <w:rPr>
          <w:rFonts w:ascii="Arial" w:cs="Arial" w:eastAsia="Arial" w:hAnsi="Arial"/>
          <w:sz w:val="16"/>
          <w:szCs w:val="16"/>
          <w:color w:val="auto"/>
        </w:rPr>
        <w:t>To date, we have financed our operations primarily with proceeds from the sale of convertible preferred shares, as well as proceeds received from upfront payments, payments for research and development services, and development milestone payments from our collaboration agreements with AstraZeneca, Oxurion and Bioverativ.</w:t>
      </w:r>
    </w:p>
    <w:p>
      <w:pPr>
        <w:spacing w:after="0" w:line="185" w:lineRule="exact"/>
        <w:rPr>
          <w:sz w:val="20"/>
          <w:szCs w:val="20"/>
          <w:color w:val="auto"/>
        </w:rPr>
      </w:pPr>
    </w:p>
    <w:p>
      <w:pPr>
        <w:ind w:firstLine="439"/>
        <w:spacing w:after="0" w:line="242" w:lineRule="auto"/>
        <w:rPr>
          <w:sz w:val="20"/>
          <w:szCs w:val="20"/>
          <w:color w:val="auto"/>
        </w:rPr>
      </w:pPr>
      <w:r>
        <w:rPr>
          <w:rFonts w:ascii="Arial" w:cs="Arial" w:eastAsia="Arial" w:hAnsi="Arial"/>
          <w:sz w:val="16"/>
          <w:szCs w:val="16"/>
          <w:color w:val="auto"/>
        </w:rPr>
        <w:t>Through December 31, 2018, we have received gross proceeds of $126.4 million from the sale of convertible preferred shares, and $20.7 million of payments under our collaboration revenue arrangements including $4.1 million from Oxurion, $2.3 million from AstraZeneca and $14.3 million from Bioverativ. In January 2019, we received $1.6 million of proceeds from the sale of Series B2 convertible preferred shares as well as an additional $5.0 million that was paid to us by AstraZeneca.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20" w:type="dxa"/>
            <w:vAlign w:val="bottom"/>
            <w:gridSpan w:val="2"/>
          </w:tcPr>
          <w:p>
            <w:pPr>
              <w:spacing w:after="0"/>
              <w:rPr>
                <w:sz w:val="20"/>
                <w:szCs w:val="20"/>
                <w:color w:val="auto"/>
              </w:rPr>
            </w:pPr>
            <w:r>
              <w:rPr>
                <w:rFonts w:ascii="Arial" w:cs="Arial" w:eastAsia="Arial" w:hAnsi="Arial"/>
                <w:sz w:val="16"/>
                <w:szCs w:val="16"/>
                <w:i w:val="1"/>
                <w:iCs w:val="1"/>
                <w:color w:val="auto"/>
              </w:rPr>
              <w:t>Cash Flows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9"/>
        </w:trPr>
        <w:tc>
          <w:tcPr>
            <w:tcW w:w="7020" w:type="dxa"/>
            <w:vAlign w:val="bottom"/>
            <w:gridSpan w:val="2"/>
          </w:tcPr>
          <w:p>
            <w:pPr>
              <w:ind w:left="440"/>
              <w:spacing w:after="0"/>
              <w:rPr>
                <w:sz w:val="20"/>
                <w:szCs w:val="20"/>
                <w:color w:val="auto"/>
              </w:rPr>
            </w:pPr>
            <w:r>
              <w:rPr>
                <w:rFonts w:ascii="Arial" w:cs="Arial" w:eastAsia="Arial" w:hAnsi="Arial"/>
                <w:sz w:val="16"/>
                <w:szCs w:val="16"/>
                <w:color w:val="auto"/>
              </w:rPr>
              <w:t>The following table summarizes our cash flows for each of the periods presented:</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1"/>
        </w:trPr>
        <w:tc>
          <w:tcPr>
            <w:tcW w:w="11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4"/>
          </w:tcPr>
          <w:p>
            <w:pPr>
              <w:jc w:val="center"/>
              <w:ind w:left="541"/>
              <w:spacing w:after="0"/>
              <w:rPr>
                <w:sz w:val="20"/>
                <w:szCs w:val="20"/>
                <w:color w:val="auto"/>
              </w:rPr>
            </w:pPr>
            <w:r>
              <w:rPr>
                <w:rFonts w:ascii="Arial" w:cs="Arial" w:eastAsia="Arial" w:hAnsi="Arial"/>
                <w:sz w:val="16"/>
                <w:szCs w:val="16"/>
                <w:b w:val="1"/>
                <w:bCs w:val="1"/>
                <w:color w:val="auto"/>
                <w:w w:val="97"/>
              </w:rPr>
              <w:t>Year Ended</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9"/>
              </w:rPr>
              <w:t>December 31,</w:t>
            </w:r>
          </w:p>
        </w:tc>
      </w:tr>
      <w:tr>
        <w:trPr>
          <w:trHeight w:val="200"/>
        </w:trPr>
        <w:tc>
          <w:tcPr>
            <w:tcW w:w="11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r>
      <w:tr>
        <w:trPr>
          <w:trHeight w:val="191"/>
        </w:trPr>
        <w:tc>
          <w:tcPr>
            <w:tcW w:w="11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(as restated)</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1"/>
        </w:trPr>
        <w:tc>
          <w:tcPr>
            <w:tcW w:w="11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9"/>
              </w:rPr>
              <w:t>(in thousands)</w:t>
            </w:r>
          </w:p>
        </w:tc>
      </w:tr>
      <w:tr>
        <w:trPr>
          <w:trHeight w:val="183"/>
        </w:trPr>
        <w:tc>
          <w:tcPr>
            <w:tcW w:w="1140" w:type="dxa"/>
            <w:vAlign w:val="bottom"/>
          </w:tcPr>
          <w:p>
            <w:pPr>
              <w:spacing w:after="0"/>
              <w:rPr>
                <w:sz w:val="15"/>
                <w:szCs w:val="15"/>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(1,415)</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(26,078)</w:t>
            </w:r>
          </w:p>
        </w:tc>
      </w:tr>
      <w:tr>
        <w:trPr>
          <w:trHeight w:val="183"/>
        </w:trPr>
        <w:tc>
          <w:tcPr>
            <w:tcW w:w="7020" w:type="dxa"/>
            <w:vAlign w:val="bottom"/>
            <w:gridSpan w:val="2"/>
          </w:tcPr>
          <w:p>
            <w:pPr>
              <w:ind w:left="1140"/>
              <w:spacing w:after="0"/>
              <w:rPr>
                <w:sz w:val="20"/>
                <w:szCs w:val="20"/>
                <w:color w:val="auto"/>
              </w:rPr>
            </w:pPr>
            <w:r>
              <w:rPr>
                <w:rFonts w:ascii="Arial" w:cs="Arial" w:eastAsia="Arial" w:hAnsi="Arial"/>
                <w:sz w:val="16"/>
                <w:szCs w:val="16"/>
                <w:color w:val="auto"/>
              </w:rPr>
              <w:t>Net cash used in investing activities</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(1,113)</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(1,186)</w:t>
            </w:r>
          </w:p>
        </w:tc>
      </w:tr>
      <w:tr>
        <w:trPr>
          <w:trHeight w:val="183"/>
        </w:trPr>
        <w:tc>
          <w:tcPr>
            <w:tcW w:w="1140" w:type="dxa"/>
            <w:vAlign w:val="bottom"/>
          </w:tcPr>
          <w:p>
            <w:pPr>
              <w:spacing w:after="0"/>
              <w:rPr>
                <w:sz w:val="15"/>
                <w:szCs w:val="15"/>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57,876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25,430</w:t>
            </w:r>
          </w:p>
        </w:tc>
        <w:tc>
          <w:tcPr>
            <w:tcW w:w="160" w:type="dxa"/>
            <w:vAlign w:val="bottom"/>
            <w:shd w:val="clear" w:color="auto" w:fill="CCEEFF"/>
          </w:tcPr>
          <w:p>
            <w:pPr>
              <w:spacing w:after="0"/>
              <w:rPr>
                <w:sz w:val="15"/>
                <w:szCs w:val="15"/>
                <w:color w:val="auto"/>
              </w:rPr>
            </w:pPr>
          </w:p>
        </w:tc>
      </w:tr>
      <w:tr>
        <w:trPr>
          <w:trHeight w:val="183"/>
        </w:trPr>
        <w:tc>
          <w:tcPr>
            <w:tcW w:w="7020" w:type="dxa"/>
            <w:vAlign w:val="bottom"/>
            <w:gridSpan w:val="2"/>
          </w:tcPr>
          <w:p>
            <w:pPr>
              <w:ind w:left="1140"/>
              <w:spacing w:after="0"/>
              <w:rPr>
                <w:sz w:val="20"/>
                <w:szCs w:val="20"/>
                <w:color w:val="auto"/>
              </w:rPr>
            </w:pPr>
            <w:r>
              <w:rPr>
                <w:rFonts w:ascii="Arial" w:cs="Arial" w:eastAsia="Arial" w:hAnsi="Arial"/>
                <w:sz w:val="16"/>
                <w:szCs w:val="16"/>
                <w:color w:val="auto"/>
              </w:rPr>
              <w:t>Effect of exchange rate changes on cash</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2,913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(2,449)</w:t>
            </w: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5880" w:type="dxa"/>
            <w:vAlign w:val="bottom"/>
            <w:shd w:val="clear" w:color="auto" w:fill="CCEEFF"/>
          </w:tcPr>
          <w:p>
            <w:pPr>
              <w:ind w:left="160"/>
              <w:spacing w:after="0" w:line="176" w:lineRule="exact"/>
              <w:rPr>
                <w:sz w:val="20"/>
                <w:szCs w:val="20"/>
                <w:color w:val="auto"/>
              </w:rPr>
            </w:pPr>
            <w:r>
              <w:rPr>
                <w:rFonts w:ascii="Arial" w:cs="Arial" w:eastAsia="Arial" w:hAnsi="Arial"/>
                <w:sz w:val="16"/>
                <w:szCs w:val="16"/>
                <w:color w:val="auto"/>
              </w:rPr>
              <w:t>Net increase (decrease) in cash</w:t>
            </w:r>
          </w:p>
        </w:tc>
        <w:tc>
          <w:tcPr>
            <w:tcW w:w="10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58,261</w:t>
            </w: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(4,283)</w:t>
            </w: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11"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Net cash used in operating activities for the year ended December 31, 2017 included our net loss of $16.3 million, net cash provided by changes in our operating assets and liabilities of $13.1 million and net non-cash charges of $1.8 million, which included share-based compensation expense of $0.5 million and depreciation and amortization of $0.3 million, as well as a non-cash research and development expense of $0.9 million related to the issuance of warrants to purchase Series A convertible preferred shares to certain of our early investors and founders. Net changes in our operating assets and liabilities for the year ended December 31, 2017 consisted primarily of an increase in deferred revenue of $14.1 million primarily due to upfront payments received from our Bioverativ collaboration arrangement, an increase of $1.4 million in research and development incentives receivable, an increase in other assets of $1.0 million and a $1.3 million increase in accrued expenses and other current liabilities.</w:t>
      </w:r>
    </w:p>
    <w:p>
      <w:pPr>
        <w:spacing w:after="0" w:line="192" w:lineRule="exact"/>
        <w:rPr>
          <w:sz w:val="20"/>
          <w:szCs w:val="20"/>
          <w:color w:val="auto"/>
        </w:rPr>
      </w:pPr>
    </w:p>
    <w:p>
      <w:pPr>
        <w:ind w:right="660" w:firstLine="442"/>
        <w:spacing w:after="0" w:line="249" w:lineRule="auto"/>
        <w:rPr>
          <w:sz w:val="20"/>
          <w:szCs w:val="20"/>
          <w:color w:val="auto"/>
        </w:rPr>
      </w:pPr>
      <w:r>
        <w:rPr>
          <w:rFonts w:ascii="Arial" w:cs="Arial" w:eastAsia="Arial" w:hAnsi="Arial"/>
          <w:sz w:val="16"/>
          <w:szCs w:val="16"/>
          <w:color w:val="auto"/>
        </w:rPr>
        <w:t>Net cash used in operating activities for the year ended December 31, 2018 included our net loss of $21.8 million, net cash used by changes in our operating assets and liabilities of $6.6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and net non-cash charges of $2.4 million, which included share-based compensation expense of $1.0 million and depreciation and amortization of $0.7 million, as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well as a changes in the fair value of our warrant liability of $0.7 million. Net changes in our operating assets and liabilities for the year ended December 31, 2018</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consisted primarily of an increase of $3.6 million in research and development incentives receivable, an increase in accounts receivable of $0.4 million, an</w:t>
      </w:r>
    </w:p>
    <w:p>
      <w:pPr>
        <w:spacing w:after="0"/>
        <w:rPr>
          <w:sz w:val="20"/>
          <w:szCs w:val="20"/>
          <w:color w:val="auto"/>
        </w:rPr>
      </w:pPr>
      <w:r>
        <w:rPr>
          <w:rFonts w:ascii="Arial" w:cs="Arial" w:eastAsia="Arial" w:hAnsi="Arial"/>
          <w:sz w:val="16"/>
          <w:szCs w:val="16"/>
          <w:color w:val="auto"/>
        </w:rPr>
        <w:t>increase in prepaid expenses and other assets of $1.6 million, as well as a decrease in accounts payable of $0.2 million and a decrease deferred revenue of</w:t>
      </w:r>
    </w:p>
    <w:p>
      <w:pPr>
        <w:spacing w:after="0"/>
        <w:rPr>
          <w:sz w:val="20"/>
          <w:szCs w:val="20"/>
          <w:color w:val="auto"/>
        </w:rPr>
      </w:pPr>
      <w:r>
        <w:rPr>
          <w:rFonts w:ascii="Arial" w:cs="Arial" w:eastAsia="Arial" w:hAnsi="Arial"/>
          <w:sz w:val="15"/>
          <w:szCs w:val="15"/>
          <w:color w:val="auto"/>
        </w:rPr>
        <w:t>$3.9 million due to the recognition of revenue related to the Bioverativ collaboration arrangement. These amounts were offset by an increase in accrued expenses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and other current liabilities of $2.6 million.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11" w:lineRule="exact"/>
        <w:rPr>
          <w:sz w:val="20"/>
          <w:szCs w:val="20"/>
          <w:color w:val="auto"/>
        </w:rPr>
      </w:pPr>
    </w:p>
    <w:p>
      <w:pPr>
        <w:ind w:right="240" w:firstLine="442"/>
        <w:spacing w:after="0" w:line="249" w:lineRule="auto"/>
        <w:rPr>
          <w:sz w:val="20"/>
          <w:szCs w:val="20"/>
          <w:color w:val="auto"/>
        </w:rPr>
      </w:pPr>
      <w:r>
        <w:rPr>
          <w:rFonts w:ascii="Arial" w:cs="Arial" w:eastAsia="Arial" w:hAnsi="Arial"/>
          <w:sz w:val="16"/>
          <w:szCs w:val="16"/>
          <w:color w:val="auto"/>
        </w:rPr>
        <w:t>During the years ended December 31, 2017 and 2018, we used $1.1 million and $1.2 million, respectively, of cash in investing activities for purchases of property and equipment consisting primarily of laboratory equipment for new lease space obtained.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11" w:lineRule="exact"/>
        <w:rPr>
          <w:sz w:val="20"/>
          <w:szCs w:val="20"/>
          <w:color w:val="auto"/>
        </w:rPr>
      </w:pPr>
    </w:p>
    <w:p>
      <w:pPr>
        <w:ind w:right="240" w:firstLine="442"/>
        <w:spacing w:after="0" w:line="249" w:lineRule="auto"/>
        <w:rPr>
          <w:sz w:val="20"/>
          <w:szCs w:val="20"/>
          <w:color w:val="auto"/>
        </w:rPr>
      </w:pPr>
      <w:r>
        <w:rPr>
          <w:rFonts w:ascii="Arial" w:cs="Arial" w:eastAsia="Arial" w:hAnsi="Arial"/>
          <w:sz w:val="16"/>
          <w:szCs w:val="16"/>
          <w:color w:val="auto"/>
        </w:rPr>
        <w:t>During the year ended December 31, 2017, net cash provided by financing activities was $57.9 million, consisting of $51.3 million and $6.6 million of net proceeds from the sale of our Series B1 convertible preferred shares issued in May 2017 and October 2017, respectively.</w:t>
      </w:r>
    </w:p>
    <w:p>
      <w:pPr>
        <w:spacing w:after="0" w:line="181" w:lineRule="exact"/>
        <w:rPr>
          <w:sz w:val="20"/>
          <w:szCs w:val="20"/>
          <w:color w:val="auto"/>
        </w:rPr>
      </w:pPr>
    </w:p>
    <w:p>
      <w:pPr>
        <w:ind w:right="400" w:firstLine="442"/>
        <w:spacing w:after="0" w:line="249" w:lineRule="auto"/>
        <w:rPr>
          <w:sz w:val="20"/>
          <w:szCs w:val="20"/>
          <w:color w:val="auto"/>
        </w:rPr>
      </w:pPr>
      <w:r>
        <w:rPr>
          <w:rFonts w:ascii="Arial" w:cs="Arial" w:eastAsia="Arial" w:hAnsi="Arial"/>
          <w:sz w:val="16"/>
          <w:szCs w:val="16"/>
          <w:color w:val="auto"/>
        </w:rPr>
        <w:t>During the year ended December 31, 2018, net cash provided by financing activities was $25.4 million, consisting of net proceeds from the sale of our Series B2 convertible preferred shares issued in December 2018 offset by payments of initial public offering costs of $0.6 million.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Funding Requirements</w:t>
      </w:r>
    </w:p>
    <w:p>
      <w:pPr>
        <w:spacing w:after="0" w:line="215" w:lineRule="exact"/>
        <w:rPr>
          <w:sz w:val="20"/>
          <w:szCs w:val="20"/>
          <w:color w:val="auto"/>
        </w:rPr>
      </w:pPr>
    </w:p>
    <w:p>
      <w:pPr>
        <w:ind w:right="120" w:firstLine="442"/>
        <w:spacing w:after="0" w:line="249"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advance the preclinical activities and clinical trials of our product candidates and as we:</w:t>
      </w:r>
    </w:p>
    <w:p>
      <w:pPr>
        <w:spacing w:after="0" w:line="181" w:lineRule="exact"/>
        <w:rPr>
          <w:sz w:val="20"/>
          <w:szCs w:val="20"/>
          <w:color w:val="auto"/>
        </w:rPr>
      </w:pPr>
    </w:p>
    <w:p>
      <w:pPr>
        <w:ind w:left="980" w:hanging="493"/>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conducting future clinical trials of BT1718;</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progress the preclinical and clinical development for BT5528 and BT8009;</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seek to identify and develop additional product candidates;</w:t>
      </w:r>
    </w:p>
    <w:p>
      <w:pPr>
        <w:spacing w:after="0" w:line="182" w:lineRule="exact"/>
        <w:rPr>
          <w:rFonts w:ascii="Arial" w:cs="Arial" w:eastAsia="Arial" w:hAnsi="Arial"/>
          <w:sz w:val="16"/>
          <w:szCs w:val="16"/>
          <w:color w:val="auto"/>
        </w:rPr>
      </w:pPr>
    </w:p>
    <w:p>
      <w:pPr>
        <w:ind w:left="980" w:right="660" w:hanging="493"/>
        <w:spacing w:after="0" w:line="249"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develop the necessary processes, controls and manufacturing data to obtain marketing approval for our product candidates and to support manufacturing of product to commercial scale;</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develop, maintain, expand and protect our intellectual property portfolio;</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seek marketing approvals for any of our product candidates that successfully complete clinical trials, if any;</w:t>
      </w:r>
    </w:p>
    <w:p>
      <w:pPr>
        <w:spacing w:after="0" w:line="182" w:lineRule="exact"/>
        <w:rPr>
          <w:rFonts w:ascii="Arial" w:cs="Arial" w:eastAsia="Arial" w:hAnsi="Arial"/>
          <w:sz w:val="16"/>
          <w:szCs w:val="16"/>
          <w:color w:val="auto"/>
        </w:rPr>
      </w:pPr>
    </w:p>
    <w:p>
      <w:pPr>
        <w:ind w:left="980" w:right="720" w:hanging="493"/>
        <w:spacing w:after="0" w:line="249"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hire and retain additional personnel, such as non-clinical, clinical, pharmacovigilance, quality assurance, regulatory affairs, manufacturing, distribution, legal, compliance, medical affairs, finance, commercial and scientific personnel;</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acquire or in-license other products and technologies;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right="200" w:hanging="493"/>
        <w:spacing w:after="0" w:line="249" w:lineRule="auto"/>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expand our infrastructure and facilities to accommodate our growing employee base, including adding equipment and infrastructure to support our research and development; and</w:t>
      </w:r>
    </w:p>
    <w:p>
      <w:pPr>
        <w:spacing w:after="0" w:line="180" w:lineRule="exact"/>
        <w:rPr>
          <w:rFonts w:ascii="Arial" w:cs="Arial" w:eastAsia="Arial" w:hAnsi="Arial"/>
          <w:sz w:val="16"/>
          <w:szCs w:val="16"/>
          <w:color w:val="auto"/>
        </w:rPr>
      </w:pPr>
    </w:p>
    <w:p>
      <w:pPr>
        <w:ind w:left="980" w:right="460" w:hanging="493"/>
        <w:spacing w:after="0" w:line="282" w:lineRule="auto"/>
        <w:tabs>
          <w:tab w:leader="none" w:pos="9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add operational, financial and management information systems and personnel, including personnel to support our research and development programs, any future commercialization efforts and our transition to operating as a public company following the completion of this offering.</w:t>
      </w:r>
    </w:p>
    <w:p>
      <w:pPr>
        <w:spacing w:after="0" w:line="157"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In addition, if we obtain marketing approval for any product candidate that we identify and develop, we expect to incur significant commercialization expenses related to product sales, marketing, manufacturing, and distribution to the extent that such sales, marketing, and distribution are not the responsibility of our collaboration partners. Even if we are able to generate product sales, we may not become profitable.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ectPr>
          <w:pgSz w:w="11900" w:h="16838" w:orient="portrait"/>
          <w:cols w:equalWidth="0" w:num="1">
            <w:col w:w="11400"/>
          </w:cols>
          <w:pgMar w:left="240" w:top="142" w:right="259" w:bottom="1440" w:gutter="0" w:footer="0" w:header="0"/>
        </w:sectPr>
      </w:pP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that the net proceeds from this offering, together with our existing cash, will enable us to fund our operating expenses through</w:t>
      </w:r>
    </w:p>
    <w:p>
      <w:pPr>
        <w:spacing w:after="0"/>
        <w:rPr>
          <w:sz w:val="20"/>
          <w:szCs w:val="20"/>
          <w:color w:val="auto"/>
        </w:rPr>
      </w:pPr>
      <w:r>
        <w:rPr>
          <w:rFonts w:ascii="Arial" w:cs="Arial" w:eastAsia="Arial" w:hAnsi="Arial"/>
          <w:sz w:val="15"/>
          <w:szCs w:val="15"/>
          <w:color w:val="auto"/>
        </w:rPr>
        <w:t>We have based our estimates on assumptions that may prove to be wrong, and we may use our available capital resources sooner than we currently expect.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3" w:lineRule="exact"/>
        <w:rPr>
          <w:sz w:val="20"/>
          <w:szCs w:val="20"/>
          <w:color w:val="auto"/>
        </w:rPr>
      </w:pPr>
    </w:p>
    <w:p>
      <w:pPr>
        <w:sectPr>
          <w:pgSz w:w="11900" w:h="16838" w:orient="portrait"/>
          <w:cols w:equalWidth="0" w:num="2">
            <w:col w:w="11000" w:space="200"/>
            <w:col w:w="200"/>
          </w:cols>
          <w:pgMar w:left="240" w:top="142" w:right="259" w:bottom="1440" w:gutter="0" w:footer="0" w:header="0"/>
          <w:type w:val="continuous"/>
        </w:sectPr>
      </w:pPr>
    </w:p>
    <w:p>
      <w:pPr>
        <w:jc w:val="both"/>
        <w:ind w:right="60"/>
        <w:spacing w:after="0" w:line="239" w:lineRule="auto"/>
        <w:rPr>
          <w:sz w:val="20"/>
          <w:szCs w:val="20"/>
          <w:color w:val="auto"/>
        </w:rPr>
      </w:pPr>
      <w:r>
        <w:rPr>
          <w:rFonts w:ascii="Arial" w:cs="Arial" w:eastAsia="Arial" w:hAnsi="Arial"/>
          <w:sz w:val="16"/>
          <w:szCs w:val="16"/>
          <w:color w:val="auto"/>
        </w:rPr>
        <w:t>Because of the numerous risks and uncertainties associated with the development of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188" w:lineRule="exact"/>
        <w:rPr>
          <w:sz w:val="20"/>
          <w:szCs w:val="20"/>
          <w:color w:val="auto"/>
        </w:rPr>
      </w:pPr>
    </w:p>
    <w:p>
      <w:pPr>
        <w:ind w:left="980" w:right="20" w:hanging="493"/>
        <w:spacing w:after="0" w:line="249"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scope, progress, results, and costs of drug discovery, preclinical development, laboratory testing, and clinical trials for the product candidates we may develop;</w:t>
      </w:r>
    </w:p>
    <w:p>
      <w:pPr>
        <w:spacing w:after="0" w:line="168" w:lineRule="exact"/>
        <w:rPr>
          <w:rFonts w:ascii="Arial" w:cs="Arial" w:eastAsia="Arial" w:hAnsi="Arial"/>
          <w:sz w:val="16"/>
          <w:szCs w:val="16"/>
          <w:color w:val="auto"/>
        </w:rPr>
      </w:pPr>
    </w:p>
    <w:p>
      <w:pPr>
        <w:ind w:left="980" w:right="420" w:hanging="493"/>
        <w:spacing w:after="0" w:line="249"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ability to enroll clinical trials in a timely manner and to quickly resolve any delays or clinical holds that may be imposed on our development programs;</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costs associated with our manufacturing process development and evaluation of third-party manufacturers and suppliers;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product candidates;</w:t>
      </w:r>
    </w:p>
    <w:p>
      <w:pPr>
        <w:spacing w:after="0" w:line="182" w:lineRule="exact"/>
        <w:rPr>
          <w:rFonts w:ascii="Arial" w:cs="Arial" w:eastAsia="Arial" w:hAnsi="Arial"/>
          <w:sz w:val="16"/>
          <w:szCs w:val="16"/>
          <w:color w:val="auto"/>
        </w:rPr>
      </w:pPr>
    </w:p>
    <w:p>
      <w:pPr>
        <w:ind w:left="980" w:right="140" w:hanging="493"/>
        <w:spacing w:after="0" w:line="249"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costs of preparing and submitting marketing approvals for any of our product candidates that successfully complete clinical trials, and the costs of maintaining marketing authorization and related regulatory compliance for any products for which we obtain marketing approval;</w:t>
      </w:r>
    </w:p>
    <w:p>
      <w:pPr>
        <w:spacing w:after="0" w:line="180" w:lineRule="exact"/>
        <w:rPr>
          <w:rFonts w:ascii="Arial" w:cs="Arial" w:eastAsia="Arial" w:hAnsi="Arial"/>
          <w:sz w:val="16"/>
          <w:szCs w:val="16"/>
          <w:color w:val="auto"/>
        </w:rPr>
      </w:pPr>
    </w:p>
    <w:p>
      <w:pPr>
        <w:ind w:left="980" w:right="380" w:hanging="493"/>
        <w:spacing w:after="0" w:line="249"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and proprietary rights, and defending intellectual property-related claims;</w:t>
      </w:r>
    </w:p>
    <w:p>
      <w:pPr>
        <w:spacing w:after="0" w:line="168" w:lineRule="exact"/>
        <w:rPr>
          <w:rFonts w:ascii="Arial" w:cs="Arial" w:eastAsia="Arial" w:hAnsi="Arial"/>
          <w:sz w:val="16"/>
          <w:szCs w:val="16"/>
          <w:color w:val="auto"/>
        </w:rPr>
      </w:pPr>
    </w:p>
    <w:p>
      <w:pPr>
        <w:ind w:left="980" w:hanging="493"/>
        <w:spacing w:after="0" w:line="249"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costs of future activities, including product sales, medical affairs, marketing, manufacturing, and distribution, for any product candidates for which we receive marketing approval;</w:t>
      </w:r>
    </w:p>
    <w:p>
      <w:pPr>
        <w:spacing w:after="0" w:line="168" w:lineRule="exact"/>
        <w:rPr>
          <w:rFonts w:ascii="Arial" w:cs="Arial" w:eastAsia="Arial" w:hAnsi="Arial"/>
          <w:sz w:val="16"/>
          <w:szCs w:val="16"/>
          <w:color w:val="auto"/>
        </w:rPr>
      </w:pPr>
    </w:p>
    <w:p>
      <w:pPr>
        <w:ind w:left="980" w:right="540" w:hanging="493"/>
        <w:spacing w:after="0" w:line="249"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terms of our current and any future license agreements and collaborations; and the extent to which we acquire or in-license other product candidates, technologies and intellectual property.</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success of our collaborations with AstraZeneca, Oxurion and Bioverativ;</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type w:val="continuous"/>
        </w:sectPr>
      </w:pPr>
    </w:p>
    <w:bookmarkStart w:id="111" w:name="page112"/>
    <w:bookmarkEnd w:id="1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hanging="493"/>
        <w:spacing w:after="0"/>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ability to establish and maintain additional collaborations on favorable terms, if at all; and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costs of operating as a public company.</w:t>
      </w:r>
    </w:p>
    <w:p>
      <w:pPr>
        <w:spacing w:after="0" w:line="195" w:lineRule="exact"/>
        <w:rPr>
          <w:sz w:val="20"/>
          <w:szCs w:val="20"/>
          <w:color w:val="auto"/>
        </w:rPr>
      </w:pPr>
    </w:p>
    <w:p>
      <w:pPr>
        <w:ind w:right="80" w:firstLine="442"/>
        <w:spacing w:after="0"/>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collaborations, monetization transactions, government contracts or other strategic transactions. To the extent that we raise additional capital through the sale of equity, your ownership interest will be diluted, and the terms of these securities may include liquidation or other preferences that adversely affect your rights shareholder of our ADSs. If we raise additional funds through collaboration agreements, strategic alliances, licensing arrangements, monetization transactions, or marketing and distribution arrangements, we may have to relinquish valuable rights to our technologies, future revenue streams, research programs or product candidates or grant licenses on terms that may not be favorable to us or grant rights to develop and market products or product candidates that we would otherwise prefer to develop and market ourselves. If we are unable to raise additional funds when needed, we may be required to delay, limit, reduce or terminate our product development or future commercialization.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215" w:lineRule="exact"/>
        <w:rPr>
          <w:sz w:val="20"/>
          <w:szCs w:val="20"/>
          <w:color w:val="auto"/>
        </w:rPr>
      </w:pPr>
    </w:p>
    <w:p>
      <w:pPr>
        <w:ind w:right="380" w:firstLine="439"/>
        <w:spacing w:after="0" w:line="249" w:lineRule="auto"/>
        <w:rPr>
          <w:sz w:val="20"/>
          <w:szCs w:val="20"/>
          <w:color w:val="auto"/>
        </w:rPr>
      </w:pPr>
      <w:r>
        <w:rPr>
          <w:rFonts w:ascii="Arial" w:cs="Arial" w:eastAsia="Arial" w:hAnsi="Arial"/>
          <w:sz w:val="16"/>
          <w:szCs w:val="16"/>
          <w:color w:val="auto"/>
        </w:rPr>
        <w:t>The following table summarizes our contractual obligations as of December 31, 2018 and the effects that such obligations are expected to have on our liquidity and cash flows in future periods: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7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right"/>
              <w:ind w:right="381"/>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Less than 1 year</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 to 3 years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3 to 5 years</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More than 5 years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4"/>
          </w:tcPr>
          <w:p>
            <w:pPr>
              <w:jc w:val="right"/>
              <w:ind w:right="741"/>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6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Operating lease commitments</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ind w:left="16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gridSpan w:val="2"/>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3,187</w:t>
            </w:r>
          </w:p>
        </w:tc>
        <w:tc>
          <w:tcPr>
            <w:tcW w:w="26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76" w:lineRule="exact"/>
              <w:rPr>
                <w:sz w:val="20"/>
                <w:szCs w:val="20"/>
                <w:color w:val="auto"/>
              </w:rPr>
            </w:pPr>
            <w:r>
              <w:rPr>
                <w:rFonts w:ascii="Arial" w:cs="Arial" w:eastAsia="Arial" w:hAnsi="Arial"/>
                <w:sz w:val="16"/>
                <w:szCs w:val="16"/>
                <w:color w:val="auto"/>
              </w:rPr>
              <w:t>888</w:t>
            </w:r>
          </w:p>
        </w:tc>
        <w:tc>
          <w:tcPr>
            <w:tcW w:w="2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1,816</w:t>
            </w:r>
          </w:p>
        </w:tc>
        <w:tc>
          <w:tcPr>
            <w:tcW w:w="2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483</w:t>
            </w:r>
          </w:p>
        </w:tc>
        <w:tc>
          <w:tcPr>
            <w:tcW w:w="28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1660" w:type="dxa"/>
            <w:vAlign w:val="bottom"/>
            <w:gridSpan w:val="2"/>
          </w:tcPr>
          <w:p>
            <w:pPr>
              <w:ind w:left="134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0"/>
        </w:trPr>
        <w:tc>
          <w:tcPr>
            <w:tcW w:w="72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40" w:hanging="499"/>
        <w:spacing w:after="0" w:line="191" w:lineRule="auto"/>
        <w:tabs>
          <w:tab w:leader="none" w:pos="1640"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Amounts reflect minimum payments due for our office and laboratory space leases. We have one office lease in Cambridge, U.K. under an operating lease that expires in December 2021. We lease laboratory space in Lexington, Massachusetts under an operating lease that expires in December 2022.</w:t>
      </w:r>
    </w:p>
    <w:p>
      <w:pPr>
        <w:spacing w:after="0" w:line="186" w:lineRule="exact"/>
        <w:rPr>
          <w:sz w:val="20"/>
          <w:szCs w:val="20"/>
          <w:color w:val="auto"/>
        </w:rPr>
      </w:pPr>
    </w:p>
    <w:p>
      <w:pPr>
        <w:ind w:right="160" w:firstLine="442"/>
        <w:spacing w:after="0" w:line="261" w:lineRule="auto"/>
        <w:rPr>
          <w:sz w:val="20"/>
          <w:szCs w:val="20"/>
          <w:color w:val="auto"/>
        </w:rPr>
      </w:pPr>
      <w:r>
        <w:rPr>
          <w:rFonts w:ascii="Arial" w:cs="Arial" w:eastAsia="Arial" w:hAnsi="Arial"/>
          <w:sz w:val="15"/>
          <w:szCs w:val="15"/>
          <w:color w:val="auto"/>
        </w:rPr>
        <w:t>We enter into various agreements with contract manufacturing organizations to provide clinical trial materials and with vendors for preclinical research studies, synthetic chemistry and other services for operating purposes. These payments are not included in the table of contractual obligations above since the contracts are generally cancelable at any time upon less than 90 days' prior written notice. We are not contractually able to terminate for convenience and avoid any and all future obligations to these vendors. Under such agreements, we are contractually obligated to make certain minimum payments to the vendors, with the payments in the event of a termination with less than 90 days' notice based on the timing of the termination and the exact terms of the agreement.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211" w:lineRule="exact"/>
        <w:rPr>
          <w:sz w:val="20"/>
          <w:szCs w:val="20"/>
          <w:color w:val="auto"/>
        </w:rPr>
      </w:pPr>
    </w:p>
    <w:p>
      <w:pPr>
        <w:ind w:right="220" w:firstLine="442"/>
        <w:spacing w:after="0" w:line="249" w:lineRule="auto"/>
        <w:rPr>
          <w:sz w:val="20"/>
          <w:szCs w:val="20"/>
          <w:color w:val="auto"/>
        </w:rPr>
      </w:pPr>
      <w:r>
        <w:rPr>
          <w:rFonts w:ascii="Arial" w:cs="Arial" w:eastAsia="Arial" w:hAnsi="Arial"/>
          <w:sz w:val="16"/>
          <w:szCs w:val="16"/>
          <w:color w:val="auto"/>
        </w:rPr>
        <w:t>From time to time, we may become involved in various legal proceedings and claims, either asserted or unasserted, which arise in the ordinary course of business.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In September 2016, we filed a complaint in the District Court of the Hague against Pepscan Systems B.V. ("Pepscan") to contest the right of Pepscan to terminate a non-exclusive patent license agreement we entered into with Pepscan in 2009 and 2010. In response, Pepscan counterclaimed for injunctive relief and unquantified damages. We are vigorously prosecuting our claims and defending against those of Pepscan. We do not believe that a loss is probable or estimable at this time, and as such, we have not recorded a liability related to the Pepscan litigation as of December 31, 2017 and 2018. Should we not be successful in maintaining our rights to Pepscan's patent or in our alternative demand that the patent be invalidated, commercialization of our lead product could be delayed. As the Pepscan patent expires prior to the expected commercialization date of the product, we do not believe that the legal proceedings could have a material adverse effect on our business and operating results. We are unable to reasonably estimate a range of potential loss related to this matter at this time.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215"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U.S. GAAP.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2" w:lineRule="exact"/>
        <w:rPr>
          <w:sz w:val="20"/>
          <w:szCs w:val="20"/>
          <w:color w:val="auto"/>
        </w:rPr>
      </w:pPr>
    </w:p>
    <w:p>
      <w:pPr>
        <w:ind w:right="280" w:firstLine="442"/>
        <w:spacing w:after="0" w:line="244" w:lineRule="auto"/>
        <w:rPr>
          <w:sz w:val="20"/>
          <w:szCs w:val="20"/>
          <w:color w:val="auto"/>
        </w:rPr>
      </w:pPr>
      <w:r>
        <w:rPr>
          <w:rFonts w:ascii="Arial" w:cs="Arial" w:eastAsia="Arial" w:hAnsi="Arial"/>
          <w:sz w:val="16"/>
          <w:szCs w:val="16"/>
          <w:color w:val="auto"/>
        </w:rPr>
        <w:t>While our significant accounting policies are described in greater detail in Note 2 to our consolidated financial statements appearing at the end of this prospectus, we believe that the following accounting policies are those most critical to the judgments and estimates used in the preparation of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Collaboration Revenues</w:t>
      </w:r>
    </w:p>
    <w:p>
      <w:pPr>
        <w:spacing w:after="0" w:line="213" w:lineRule="exact"/>
        <w:rPr>
          <w:sz w:val="20"/>
          <w:szCs w:val="20"/>
          <w:color w:val="auto"/>
        </w:rPr>
      </w:pPr>
    </w:p>
    <w:p>
      <w:pPr>
        <w:ind w:right="80" w:firstLine="442"/>
        <w:spacing w:after="0" w:line="242" w:lineRule="auto"/>
        <w:rPr>
          <w:sz w:val="20"/>
          <w:szCs w:val="20"/>
          <w:color w:val="auto"/>
        </w:rPr>
      </w:pPr>
      <w:r>
        <w:rPr>
          <w:rFonts w:ascii="Arial" w:cs="Arial" w:eastAsia="Arial" w:hAnsi="Arial"/>
          <w:sz w:val="16"/>
          <w:szCs w:val="16"/>
          <w:color w:val="auto"/>
        </w:rPr>
        <w:t>Our revenues are generated primarily through collaborative arrangements and license agreements with pharmaceutical companies. The terms of these arrangements may include (i) performing research and development services using our bicyclic peptide screening platform with the goal of identifying compounds for further development and commercialization, (ii) options to obtain additional research and development services or licenses for additional targets, or to optimize product candidates, upon the payment of option fees, or (iii) the transfer of intellectual property rights (licenses).</w:t>
      </w:r>
    </w:p>
    <w:p>
      <w:pPr>
        <w:spacing w:after="0" w:line="187" w:lineRule="exact"/>
        <w:rPr>
          <w:sz w:val="20"/>
          <w:szCs w:val="20"/>
          <w:color w:val="auto"/>
        </w:rPr>
      </w:pPr>
    </w:p>
    <w:p>
      <w:pPr>
        <w:ind w:firstLine="439"/>
        <w:spacing w:after="0" w:line="244" w:lineRule="auto"/>
        <w:rPr>
          <w:sz w:val="20"/>
          <w:szCs w:val="20"/>
          <w:color w:val="auto"/>
        </w:rPr>
      </w:pPr>
      <w:r>
        <w:rPr>
          <w:rFonts w:ascii="Arial" w:cs="Arial" w:eastAsia="Arial" w:hAnsi="Arial"/>
          <w:sz w:val="16"/>
          <w:szCs w:val="16"/>
          <w:color w:val="auto"/>
        </w:rPr>
        <w:t>The terms of these arrangements typically include payment to us of one or more of the following: non-refundable upfront license fees; payments for research and development services; fees upon the exercise of options to obtain additional services or licenses; payments based upon the achievement of defined collaboration objectives; future regulatory and sales-based milestone payments; and royalties on net sales of future products.</w:t>
      </w:r>
    </w:p>
    <w:p>
      <w:pPr>
        <w:spacing w:after="0" w:line="185" w:lineRule="exact"/>
        <w:rPr>
          <w:sz w:val="20"/>
          <w:szCs w:val="20"/>
          <w:color w:val="auto"/>
        </w:rPr>
      </w:pPr>
    </w:p>
    <w:p>
      <w:pPr>
        <w:ind w:right="60" w:firstLine="442"/>
        <w:spacing w:after="0" w:line="244" w:lineRule="auto"/>
        <w:rPr>
          <w:sz w:val="20"/>
          <w:szCs w:val="20"/>
          <w:color w:val="auto"/>
        </w:rPr>
      </w:pPr>
      <w:r>
        <w:rPr>
          <w:rFonts w:ascii="Arial" w:cs="Arial" w:eastAsia="Arial" w:hAnsi="Arial"/>
          <w:sz w:val="16"/>
          <w:szCs w:val="16"/>
          <w:color w:val="auto"/>
        </w:rPr>
        <w:t>We adopted ASU 2014-09, Revenue from Contracts with Customers (Topic 606) ("ASC 606") and all subsequent amendments using the full retrospective transition method for all periods presented. This standard applies to all contracts with customers, except for contracts that are within the scope of other standards, such as leases, insurance, collaboration arrangements and financial instruments.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3" w:name="page114"/>
    <w:bookmarkEnd w:id="1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firstLine="442"/>
        <w:spacing w:after="0" w:line="249"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w:t>
      </w:r>
    </w:p>
    <w:p>
      <w:pPr>
        <w:spacing w:after="0" w:line="181" w:lineRule="exact"/>
        <w:rPr>
          <w:sz w:val="20"/>
          <w:szCs w:val="20"/>
          <w:color w:val="auto"/>
        </w:rPr>
      </w:pPr>
    </w:p>
    <w:p>
      <w:pPr>
        <w:ind w:right="160" w:firstLine="439"/>
        <w:spacing w:after="0" w:line="241" w:lineRule="auto"/>
        <w:rPr>
          <w:sz w:val="20"/>
          <w:szCs w:val="20"/>
          <w:color w:val="auto"/>
        </w:rPr>
      </w:pPr>
      <w:r>
        <w:rPr>
          <w:rFonts w:ascii="Arial" w:cs="Arial" w:eastAsia="Arial" w:hAnsi="Arial"/>
          <w:sz w:val="16"/>
          <w:szCs w:val="16"/>
          <w:color w:val="auto"/>
        </w:rPr>
        <w:t>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the performance obligations. We only apply the five-step model to contracts when it is probable that we will collect substantially all of the consideration we are entitled to in exchange for the goods or services it transfers to the customer. As part of the accounting for these arrangements, we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88" w:lineRule="exact"/>
        <w:rPr>
          <w:sz w:val="20"/>
          <w:szCs w:val="20"/>
          <w:color w:val="auto"/>
        </w:rPr>
      </w:pPr>
    </w:p>
    <w:p>
      <w:pPr>
        <w:ind w:right="200" w:firstLine="442"/>
        <w:spacing w:after="0" w:line="244" w:lineRule="auto"/>
        <w:rPr>
          <w:sz w:val="20"/>
          <w:szCs w:val="20"/>
          <w:color w:val="auto"/>
        </w:rPr>
      </w:pPr>
      <w:r>
        <w:rPr>
          <w:rFonts w:ascii="Arial" w:cs="Arial" w:eastAsia="Arial" w:hAnsi="Arial"/>
          <w:sz w:val="16"/>
          <w:szCs w:val="16"/>
          <w:color w:val="auto"/>
        </w:rPr>
        <w:t>Once a contract is determined to be within the scope of ASC 606, we assess the goods or services promised within the contract and determine those that are performance obligations. Arrangements that include rights to additional goods or services that are exercisable at a customer's discretion are generally considered options. We assess if these options provide a material right to the customer and if so, they are considered performance obligations.</w:t>
      </w:r>
    </w:p>
    <w:p>
      <w:pPr>
        <w:spacing w:after="0" w:line="185" w:lineRule="exact"/>
        <w:rPr>
          <w:sz w:val="20"/>
          <w:szCs w:val="20"/>
          <w:color w:val="auto"/>
        </w:rPr>
      </w:pPr>
    </w:p>
    <w:p>
      <w:pPr>
        <w:ind w:right="40" w:firstLine="442"/>
        <w:spacing w:after="0"/>
        <w:rPr>
          <w:sz w:val="20"/>
          <w:szCs w:val="20"/>
          <w:color w:val="auto"/>
        </w:rPr>
      </w:pPr>
      <w:r>
        <w:rPr>
          <w:rFonts w:ascii="Arial" w:cs="Arial" w:eastAsia="Arial" w:hAnsi="Arial"/>
          <w:sz w:val="16"/>
          <w:szCs w:val="16"/>
          <w:color w:val="auto"/>
        </w:rPr>
        <w:t>Performance obligations are promised goods or services in a contract to transfer a distinct good or service to the customer. The promised goods or services in our contracts with customers primarily consist of license rights to our intellectual property for research and development, research and development services, and options to acquire additional research and development services or options to obtain additional licenses, such as a commercialization license for a potential product candidate.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we consider factors such as the stage of development of the underlying intellectual property, the capabilities of the customer to develop the intellectual property on their own and whether the required expertise is readily available. In addition, we consider whether the collaboration partner can benefit from a promise for its intended purpose without the receipt of the remaining promises, whether the value of the promise is dependent on the unsatisfied promises, whether there are other vendors that could provide the remaining promises, and whether it is separately identifiable from the remaining promises.</w:t>
      </w:r>
    </w:p>
    <w:p>
      <w:pPr>
        <w:spacing w:after="0" w:line="190"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We utilize either the most likely amount method or expected value method to estimate variable consideration to include in the transaction price based on which method better predicts the amount of consideration expected to be received.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191" w:lineRule="exact"/>
        <w:rPr>
          <w:sz w:val="20"/>
          <w:szCs w:val="20"/>
          <w:color w:val="auto"/>
        </w:rPr>
      </w:pPr>
    </w:p>
    <w:p>
      <w:pPr>
        <w:ind w:right="220" w:firstLine="433"/>
        <w:spacing w:after="0" w:line="249" w:lineRule="auto"/>
        <w:rPr>
          <w:sz w:val="20"/>
          <w:szCs w:val="20"/>
          <w:color w:val="auto"/>
        </w:rPr>
      </w:pPr>
      <w:r>
        <w:rPr>
          <w:rFonts w:ascii="Arial" w:cs="Arial" w:eastAsia="Arial" w:hAnsi="Arial"/>
          <w:sz w:val="16"/>
          <w:szCs w:val="16"/>
          <w:color w:val="auto"/>
        </w:rPr>
        <w:t>After determining the transaction price, we allocate it to the identified performance obligations based on the estimated standalone selling prices. We must develop assumptions that require judgment to determine the standalone selling price for each performance obligation identified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contract. We utilize key assumptions to determine the standalone selling price, which may include other comparable transactions, pricing considered in negotiating the transaction, probabilities of technical and regulatory success and the estimated costs.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we would expect to receive for each performance obligation.</w:t>
      </w:r>
    </w:p>
    <w:p>
      <w:pPr>
        <w:spacing w:after="0" w:line="187" w:lineRule="exact"/>
        <w:rPr>
          <w:sz w:val="20"/>
          <w:szCs w:val="20"/>
          <w:color w:val="auto"/>
        </w:rPr>
      </w:pPr>
    </w:p>
    <w:p>
      <w:pPr>
        <w:ind w:right="840" w:firstLine="442"/>
        <w:spacing w:after="0" w:line="249" w:lineRule="auto"/>
        <w:rPr>
          <w:sz w:val="20"/>
          <w:szCs w:val="20"/>
          <w:color w:val="auto"/>
        </w:rPr>
      </w:pPr>
      <w:r>
        <w:rPr>
          <w:rFonts w:ascii="Arial" w:cs="Arial" w:eastAsia="Arial" w:hAnsi="Arial"/>
          <w:sz w:val="16"/>
          <w:szCs w:val="16"/>
          <w:color w:val="auto"/>
        </w:rPr>
        <w:t>We then recognize as revenue in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165" w:lineRule="exact"/>
        <w:rPr>
          <w:sz w:val="20"/>
          <w:szCs w:val="20"/>
          <w:color w:val="auto"/>
        </w:rPr>
      </w:pPr>
    </w:p>
    <w:p>
      <w:pPr>
        <w:ind w:right="60" w:firstLine="442"/>
        <w:spacing w:after="0" w:line="243"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a license to our intellectual property is determined to be distinct from the other promises or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we recognize revenue from non-refundable, upfront fees allocated to the license when the license is transferred to the customer and the customer is able to use and benefit from the license. For licenses that are combined with other promises, such as research and development services and a research license,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w:t>
      </w:r>
    </w:p>
    <w:p>
      <w:pPr>
        <w:spacing w:after="0" w:line="173" w:lineRule="exact"/>
        <w:rPr>
          <w:sz w:val="20"/>
          <w:szCs w:val="20"/>
          <w:color w:val="auto"/>
        </w:rPr>
      </w:pPr>
    </w:p>
    <w:p>
      <w:pPr>
        <w:ind w:right="20" w:firstLine="442"/>
        <w:spacing w:after="0" w:line="254"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promises under our collaboration agreements may include research and development services to be performed</w:t>
      </w:r>
      <w:r>
        <w:rPr>
          <w:rFonts w:ascii="Arial" w:cs="Arial" w:eastAsia="Arial" w:hAnsi="Arial"/>
          <w:sz w:val="16"/>
          <w:szCs w:val="16"/>
          <w:i w:val="1"/>
          <w:iCs w:val="1"/>
          <w:color w:val="auto"/>
        </w:rPr>
        <w:t xml:space="preserve"> </w:t>
      </w:r>
      <w:r>
        <w:rPr>
          <w:rFonts w:ascii="Arial" w:cs="Arial" w:eastAsia="Arial" w:hAnsi="Arial"/>
          <w:sz w:val="16"/>
          <w:szCs w:val="16"/>
          <w:color w:val="auto"/>
        </w:rPr>
        <w:t>by us on behalf of the partner. Payments or reimbursements resulting from our research and development efforts are recognized as the services are performed and presented on a gross basis because we are the principal for such efforts.</w:t>
      </w:r>
    </w:p>
    <w:p>
      <w:pPr>
        <w:spacing w:after="0" w:line="162" w:lineRule="exact"/>
        <w:rPr>
          <w:sz w:val="20"/>
          <w:szCs w:val="20"/>
          <w:color w:val="auto"/>
        </w:rPr>
      </w:pPr>
    </w:p>
    <w:p>
      <w:pPr>
        <w:ind w:firstLine="442"/>
        <w:spacing w:after="0" w:line="245" w:lineRule="auto"/>
        <w:rPr>
          <w:sz w:val="20"/>
          <w:szCs w:val="20"/>
          <w:color w:val="auto"/>
        </w:rPr>
      </w:pPr>
      <w:r>
        <w:rPr>
          <w:rFonts w:ascii="Arial" w:cs="Arial" w:eastAsia="Arial" w:hAnsi="Arial"/>
          <w:sz w:val="16"/>
          <w:szCs w:val="16"/>
          <w:i w:val="1"/>
          <w:iCs w:val="1"/>
          <w:color w:val="auto"/>
        </w:rPr>
        <w:t xml:space="preserve">Customer Options: </w:t>
      </w:r>
      <w:r>
        <w:rPr>
          <w:rFonts w:ascii="Arial" w:cs="Arial" w:eastAsia="Arial" w:hAnsi="Arial"/>
          <w:sz w:val="16"/>
          <w:szCs w:val="16"/>
          <w:color w:val="auto"/>
        </w:rPr>
        <w:t>We evaluate customer options to obtain additional items (i.e. additional license rights) for material rights, or options to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goods or services for free or at a discount. Optional future services that reflect their standalone selling prices do not provide the customer with a material right and, therefore, are not considered performance obligations and are accounted for as separate contracts. If optional future services reflect a significant or incremental discount, they are material rights, and are accounted for as performance obligations.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69"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Our collaboration agreements may include development and regulatory milestones. We evaluate whether the milestones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probable of being reached and estimate the amounts to be included in the transaction price using the most likely amount method. We evaluate factors such as the scientific, clinical, regulatory, commercial, and other risks that must be overcome to achieve the particular milestone in making this assessment. If it is probable that a significant revenue reversal would not occur, the associated milestone value is included in the transaction price. Milestone payments that are not within our control or the licensee's control, such as marketing approvals, are not considered probable of being achieved until those approvals are received. At the end of each reporting period, we re-evaluate the probability of achievement of such milestones and any related constraint, and if necessary, adjusts the estimate of the overall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500"/>
        <w:spacing w:after="0" w:line="249" w:lineRule="auto"/>
        <w:rPr>
          <w:sz w:val="20"/>
          <w:szCs w:val="20"/>
          <w:color w:val="auto"/>
        </w:rPr>
      </w:pPr>
      <w:r>
        <w:rPr>
          <w:rFonts w:ascii="Arial" w:cs="Arial" w:eastAsia="Arial" w:hAnsi="Arial"/>
          <w:sz w:val="16"/>
          <w:szCs w:val="16"/>
          <w:color w:val="auto"/>
        </w:rPr>
        <w:t>transaction price. Any such adjustments are recorded on a cumulative catch-up basis, which would affect collaboration revenue and net loss in the period of adjustment.</w:t>
      </w:r>
    </w:p>
    <w:p>
      <w:pPr>
        <w:spacing w:after="0" w:line="165" w:lineRule="exact"/>
        <w:rPr>
          <w:sz w:val="20"/>
          <w:szCs w:val="20"/>
          <w:color w:val="auto"/>
        </w:rPr>
      </w:pPr>
    </w:p>
    <w:p>
      <w:pPr>
        <w:ind w:right="60" w:firstLine="442"/>
        <w:spacing w:after="0" w:line="249"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For sales-based royalties, including milestone payments based on the level of sales, we determine whether the sole or predominant item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royalties relate is a license. When the license is the sole or predominant item to which the sales-based royalty relates, we recognize revenue at the later of: (i) when the related sales occur, or (ii) when the performance obligation to which some or all of the royalty has been allocated has been satisfied (or partially satisfied). To date, we have not recognized any sales-based royalty revenue resulting from our collaboration agreements.</w:t>
      </w:r>
    </w:p>
    <w:p>
      <w:pPr>
        <w:spacing w:after="0" w:line="182" w:lineRule="exact"/>
        <w:rPr>
          <w:sz w:val="20"/>
          <w:szCs w:val="20"/>
          <w:color w:val="auto"/>
        </w:rPr>
      </w:pPr>
    </w:p>
    <w:p>
      <w:pPr>
        <w:ind w:right="300" w:firstLine="442"/>
        <w:spacing w:after="0" w:line="244" w:lineRule="auto"/>
        <w:rPr>
          <w:sz w:val="20"/>
          <w:szCs w:val="20"/>
          <w:color w:val="auto"/>
        </w:rPr>
      </w:pPr>
      <w:r>
        <w:rPr>
          <w:rFonts w:ascii="Arial" w:cs="Arial" w:eastAsia="Arial" w:hAnsi="Arial"/>
          <w:sz w:val="16"/>
          <w:szCs w:val="16"/>
          <w:color w:val="auto"/>
        </w:rPr>
        <w:t>We receive payments from customers based on billing schedules established in each contract. Up-front payments and fees are recorded as deferred revenue upon receipt or when due until we perform our obligations under these arrangements. Amounts are recorded as accounts receivable when our right to consideration is unconditional, such as when we have a contractual right to payment per the terms of the contract.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Accrued Research and Development Expenses</w:t>
      </w:r>
    </w:p>
    <w:p>
      <w:pPr>
        <w:spacing w:after="0" w:line="213" w:lineRule="exact"/>
        <w:rPr>
          <w:sz w:val="20"/>
          <w:szCs w:val="20"/>
          <w:color w:val="auto"/>
        </w:rPr>
      </w:pPr>
    </w:p>
    <w:p>
      <w:pPr>
        <w:ind w:right="60" w:firstLine="433"/>
        <w:spacing w:after="0" w:line="260" w:lineRule="auto"/>
        <w:rPr>
          <w:sz w:val="20"/>
          <w:szCs w:val="20"/>
          <w:color w:val="auto"/>
        </w:rPr>
      </w:pPr>
      <w:r>
        <w:rPr>
          <w:rFonts w:ascii="Arial" w:cs="Arial" w:eastAsia="Arial" w:hAnsi="Arial"/>
          <w:sz w:val="15"/>
          <w:szCs w:val="15"/>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Examples of estimated accrued research and development expenses include fees paid to:</w:t>
      </w:r>
    </w:p>
    <w:p>
      <w:pPr>
        <w:spacing w:after="0" w:line="175" w:lineRule="exact"/>
        <w:rPr>
          <w:sz w:val="20"/>
          <w:szCs w:val="20"/>
          <w:color w:val="auto"/>
        </w:rPr>
      </w:pPr>
    </w:p>
    <w:p>
      <w:pPr>
        <w:ind w:left="980" w:hanging="493"/>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vendors in connection with performing research activities on our behalf and conducting preclinical studies and clinical trials on our behalf;</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CMOs in connection with the production of preclinical and clinical trial materials;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CROs, investigative sites or other service providers in connection with clinical trials;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vendors in connection with preclinical and clinical development activities; and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vendors related to product manufacturing and development and distribution of preclinical and clinical supplies.</w:t>
      </w:r>
    </w:p>
    <w:p>
      <w:pPr>
        <w:spacing w:after="0" w:line="19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CMOs, research institutions and vendors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6" w:name="page117"/>
    <w:bookmarkEnd w:id="1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520"/>
        <w:spacing w:after="0" w:line="249" w:lineRule="auto"/>
        <w:rPr>
          <w:sz w:val="20"/>
          <w:szCs w:val="20"/>
          <w:color w:val="auto"/>
        </w:rPr>
      </w:pPr>
      <w:r>
        <w:rPr>
          <w:rFonts w:ascii="Arial" w:cs="Arial" w:eastAsia="Arial" w:hAnsi="Arial"/>
          <w:sz w:val="16"/>
          <w:szCs w:val="16"/>
          <w:color w:val="auto"/>
        </w:rPr>
        <w:t>actual results could differ from our estimates. Through December 31, 2018, there have not been any material adjustments to our prior estimates of accrued research and development expenses.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1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We are authorized to issue ordinary shares, as well as options and other securities exercisable for or convertible into ordinary shares, as incentives to our employees, consultants, and members of our board of directors. To the extent such incentives are in the form of share options, the options may have been granted pursuant bilateral EMI option award agreements in the form approved by the board of directors. Such agreements provide for the grant of potentially tax-favored Enterprise Management Incentive, or EMI, options, to our U.K. employees, directors and consultants. Options issued pursuant to such agreements have an exercise price of £0.01 per share. The exercise price for share options granted to U.S. employees have an exercise price that is not less than the fair value of ordinary shares as determined by the board of directors as of the date of grant. Exercise prices of our options to subscribe for ordinary shares and restricted share are in British Pound Sterling.</w:t>
      </w:r>
    </w:p>
    <w:p>
      <w:pPr>
        <w:spacing w:after="0" w:line="192" w:lineRule="exact"/>
        <w:rPr>
          <w:sz w:val="20"/>
          <w:szCs w:val="20"/>
          <w:color w:val="auto"/>
        </w:rPr>
      </w:pPr>
    </w:p>
    <w:p>
      <w:pPr>
        <w:ind w:right="120" w:firstLine="442"/>
        <w:spacing w:after="0" w:line="244" w:lineRule="auto"/>
        <w:rPr>
          <w:sz w:val="20"/>
          <w:szCs w:val="20"/>
          <w:color w:val="auto"/>
        </w:rPr>
      </w:pPr>
      <w:r>
        <w:rPr>
          <w:rFonts w:ascii="Arial" w:cs="Arial" w:eastAsia="Arial" w:hAnsi="Arial"/>
          <w:sz w:val="16"/>
          <w:szCs w:val="16"/>
          <w:color w:val="auto"/>
        </w:rPr>
        <w:t>We measure share-based awards granted to employees and directors based on their fair value on the date of the grant and recognize compensation expense for those awards over the requisite service period, which is generally the vesting period of the respective award. We record the expense for awards with only service-based vesting conditions using the straight-line method and account for forfeitures as they occur.</w:t>
      </w:r>
    </w:p>
    <w:p>
      <w:pPr>
        <w:spacing w:after="0" w:line="185" w:lineRule="exact"/>
        <w:rPr>
          <w:sz w:val="20"/>
          <w:szCs w:val="20"/>
          <w:color w:val="auto"/>
        </w:rPr>
      </w:pPr>
    </w:p>
    <w:p>
      <w:pPr>
        <w:ind w:right="180" w:firstLine="442"/>
        <w:spacing w:after="0" w:line="242" w:lineRule="auto"/>
        <w:rPr>
          <w:sz w:val="20"/>
          <w:szCs w:val="20"/>
          <w:color w:val="auto"/>
        </w:rPr>
      </w:pPr>
      <w:r>
        <w:rPr>
          <w:rFonts w:ascii="Arial" w:cs="Arial" w:eastAsia="Arial" w:hAnsi="Arial"/>
          <w:sz w:val="16"/>
          <w:szCs w:val="16"/>
          <w:color w:val="auto"/>
        </w:rPr>
        <w:t>We have granted awards that include both a service condition, that vest over time, and a performance condition, that will accelerate vesting upon the achievement of a specified collaboration revenue threshold. For equity awards that contain both performance and service conditions, we recognize share-based compensation expense using an accelerated attribution model over the requisite service period when the achievement of a performance-based milestone is probable based on the relative satisfaction of the performance condition as of the reporting date.</w:t>
      </w:r>
    </w:p>
    <w:p>
      <w:pPr>
        <w:spacing w:after="0" w:line="187" w:lineRule="exact"/>
        <w:rPr>
          <w:sz w:val="20"/>
          <w:szCs w:val="20"/>
          <w:color w:val="auto"/>
        </w:rPr>
      </w:pPr>
    </w:p>
    <w:p>
      <w:pPr>
        <w:ind w:right="40" w:firstLine="442"/>
        <w:spacing w:after="0" w:line="244" w:lineRule="auto"/>
        <w:rPr>
          <w:sz w:val="20"/>
          <w:szCs w:val="20"/>
          <w:color w:val="auto"/>
        </w:rPr>
      </w:pPr>
      <w:r>
        <w:rPr>
          <w:rFonts w:ascii="Arial" w:cs="Arial" w:eastAsia="Arial" w:hAnsi="Arial"/>
          <w:sz w:val="16"/>
          <w:szCs w:val="16"/>
          <w:color w:val="auto"/>
        </w:rPr>
        <w:t>For share-based awards granted to non-employee consultants, compensation expense is recognized over the period during which services are rendered by such consultants until completed. At the end of each financial reporting period prior to completion of the service, the fair value of these awards is remeasured using the then-current fair value of our ordinary shares and updated assumption inputs in the Black-Scholes option-pricing model, as applicable.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each restricted ordinary share award is based on the fair value of our ordinary shares, less any applicable purchase price.</w:t>
      </w:r>
    </w:p>
    <w:p>
      <w:pPr>
        <w:spacing w:after="0" w:line="195" w:lineRule="exact"/>
        <w:rPr>
          <w:sz w:val="20"/>
          <w:szCs w:val="20"/>
          <w:color w:val="auto"/>
        </w:rPr>
      </w:pPr>
    </w:p>
    <w:p>
      <w:pPr>
        <w:ind w:right="660" w:firstLine="439"/>
        <w:spacing w:after="0" w:line="244" w:lineRule="auto"/>
        <w:rPr>
          <w:sz w:val="20"/>
          <w:szCs w:val="20"/>
          <w:color w:val="auto"/>
        </w:rPr>
      </w:pPr>
      <w:r>
        <w:rPr>
          <w:rFonts w:ascii="Arial" w:cs="Arial" w:eastAsia="Arial" w:hAnsi="Arial"/>
          <w:sz w:val="16"/>
          <w:szCs w:val="16"/>
          <w:color w:val="auto"/>
        </w:rPr>
        <w:t>The fair value of each share option is estimated using the Black-Scholes option-pricing model, which requires inputs based on certain subjective assumptions, including the fair value of ordinary shares, the expected share price volatility, the expected term of the award, the risk-free interest rate, and expected dividends. See Note 9 to our consolidated financial statements appearing at the end of this prospectus for more information.</w:t>
      </w:r>
    </w:p>
    <w:p>
      <w:pPr>
        <w:spacing w:after="0" w:line="185" w:lineRule="exact"/>
        <w:rPr>
          <w:sz w:val="20"/>
          <w:szCs w:val="20"/>
          <w:color w:val="auto"/>
        </w:rPr>
      </w:pPr>
    </w:p>
    <w:p>
      <w:pPr>
        <w:ind w:right="320" w:firstLine="442"/>
        <w:spacing w:after="0" w:line="249" w:lineRule="auto"/>
        <w:rPr>
          <w:sz w:val="20"/>
          <w:szCs w:val="20"/>
          <w:color w:val="auto"/>
        </w:rPr>
      </w:pPr>
      <w:r>
        <w:rPr>
          <w:rFonts w:ascii="Arial" w:cs="Arial" w:eastAsia="Arial" w:hAnsi="Arial"/>
          <w:sz w:val="16"/>
          <w:szCs w:val="16"/>
          <w:color w:val="auto"/>
        </w:rPr>
        <w:t>We classify share-based compensation expense in our consolidated statements of operations in the same manner in which the award recipient's payroll costs are classified or in which the award recipient's service payments are classified.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Determination of the Fair Value of Ordinary Shares</w:t>
      </w:r>
    </w:p>
    <w:p>
      <w:pPr>
        <w:spacing w:after="0" w:line="211" w:lineRule="exact"/>
        <w:rPr>
          <w:sz w:val="20"/>
          <w:szCs w:val="20"/>
          <w:color w:val="auto"/>
        </w:rPr>
      </w:pPr>
    </w:p>
    <w:p>
      <w:pPr>
        <w:jc w:val="both"/>
        <w:ind w:right="120" w:firstLine="442"/>
        <w:spacing w:after="0" w:line="244" w:lineRule="auto"/>
        <w:rPr>
          <w:sz w:val="20"/>
          <w:szCs w:val="20"/>
          <w:color w:val="auto"/>
        </w:rPr>
      </w:pPr>
      <w:r>
        <w:rPr>
          <w:rFonts w:ascii="Arial" w:cs="Arial" w:eastAsia="Arial" w:hAnsi="Arial"/>
          <w:sz w:val="16"/>
          <w:szCs w:val="16"/>
          <w:color w:val="auto"/>
        </w:rPr>
        <w:t>Given the absence of an active market for our ordinary shares, the board of directors determined the fair value of the ordinary shares based on input from management, which utilized an independent valuation of our enterprise value, determined utilizing an analytical valuation model. The third party valuation reports performed utilized various valuation methodologies in accordance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with the framework of the </w:t>
      </w:r>
      <w:r>
        <w:rPr>
          <w:rFonts w:ascii="Arial" w:cs="Arial" w:eastAsia="Arial" w:hAnsi="Arial"/>
          <w:sz w:val="16"/>
          <w:szCs w:val="16"/>
          <w:i w:val="1"/>
          <w:iCs w:val="1"/>
          <w:color w:val="auto"/>
        </w:rPr>
        <w:t>American Institute of Certified Public Accountants' Technical Practice Aid, Valuation of Privately-Held Company Equity Securities Issued</w:t>
      </w:r>
      <w:r>
        <w:rPr>
          <w:rFonts w:ascii="Arial" w:cs="Arial" w:eastAsia="Arial" w:hAnsi="Arial"/>
          <w:sz w:val="16"/>
          <w:szCs w:val="16"/>
          <w:color w:val="auto"/>
        </w:rPr>
        <w:t xml:space="preserve"> </w:t>
      </w:r>
      <w:r>
        <w:rPr>
          <w:rFonts w:ascii="Arial" w:cs="Arial" w:eastAsia="Arial" w:hAnsi="Arial"/>
          <w:sz w:val="16"/>
          <w:szCs w:val="16"/>
          <w:i w:val="1"/>
          <w:iCs w:val="1"/>
          <w:color w:val="auto"/>
        </w:rPr>
        <w:t>as Compensation</w:t>
      </w:r>
      <w:r>
        <w:rPr>
          <w:rFonts w:ascii="Arial" w:cs="Arial" w:eastAsia="Arial" w:hAnsi="Arial"/>
          <w:sz w:val="16"/>
          <w:szCs w:val="16"/>
          <w:color w:val="auto"/>
        </w:rPr>
        <w:t>, to estimate the fair value of its ordinary shares. Each valuation methodology includes estimates and assumptions that require judgment. These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and assumptions include a number of objective and subjective factors in determining the value of our ordinary shares at each grant date, including the following factors:</w:t>
      </w:r>
    </w:p>
    <w:p>
      <w:pPr>
        <w:spacing w:after="0" w:line="182" w:lineRule="exact"/>
        <w:rPr>
          <w:sz w:val="20"/>
          <w:szCs w:val="20"/>
          <w:color w:val="auto"/>
        </w:rPr>
      </w:pPr>
    </w:p>
    <w:p>
      <w:pPr>
        <w:ind w:left="980" w:right="40" w:hanging="493"/>
        <w:spacing w:after="0" w:line="249"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prices paid for our convertible preferred shares, which we had sold to outside investors in arm's-length transactions, and the rights, preferences, and privileges of our convertible preferred shares and ordinary shares;</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valuations performed by an independent valuation specialist;</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stage of development and our business strategy,</w:t>
      </w:r>
    </w:p>
    <w:p>
      <w:pPr>
        <w:spacing w:after="0" w:line="182" w:lineRule="exact"/>
        <w:rPr>
          <w:rFonts w:ascii="Arial" w:cs="Arial" w:eastAsia="Arial" w:hAnsi="Arial"/>
          <w:sz w:val="16"/>
          <w:szCs w:val="16"/>
          <w:color w:val="auto"/>
        </w:rPr>
      </w:pPr>
    </w:p>
    <w:p>
      <w:pPr>
        <w:ind w:left="980" w:right="640" w:hanging="493"/>
        <w:spacing w:after="0" w:line="249"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progress of our research and development programs, including the status of preclinical studies and planned clinical trials for our product candidates;</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fact that the grants of share-based awards involved illiquid securities in a private company;</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financial position, including cash on hand, and our historical and forecasted performance and operating results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likelihood of achieving a liquidity event for the underlying ordinary shares; and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external market conditions affecting the biotechnology industry, and trends within the biotechnology industry;</w:t>
      </w:r>
    </w:p>
    <w:p>
      <w:pPr>
        <w:spacing w:after="0" w:line="195" w:lineRule="exact"/>
        <w:rPr>
          <w:sz w:val="20"/>
          <w:szCs w:val="20"/>
          <w:color w:val="auto"/>
        </w:rPr>
      </w:pPr>
    </w:p>
    <w:p>
      <w:pPr>
        <w:ind w:right="40" w:firstLine="439"/>
        <w:spacing w:after="0" w:line="249" w:lineRule="auto"/>
        <w:rPr>
          <w:sz w:val="20"/>
          <w:szCs w:val="20"/>
          <w:color w:val="auto"/>
        </w:rPr>
      </w:pPr>
      <w:r>
        <w:rPr>
          <w:rFonts w:ascii="Arial" w:cs="Arial" w:eastAsia="Arial" w:hAnsi="Arial"/>
          <w:sz w:val="16"/>
          <w:szCs w:val="16"/>
          <w:color w:val="auto"/>
        </w:rPr>
        <w:t>The analytical valuation models through March 31, 2019 employed an Option Pricing Model, or OPM, and a hybrid approach based on an OPM method and the Probability Weighted Expected Return Method, or PWERM.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OPM</w:t>
      </w:r>
    </w:p>
    <w:p>
      <w:pPr>
        <w:spacing w:after="0" w:line="211"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The OPM treats ordinary and convertible preferred shares as call options on the total equity value of a company, with exercise prices based on the value thresholds at which the allocation among the various holders of a company's securities changes. Under this method, securities such as ordinary shares have value only if the funds available for distribution to shareholders exceeded the value of the convertible preferred shares liquidation preferences at the time of the liquidity event, such as a strategic sale or a merger. The ordinary shares are modeled as a call option on the underlying equity value at a predetermined exercise price. In this model, the exercise price is based on a comparison with the total equity value rather than, as in the case of a regular call option, a comparison with a per share price. Thus, ordinary shares are considered to be a call option with a claim on the enterprise at an exercise price equal to the remaining value immediately after the convertible preferred share liquidation preference is paid.</w:t>
      </w:r>
    </w:p>
    <w:p>
      <w:pPr>
        <w:spacing w:after="0" w:line="192" w:lineRule="exact"/>
        <w:rPr>
          <w:sz w:val="20"/>
          <w:szCs w:val="20"/>
          <w:color w:val="auto"/>
        </w:rPr>
      </w:pPr>
    </w:p>
    <w:p>
      <w:pPr>
        <w:ind w:right="120" w:firstLine="439"/>
        <w:spacing w:after="0" w:line="244" w:lineRule="auto"/>
        <w:rPr>
          <w:sz w:val="20"/>
          <w:szCs w:val="20"/>
          <w:color w:val="auto"/>
        </w:rPr>
      </w:pPr>
      <w:r>
        <w:rPr>
          <w:rFonts w:ascii="Arial" w:cs="Arial" w:eastAsia="Arial" w:hAnsi="Arial"/>
          <w:sz w:val="16"/>
          <w:szCs w:val="16"/>
          <w:color w:val="auto"/>
        </w:rPr>
        <w:t>The OPM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 The aggregate value of the ordinary shares derived from the OPM is then divided by the number of ordinary shares outstanding to arrive at the per share value.</w:t>
      </w:r>
    </w:p>
    <w:p>
      <w:pPr>
        <w:spacing w:after="0" w:line="185" w:lineRule="exact"/>
        <w:rPr>
          <w:sz w:val="20"/>
          <w:szCs w:val="20"/>
          <w:color w:val="auto"/>
        </w:rPr>
      </w:pPr>
    </w:p>
    <w:p>
      <w:pPr>
        <w:ind w:right="80" w:firstLine="442"/>
        <w:spacing w:after="0" w:line="244" w:lineRule="auto"/>
        <w:rPr>
          <w:sz w:val="20"/>
          <w:szCs w:val="20"/>
          <w:color w:val="auto"/>
        </w:rPr>
      </w:pPr>
      <w:r>
        <w:rPr>
          <w:rFonts w:ascii="Arial" w:cs="Arial" w:eastAsia="Arial" w:hAnsi="Arial"/>
          <w:sz w:val="16"/>
          <w:szCs w:val="16"/>
          <w:color w:val="auto"/>
        </w:rPr>
        <w:t>We used the OPM back-solve approach to estimate enterprise value under the OPM. The OPM back-solve approach uses the OPM to derive an implied equity value for one type of a company's equity securities from a contemporaneous sale transaction involving another type of the company's equity securities. For the OPM, we based our assumed volatility factor on the historical trading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8" w:name="page119"/>
    <w:bookmarkEnd w:id="1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540"/>
        <w:spacing w:after="0" w:line="249" w:lineRule="auto"/>
        <w:rPr>
          <w:sz w:val="20"/>
          <w:szCs w:val="20"/>
          <w:color w:val="auto"/>
        </w:rPr>
      </w:pPr>
      <w:r>
        <w:rPr>
          <w:rFonts w:ascii="Arial" w:cs="Arial" w:eastAsia="Arial" w:hAnsi="Arial"/>
          <w:sz w:val="16"/>
          <w:szCs w:val="16"/>
          <w:color w:val="auto"/>
        </w:rPr>
        <w:t>volatility of our publicly traded peer companies. At each valuation date, we determined the appropriate volatility to be used, considering such factors as our expected time to a liquidity event and our stage of development.</w:t>
      </w:r>
    </w:p>
    <w:p>
      <w:pPr>
        <w:spacing w:after="0" w:line="181" w:lineRule="exact"/>
        <w:rPr>
          <w:sz w:val="20"/>
          <w:szCs w:val="20"/>
          <w:color w:val="auto"/>
        </w:rPr>
      </w:pPr>
    </w:p>
    <w:p>
      <w:pPr>
        <w:ind w:firstLine="439"/>
        <w:spacing w:after="0" w:line="244" w:lineRule="auto"/>
        <w:rPr>
          <w:sz w:val="20"/>
          <w:szCs w:val="20"/>
          <w:color w:val="auto"/>
        </w:rPr>
      </w:pPr>
      <w:r>
        <w:rPr>
          <w:rFonts w:ascii="Arial" w:cs="Arial" w:eastAsia="Arial" w:hAnsi="Arial"/>
          <w:sz w:val="16"/>
          <w:szCs w:val="16"/>
          <w:color w:val="auto"/>
        </w:rPr>
        <w:t>To derive the fair value of our ordinary shares using the OPM, we calculated the proceeds to our ordinary shareholders based on the preferences and priorities of our convertible preferred shares and ordinary shares. We then applied a discount for lack of marketability to the ordinary shares to account for the lack of access to an active public market.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Hybrid method</w:t>
      </w:r>
    </w:p>
    <w:p>
      <w:pPr>
        <w:spacing w:after="0" w:line="211" w:lineRule="exact"/>
        <w:rPr>
          <w:sz w:val="20"/>
          <w:szCs w:val="20"/>
          <w:color w:val="auto"/>
        </w:rPr>
      </w:pPr>
    </w:p>
    <w:p>
      <w:pPr>
        <w:jc w:val="both"/>
        <w:ind w:right="20" w:firstLine="439"/>
        <w:spacing w:after="0"/>
        <w:rPr>
          <w:sz w:val="20"/>
          <w:szCs w:val="20"/>
          <w:color w:val="auto"/>
        </w:rPr>
      </w:pPr>
      <w:r>
        <w:rPr>
          <w:rFonts w:ascii="Arial" w:cs="Arial" w:eastAsia="Arial" w:hAnsi="Arial"/>
          <w:sz w:val="16"/>
          <w:szCs w:val="16"/>
          <w:color w:val="auto"/>
        </w:rPr>
        <w:t>The hybrid method is a hybrid between the PWERM and OPM, estimating the probability-weighted value across multiple scenarios, but also using the OPM to estimate the allocation of value within one of more of the scenarios. The hybrid method can be a useful alternative to explicitly modeling all PWERM scenarios in situations when the company has transparency into one or more near term exits, but is unsure what will occur if the current plans fall through. The PWERM is a scenario-based methodology that estimates the fair value of securities based upon an analysis of future values for the company, assuming various outcomes. The securities' value is based on the probability-weighted present value of expected future investment returns considering each of the possible outcomes available as well as the rights of each share class. The future value under each outcome is discounted back to the valuation date at an appropriate risk-adjusted discount rate and probability weighted to arrive at an indication of value for the ordinary shares.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Valuations method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retrospective valuation of our ordinary shares as of September 30, 2017 were prepared using the OPM back-solve approach.</w:t>
      </w:r>
    </w:p>
    <w:p>
      <w:pPr>
        <w:spacing w:after="0" w:line="195" w:lineRule="exact"/>
        <w:rPr>
          <w:sz w:val="20"/>
          <w:szCs w:val="20"/>
          <w:color w:val="auto"/>
        </w:rPr>
      </w:pPr>
    </w:p>
    <w:p>
      <w:pPr>
        <w:ind w:right="300" w:firstLine="442"/>
        <w:spacing w:after="0" w:line="244" w:lineRule="auto"/>
        <w:rPr>
          <w:sz w:val="20"/>
          <w:szCs w:val="20"/>
          <w:color w:val="auto"/>
        </w:rPr>
      </w:pPr>
      <w:r>
        <w:rPr>
          <w:rFonts w:ascii="Arial" w:cs="Arial" w:eastAsia="Arial" w:hAnsi="Arial"/>
          <w:sz w:val="16"/>
          <w:szCs w:val="16"/>
          <w:color w:val="auto"/>
        </w:rPr>
        <w:t>Our retrospective valuations of our ordinary shares as of May 31, 2018 and September 30, 2018, as well as our contemporaneous valuation on December 31, 2018 were prepared using the OPM method, which incorporated probability weighting of sale and IPO outcomes, because of an increase in the likelihood of an IPO.</w:t>
      </w:r>
    </w:p>
    <w:p>
      <w:pPr>
        <w:spacing w:after="0" w:line="185" w:lineRule="exact"/>
        <w:rPr>
          <w:sz w:val="20"/>
          <w:szCs w:val="20"/>
          <w:color w:val="auto"/>
        </w:rPr>
      </w:pPr>
    </w:p>
    <w:p>
      <w:pPr>
        <w:ind w:right="200" w:firstLine="442"/>
        <w:spacing w:after="0" w:line="249" w:lineRule="auto"/>
        <w:rPr>
          <w:sz w:val="20"/>
          <w:szCs w:val="20"/>
          <w:color w:val="auto"/>
        </w:rPr>
      </w:pPr>
      <w:r>
        <w:rPr>
          <w:rFonts w:ascii="Arial" w:cs="Arial" w:eastAsia="Arial" w:hAnsi="Arial"/>
          <w:sz w:val="16"/>
          <w:szCs w:val="16"/>
          <w:color w:val="auto"/>
        </w:rPr>
        <w:t>Our contemporaneous valuation of our ordinary shares as of March 31, 2019 was prepared using the hybrid approach based on an OPM method and the PWERM approach.</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These third-party valuations performed resulted in valuations of our ordinary shares of $3.71 per share as of September 30, 2017, $3.77 per share on</w:t>
      </w:r>
    </w:p>
    <w:p>
      <w:pPr>
        <w:spacing w:after="0"/>
        <w:rPr>
          <w:sz w:val="20"/>
          <w:szCs w:val="20"/>
          <w:color w:val="auto"/>
        </w:rPr>
      </w:pPr>
      <w:r>
        <w:rPr>
          <w:rFonts w:ascii="Arial" w:cs="Arial" w:eastAsia="Arial" w:hAnsi="Arial"/>
          <w:sz w:val="15"/>
          <w:szCs w:val="15"/>
          <w:color w:val="auto"/>
        </w:rPr>
        <w:t>May 31, 2018, $4.87 per share on September 30, 2018, $6.87 per share on December 31, 2018, and $11.85 per share on March 31, 2019, as converted to dollars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using the exchange rate on the respective valuation dates.</w:t>
      </w:r>
    </w:p>
    <w:p>
      <w:pPr>
        <w:spacing w:after="0" w:line="195" w:lineRule="exact"/>
        <w:rPr>
          <w:sz w:val="20"/>
          <w:szCs w:val="20"/>
          <w:color w:val="auto"/>
        </w:rPr>
      </w:pPr>
    </w:p>
    <w:p>
      <w:pPr>
        <w:ind w:right="200" w:firstLine="439"/>
        <w:spacing w:after="0" w:line="244" w:lineRule="auto"/>
        <w:rPr>
          <w:sz w:val="20"/>
          <w:szCs w:val="20"/>
          <w:color w:val="auto"/>
        </w:rPr>
      </w:pPr>
      <w:r>
        <w:rPr>
          <w:rFonts w:ascii="Arial" w:cs="Arial" w:eastAsia="Arial" w:hAnsi="Arial"/>
          <w:sz w:val="16"/>
          <w:szCs w:val="16"/>
          <w:color w:val="auto"/>
        </w:rPr>
        <w:t>The assumptions underlying these valuations represented our board of directors' best estimates at the time they were made, which involve inherent uncertainties and the application of the judgment of our board of directors. As a result, if factors or expected outcomes change and we use significantly different assumptions or estimates, our share-based compensation expense could be materially different.</w:t>
      </w:r>
    </w:p>
    <w:p>
      <w:pPr>
        <w:spacing w:after="0" w:line="185" w:lineRule="exact"/>
        <w:rPr>
          <w:sz w:val="20"/>
          <w:szCs w:val="20"/>
          <w:color w:val="auto"/>
        </w:rPr>
      </w:pPr>
    </w:p>
    <w:p>
      <w:pPr>
        <w:jc w:val="both"/>
        <w:ind w:right="160" w:firstLine="442"/>
        <w:spacing w:after="0" w:line="244" w:lineRule="auto"/>
        <w:rPr>
          <w:sz w:val="20"/>
          <w:szCs w:val="20"/>
          <w:color w:val="auto"/>
        </w:rPr>
      </w:pPr>
      <w:r>
        <w:rPr>
          <w:rFonts w:ascii="Arial" w:cs="Arial" w:eastAsia="Arial" w:hAnsi="Arial"/>
          <w:sz w:val="16"/>
          <w:szCs w:val="16"/>
          <w:color w:val="auto"/>
        </w:rPr>
        <w:t>Once a public trading market for our ordinary shares has been established in connection with the completion of this offering, it will no longer be necessary for our board of directors to estimate the fair value of our ordinary shares in connection with our accounting for granted share options and other such awards we may grant, as the fair value of our ordinary shares will be determined based on the quoted market price of our ordinary shares.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19" w:name="page120"/>
    <w:bookmarkEnd w:id="119"/>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Options and Restricted Shares Granted</w:t>
      </w:r>
    </w:p>
    <w:p>
      <w:pPr>
        <w:spacing w:after="0" w:line="211" w:lineRule="exact"/>
        <w:rPr>
          <w:sz w:val="20"/>
          <w:szCs w:val="20"/>
          <w:color w:val="auto"/>
        </w:rPr>
      </w:pPr>
    </w:p>
    <w:p>
      <w:pPr>
        <w:ind w:left="2" w:right="300" w:firstLine="439"/>
        <w:spacing w:after="0" w:line="249" w:lineRule="auto"/>
        <w:rPr>
          <w:sz w:val="20"/>
          <w:szCs w:val="20"/>
          <w:color w:val="auto"/>
        </w:rPr>
      </w:pPr>
      <w:r>
        <w:rPr>
          <w:rFonts w:ascii="Arial" w:cs="Arial" w:eastAsia="Arial" w:hAnsi="Arial"/>
          <w:sz w:val="16"/>
          <w:szCs w:val="16"/>
          <w:color w:val="auto"/>
        </w:rPr>
        <w:t>The following table sets forth, by grant date, the number of shares subject to options granted from January 1, 2018 through April 25, 2019, the per share exercise price of the options, the fair value per ordinary share on each grant date, and the per share estimated fair value of the options:</w:t>
      </w:r>
    </w:p>
    <w:p>
      <w:pPr>
        <w:spacing w:after="0" w:line="160" w:lineRule="exact"/>
        <w:rPr>
          <w:sz w:val="20"/>
          <w:szCs w:val="20"/>
          <w:color w:val="auto"/>
        </w:rPr>
      </w:pPr>
    </w:p>
    <w:tbl>
      <w:tblPr>
        <w:tblLayout w:type="fixed"/>
        <w:tblInd w:w="1142"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Per Share</w:t>
            </w:r>
          </w:p>
        </w:tc>
      </w:tr>
      <w:tr>
        <w:trPr>
          <w:trHeight w:val="183"/>
        </w:trPr>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9"/>
              </w:rPr>
              <w:t>Purchase or</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Fair Value Per</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Estimated Fair</w:t>
            </w:r>
          </w:p>
        </w:tc>
      </w:tr>
      <w:tr>
        <w:trPr>
          <w:trHeight w:val="201"/>
        </w:trPr>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8"/>
              </w:rPr>
              <w:t>Exercise Price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8"/>
              </w:rPr>
              <w:t>Ordinary Share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Value on Grant</w:t>
            </w:r>
          </w:p>
        </w:tc>
      </w:tr>
      <w:tr>
        <w:trPr>
          <w:trHeight w:val="225"/>
        </w:trPr>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Grant Date</w:t>
            </w:r>
          </w:p>
        </w:tc>
        <w:tc>
          <w:tcPr>
            <w:tcW w:w="140" w:type="dxa"/>
            <w:vAlign w:val="bottom"/>
          </w:tcPr>
          <w:p>
            <w:pPr>
              <w:spacing w:after="0"/>
              <w:rPr>
                <w:sz w:val="19"/>
                <w:szCs w:val="19"/>
                <w:color w:val="auto"/>
              </w:rPr>
            </w:pPr>
          </w:p>
        </w:tc>
        <w:tc>
          <w:tcPr>
            <w:tcW w:w="1460" w:type="dxa"/>
            <w:vAlign w:val="bottom"/>
          </w:tcPr>
          <w:p>
            <w:pPr>
              <w:ind w:left="180"/>
              <w:spacing w:after="0"/>
              <w:rPr>
                <w:sz w:val="20"/>
                <w:szCs w:val="20"/>
                <w:color w:val="auto"/>
              </w:rPr>
            </w:pPr>
            <w:r>
              <w:rPr>
                <w:rFonts w:ascii="Arial" w:cs="Arial" w:eastAsia="Arial" w:hAnsi="Arial"/>
                <w:sz w:val="16"/>
                <w:szCs w:val="16"/>
                <w:b w:val="1"/>
                <w:bCs w:val="1"/>
                <w:color w:val="auto"/>
              </w:rPr>
              <w:t>Type of Award</w:t>
            </w:r>
          </w:p>
        </w:tc>
        <w:tc>
          <w:tcPr>
            <w:tcW w:w="140" w:type="dxa"/>
            <w:vAlign w:val="bottom"/>
          </w:tcPr>
          <w:p>
            <w:pPr>
              <w:spacing w:after="0"/>
              <w:rPr>
                <w:sz w:val="19"/>
                <w:szCs w:val="19"/>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spacing w:after="0" w:line="220" w:lineRule="exact"/>
              <w:rPr>
                <w:sz w:val="20"/>
                <w:szCs w:val="20"/>
                <w:color w:val="auto"/>
              </w:rPr>
            </w:pPr>
            <w:r>
              <w:rPr>
                <w:rFonts w:ascii="Arial" w:cs="Arial" w:eastAsia="Arial" w:hAnsi="Arial"/>
                <w:sz w:val="15"/>
                <w:szCs w:val="15"/>
                <w:b w:val="1"/>
                <w:bCs w:val="1"/>
                <w:color w:val="auto"/>
                <w:w w:val="95"/>
              </w:rPr>
              <w:t>Per Share</w:t>
            </w:r>
            <w:r>
              <w:rPr>
                <w:rFonts w:ascii="Arial" w:cs="Arial" w:eastAsia="Arial" w:hAnsi="Arial"/>
                <w:sz w:val="25"/>
                <w:szCs w:val="25"/>
                <w:b w:val="1"/>
                <w:bCs w:val="1"/>
                <w:color w:val="auto"/>
                <w:w w:val="95"/>
                <w:vertAlign w:val="superscript"/>
              </w:rPr>
              <w:t>(1)(4)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spacing w:after="0" w:line="220" w:lineRule="exact"/>
              <w:rPr>
                <w:sz w:val="20"/>
                <w:szCs w:val="20"/>
                <w:color w:val="auto"/>
              </w:rPr>
            </w:pPr>
            <w:r>
              <w:rPr>
                <w:rFonts w:ascii="Arial" w:cs="Arial" w:eastAsia="Arial" w:hAnsi="Arial"/>
                <w:sz w:val="15"/>
                <w:szCs w:val="15"/>
                <w:b w:val="1"/>
                <w:bCs w:val="1"/>
                <w:color w:val="auto"/>
              </w:rPr>
              <w:t>on Grant Date</w:t>
            </w:r>
            <w:r>
              <w:rPr>
                <w:rFonts w:ascii="Arial" w:cs="Arial" w:eastAsia="Arial" w:hAnsi="Arial"/>
                <w:sz w:val="25"/>
                <w:szCs w:val="25"/>
                <w:b w:val="1"/>
                <w:bCs w:val="1"/>
                <w:color w:val="auto"/>
                <w:vertAlign w:val="superscript"/>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160"/>
              <w:spacing w:after="0" w:line="220" w:lineRule="exact"/>
              <w:rPr>
                <w:sz w:val="20"/>
                <w:szCs w:val="20"/>
                <w:color w:val="auto"/>
              </w:rPr>
            </w:pPr>
            <w:r>
              <w:rPr>
                <w:rFonts w:ascii="Arial" w:cs="Arial" w:eastAsia="Arial" w:hAnsi="Arial"/>
                <w:sz w:val="25"/>
                <w:szCs w:val="25"/>
                <w:b w:val="1"/>
                <w:bCs w:val="1"/>
                <w:color w:val="auto"/>
                <w:vertAlign w:val="subscript"/>
              </w:rPr>
              <w:t>Date</w:t>
            </w:r>
            <w:r>
              <w:rPr>
                <w:rFonts w:ascii="Arial" w:cs="Arial" w:eastAsia="Arial" w:hAnsi="Arial"/>
                <w:sz w:val="12"/>
                <w:szCs w:val="12"/>
                <w:b w:val="1"/>
                <w:bCs w:val="1"/>
                <w:color w:val="auto"/>
              </w:rPr>
              <w:t>(3)(4)</w:t>
            </w:r>
          </w:p>
        </w:tc>
      </w:tr>
      <w:tr>
        <w:trPr>
          <w:trHeight w:val="196"/>
        </w:trPr>
        <w:tc>
          <w:tcPr>
            <w:tcW w:w="6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(as restated)</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(as restated)</w:t>
            </w:r>
          </w:p>
        </w:tc>
        <w:tc>
          <w:tcPr>
            <w:tcW w:w="140" w:type="dxa"/>
            <w:vAlign w:val="bottom"/>
          </w:tcPr>
          <w:p>
            <w:pPr>
              <w:spacing w:after="0"/>
              <w:rPr>
                <w:sz w:val="17"/>
                <w:szCs w:val="17"/>
                <w:color w:val="auto"/>
              </w:rPr>
            </w:pPr>
          </w:p>
        </w:tc>
      </w:tr>
      <w:tr>
        <w:trPr>
          <w:trHeight w:val="220"/>
        </w:trPr>
        <w:tc>
          <w:tcPr>
            <w:tcW w:w="18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February 1, 2018</w:t>
            </w:r>
            <w:r>
              <w:rPr>
                <w:rFonts w:ascii="Arial" w:cs="Arial" w:eastAsia="Arial" w:hAnsi="Arial"/>
                <w:sz w:val="25"/>
                <w:szCs w:val="25"/>
                <w:color w:val="auto"/>
                <w:vertAlign w:val="superscript"/>
              </w:rPr>
              <w:t>(2)</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40" w:type="dxa"/>
            <w:vAlign w:val="bottom"/>
            <w:shd w:val="clear" w:color="auto" w:fill="CCEEFF"/>
          </w:tcPr>
          <w:p>
            <w:pPr>
              <w:spacing w:after="0"/>
              <w:rPr>
                <w:sz w:val="19"/>
                <w:szCs w:val="19"/>
                <w:color w:val="auto"/>
              </w:rPr>
            </w:pPr>
          </w:p>
        </w:tc>
      </w:tr>
      <w:tr>
        <w:trPr>
          <w:trHeight w:val="220"/>
        </w:trPr>
        <w:tc>
          <w:tcPr>
            <w:tcW w:w="1840" w:type="dxa"/>
            <w:vAlign w:val="bottom"/>
            <w:gridSpan w:val="2"/>
          </w:tcPr>
          <w:p>
            <w:pPr>
              <w:spacing w:after="0" w:line="220" w:lineRule="exact"/>
              <w:rPr>
                <w:sz w:val="20"/>
                <w:szCs w:val="20"/>
                <w:color w:val="auto"/>
              </w:rPr>
            </w:pPr>
            <w:r>
              <w:rPr>
                <w:rFonts w:ascii="Arial" w:cs="Arial" w:eastAsia="Arial" w:hAnsi="Arial"/>
                <w:sz w:val="15"/>
                <w:szCs w:val="15"/>
                <w:color w:val="auto"/>
              </w:rPr>
              <w:t>February 8, 2018</w:t>
            </w:r>
            <w:r>
              <w:rPr>
                <w:rFonts w:ascii="Arial" w:cs="Arial" w:eastAsia="Arial" w:hAnsi="Arial"/>
                <w:sz w:val="25"/>
                <w:szCs w:val="25"/>
                <w:color w:val="auto"/>
                <w:vertAlign w:val="superscript"/>
              </w:rPr>
              <w:t>(2)</w:t>
            </w:r>
          </w:p>
        </w:tc>
        <w:tc>
          <w:tcPr>
            <w:tcW w:w="1600" w:type="dxa"/>
            <w:vAlign w:val="bottom"/>
            <w:gridSpan w:val="2"/>
          </w:tcPr>
          <w:p>
            <w:pPr>
              <w:ind w:left="140"/>
              <w:spacing w:after="0"/>
              <w:rPr>
                <w:sz w:val="20"/>
                <w:szCs w:val="20"/>
                <w:color w:val="auto"/>
              </w:rPr>
            </w:pPr>
            <w:r>
              <w:rPr>
                <w:rFonts w:ascii="Arial" w:cs="Arial" w:eastAsia="Arial" w:hAnsi="Arial"/>
                <w:sz w:val="16"/>
                <w:szCs w:val="16"/>
                <w:color w:val="auto"/>
              </w:rPr>
              <w:t>Restricted Shares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6,825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3.54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3.53</w:t>
            </w:r>
          </w:p>
        </w:tc>
        <w:tc>
          <w:tcPr>
            <w:tcW w:w="140" w:type="dxa"/>
            <w:vAlign w:val="bottom"/>
          </w:tcPr>
          <w:p>
            <w:pPr>
              <w:spacing w:after="0"/>
              <w:rPr>
                <w:sz w:val="19"/>
                <w:szCs w:val="19"/>
                <w:color w:val="auto"/>
              </w:rPr>
            </w:pPr>
          </w:p>
        </w:tc>
      </w:tr>
      <w:tr>
        <w:trPr>
          <w:trHeight w:val="220"/>
        </w:trPr>
        <w:tc>
          <w:tcPr>
            <w:tcW w:w="18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September 18, 2018</w:t>
            </w:r>
            <w:r>
              <w:rPr>
                <w:rFonts w:ascii="Arial" w:cs="Arial" w:eastAsia="Arial" w:hAnsi="Arial"/>
                <w:sz w:val="25"/>
                <w:szCs w:val="25"/>
                <w:color w:val="auto"/>
                <w:vertAlign w:val="superscript"/>
              </w:rPr>
              <w:t>(2)</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36,500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40" w:type="dxa"/>
            <w:vAlign w:val="bottom"/>
            <w:shd w:val="clear" w:color="auto" w:fill="CCEEFF"/>
          </w:tcPr>
          <w:p>
            <w:pPr>
              <w:spacing w:after="0"/>
              <w:rPr>
                <w:sz w:val="19"/>
                <w:szCs w:val="19"/>
                <w:color w:val="auto"/>
              </w:rPr>
            </w:pPr>
          </w:p>
        </w:tc>
      </w:tr>
      <w:tr>
        <w:trPr>
          <w:trHeight w:val="220"/>
        </w:trPr>
        <w:tc>
          <w:tcPr>
            <w:tcW w:w="1840" w:type="dxa"/>
            <w:vAlign w:val="bottom"/>
            <w:gridSpan w:val="2"/>
          </w:tcPr>
          <w:p>
            <w:pPr>
              <w:spacing w:after="0" w:line="220" w:lineRule="exact"/>
              <w:rPr>
                <w:sz w:val="20"/>
                <w:szCs w:val="20"/>
                <w:color w:val="auto"/>
              </w:rPr>
            </w:pPr>
            <w:r>
              <w:rPr>
                <w:rFonts w:ascii="Arial" w:cs="Arial" w:eastAsia="Arial" w:hAnsi="Arial"/>
                <w:sz w:val="15"/>
                <w:szCs w:val="15"/>
                <w:color w:val="auto"/>
              </w:rPr>
              <w:t>November 30, 2018</w:t>
            </w:r>
            <w:r>
              <w:rPr>
                <w:rFonts w:ascii="Arial" w:cs="Arial" w:eastAsia="Arial" w:hAnsi="Arial"/>
                <w:sz w:val="25"/>
                <w:szCs w:val="25"/>
                <w:color w:val="auto"/>
                <w:vertAlign w:val="superscript"/>
              </w:rPr>
              <w:t>(2)</w:t>
            </w:r>
          </w:p>
        </w:tc>
        <w:tc>
          <w:tcPr>
            <w:tcW w:w="1600" w:type="dxa"/>
            <w:vAlign w:val="bottom"/>
            <w:gridSpan w:val="2"/>
          </w:tcPr>
          <w:p>
            <w:pPr>
              <w:ind w:left="140"/>
              <w:spacing w:after="0"/>
              <w:rPr>
                <w:sz w:val="20"/>
                <w:szCs w:val="20"/>
                <w:color w:val="auto"/>
              </w:rPr>
            </w:pPr>
            <w:r>
              <w:rPr>
                <w:rFonts w:ascii="Arial" w:cs="Arial" w:eastAsia="Arial" w:hAnsi="Arial"/>
                <w:sz w:val="16"/>
                <w:szCs w:val="16"/>
                <w:color w:val="auto"/>
              </w:rPr>
              <w:t>Options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16,000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3.58</w:t>
            </w:r>
          </w:p>
        </w:tc>
        <w:tc>
          <w:tcPr>
            <w:tcW w:w="140" w:type="dxa"/>
            <w:vAlign w:val="bottom"/>
          </w:tcPr>
          <w:p>
            <w:pPr>
              <w:spacing w:after="0"/>
              <w:rPr>
                <w:sz w:val="19"/>
                <w:szCs w:val="19"/>
                <w:color w:val="auto"/>
              </w:rPr>
            </w:pPr>
          </w:p>
        </w:tc>
      </w:tr>
      <w:tr>
        <w:trPr>
          <w:trHeight w:val="220"/>
        </w:trPr>
        <w:tc>
          <w:tcPr>
            <w:tcW w:w="18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December 1, 2018</w:t>
            </w:r>
            <w:r>
              <w:rPr>
                <w:rFonts w:ascii="Arial" w:cs="Arial" w:eastAsia="Arial" w:hAnsi="Arial"/>
                <w:sz w:val="25"/>
                <w:szCs w:val="25"/>
                <w:color w:val="auto"/>
                <w:vertAlign w:val="superscript"/>
              </w:rPr>
              <w:t>(2)</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40" w:type="dxa"/>
            <w:vAlign w:val="bottom"/>
            <w:shd w:val="clear" w:color="auto" w:fill="CCEEFF"/>
          </w:tcPr>
          <w:p>
            <w:pPr>
              <w:spacing w:after="0"/>
              <w:rPr>
                <w:sz w:val="19"/>
                <w:szCs w:val="19"/>
                <w:color w:val="auto"/>
              </w:rPr>
            </w:pPr>
          </w:p>
        </w:tc>
      </w:tr>
      <w:tr>
        <w:trPr>
          <w:trHeight w:val="220"/>
        </w:trPr>
        <w:tc>
          <w:tcPr>
            <w:tcW w:w="1840" w:type="dxa"/>
            <w:vAlign w:val="bottom"/>
            <w:gridSpan w:val="2"/>
          </w:tcPr>
          <w:p>
            <w:pPr>
              <w:spacing w:after="0" w:line="220" w:lineRule="exact"/>
              <w:rPr>
                <w:sz w:val="20"/>
                <w:szCs w:val="20"/>
                <w:color w:val="auto"/>
              </w:rPr>
            </w:pPr>
            <w:r>
              <w:rPr>
                <w:rFonts w:ascii="Arial" w:cs="Arial" w:eastAsia="Arial" w:hAnsi="Arial"/>
                <w:sz w:val="15"/>
                <w:szCs w:val="15"/>
                <w:color w:val="auto"/>
              </w:rPr>
              <w:t>December 17, 2018</w:t>
            </w:r>
            <w:r>
              <w:rPr>
                <w:rFonts w:ascii="Arial" w:cs="Arial" w:eastAsia="Arial" w:hAnsi="Arial"/>
                <w:sz w:val="25"/>
                <w:szCs w:val="25"/>
                <w:color w:val="auto"/>
                <w:vertAlign w:val="superscript"/>
              </w:rPr>
              <w:t>(2)</w:t>
            </w:r>
          </w:p>
        </w:tc>
        <w:tc>
          <w:tcPr>
            <w:tcW w:w="1600" w:type="dxa"/>
            <w:vAlign w:val="bottom"/>
            <w:gridSpan w:val="2"/>
          </w:tcPr>
          <w:p>
            <w:pPr>
              <w:ind w:left="140"/>
              <w:spacing w:after="0"/>
              <w:rPr>
                <w:sz w:val="20"/>
                <w:szCs w:val="20"/>
                <w:color w:val="auto"/>
              </w:rPr>
            </w:pPr>
            <w:r>
              <w:rPr>
                <w:rFonts w:ascii="Arial" w:cs="Arial" w:eastAsia="Arial" w:hAnsi="Arial"/>
                <w:sz w:val="16"/>
                <w:szCs w:val="16"/>
                <w:color w:val="auto"/>
              </w:rPr>
              <w:t>Options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16,798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6.87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5.50</w:t>
            </w:r>
          </w:p>
        </w:tc>
        <w:tc>
          <w:tcPr>
            <w:tcW w:w="140" w:type="dxa"/>
            <w:vAlign w:val="bottom"/>
          </w:tcPr>
          <w:p>
            <w:pPr>
              <w:spacing w:after="0"/>
              <w:rPr>
                <w:sz w:val="19"/>
                <w:szCs w:val="19"/>
                <w:color w:val="auto"/>
              </w:rPr>
            </w:pPr>
          </w:p>
        </w:tc>
      </w:tr>
      <w:tr>
        <w:trPr>
          <w:trHeight w:val="220"/>
        </w:trPr>
        <w:tc>
          <w:tcPr>
            <w:tcW w:w="18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December 17, 2018</w:t>
            </w:r>
            <w:r>
              <w:rPr>
                <w:rFonts w:ascii="Arial" w:cs="Arial" w:eastAsia="Arial" w:hAnsi="Arial"/>
                <w:sz w:val="25"/>
                <w:szCs w:val="25"/>
                <w:color w:val="auto"/>
                <w:vertAlign w:val="superscript"/>
              </w:rPr>
              <w:t>(2)</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112,140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40" w:type="dxa"/>
            <w:vAlign w:val="bottom"/>
            <w:shd w:val="clear" w:color="auto" w:fill="CCEEFF"/>
          </w:tcPr>
          <w:p>
            <w:pPr>
              <w:spacing w:after="0"/>
              <w:rPr>
                <w:sz w:val="19"/>
                <w:szCs w:val="19"/>
                <w:color w:val="auto"/>
              </w:rPr>
            </w:pPr>
          </w:p>
        </w:tc>
      </w:tr>
      <w:tr>
        <w:trPr>
          <w:trHeight w:val="220"/>
        </w:trPr>
        <w:tc>
          <w:tcPr>
            <w:tcW w:w="1840" w:type="dxa"/>
            <w:vAlign w:val="bottom"/>
            <w:gridSpan w:val="2"/>
          </w:tcPr>
          <w:p>
            <w:pPr>
              <w:spacing w:after="0" w:line="220" w:lineRule="exact"/>
              <w:rPr>
                <w:sz w:val="20"/>
                <w:szCs w:val="20"/>
                <w:color w:val="auto"/>
              </w:rPr>
            </w:pPr>
            <w:r>
              <w:rPr>
                <w:rFonts w:ascii="Arial" w:cs="Arial" w:eastAsia="Arial" w:hAnsi="Arial"/>
                <w:sz w:val="15"/>
                <w:szCs w:val="15"/>
                <w:color w:val="auto"/>
              </w:rPr>
              <w:t>December 17, 2018</w:t>
            </w:r>
            <w:r>
              <w:rPr>
                <w:rFonts w:ascii="Arial" w:cs="Arial" w:eastAsia="Arial" w:hAnsi="Arial"/>
                <w:sz w:val="25"/>
                <w:szCs w:val="25"/>
                <w:color w:val="auto"/>
                <w:vertAlign w:val="superscript"/>
              </w:rPr>
              <w:t>(2)</w:t>
            </w:r>
          </w:p>
        </w:tc>
        <w:tc>
          <w:tcPr>
            <w:tcW w:w="1600" w:type="dxa"/>
            <w:vAlign w:val="bottom"/>
            <w:gridSpan w:val="2"/>
          </w:tcPr>
          <w:p>
            <w:pPr>
              <w:ind w:left="140"/>
              <w:spacing w:after="0"/>
              <w:rPr>
                <w:sz w:val="20"/>
                <w:szCs w:val="20"/>
                <w:color w:val="auto"/>
              </w:rPr>
            </w:pPr>
            <w:r>
              <w:rPr>
                <w:rFonts w:ascii="Arial" w:cs="Arial" w:eastAsia="Arial" w:hAnsi="Arial"/>
                <w:sz w:val="16"/>
                <w:szCs w:val="16"/>
                <w:color w:val="auto"/>
              </w:rPr>
              <w:t>Restricted Shares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13,461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6.87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6.86</w:t>
            </w:r>
          </w:p>
        </w:tc>
        <w:tc>
          <w:tcPr>
            <w:tcW w:w="140" w:type="dxa"/>
            <w:vAlign w:val="bottom"/>
          </w:tcPr>
          <w:p>
            <w:pPr>
              <w:spacing w:after="0"/>
              <w:rPr>
                <w:sz w:val="19"/>
                <w:szCs w:val="19"/>
                <w:color w:val="auto"/>
              </w:rPr>
            </w:pPr>
          </w:p>
        </w:tc>
      </w:tr>
      <w:tr>
        <w:trPr>
          <w:trHeight w:val="183"/>
        </w:trPr>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31, 2019</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85,596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40" w:type="dxa"/>
            <w:vAlign w:val="bottom"/>
            <w:shd w:val="clear" w:color="auto" w:fill="CCEEFF"/>
          </w:tcPr>
          <w:p>
            <w:pPr>
              <w:spacing w:after="0"/>
              <w:rPr>
                <w:sz w:val="15"/>
                <w:szCs w:val="15"/>
                <w:color w:val="auto"/>
              </w:rPr>
            </w:pPr>
          </w:p>
        </w:tc>
      </w:tr>
      <w:tr>
        <w:trPr>
          <w:trHeight w:val="195"/>
        </w:trPr>
        <w:tc>
          <w:tcPr>
            <w:tcW w:w="1840" w:type="dxa"/>
            <w:vAlign w:val="bottom"/>
            <w:gridSpan w:val="2"/>
          </w:tcPr>
          <w:p>
            <w:pPr>
              <w:spacing w:after="0"/>
              <w:rPr>
                <w:sz w:val="20"/>
                <w:szCs w:val="20"/>
                <w:color w:val="auto"/>
              </w:rPr>
            </w:pPr>
            <w:r>
              <w:rPr>
                <w:rFonts w:ascii="Arial" w:cs="Arial" w:eastAsia="Arial" w:hAnsi="Arial"/>
                <w:sz w:val="16"/>
                <w:szCs w:val="16"/>
                <w:color w:val="auto"/>
              </w:rPr>
              <w:t>April 25, 2019</w:t>
            </w:r>
          </w:p>
        </w:tc>
        <w:tc>
          <w:tcPr>
            <w:tcW w:w="1600" w:type="dxa"/>
            <w:vAlign w:val="bottom"/>
            <w:gridSpan w:val="2"/>
          </w:tcPr>
          <w:p>
            <w:pPr>
              <w:ind w:left="140"/>
              <w:spacing w:after="0"/>
              <w:rPr>
                <w:sz w:val="20"/>
                <w:szCs w:val="20"/>
                <w:color w:val="auto"/>
              </w:rPr>
            </w:pPr>
            <w:r>
              <w:rPr>
                <w:rFonts w:ascii="Arial" w:cs="Arial" w:eastAsia="Arial" w:hAnsi="Arial"/>
                <w:sz w:val="16"/>
                <w:szCs w:val="16"/>
                <w:color w:val="auto"/>
              </w:rPr>
              <w:t>Options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263,015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11.62</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11.62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8.00</w:t>
            </w:r>
          </w:p>
        </w:tc>
        <w:tc>
          <w:tcPr>
            <w:tcW w:w="140" w:type="dxa"/>
            <w:vAlign w:val="bottom"/>
          </w:tcPr>
          <w:p>
            <w:pPr>
              <w:spacing w:after="0"/>
              <w:rPr>
                <w:sz w:val="16"/>
                <w:szCs w:val="16"/>
                <w:color w:val="auto"/>
              </w:rPr>
            </w:pPr>
          </w:p>
        </w:tc>
      </w:tr>
      <w:tr>
        <w:trPr>
          <w:trHeight w:val="86"/>
        </w:trPr>
        <w:tc>
          <w:tcPr>
            <w:tcW w:w="62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00" w:lineRule="exact"/>
        <w:rPr>
          <w:sz w:val="20"/>
          <w:szCs w:val="20"/>
          <w:color w:val="auto"/>
        </w:rPr>
      </w:pPr>
    </w:p>
    <w:p>
      <w:pPr>
        <w:ind w:left="1642" w:right="260" w:hanging="499"/>
        <w:spacing w:after="0" w:line="191" w:lineRule="auto"/>
        <w:tabs>
          <w:tab w:leader="none" w:pos="1642" w:val="left"/>
        </w:tabs>
        <w:numPr>
          <w:ilvl w:val="0"/>
          <w:numId w:val="64"/>
        </w:numPr>
        <w:rPr>
          <w:rFonts w:ascii="Arial" w:cs="Arial" w:eastAsia="Arial" w:hAnsi="Arial"/>
          <w:sz w:val="20"/>
          <w:szCs w:val="20"/>
          <w:color w:val="auto"/>
          <w:vertAlign w:val="superscript"/>
        </w:rPr>
      </w:pPr>
      <w:r>
        <w:rPr>
          <w:rFonts w:ascii="Arial" w:cs="Arial" w:eastAsia="Arial" w:hAnsi="Arial"/>
          <w:sz w:val="13"/>
          <w:szCs w:val="13"/>
          <w:color w:val="auto"/>
        </w:rPr>
        <w:t>Represents the determination by our board of directors of the fair value of our ordinary shares on the date of grant, taking into consideration the various objective and subjective factors described below.</w:t>
      </w:r>
    </w:p>
    <w:p>
      <w:pPr>
        <w:spacing w:after="0" w:line="64" w:lineRule="exact"/>
        <w:rPr>
          <w:rFonts w:ascii="Arial" w:cs="Arial" w:eastAsia="Arial" w:hAnsi="Arial"/>
          <w:sz w:val="20"/>
          <w:szCs w:val="20"/>
          <w:color w:val="auto"/>
          <w:vertAlign w:val="superscript"/>
        </w:rPr>
      </w:pPr>
    </w:p>
    <w:p>
      <w:pPr>
        <w:ind w:left="1642" w:hanging="499"/>
        <w:spacing w:after="0"/>
        <w:tabs>
          <w:tab w:leader="none" w:pos="1642" w:val="left"/>
        </w:tabs>
        <w:numPr>
          <w:ilvl w:val="0"/>
          <w:numId w:val="64"/>
        </w:numPr>
        <w:rPr>
          <w:rFonts w:ascii="Arial" w:cs="Arial" w:eastAsia="Arial" w:hAnsi="Arial"/>
          <w:sz w:val="20"/>
          <w:szCs w:val="20"/>
          <w:color w:val="auto"/>
          <w:vertAlign w:val="superscript"/>
        </w:rPr>
      </w:pPr>
      <w:r>
        <w:rPr>
          <w:rFonts w:ascii="Arial" w:cs="Arial" w:eastAsia="Arial" w:hAnsi="Arial"/>
          <w:sz w:val="13"/>
          <w:szCs w:val="13"/>
          <w:color w:val="auto"/>
        </w:rPr>
        <w:t>The fair value of ordinary shares at the grant date was adjusted in connection with a retrospective fair value assessment for financial reporting purposes.</w:t>
      </w:r>
    </w:p>
    <w:p>
      <w:pPr>
        <w:spacing w:after="0" w:line="137" w:lineRule="exact"/>
        <w:rPr>
          <w:rFonts w:ascii="Arial" w:cs="Arial" w:eastAsia="Arial" w:hAnsi="Arial"/>
          <w:sz w:val="20"/>
          <w:szCs w:val="20"/>
          <w:color w:val="auto"/>
          <w:vertAlign w:val="superscript"/>
        </w:rPr>
      </w:pPr>
    </w:p>
    <w:p>
      <w:pPr>
        <w:ind w:left="1642" w:right="180" w:hanging="499"/>
        <w:spacing w:after="0" w:line="203" w:lineRule="auto"/>
        <w:tabs>
          <w:tab w:leader="none" w:pos="1642" w:val="left"/>
        </w:tabs>
        <w:numPr>
          <w:ilvl w:val="0"/>
          <w:numId w:val="64"/>
        </w:numPr>
        <w:rPr>
          <w:rFonts w:ascii="Arial" w:cs="Arial" w:eastAsia="Arial" w:hAnsi="Arial"/>
          <w:sz w:val="20"/>
          <w:szCs w:val="20"/>
          <w:color w:val="auto"/>
          <w:vertAlign w:val="superscript"/>
        </w:rPr>
      </w:pPr>
      <w:r>
        <w:rPr>
          <w:rFonts w:ascii="Arial" w:cs="Arial" w:eastAsia="Arial" w:hAnsi="Arial"/>
          <w:sz w:val="13"/>
          <w:szCs w:val="13"/>
          <w:color w:val="auto"/>
        </w:rPr>
        <w:t>For purposes of recording share-based compensation for grants of options to a non-employee, we measure the fair value of the award on the service completion date (vesting date). At the end of each reporting period prior to completion of the services, we remeasure the value of any unvested portion of the award based on the then-current fair value of the award and adjust the expense accordingly. The amount in this column reflects only the grant-date fair value of the award.</w:t>
      </w:r>
    </w:p>
    <w:p>
      <w:pPr>
        <w:spacing w:after="0" w:line="139" w:lineRule="exact"/>
        <w:rPr>
          <w:rFonts w:ascii="Arial" w:cs="Arial" w:eastAsia="Arial" w:hAnsi="Arial"/>
          <w:sz w:val="20"/>
          <w:szCs w:val="20"/>
          <w:color w:val="auto"/>
          <w:vertAlign w:val="superscript"/>
        </w:rPr>
      </w:pPr>
    </w:p>
    <w:p>
      <w:pPr>
        <w:ind w:left="1642" w:hanging="499"/>
        <w:spacing w:after="0" w:line="203" w:lineRule="auto"/>
        <w:tabs>
          <w:tab w:leader="none" w:pos="1642" w:val="left"/>
        </w:tabs>
        <w:numPr>
          <w:ilvl w:val="0"/>
          <w:numId w:val="64"/>
        </w:numPr>
        <w:rPr>
          <w:rFonts w:ascii="Arial" w:cs="Arial" w:eastAsia="Arial" w:hAnsi="Arial"/>
          <w:sz w:val="20"/>
          <w:szCs w:val="20"/>
          <w:color w:val="auto"/>
          <w:vertAlign w:val="superscript"/>
        </w:rPr>
      </w:pPr>
      <w:r>
        <w:rPr>
          <w:rFonts w:ascii="Arial" w:cs="Arial" w:eastAsia="Arial" w:hAnsi="Arial"/>
          <w:sz w:val="13"/>
          <w:szCs w:val="13"/>
          <w:color w:val="auto"/>
        </w:rPr>
        <w:t>The exercise prices per the respective share options and the subscription price of restricted shares are in pounds sterling. The amounts in this table are translated to U.S. Dollars at the rate of $1.2763 to £1.00, which was the noon buying rate of the Federal Reserve Bank of New York on December 31, 2018, the last business day of the year ended December 31, 2018.</w:t>
      </w:r>
    </w:p>
    <w:p>
      <w:pPr>
        <w:spacing w:after="0" w:line="186" w:lineRule="exact"/>
        <w:rPr>
          <w:sz w:val="20"/>
          <w:szCs w:val="20"/>
          <w:color w:val="auto"/>
        </w:rPr>
      </w:pPr>
    </w:p>
    <w:p>
      <w:pPr>
        <w:ind w:left="442"/>
        <w:spacing w:after="0"/>
        <w:rPr>
          <w:sz w:val="20"/>
          <w:szCs w:val="20"/>
          <w:color w:val="auto"/>
        </w:rPr>
      </w:pPr>
      <w:r>
        <w:rPr>
          <w:rFonts w:ascii="Arial" w:cs="Arial" w:eastAsia="Arial" w:hAnsi="Arial"/>
          <w:sz w:val="16"/>
          <w:szCs w:val="16"/>
          <w:color w:val="auto"/>
        </w:rPr>
        <w:t>On December 17, 2018, each of the U.K. employees that were holders of share options granted prior to December 2017, each with an exercise price of</w:t>
      </w:r>
    </w:p>
    <w:p>
      <w:pPr>
        <w:ind w:left="2"/>
        <w:spacing w:after="0"/>
        <w:rPr>
          <w:sz w:val="20"/>
          <w:szCs w:val="20"/>
          <w:color w:val="auto"/>
        </w:rPr>
      </w:pPr>
      <w:r>
        <w:rPr>
          <w:rFonts w:ascii="Arial" w:cs="Arial" w:eastAsia="Arial" w:hAnsi="Arial"/>
          <w:sz w:val="16"/>
          <w:szCs w:val="16"/>
          <w:color w:val="auto"/>
        </w:rPr>
        <w:t>£0.01 per share, surrendered all of their issued share options that had not lapsed or been exercised. Thereafter, such persons: (a) subscribed for ordinary shares</w:t>
      </w:r>
    </w:p>
    <w:p>
      <w:pPr>
        <w:ind w:left="2"/>
        <w:spacing w:after="0"/>
        <w:rPr>
          <w:sz w:val="20"/>
          <w:szCs w:val="20"/>
          <w:color w:val="auto"/>
        </w:rPr>
      </w:pPr>
      <w:r>
        <w:rPr>
          <w:rFonts w:ascii="Arial" w:cs="Arial" w:eastAsia="Arial" w:hAnsi="Arial"/>
          <w:sz w:val="16"/>
          <w:szCs w:val="16"/>
          <w:color w:val="auto"/>
        </w:rPr>
        <w:t>equal to such number of ordinary shares as were vested under their surrendered option agreement at a subscription price of £0.01 per ordinary share; and</w:t>
      </w:r>
    </w:p>
    <w:p>
      <w:pPr>
        <w:ind w:left="2" w:right="60" w:hanging="2"/>
        <w:spacing w:after="0"/>
        <w:tabs>
          <w:tab w:leader="none" w:pos="241"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were granted options to subscribe for ordinary shares equal to such number of ordinary shares as were unvested under their surrendered option agreement at a subscription price of £0.01 per ordinary share, and with identical vesting terms as the original awards. In conjunction with the surrender of 238,443 vested share options, we issued 238,443 ordinary shares. We evaluated the surrender of share options and issuance of vested ordinary shares and unvested share options as a modification in accordance with ASU 2017-09. The modification did not have any accounting impact as there were no changes in the fair value, vesting conditions, or the classification of the awards (as equity or liability) in conjunction with the surrender of share options and issuance of vested ordinary shares and unvested share options. As such, the grant of options to subscribe for ordinary shares equal to such number of ordinary shares as were unvested under their surrendered option agreement at a subscription price of £0.01 per ordinary share, and with identical vesting terms as the original awards is not reflected in the table above.</w:t>
      </w:r>
    </w:p>
    <w:p>
      <w:pPr>
        <w:spacing w:after="0" w:line="191"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142" w:right="259" w:bottom="1440" w:gutter="0" w:footer="0" w:header="0"/>
        </w:sectPr>
      </w:pPr>
    </w:p>
    <w:bookmarkStart w:id="120" w:name="page121"/>
    <w:bookmarkEnd w:id="1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For the years ended December 31, 2017 and 2018, we recorded share-based compensation expense for share options and restricted shares granted of $0.5 million and $1.0 million, respectively. Expense for non-employee consultants was immaterial in all periods. As of December 31, 2018, total unrecognized compensation expense related to the unvested employee and director share-based awards was $1.0 million, which is expected to be recognized over a weighted average period of 3.1 years. As of December 31, 2018, total unrecognized compensation cost related to the unvested employee and director restricted share awards was $0.2 million, which is expected to be recognized over a weighted average period of 1.9 years. We expect the impact of our share-based compensation expense for restricted shares and share options granted to employees and non-employees to increase in future periods due to the potential increases in the value of our ordinary shares and headcount.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15" w:lineRule="exact"/>
        <w:rPr>
          <w:sz w:val="20"/>
          <w:szCs w:val="20"/>
          <w:color w:val="auto"/>
        </w:rPr>
      </w:pPr>
    </w:p>
    <w:p>
      <w:pPr>
        <w:ind w:right="40" w:firstLine="442"/>
        <w:spacing w:after="0"/>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We assess the likelihood that our deferred tax assets will be recovered in the future and, to the extent we believe,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See Note 11 to our consolidated financial statements appearing at the end of this prospectus for additional information.</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subject to corporate taxation in the United Kingdom and the United States. The calculation of our tax provision involves the application of both U.K.</w:t>
      </w:r>
    </w:p>
    <w:p>
      <w:pPr>
        <w:spacing w:after="0"/>
        <w:rPr>
          <w:sz w:val="20"/>
          <w:szCs w:val="20"/>
          <w:color w:val="auto"/>
        </w:rPr>
      </w:pPr>
      <w:r>
        <w:rPr>
          <w:rFonts w:ascii="Arial" w:cs="Arial" w:eastAsia="Arial" w:hAnsi="Arial"/>
          <w:sz w:val="16"/>
          <w:szCs w:val="16"/>
          <w:color w:val="auto"/>
        </w:rPr>
        <w:t>and U.S. tax law and requires judgement and estimates.</w:t>
      </w:r>
    </w:p>
    <w:p>
      <w:pPr>
        <w:spacing w:after="0" w:line="195"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We account for uncertainty in income taxes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as the amount of benefit to recognize in the consolidated financial statements. The amount of benefits that may be used is the largest amount that has a greater than 50% likelihood of being realized upon ultimate settlement. The provision for income taxes included the effects of any resulting tax reserves, or unrecognized tax benefits, that are considered appropriate, as well as the related net interest and penalties.</w:t>
      </w:r>
    </w:p>
    <w:p>
      <w:pPr>
        <w:spacing w:after="0" w:line="188" w:lineRule="exact"/>
        <w:rPr>
          <w:sz w:val="20"/>
          <w:szCs w:val="20"/>
          <w:color w:val="auto"/>
        </w:rPr>
      </w:pPr>
    </w:p>
    <w:p>
      <w:pPr>
        <w:ind w:right="160" w:firstLine="442"/>
        <w:spacing w:after="0" w:line="241" w:lineRule="auto"/>
        <w:rPr>
          <w:sz w:val="20"/>
          <w:szCs w:val="20"/>
          <w:color w:val="auto"/>
        </w:rPr>
      </w:pPr>
      <w:r>
        <w:rPr>
          <w:rFonts w:ascii="Arial" w:cs="Arial" w:eastAsia="Arial" w:hAnsi="Arial"/>
          <w:sz w:val="16"/>
          <w:szCs w:val="16"/>
          <w:color w:val="auto"/>
        </w:rPr>
        <w:t>We receive reimbursements of certain research and development expenditures, through our subsidiaries in the United Kingdom, as part of a United Kingdom government's research and development tax reliefs program. Under the program, a percentage of qualifying research and development expenses incurred by the Company's subsidiaries in the United Kingdom are reimbursed up to 14.5% of the surrendable losses. We assess our research and development activities and expenditures to determine which activities and expenditures are likely to be eligible under the research and development incentive program described above. At each period end, we estimate the reimbursement available to the Company based on available information at the time.</w:t>
      </w:r>
    </w:p>
    <w:p>
      <w:pPr>
        <w:spacing w:after="0" w:line="189"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We recognize income from the research and development incentives when the relevant expenditure has been incurred, the associated conditions have been satisfied and there 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1" w:name="page122"/>
    <w:bookmarkEnd w:id="1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reasonable assurance that the reimbursement will be received. We record these research and development incentives as a reduction to research and development expenses in the statements of operations and comprehensive loss, as the research and development tax credits are not dependent on us generating future taxable income, our ongoing tax status, or tax position. The refund is denominated in pounds sterling and, therefore, the receivable is remeasured into U.S. dollars as of each reporting date. The research and development incentives receivable represent an amount due in connection with the above program. We recorded a reduction to research and development expense of $2.9 million and $5.9 million during the years ended December 31, 2017 and 2018,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Sensitivity</w:t>
      </w:r>
    </w:p>
    <w:p>
      <w:pPr>
        <w:spacing w:after="0" w:line="211" w:lineRule="exact"/>
        <w:rPr>
          <w:sz w:val="20"/>
          <w:szCs w:val="20"/>
          <w:color w:val="auto"/>
        </w:rPr>
      </w:pPr>
    </w:p>
    <w:p>
      <w:pPr>
        <w:ind w:right="140" w:firstLine="433"/>
        <w:spacing w:after="0" w:line="241" w:lineRule="auto"/>
        <w:rPr>
          <w:sz w:val="20"/>
          <w:szCs w:val="20"/>
          <w:color w:val="auto"/>
        </w:rPr>
      </w:pPr>
      <w:r>
        <w:rPr>
          <w:rFonts w:ascii="Arial" w:cs="Arial" w:eastAsia="Arial" w:hAnsi="Arial"/>
          <w:sz w:val="16"/>
          <w:szCs w:val="16"/>
          <w:color w:val="auto"/>
        </w:rPr>
        <w:t>As of December 31, 2018, we had cash of $63.4 million. Our exposure to interest rate sensitivity is impacted by changes in the underlying U.K. and U.S. bank interest rates. Our surplus cash has been invested in interest-bearing savings accounts.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and therefore we do not expect our operating results or cash flows to be significantly affected by changes in market interest rates.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2018, we had no debt outstanding and are therefore not subject to interest rate risk related to debt.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Exchange Risk</w:t>
      </w:r>
    </w:p>
    <w:p>
      <w:pPr>
        <w:spacing w:after="0" w:line="211" w:lineRule="exact"/>
        <w:rPr>
          <w:sz w:val="20"/>
          <w:szCs w:val="20"/>
          <w:color w:val="auto"/>
        </w:rPr>
      </w:pPr>
    </w:p>
    <w:p>
      <w:pPr>
        <w:ind w:right="100" w:firstLine="439"/>
        <w:spacing w:after="0" w:line="242" w:lineRule="auto"/>
        <w:rPr>
          <w:sz w:val="20"/>
          <w:szCs w:val="20"/>
          <w:color w:val="auto"/>
        </w:rPr>
      </w:pPr>
      <w:r>
        <w:rPr>
          <w:rFonts w:ascii="Arial" w:cs="Arial" w:eastAsia="Arial" w:hAnsi="Arial"/>
          <w:sz w:val="16"/>
          <w:szCs w:val="16"/>
          <w:color w:val="auto"/>
        </w:rPr>
        <w:t>The functional currency of Bicycle Therapeutics Limited and its wholly owned non-U.S. subsidiaries, BicycleTx Limited and BicycleRD Limited, is the British Pound Sterling and the consolidated financial statements are presented in United States dollars, USD. The functional currency of Bicycle Therapeutics Inc. is the United States dollar. The functional currency is the currency of the primary economic environment in which an entity's operations are conducted. The functional currency of the Company's subsidiaries is the same as the local currency.</w:t>
      </w:r>
    </w:p>
    <w:p>
      <w:pPr>
        <w:spacing w:after="0" w:line="187"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Monetary assets and liabilities denominated in currencies other than the functional currency are remeasured into the functional currency at rates of exchange prevailing at the balance sheet dates. Non-monetary assets and liabilities denominated in foreign currencies are remeasured into the functional currency at the exchange rates prevailing at the date of the transaction. Exchange gains or losses arising from foreign currency transactions are included in the determination of net loss for the respective periods. Adjustments that arise from exchange rate changes on transactions denominated in a currency other than the local currency are included in general and administrative expense in the consolidated statements of operations and comprehensive loss as incurred. We recorded a foreign exchange loss of $0.6 million and a foreign exchange gain of $0.3 million for the years ended December 31, 2017 and 2018, respectively. These foreign currency transaction gains and losses are included in other expense in our consolidated statements of operations and comprehensive loss.</w:t>
      </w:r>
    </w:p>
    <w:p>
      <w:pPr>
        <w:spacing w:after="0" w:line="192" w:lineRule="exact"/>
        <w:rPr>
          <w:sz w:val="20"/>
          <w:szCs w:val="20"/>
          <w:color w:val="auto"/>
        </w:rPr>
      </w:pPr>
    </w:p>
    <w:p>
      <w:pPr>
        <w:ind w:right="400" w:firstLine="442"/>
        <w:spacing w:after="0" w:line="242" w:lineRule="auto"/>
        <w:rPr>
          <w:sz w:val="20"/>
          <w:szCs w:val="20"/>
          <w:color w:val="auto"/>
        </w:rPr>
      </w:pPr>
      <w:r>
        <w:rPr>
          <w:rFonts w:ascii="Arial" w:cs="Arial" w:eastAsia="Arial" w:hAnsi="Arial"/>
          <w:sz w:val="16"/>
          <w:szCs w:val="16"/>
          <w:color w:val="auto"/>
        </w:rPr>
        <w:t>For financial reporting purposes, our consolidated financial statements have been translated into U.S. dollars. We translate the assets and liabilities of Bicycle Therapeutics Limited, BicycleTx Limited and BicycleRD Limited into USD at the exchange rate in effect on the balance sheet date. Revenues and expenses are translated at the average exchange rate in effect during the period and shareholders' (deficit) equity amounts are translated based on historical exchange rates as of the date of each transaction. Translation adjustments are not included in determining net income (loss)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2" w:name="page123"/>
    <w:bookmarkEnd w:id="1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but are included in our foreign exchange adjustment included in the consolidated statements of convertible preferred shares and shareholders' (deficit) equity as a component of accumulated other comprehensive income (loss).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do not currently engage in currency hedging activities in order to reduce our currency exposure, but we may begin to do so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215" w:lineRule="exact"/>
        <w:rPr>
          <w:sz w:val="20"/>
          <w:szCs w:val="20"/>
          <w:color w:val="auto"/>
        </w:rPr>
      </w:pPr>
    </w:p>
    <w:p>
      <w:pPr>
        <w:ind w:right="160" w:firstLine="442"/>
        <w:spacing w:after="0" w:line="241"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89" w:lineRule="exact"/>
        <w:rPr>
          <w:sz w:val="20"/>
          <w:szCs w:val="20"/>
          <w:color w:val="auto"/>
        </w:rPr>
      </w:pPr>
    </w:p>
    <w:p>
      <w:pPr>
        <w:ind w:firstLine="442"/>
        <w:spacing w:after="0" w:line="257" w:lineRule="auto"/>
        <w:rPr>
          <w:sz w:val="20"/>
          <w:szCs w:val="20"/>
          <w:color w:val="auto"/>
        </w:rPr>
      </w:pPr>
      <w:r>
        <w:rPr>
          <w:rFonts w:ascii="Arial" w:cs="Arial" w:eastAsia="Arial" w:hAnsi="Arial"/>
          <w:sz w:val="15"/>
          <w:szCs w:val="15"/>
          <w:color w:val="auto"/>
        </w:rPr>
        <w:t>In addition, we intend to rely on the other exemptions and reduced reporting requirements provided by the JOBS Act. Subject to certain conditions set forth in the JOBS Act, we are entitled to rely on certain exemptions as an "emerging growth company," we are not required to, among other things, (i) provide an auditor's attestation report on our system of internal controls over financial reporting pursuant to Section 404(b), (ii) provide all of the compensation disclosure that may be required of non-emerging growth public companies under the Dodd-Frank Wall Street Reform and Consumer Protection Act, (iii) comply with any requirement that has or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no longer meet the requirements of being an emerging growth company, whichever is earlier. We would cease to be an emerging growth company if we have more than $1.07 billion in annual revenue, we have more than $700.0 million in market value of our share held by non-affiliates (and we have been a public company for at least 12 months and have filed one annual report on Form 10-K), or we issue more than $1.0 billion of non-convertible debt securities over a three-year period.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15" w:lineRule="exact"/>
        <w:rPr>
          <w:sz w:val="20"/>
          <w:szCs w:val="20"/>
          <w:color w:val="auto"/>
        </w:rPr>
      </w:pPr>
    </w:p>
    <w:p>
      <w:pPr>
        <w:ind w:right="40" w:firstLine="442"/>
        <w:spacing w:after="0" w:line="249" w:lineRule="auto"/>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in the rules and regulations of the SEC.</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3" w:name="page124"/>
    <w:bookmarkEnd w:id="1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BUSINESS</w:t>
      </w:r>
    </w:p>
    <w:p>
      <w:pPr>
        <w:spacing w:after="0" w:line="199" w:lineRule="exact"/>
        <w:rPr>
          <w:sz w:val="20"/>
          <w:szCs w:val="20"/>
          <w:color w:val="auto"/>
        </w:rPr>
      </w:pPr>
    </w:p>
    <w:p>
      <w:pPr>
        <w:ind w:right="60" w:firstLine="442"/>
        <w:spacing w:after="0" w:line="245" w:lineRule="auto"/>
        <w:rPr>
          <w:sz w:val="20"/>
          <w:szCs w:val="20"/>
          <w:color w:val="auto"/>
        </w:rPr>
      </w:pPr>
      <w:r>
        <w:rPr>
          <w:rFonts w:ascii="Arial" w:cs="Arial" w:eastAsia="Arial" w:hAnsi="Arial"/>
          <w:sz w:val="16"/>
          <w:szCs w:val="16"/>
          <w:color w:val="auto"/>
        </w:rPr>
        <w:t xml:space="preserve">We are a clinical-stage biopharmaceutical company developing a novel class of medicines, which we refer to as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 for diseases that are underserved by existing therapeutics.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fully synthetic short peptides constrained to form two loops which stabilize their structural geometry. This constraint is designed to confer high affinity and selectivity and the relatively large surface area presented by the molecule allows targets to be drugged that have historically been intractable to non-biological approaches.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a unique therapeutic modality combining the pharmacology usually associated with a biologic with the manufacturing and pharmacokinetic, or PK, properties of a small molecule.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excreted by the kidney rather than the liver and have shown no signs of immunogenicity to date, which we believe together support a favorable toxicological profile.</w:t>
      </w:r>
    </w:p>
    <w:p>
      <w:pPr>
        <w:spacing w:after="0" w:line="169" w:lineRule="exact"/>
        <w:rPr>
          <w:sz w:val="20"/>
          <w:szCs w:val="20"/>
          <w:color w:val="auto"/>
        </w:rPr>
      </w:pPr>
    </w:p>
    <w:p>
      <w:pPr>
        <w:ind w:firstLine="442"/>
        <w:spacing w:after="0" w:line="247" w:lineRule="auto"/>
        <w:rPr>
          <w:sz w:val="20"/>
          <w:szCs w:val="20"/>
          <w:color w:val="auto"/>
        </w:rPr>
      </w:pPr>
      <w:r>
        <w:rPr>
          <w:rFonts w:ascii="Arial" w:cs="Arial" w:eastAsia="Arial" w:hAnsi="Arial"/>
          <w:sz w:val="16"/>
          <w:szCs w:val="16"/>
          <w:color w:val="auto"/>
        </w:rPr>
        <w:t xml:space="preserve">We have a novel and proprietary phage display screening platform which we use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 an efficient manner. The platform initially displays linear peptides on the surface of engineered bacteriophages, or phages, before "on-phage" cyclization with a range of small molecule scaffolds which can confer differentiated physicochemical and structural properties. Our platform encodes quadrillions of potential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which can be screened to identify molecules for optimization to potential product candidates. We have used this powerful screening technology to identify our current portfolio of candidates in oncology and intend to use it in conjunction with our collaborators to seek to develop additional future candidates across a range of other disease areas.</w:t>
      </w:r>
    </w:p>
    <w:p>
      <w:pPr>
        <w:spacing w:after="0" w:line="166" w:lineRule="exact"/>
        <w:rPr>
          <w:sz w:val="20"/>
          <w:szCs w:val="20"/>
          <w:color w:val="auto"/>
        </w:rPr>
      </w:pPr>
    </w:p>
    <w:p>
      <w:pPr>
        <w:ind w:firstLine="442"/>
        <w:spacing w:after="0" w:line="243" w:lineRule="auto"/>
        <w:rPr>
          <w:sz w:val="20"/>
          <w:szCs w:val="20"/>
          <w:color w:val="auto"/>
        </w:rPr>
      </w:pPr>
      <w:r>
        <w:rPr>
          <w:rFonts w:ascii="Arial" w:cs="Arial" w:eastAsia="Arial" w:hAnsi="Arial"/>
          <w:sz w:val="16"/>
          <w:szCs w:val="16"/>
          <w:color w:val="auto"/>
        </w:rPr>
        <w:t xml:space="preserve">Our initial internal programs are focused on oncology indications with high unmet medical need. Our lead product candidate, BT1718, is a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Toxin Conjugate, or BTC. This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is being developed to target tumors that express Membrane Type 1 matrix metalloprotease, or MT1-MMP.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is chemically attached to a toxin that when administered is cleaved from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and kills the tumor cells. BT1718 is being investigated for safety, tolerability and efficacy in an ongoing Phase I/IIa clinical trial in collaboration with, and fully funded by, the Centre for Drug Development of Cancer Research UK, or CRUK. We expect to report preliminary data from the Phase I part of this clinical trial in the second half of 2019. We are also developing BT5528 and BT8009, which are BTCs targeting Ephrin type-A receptor 2, or EphA2, and Nectin-4, respectively, for oncology indications. We are currently conducting Investigational New Drug application, or IND, -enabling activities for BT5528 and BT8009. Our discovery pipeline in oncology includes </w:t>
      </w:r>
      <w:r>
        <w:rPr>
          <w:rFonts w:ascii="Arial" w:cs="Arial" w:eastAsia="Arial" w:hAnsi="Arial"/>
          <w:sz w:val="16"/>
          <w:szCs w:val="16"/>
          <w:i w:val="1"/>
          <w:iCs w:val="1"/>
          <w:color w:val="auto"/>
        </w:rPr>
        <w:t>Bicycle</w:t>
      </w:r>
      <w:r>
        <w:rPr>
          <w:rFonts w:ascii="Arial" w:cs="Arial" w:eastAsia="Arial" w:hAnsi="Arial"/>
          <w:sz w:val="16"/>
          <w:szCs w:val="16"/>
          <w:color w:val="auto"/>
        </w:rPr>
        <w:t>-targeted innate immune activators as well as T-cell modulators.</w:t>
      </w:r>
    </w:p>
    <w:p>
      <w:pPr>
        <w:spacing w:after="0" w:line="173" w:lineRule="exact"/>
        <w:rPr>
          <w:sz w:val="20"/>
          <w:szCs w:val="20"/>
          <w:color w:val="auto"/>
        </w:rPr>
      </w:pPr>
    </w:p>
    <w:p>
      <w:pPr>
        <w:ind w:right="20" w:firstLine="442"/>
        <w:spacing w:after="0" w:line="254" w:lineRule="auto"/>
        <w:rPr>
          <w:sz w:val="20"/>
          <w:szCs w:val="20"/>
          <w:color w:val="auto"/>
        </w:rPr>
      </w:pPr>
      <w:r>
        <w:rPr>
          <w:rFonts w:ascii="Arial" w:cs="Arial" w:eastAsia="Arial" w:hAnsi="Arial"/>
          <w:sz w:val="16"/>
          <w:szCs w:val="16"/>
          <w:color w:val="auto"/>
        </w:rPr>
        <w:t xml:space="preserve">Beyond oncology, we are collaborating with biopharmaceutical companies and organizations in therapeutic areas where we believe our proprietary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screening platform can identify therapies to treat diseases with significant unmet medical need. Our partnered programs outside of oncology include collaborations for anti-bacterial, cardiovascular, hematology, ophthalmology and respiratory indications.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key information about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121920</wp:posOffset>
            </wp:positionV>
            <wp:extent cx="5310505" cy="15138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10505" cy="1513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 xml:space="preserve">We were founded in 2009 based on innovative science conducted by Sir Greg Winter and Professor Christian Heinis. Sir Greg Winter is a pioneer in monoclonal antibodies and, in 2018, was awarded a Nobel prize in chemistry for the invention of the technology underpinning our proprietary phage display screening platform that we use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Since our founding, we have generated substantial intellectual property, including three patent families directed to novel scaffolds, 11 patent families directed to our platform technology, 63 patent families directed to bicyclic peptides and related conjugates, and six patent families directed to clinical indications and other properties of development assets. The work we have conducted in developing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and our proprietary screening platform have created substantial know-how that we believe provides us with a competitive advantage.</w:t>
      </w:r>
    </w:p>
    <w:p>
      <w:pPr>
        <w:spacing w:after="0" w:line="188" w:lineRule="exact"/>
        <w:rPr>
          <w:sz w:val="20"/>
          <w:szCs w:val="20"/>
          <w:color w:val="auto"/>
        </w:rPr>
      </w:pPr>
    </w:p>
    <w:p>
      <w:pPr>
        <w:ind w:right="120" w:firstLine="442"/>
        <w:spacing w:after="0" w:line="264" w:lineRule="auto"/>
        <w:rPr>
          <w:sz w:val="20"/>
          <w:szCs w:val="20"/>
          <w:color w:val="auto"/>
        </w:rPr>
      </w:pPr>
      <w:r>
        <w:rPr>
          <w:rFonts w:ascii="Arial" w:cs="Arial" w:eastAsia="Arial" w:hAnsi="Arial"/>
          <w:sz w:val="15"/>
          <w:szCs w:val="15"/>
          <w:color w:val="auto"/>
        </w:rPr>
        <w:t>Our management team includes veterans in drug development with executive experience at leading pharmaceutical companies including GlaxoSmithKline, Novartis and Pfizer. Our board of directors and scientific advisory board include industry experts and seasoned investors, with extensive experience in immuno-oncology. We are supported by prominent healthcare-focused investment funds, including Ahren Innovation Capital, Atlas Venture Fund, Cambridge Innovation Capital, Longwood Fund, Novartis Venture Fund, S.R. One, Limited, SV Life Sciences, Tybourne Capital (HK) Management Limited and Vertex HC Ventures.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99" w:lineRule="exact"/>
        <w:rPr>
          <w:sz w:val="20"/>
          <w:szCs w:val="20"/>
          <w:color w:val="auto"/>
        </w:rPr>
      </w:pPr>
    </w:p>
    <w:p>
      <w:pPr>
        <w:ind w:firstLine="442"/>
        <w:spacing w:after="0" w:line="254" w:lineRule="auto"/>
        <w:rPr>
          <w:sz w:val="20"/>
          <w:szCs w:val="20"/>
          <w:color w:val="auto"/>
        </w:rPr>
      </w:pPr>
      <w:r>
        <w:rPr>
          <w:rFonts w:ascii="Arial" w:cs="Arial" w:eastAsia="Arial" w:hAnsi="Arial"/>
          <w:sz w:val="16"/>
          <w:szCs w:val="16"/>
          <w:color w:val="auto"/>
        </w:rPr>
        <w:t xml:space="preserve">Our mission is to become a leading biopharmaceutical company by pioneering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as a novel therapeutic modality to treat diseases that are inadequately addressed with existing treatment modalities. Specifically, we seek to execute on the following strategy to maximize the value of our novel technology and pipeline:</w:t>
      </w:r>
    </w:p>
    <w:p>
      <w:pPr>
        <w:spacing w:after="0" w:line="160" w:lineRule="exact"/>
        <w:rPr>
          <w:sz w:val="20"/>
          <w:szCs w:val="20"/>
          <w:color w:val="auto"/>
        </w:rPr>
      </w:pPr>
    </w:p>
    <w:p>
      <w:pPr>
        <w:ind w:left="980" w:right="240" w:hanging="493"/>
        <w:spacing w:after="0" w:line="256"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our lead product candidate, BT1718, through clinical development. </w:t>
      </w:r>
      <w:r>
        <w:rPr>
          <w:rFonts w:ascii="Arial" w:cs="Arial" w:eastAsia="Arial" w:hAnsi="Arial"/>
          <w:sz w:val="16"/>
          <w:szCs w:val="16"/>
          <w:color w:val="auto"/>
        </w:rPr>
        <w:t>BT1718 is being investigated in an ongoing Phase I/IIa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trial sponsored by CRUK. We expect to report preliminary data from the Phase I part of this clinical trial in the second half of 2019. We intend to advance development of this candidate aggressively across oncology indications in which the target MT1-MMP is expressed.</w:t>
      </w:r>
    </w:p>
    <w:p>
      <w:pPr>
        <w:spacing w:after="0" w:line="157" w:lineRule="exact"/>
        <w:rPr>
          <w:rFonts w:ascii="Arial" w:cs="Arial" w:eastAsia="Arial" w:hAnsi="Arial"/>
          <w:sz w:val="16"/>
          <w:szCs w:val="16"/>
          <w:color w:val="auto"/>
        </w:rPr>
      </w:pPr>
    </w:p>
    <w:p>
      <w:pPr>
        <w:ind w:left="980" w:right="20" w:hanging="493"/>
        <w:spacing w:after="0" w:line="281" w:lineRule="auto"/>
        <w:tabs>
          <w:tab w:leader="none" w:pos="980" w:val="left"/>
        </w:tabs>
        <w:numPr>
          <w:ilvl w:val="0"/>
          <w:numId w:val="6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Advance our other Bicycle Toxin Conjugate programs into clinical development. </w:t>
      </w:r>
      <w:r>
        <w:rPr>
          <w:rFonts w:ascii="Arial" w:cs="Arial" w:eastAsia="Arial" w:hAnsi="Arial"/>
          <w:sz w:val="15"/>
          <w:szCs w:val="15"/>
          <w:color w:val="auto"/>
        </w:rPr>
        <w:t>We intend to progress our IND-enabling activities for BT5528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and BT8009 to advance these programs into clinical development for oncology indications. Based on promising observations from our preclinical models, we believe EphA2 and Nectin-4 are attractive targets for cytotoxin delivery and that </w:t>
      </w:r>
      <w:r>
        <w:rPr>
          <w:rFonts w:ascii="Arial" w:cs="Arial" w:eastAsia="Arial" w:hAnsi="Arial"/>
          <w:sz w:val="15"/>
          <w:szCs w:val="15"/>
          <w:i w:val="1"/>
          <w:iCs w:val="1"/>
          <w:color w:val="auto"/>
        </w:rPr>
        <w:t>Bicycles</w:t>
      </w:r>
      <w:r>
        <w:rPr>
          <w:rFonts w:ascii="Arial" w:cs="Arial" w:eastAsia="Arial" w:hAnsi="Arial"/>
          <w:sz w:val="15"/>
          <w:szCs w:val="15"/>
          <w:color w:val="auto"/>
        </w:rPr>
        <w:t xml:space="preserve"> provide a promising delivery modality.</w:t>
      </w:r>
    </w:p>
    <w:p>
      <w:pPr>
        <w:spacing w:after="0" w:line="127" w:lineRule="exact"/>
        <w:rPr>
          <w:rFonts w:ascii="Arial" w:cs="Arial" w:eastAsia="Arial" w:hAnsi="Arial"/>
          <w:sz w:val="15"/>
          <w:szCs w:val="15"/>
          <w:color w:val="auto"/>
        </w:rPr>
      </w:pPr>
    </w:p>
    <w:p>
      <w:pPr>
        <w:ind w:left="980" w:right="120" w:hanging="493"/>
        <w:spacing w:after="0" w:line="272"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clinical development of our discovery programs. </w:t>
      </w:r>
      <w:r>
        <w:rPr>
          <w:rFonts w:ascii="Arial" w:cs="Arial" w:eastAsia="Arial" w:hAnsi="Arial"/>
          <w:sz w:val="16"/>
          <w:szCs w:val="16"/>
          <w:color w:val="auto"/>
        </w:rPr>
        <w:t>We intend to continue our ongoing discovery activities to screen and select promising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for oncology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right="180"/>
        <w:spacing w:after="0" w:line="249" w:lineRule="auto"/>
        <w:rPr>
          <w:sz w:val="20"/>
          <w:szCs w:val="20"/>
          <w:color w:val="auto"/>
        </w:rPr>
      </w:pPr>
      <w:r>
        <w:rPr>
          <w:rFonts w:ascii="Arial" w:cs="Arial" w:eastAsia="Arial" w:hAnsi="Arial"/>
          <w:sz w:val="16"/>
          <w:szCs w:val="16"/>
          <w:color w:val="auto"/>
        </w:rPr>
        <w:t xml:space="preserve">indications. For example, our discovery pipeline includes T-cell modulators, from which we expect to identify a development candidate. In addition, we are also developing </w:t>
      </w:r>
      <w:r>
        <w:rPr>
          <w:rFonts w:ascii="Arial" w:cs="Arial" w:eastAsia="Arial" w:hAnsi="Arial"/>
          <w:sz w:val="16"/>
          <w:szCs w:val="16"/>
          <w:i w:val="1"/>
          <w:iCs w:val="1"/>
          <w:color w:val="auto"/>
        </w:rPr>
        <w:t>Bicycle</w:t>
      </w:r>
      <w:r>
        <w:rPr>
          <w:rFonts w:ascii="Arial" w:cs="Arial" w:eastAsia="Arial" w:hAnsi="Arial"/>
          <w:sz w:val="16"/>
          <w:szCs w:val="16"/>
          <w:color w:val="auto"/>
        </w:rPr>
        <w:t>-targeted innate immune activators.</w:t>
      </w:r>
    </w:p>
    <w:p>
      <w:pPr>
        <w:spacing w:after="0" w:line="163" w:lineRule="exact"/>
        <w:rPr>
          <w:sz w:val="20"/>
          <w:szCs w:val="20"/>
          <w:color w:val="auto"/>
        </w:rPr>
      </w:pPr>
    </w:p>
    <w:p>
      <w:pPr>
        <w:ind w:left="980" w:hanging="493"/>
        <w:spacing w:after="0" w:line="247"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powerful proprietary screening platform and novel Bicycle modality to grow our pipeline. </w:t>
      </w:r>
      <w:r>
        <w:rPr>
          <w:rFonts w:ascii="Arial" w:cs="Arial" w:eastAsia="Arial" w:hAnsi="Arial"/>
          <w:sz w:val="16"/>
          <w:szCs w:val="16"/>
          <w:color w:val="auto"/>
        </w:rPr>
        <w:t>Our novel and proprietary phage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display screening platform allows us to rapidly and efficiently identify potential candidates for development. We can incorporate a wide range of small molecule scaffolds into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to increase diversity and confer differentiated physicochemical and structural properties. We have used our powerful </w:t>
      </w:r>
      <w:r>
        <w:rPr>
          <w:rFonts w:ascii="Arial" w:cs="Arial" w:eastAsia="Arial" w:hAnsi="Arial"/>
          <w:sz w:val="16"/>
          <w:szCs w:val="16"/>
          <w:i w:val="1"/>
          <w:iCs w:val="1"/>
          <w:color w:val="auto"/>
        </w:rPr>
        <w:t xml:space="preserve">Bicycle </w:t>
      </w:r>
      <w:r>
        <w:rPr>
          <w:rFonts w:ascii="Arial" w:cs="Arial" w:eastAsia="Arial" w:hAnsi="Arial"/>
          <w:sz w:val="16"/>
          <w:szCs w:val="16"/>
          <w:color w:val="auto"/>
        </w:rPr>
        <w:t>screening platform to identify our current pipeline of promising BTCs, innate immune activators and T-cell modulators, and intend to use it to</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a broader pipeline of diverse product candidates.</w:t>
      </w:r>
    </w:p>
    <w:p>
      <w:pPr>
        <w:spacing w:after="0" w:line="165" w:lineRule="exact"/>
        <w:rPr>
          <w:rFonts w:ascii="Arial" w:cs="Arial" w:eastAsia="Arial" w:hAnsi="Arial"/>
          <w:sz w:val="16"/>
          <w:szCs w:val="16"/>
          <w:color w:val="auto"/>
        </w:rPr>
      </w:pPr>
    </w:p>
    <w:p>
      <w:pPr>
        <w:ind w:left="980" w:right="40" w:hanging="493"/>
        <w:spacing w:after="0" w:line="250"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Collaborate strategically with leading organizations to access enabling technology and expertise in order to expand the application of our novel Bicycle modality to indications beyond oncology. </w:t>
      </w:r>
      <w:r>
        <w:rPr>
          <w:rFonts w:ascii="Arial" w:cs="Arial" w:eastAsia="Arial" w:hAnsi="Arial"/>
          <w:sz w:val="16"/>
          <w:szCs w:val="16"/>
          <w:color w:val="auto"/>
        </w:rPr>
        <w:t>We are collaborating with leading biopharmaceutical companies and organizations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apply our novel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modality to other disease areas, including anti-bacterial, cardiovascular, hematological, ophthalmological and respiratory indications. We may opportunistically enter into additional collaborations in the future to apply our technology to areas of unmet medical need.</w:t>
      </w:r>
    </w:p>
    <w:p>
      <w:pPr>
        <w:spacing w:after="0" w:line="150" w:lineRule="exact"/>
        <w:rPr>
          <w:rFonts w:ascii="Arial" w:cs="Arial" w:eastAsia="Arial" w:hAnsi="Arial"/>
          <w:sz w:val="16"/>
          <w:szCs w:val="16"/>
          <w:color w:val="auto"/>
        </w:rPr>
      </w:pPr>
    </w:p>
    <w:p>
      <w:pPr>
        <w:ind w:left="980" w:right="860" w:hanging="493"/>
        <w:spacing w:after="0" w:line="250"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If approved, maximize the commercial potential of our product candidates by either establishing our own sales and marketing infrastructure or doing so through collaborations with others. </w:t>
      </w:r>
      <w:r>
        <w:rPr>
          <w:rFonts w:ascii="Arial" w:cs="Arial" w:eastAsia="Arial" w:hAnsi="Arial"/>
          <w:sz w:val="16"/>
          <w:szCs w:val="16"/>
          <w:color w:val="auto"/>
        </w:rPr>
        <w:t>Subject to receiving marketing approval, we intend to pursue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commercialization of our product candidates either by building internal sales and marketing capabilities or doing so through opportunistic collaborations with others.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w:t>
      </w:r>
      <w:r>
        <w:rPr>
          <w:rFonts w:ascii="Arial" w:cs="Arial" w:eastAsia="Arial" w:hAnsi="Arial"/>
          <w:sz w:val="16"/>
          <w:szCs w:val="16"/>
          <w:b w:val="1"/>
          <w:bCs w:val="1"/>
          <w:i w:val="1"/>
          <w:iCs w:val="1"/>
          <w:color w:val="auto"/>
        </w:rPr>
        <w:t>Bicycle</w:t>
      </w:r>
      <w:r>
        <w:rPr>
          <w:rFonts w:ascii="Arial" w:cs="Arial" w:eastAsia="Arial" w:hAnsi="Arial"/>
          <w:sz w:val="16"/>
          <w:szCs w:val="16"/>
          <w:b w:val="1"/>
          <w:bCs w:val="1"/>
          <w:color w:val="auto"/>
        </w:rPr>
        <w:t xml:space="preserve"> Opportunity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Introduction to Bicycles</w:t>
      </w:r>
    </w:p>
    <w:p>
      <w:pPr>
        <w:spacing w:after="0" w:line="195" w:lineRule="exact"/>
        <w:rPr>
          <w:sz w:val="20"/>
          <w:szCs w:val="20"/>
          <w:color w:val="auto"/>
        </w:rPr>
      </w:pPr>
    </w:p>
    <w:p>
      <w:pPr>
        <w:ind w:right="180" w:firstLine="442"/>
        <w:spacing w:after="0" w:line="279" w:lineRule="auto"/>
        <w:rPr>
          <w:sz w:val="20"/>
          <w:szCs w:val="20"/>
          <w:color w:val="auto"/>
        </w:rPr>
      </w:pPr>
      <w:r>
        <w:rPr>
          <w:rFonts w:ascii="Arial" w:cs="Arial" w:eastAsia="Arial" w:hAnsi="Arial"/>
          <w:sz w:val="15"/>
          <w:szCs w:val="15"/>
          <w:i w:val="1"/>
          <w:iCs w:val="1"/>
          <w:color w:val="auto"/>
        </w:rPr>
        <w:t xml:space="preserve">Bicycles </w:t>
      </w:r>
      <w:r>
        <w:rPr>
          <w:rFonts w:ascii="Arial" w:cs="Arial" w:eastAsia="Arial" w:hAnsi="Arial"/>
          <w:sz w:val="15"/>
          <w:szCs w:val="15"/>
          <w:color w:val="auto"/>
        </w:rPr>
        <w:t>are fully synthetic, short peptides consisting of nine to 15 amino acids constrained to form two loops which stabilize the structural geometry of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peptide and facilitate target binding with high affinity and selectivity. </w:t>
      </w:r>
      <w:r>
        <w:rPr>
          <w:rFonts w:ascii="Arial" w:cs="Arial" w:eastAsia="Arial" w:hAnsi="Arial"/>
          <w:sz w:val="15"/>
          <w:szCs w:val="15"/>
          <w:i w:val="1"/>
          <w:iCs w:val="1"/>
          <w:color w:val="auto"/>
        </w:rPr>
        <w:t>Bicycles</w:t>
      </w:r>
      <w:r>
        <w:rPr>
          <w:rFonts w:ascii="Arial" w:cs="Arial" w:eastAsia="Arial" w:hAnsi="Arial"/>
          <w:sz w:val="15"/>
          <w:szCs w:val="15"/>
          <w:color w:val="auto"/>
        </w:rPr>
        <w:t xml:space="preserve"> represent a unique therapeutic class, combining the pharmacological properties normally associated with a biologic with the manufacturing and PK advantages of a small molecule, with no signs of immunogenicity observed to date.</w:t>
      </w:r>
    </w:p>
    <w:p>
      <w:pPr>
        <w:spacing w:after="0" w:line="160"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 xml:space="preserve">Drugs must bind to target proteins with high affinity and selectivity to achieve a therapeutic effect, while minimizing undesired effects on other proteins and physiological functions. Peptides exist in a number of folded states, only a few of which are able to bind to target proteins, and a key challenge for peptide therapeutics is designing structures that achieve these goals. We have designed our molecules to be highly constrained by linking a chemical connector compound, also known as a scaffold, to particular amino acids in the peptide chain. The resulting cyclized molecule, which we refer to as a </w:t>
      </w:r>
      <w:r>
        <w:rPr>
          <w:rFonts w:ascii="Arial" w:cs="Arial" w:eastAsia="Arial" w:hAnsi="Arial"/>
          <w:sz w:val="16"/>
          <w:szCs w:val="16"/>
          <w:i w:val="1"/>
          <w:iCs w:val="1"/>
          <w:color w:val="auto"/>
        </w:rPr>
        <w:t>Bicycle</w:t>
      </w:r>
      <w:r>
        <w:rPr>
          <w:rFonts w:ascii="Arial" w:cs="Arial" w:eastAsia="Arial" w:hAnsi="Arial"/>
          <w:sz w:val="16"/>
          <w:szCs w:val="16"/>
          <w:color w:val="auto"/>
        </w:rPr>
        <w:t>, is locked in the preferred state to bind to the target proteins.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6" w:name="page127"/>
    <w:bookmarkEnd w:id="1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Schematic of the Creation of a Cyclized Molecule Resulting in a Bicycle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133350</wp:posOffset>
            </wp:positionV>
            <wp:extent cx="5310505" cy="16071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10505" cy="160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80" w:firstLine="442"/>
        <w:spacing w:after="0" w:line="214" w:lineRule="auto"/>
        <w:rPr>
          <w:sz w:val="20"/>
          <w:szCs w:val="20"/>
          <w:color w:val="auto"/>
        </w:rPr>
      </w:pPr>
      <w:r>
        <w:rPr>
          <w:rFonts w:ascii="Arial" w:cs="Arial" w:eastAsia="Arial" w:hAnsi="Arial"/>
          <w:sz w:val="16"/>
          <w:szCs w:val="16"/>
          <w:color w:val="auto"/>
        </w:rPr>
        <w:t xml:space="preserve">We have expanded the diversity of the chemical space we can cover from approximately 10 </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potential molecules in 2009 to 10</w:t>
      </w:r>
      <w:r>
        <w:rPr>
          <w:rFonts w:ascii="Arial" w:cs="Arial" w:eastAsia="Arial" w:hAnsi="Arial"/>
          <w:sz w:val="26"/>
          <w:szCs w:val="26"/>
          <w:color w:val="auto"/>
          <w:vertAlign w:val="superscript"/>
        </w:rPr>
        <w:t>17</w:t>
      </w:r>
      <w:r>
        <w:rPr>
          <w:rFonts w:ascii="Arial" w:cs="Arial" w:eastAsia="Arial" w:hAnsi="Arial"/>
          <w:sz w:val="16"/>
          <w:szCs w:val="16"/>
          <w:color w:val="auto"/>
        </w:rPr>
        <w:t xml:space="preserve"> today. We have applied our novel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modality to a growing range of targets, from a single target in 2009 to more than 90 today. We can create a wide range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by varying four parameters:</w:t>
      </w:r>
    </w:p>
    <w:p>
      <w:pPr>
        <w:spacing w:after="0" w:line="188" w:lineRule="exact"/>
        <w:rPr>
          <w:sz w:val="20"/>
          <w:szCs w:val="20"/>
          <w:color w:val="auto"/>
        </w:rPr>
      </w:pPr>
    </w:p>
    <w:p>
      <w:pPr>
        <w:ind w:left="980" w:hanging="493"/>
        <w:spacing w:after="0"/>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number of amino acids in the two loops;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amino acid composition at each position;</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symmetry of the two loops; and</w:t>
      </w:r>
    </w:p>
    <w:p>
      <w:pPr>
        <w:spacing w:after="0" w:line="166" w:lineRule="exact"/>
        <w:rPr>
          <w:rFonts w:ascii="Arial" w:cs="Arial" w:eastAsia="Arial" w:hAnsi="Arial"/>
          <w:sz w:val="16"/>
          <w:szCs w:val="16"/>
          <w:color w:val="auto"/>
        </w:rPr>
      </w:pPr>
    </w:p>
    <w:p>
      <w:pPr>
        <w:ind w:left="980" w:hanging="493"/>
        <w:spacing w:after="0"/>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small molecule scaffold used to cyclize the </w:t>
      </w:r>
      <w:r>
        <w:rPr>
          <w:rFonts w:ascii="Arial" w:cs="Arial" w:eastAsia="Arial" w:hAnsi="Arial"/>
          <w:sz w:val="16"/>
          <w:szCs w:val="16"/>
          <w:i w:val="1"/>
          <w:iCs w:val="1"/>
          <w:color w:val="auto"/>
        </w:rPr>
        <w:t>Bicycle</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Properties of Bicycles as Therapeutic Agents</w:t>
      </w:r>
    </w:p>
    <w:p>
      <w:pPr>
        <w:spacing w:after="0" w:line="195"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i w:val="1"/>
          <w:iCs w:val="1"/>
          <w:color w:val="auto"/>
        </w:rPr>
        <w:t xml:space="preserve">Bicycles </w:t>
      </w:r>
      <w:r>
        <w:rPr>
          <w:rFonts w:ascii="Arial" w:cs="Arial" w:eastAsia="Arial" w:hAnsi="Arial"/>
          <w:sz w:val="16"/>
          <w:szCs w:val="16"/>
          <w:color w:val="auto"/>
        </w:rPr>
        <w:t>have a large surface area available for target binding, which is designed to allow for high affinity and selectivity to the designated target. As short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sequences of amino acids, or peptides, they have a low molecular weight, typically ranging from 1.5 kDa to 2.0 kDa.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have a readily adjustable PK profile with good plasma stability and rapid distribution from the vasculature into the extracellular space. This PK profile enables rapid tissue penetration and a renal route of elimination that minimizes liver exposure. Toxicity issues are observed with small molecules that are metabolized and eliminated by the liver.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peptides, by contrast, are not subject to metabolism or elimination by the liver but are metabolized in the peripheral circulation or kidney with subsequent rapid excretion in the urine. Consequently, by increasing excretion in urine, the liver exposure is minimized and the risk of liver toxicity is reduced. The modular nature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allows us to optimize therapeutic molecules for specific targets. To date, we have observed no signs of immunogenicity.</w:t>
      </w:r>
    </w:p>
    <w:p>
      <w:pPr>
        <w:spacing w:after="0" w:line="170" w:lineRule="exact"/>
        <w:rPr>
          <w:sz w:val="20"/>
          <w:szCs w:val="20"/>
          <w:color w:val="auto"/>
        </w:rPr>
      </w:pPr>
    </w:p>
    <w:p>
      <w:pPr>
        <w:ind w:right="20" w:firstLine="442"/>
        <w:spacing w:after="0" w:line="245" w:lineRule="auto"/>
        <w:rPr>
          <w:sz w:val="20"/>
          <w:szCs w:val="20"/>
          <w:color w:val="auto"/>
        </w:rPr>
      </w:pPr>
      <w:r>
        <w:rPr>
          <w:rFonts w:ascii="Arial" w:cs="Arial" w:eastAsia="Arial" w:hAnsi="Arial"/>
          <w:sz w:val="16"/>
          <w:szCs w:val="16"/>
          <w:color w:val="auto"/>
        </w:rPr>
        <w:t xml:space="preserve">Compared to biologics,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have a lower cost of production and a simpler manufacturing process, and are recognized by regulatory authorities as small molecule new chemical entities.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be readily identified to drug a wide spectrum of targets and target classes, including many that have so far been undruggable with small molecules, such as protein-protein interactions. Our novel and proprietary screening platform allows us to screen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against molecular targets rapidly and efficiently, affording potentially reduced timelines and costs compared to other high-throughput screening approaches. Leveraging our platform, we can rapidly and efficiently identify a compound for development in as few as six months with the historical average time being 12 months after a target has been selected.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Properties of Bicycles May Translate into Potential Therapeutic and Other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133350</wp:posOffset>
            </wp:positionV>
            <wp:extent cx="5170805" cy="2849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70805" cy="2849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Comparison of Bicycles to Other Common Classes of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133350</wp:posOffset>
            </wp:positionV>
            <wp:extent cx="5217795" cy="18402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7795" cy="184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Our Proprietary </w:t>
      </w:r>
      <w:r>
        <w:rPr>
          <w:rFonts w:ascii="Arial" w:cs="Arial" w:eastAsia="Arial" w:hAnsi="Arial"/>
          <w:sz w:val="16"/>
          <w:szCs w:val="16"/>
          <w:b w:val="1"/>
          <w:bCs w:val="1"/>
          <w:i w:val="1"/>
          <w:iCs w:val="1"/>
          <w:color w:val="auto"/>
        </w:rPr>
        <w:t>Bicycle</w:t>
      </w:r>
      <w:r>
        <w:rPr>
          <w:rFonts w:ascii="Arial" w:cs="Arial" w:eastAsia="Arial" w:hAnsi="Arial"/>
          <w:sz w:val="16"/>
          <w:szCs w:val="16"/>
          <w:b w:val="1"/>
          <w:bCs w:val="1"/>
          <w:color w:val="auto"/>
        </w:rPr>
        <w:t xml:space="preserve"> Screening Platform</w:t>
      </w:r>
    </w:p>
    <w:p>
      <w:pPr>
        <w:spacing w:after="0" w:line="199" w:lineRule="exact"/>
        <w:rPr>
          <w:sz w:val="20"/>
          <w:szCs w:val="20"/>
          <w:color w:val="auto"/>
        </w:rPr>
      </w:pPr>
    </w:p>
    <w:p>
      <w:pPr>
        <w:ind w:firstLine="442"/>
        <w:spacing w:after="0" w:line="254" w:lineRule="auto"/>
        <w:rPr>
          <w:sz w:val="20"/>
          <w:szCs w:val="20"/>
          <w:color w:val="auto"/>
        </w:rPr>
      </w:pPr>
      <w:r>
        <w:rPr>
          <w:rFonts w:ascii="Arial" w:cs="Arial" w:eastAsia="Arial" w:hAnsi="Arial"/>
          <w:sz w:val="16"/>
          <w:szCs w:val="16"/>
          <w:color w:val="auto"/>
        </w:rPr>
        <w:t xml:space="preserve">We utilize our novel and proprietary phage display screening platform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are potentially useful in medicine. We have used this technology to identify our current pipeline, and intend to leverage it to develop a broader portfolio of product candidates to address unmet medical needs across a wide range of diseases.</w:t>
      </w:r>
    </w:p>
    <w:p>
      <w:pPr>
        <w:spacing w:after="0" w:line="162" w:lineRule="exact"/>
        <w:rPr>
          <w:sz w:val="20"/>
          <w:szCs w:val="20"/>
          <w:color w:val="auto"/>
        </w:rPr>
      </w:pPr>
    </w:p>
    <w:p>
      <w:pPr>
        <w:ind w:right="280" w:firstLine="442"/>
        <w:spacing w:after="0" w:line="254" w:lineRule="auto"/>
        <w:rPr>
          <w:sz w:val="20"/>
          <w:szCs w:val="20"/>
          <w:color w:val="auto"/>
        </w:rPr>
      </w:pPr>
      <w:r>
        <w:rPr>
          <w:rFonts w:ascii="Arial" w:cs="Arial" w:eastAsia="Arial" w:hAnsi="Arial"/>
          <w:sz w:val="16"/>
          <w:szCs w:val="16"/>
          <w:color w:val="auto"/>
        </w:rPr>
        <w:t xml:space="preserve">Phages are bacteria-infecting viruses consisting of genetic material wrapped in a protein coat. Phages can be harnessed to identify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by splicing DNA into the genome of a phage so that the linear peptides that encode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presented on the surface of the phage. Our founder Sir Greg Winter, a pioneer in phage display, applied this technology and added a cyclization step that</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forms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from these linear peptides. This technology underpins our novel and proprietary screening platform.</w:t>
      </w:r>
    </w:p>
    <w:p>
      <w:pPr>
        <w:spacing w:after="0" w:line="195" w:lineRule="exact"/>
        <w:rPr>
          <w:sz w:val="20"/>
          <w:szCs w:val="20"/>
          <w:color w:val="auto"/>
        </w:rPr>
      </w:pPr>
    </w:p>
    <w:p>
      <w:pPr>
        <w:ind w:right="60" w:firstLine="442"/>
        <w:spacing w:after="0" w:line="247" w:lineRule="auto"/>
        <w:rPr>
          <w:sz w:val="20"/>
          <w:szCs w:val="20"/>
          <w:color w:val="auto"/>
        </w:rPr>
      </w:pPr>
      <w:r>
        <w:rPr>
          <w:rFonts w:ascii="Arial" w:cs="Arial" w:eastAsia="Arial" w:hAnsi="Arial"/>
          <w:sz w:val="16"/>
          <w:szCs w:val="16"/>
          <w:color w:val="auto"/>
        </w:rPr>
        <w:t xml:space="preserve">Our screening process self-selects for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are amenable to attachment, commonly referred to as conjugation, to other molecular payloads such as cytotoxins, innate immune activators or other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be linked together with synthetic ease to create complex molecules with combinatorial pharmacology. Alternatively,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 the form of multimers can also be used as standalone therapeutics, such as those that we are exploring in our T-cell modulator program. We believe that the flexibility of our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and our powerful screening platform allow new therapeutics to be rapidly conceived and reduced to practice to potentially serve diverse therapeutic applications across a wide range of indications.</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Schematic of our Proprietary Bicycle Screening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1637030</wp:posOffset>
            </wp:positionH>
            <wp:positionV relativeFrom="paragraph">
              <wp:posOffset>133350</wp:posOffset>
            </wp:positionV>
            <wp:extent cx="3990975" cy="21043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90975" cy="2104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442"/>
        <w:spacing w:after="0" w:line="247" w:lineRule="auto"/>
        <w:rPr>
          <w:sz w:val="20"/>
          <w:szCs w:val="20"/>
          <w:color w:val="auto"/>
        </w:rPr>
      </w:pPr>
      <w:r>
        <w:rPr>
          <w:rFonts w:ascii="Arial" w:cs="Arial" w:eastAsia="Arial" w:hAnsi="Arial"/>
          <w:sz w:val="16"/>
          <w:szCs w:val="16"/>
          <w:color w:val="auto"/>
        </w:rPr>
        <w:t xml:space="preserve">We have optimized our proprietary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screening platform, enabling the technique to be applied to a diverse range of over 90 challenging targets to date, successfully identifying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for over 80% of these targets, some of which are intractable to small molecules. During these screens,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with diverse pharmacologies were identified, including enzyme inhibitors, receptor antagonists, agonists (partial, full and supra) and neutral site binders. Neutral site binders often bind to entirely novel sites on target proteins, previously undescribed in the scientific literature. These binders can be useful when conjugated with therapeutic payloads since they allow antigen-targeted payload delivery without impacting target function.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 Candidates</w:t>
      </w:r>
    </w:p>
    <w:p>
      <w:pPr>
        <w:spacing w:after="0" w:line="215" w:lineRule="exact"/>
        <w:rPr>
          <w:sz w:val="20"/>
          <w:szCs w:val="20"/>
          <w:color w:val="auto"/>
        </w:rPr>
      </w:pPr>
    </w:p>
    <w:p>
      <w:pPr>
        <w:ind w:right="20" w:firstLine="442"/>
        <w:spacing w:after="0" w:line="244" w:lineRule="auto"/>
        <w:rPr>
          <w:sz w:val="20"/>
          <w:szCs w:val="20"/>
          <w:color w:val="auto"/>
        </w:rPr>
      </w:pPr>
      <w:r>
        <w:rPr>
          <w:rFonts w:ascii="Arial" w:cs="Arial" w:eastAsia="Arial" w:hAnsi="Arial"/>
          <w:sz w:val="16"/>
          <w:szCs w:val="16"/>
          <w:color w:val="auto"/>
        </w:rPr>
        <w:t xml:space="preserve">Our portfolio of internal product candidates is directed to oncology applications where we believe they have the potential to treat a broad spectrum of cancers. We are collaborating with biopharmaceutical companies and organizations in other therapeutic areas, where we believe our proprietary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screening platform can identify therapies to treat diseases with significant unmet medical need.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9" w:name="page130"/>
    <w:bookmarkEnd w:id="1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Pipeline</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key information about our pipeline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78095" cy="25857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78095" cy="258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Oncology Programs</w:t>
      </w:r>
    </w:p>
    <w:p>
      <w:pPr>
        <w:spacing w:after="0" w:line="197" w:lineRule="exact"/>
        <w:rPr>
          <w:sz w:val="20"/>
          <w:szCs w:val="20"/>
          <w:color w:val="auto"/>
        </w:rPr>
      </w:pPr>
    </w:p>
    <w:p>
      <w:pPr>
        <w:ind w:right="440" w:firstLine="442"/>
        <w:spacing w:after="0" w:line="254" w:lineRule="auto"/>
        <w:rPr>
          <w:sz w:val="20"/>
          <w:szCs w:val="20"/>
          <w:color w:val="auto"/>
        </w:rPr>
      </w:pPr>
      <w:r>
        <w:rPr>
          <w:rFonts w:ascii="Arial" w:cs="Arial" w:eastAsia="Arial" w:hAnsi="Arial"/>
          <w:sz w:val="16"/>
          <w:szCs w:val="16"/>
          <w:color w:val="auto"/>
        </w:rPr>
        <w:t xml:space="preserve">We believe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an ideal vehicle to deliver small molecule payloads to tumors, both as potent cytotoxins in the case of BTCs, as well as small molecule agonists of the immune system in the case of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-targeted immune activators. We believe that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conjugates can offer improved performance as compared to antibody-mediated delivery.</w:t>
      </w:r>
    </w:p>
    <w:p>
      <w:pPr>
        <w:spacing w:after="0" w:line="162" w:lineRule="exact"/>
        <w:rPr>
          <w:sz w:val="20"/>
          <w:szCs w:val="20"/>
          <w:color w:val="auto"/>
        </w:rPr>
      </w:pPr>
    </w:p>
    <w:p>
      <w:pPr>
        <w:ind w:right="80" w:firstLine="442"/>
        <w:spacing w:after="0" w:line="249" w:lineRule="auto"/>
        <w:rPr>
          <w:sz w:val="20"/>
          <w:szCs w:val="20"/>
          <w:color w:val="auto"/>
        </w:rPr>
      </w:pPr>
      <w:r>
        <w:rPr>
          <w:rFonts w:ascii="Arial" w:cs="Arial" w:eastAsia="Arial" w:hAnsi="Arial"/>
          <w:sz w:val="16"/>
          <w:szCs w:val="16"/>
          <w:color w:val="auto"/>
        </w:rPr>
        <w:t xml:space="preserve">In addition to their use as drug conjugates,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also be configured for use as standalone therapeutics in the form of multimers. We have identified </w:t>
      </w:r>
      <w:r>
        <w:rPr>
          <w:rFonts w:ascii="Arial" w:cs="Arial" w:eastAsia="Arial" w:hAnsi="Arial"/>
          <w:sz w:val="16"/>
          <w:szCs w:val="16"/>
          <w:i w:val="1"/>
          <w:iCs w:val="1"/>
          <w:color w:val="auto"/>
        </w:rPr>
        <w:t xml:space="preserve">Bicycles </w:t>
      </w:r>
      <w:r>
        <w:rPr>
          <w:rFonts w:ascii="Arial" w:cs="Arial" w:eastAsia="Arial" w:hAnsi="Arial"/>
          <w:sz w:val="16"/>
          <w:szCs w:val="16"/>
          <w:color w:val="auto"/>
        </w:rPr>
        <w:t>that have been observed to directly interact with CD137, a key immune cell co-stimulatory molecule. We believe our CD137-targeting</w:t>
      </w:r>
      <w:r>
        <w:rPr>
          <w:rFonts w:ascii="Arial" w:cs="Arial" w:eastAsia="Arial" w:hAnsi="Arial"/>
          <w:sz w:val="16"/>
          <w:szCs w:val="16"/>
          <w:i w:val="1"/>
          <w:iCs w:val="1"/>
          <w:color w:val="auto"/>
        </w:rPr>
        <w:t xml:space="preserve"> Bicycles </w:t>
      </w:r>
      <w:r>
        <w:rPr>
          <w:rFonts w:ascii="Arial" w:cs="Arial" w:eastAsia="Arial" w:hAnsi="Arial"/>
          <w:sz w:val="16"/>
          <w:szCs w:val="16"/>
          <w:color w:val="auto"/>
        </w:rPr>
        <w:t>may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overcome limitations inherent in antibody-mediated approaches and have the potential to be converted into simple "bi-specific" immune cell-engaging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molecules.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Bicycle Toxin Conjugates</w:t>
      </w:r>
    </w:p>
    <w:p>
      <w:pPr>
        <w:spacing w:after="0" w:line="211"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Within our BTC programs, we are developing BT1718 (carrying a DM1 cytotoxin payload), which is designed to target MT1-MMP expressing tumors. BT1718 is currently being investigated for safety, tolerability and efficacy in an ongoing Phase I/IIa clinical trial that is being conducted in collaboration with CRUK. We expect to receive preliminary data from the Phase I part of this clinical trial in the second half of 2019. We are also conducting IND-enabling activities for BT5528 and BT8009 (carrying a monomethyl auristatin E, or MMAE cytotoxin payload), targeting EphA2 and Nectin-4, respectively. Studies have demonstrated that MT1-MMP, EphA2 and Nectin-4 are overexpressed in many cancer cell types with high unmet medical needs, including lung cancer, breast, gastric, endometrial, sarcoma pancreatic, bladder, ovarian, esophageal and other cancers. Studies have also shown that tumor overexpression in each of these targets has been associated with poor prognosis in specific cancers. We therefore believe our BTC candidates may address a wide range of cancer types with significant unmet medical need.</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30" w:name="page131"/>
    <w:bookmarkEnd w:id="1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Background</w:t>
      </w:r>
    </w:p>
    <w:p>
      <w:pPr>
        <w:spacing w:after="0" w:line="211"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The discovery of monoclonal antibodies enabled the development of antibody drug conjugates, or ADCs. ADCs link antibodies that target tumor-associated antigens to potent cytotoxins through a process known as conjugation. ADCs are designed to selectively and potently destroy cancer cells by combining the targeting capability of antibodies with the cancer-killing ability of cytotoxins. Despite the growing use of ADCs in treating cancer and high interest in ADC development programs, we believe there are significant challenges to ADCs. The large molecular size of the antibody impairs the penetration of ADCs into tumors. ADCs are generally required to internalize into tumor cells after binding to internalizing tumor antigens to the surface. Finally, the relatively long systemic exposure and subsequent liver clearance generally associated with ADCs result in dose-limiting toxicities such as hematological, liver and gastrointestinal toxicities, and neuropathies.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Properties of Bicycle Toxin Conjugates</w:t>
      </w:r>
    </w:p>
    <w:p>
      <w:pPr>
        <w:spacing w:after="0" w:line="211" w:lineRule="exact"/>
        <w:rPr>
          <w:sz w:val="20"/>
          <w:szCs w:val="20"/>
          <w:color w:val="auto"/>
        </w:rPr>
      </w:pPr>
    </w:p>
    <w:p>
      <w:pPr>
        <w:ind w:right="640" w:firstLine="442"/>
        <w:spacing w:after="0" w:line="249" w:lineRule="auto"/>
        <w:rPr>
          <w:sz w:val="20"/>
          <w:szCs w:val="20"/>
          <w:color w:val="auto"/>
        </w:rPr>
      </w:pPr>
      <w:r>
        <w:rPr>
          <w:rFonts w:ascii="Arial" w:cs="Arial" w:eastAsia="Arial" w:hAnsi="Arial"/>
          <w:sz w:val="16"/>
          <w:szCs w:val="16"/>
          <w:color w:val="auto"/>
        </w:rPr>
        <w:t>We believe the properties of our BTCs may address the challenges associated with ADCs and therefore that our approach has the potential to offer substantial benefits, including:</w:t>
      </w:r>
    </w:p>
    <w:p>
      <w:pPr>
        <w:spacing w:after="0" w:line="163" w:lineRule="exact"/>
        <w:rPr>
          <w:sz w:val="20"/>
          <w:szCs w:val="20"/>
          <w:color w:val="auto"/>
        </w:rPr>
      </w:pPr>
    </w:p>
    <w:p>
      <w:pPr>
        <w:ind w:left="980" w:right="180" w:hanging="493"/>
        <w:spacing w:after="0" w:line="250"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Extensive and rapid tumor penetration. </w:t>
      </w:r>
      <w:r>
        <w:rPr>
          <w:rFonts w:ascii="Arial" w:cs="Arial" w:eastAsia="Arial" w:hAnsi="Arial"/>
          <w:sz w:val="16"/>
          <w:szCs w:val="16"/>
          <w:i w:val="1"/>
          <w:iCs w:val="1"/>
          <w:color w:val="auto"/>
        </w:rPr>
        <w:t>Bicycles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observed in our preclinical studies to penetrate tumors more rapidly and exhibited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penetration to poorly perfused regions of the tumor when compared to a comparator antibody. Preliminary clinical data from three post-dose tumor biopsies in patients from our ongoing Phase I trial of BT1718 is consistent with preclinical observations that the cytotoxin payload DM1 rapidly penetrated the tumor.</w:t>
      </w:r>
    </w:p>
    <w:p>
      <w:pPr>
        <w:spacing w:after="0" w:line="162" w:lineRule="exact"/>
        <w:rPr>
          <w:rFonts w:ascii="Arial" w:cs="Arial" w:eastAsia="Arial" w:hAnsi="Arial"/>
          <w:sz w:val="16"/>
          <w:szCs w:val="16"/>
          <w:color w:val="auto"/>
        </w:rPr>
      </w:pPr>
    </w:p>
    <w:p>
      <w:pPr>
        <w:ind w:left="980" w:right="80" w:hanging="493"/>
        <w:spacing w:after="0" w:line="250"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Retention in tumors. </w:t>
      </w:r>
      <w:r>
        <w:rPr>
          <w:rFonts w:ascii="Arial" w:cs="Arial" w:eastAsia="Arial" w:hAnsi="Arial"/>
          <w:sz w:val="16"/>
          <w:szCs w:val="16"/>
          <w:color w:val="auto"/>
        </w:rPr>
        <w:t>In preclinical studies a tumor antigen targeting</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Bicycle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observed to be retained in the tumor or at least 120 hours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dosing. Preliminary clinical data observed to date from our ongoing Phase I trial of BT1718 is consistent with preclinical observations of post-dose tumor retention. Biopsies taken from three patients following the infusion of BT1718 exhibited retention of the cytotoxin payload DM1 in the tumor at concentrations consistent with preclinical data.</w:t>
      </w:r>
    </w:p>
    <w:p>
      <w:pPr>
        <w:spacing w:after="0" w:line="150" w:lineRule="exact"/>
        <w:rPr>
          <w:rFonts w:ascii="Arial" w:cs="Arial" w:eastAsia="Arial" w:hAnsi="Arial"/>
          <w:sz w:val="16"/>
          <w:szCs w:val="16"/>
          <w:color w:val="auto"/>
        </w:rPr>
      </w:pPr>
    </w:p>
    <w:p>
      <w:pPr>
        <w:ind w:left="980" w:right="20" w:hanging="493"/>
        <w:spacing w:after="0" w:line="256"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Short systemic half-life and renal elimination</w:t>
      </w:r>
      <w:r>
        <w:rPr>
          <w:rFonts w:ascii="Arial" w:cs="Arial" w:eastAsia="Arial" w:hAnsi="Arial"/>
          <w:sz w:val="16"/>
          <w:szCs w:val="16"/>
          <w:i w:val="1"/>
          <w:iCs w:val="1"/>
          <w:color w:val="auto"/>
        </w:rPr>
        <w:t>. Bicycles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observed in clinical and preclinical studies to have a short systemic half-life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approximately 20-30 minutes. Due to their small size,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able to exit the tissue rapidly and are excreted through the kidneys rather than the liver, which we expect will support a favorable toxicity profile.</w:t>
      </w:r>
    </w:p>
    <w:p>
      <w:pPr>
        <w:spacing w:after="0" w:line="144" w:lineRule="exact"/>
        <w:rPr>
          <w:rFonts w:ascii="Arial" w:cs="Arial" w:eastAsia="Arial" w:hAnsi="Arial"/>
          <w:sz w:val="16"/>
          <w:szCs w:val="16"/>
          <w:color w:val="auto"/>
        </w:rPr>
      </w:pPr>
    </w:p>
    <w:p>
      <w:pPr>
        <w:ind w:left="980" w:right="80" w:hanging="493"/>
        <w:spacing w:after="0" w:line="272"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requirement for internalization. </w:t>
      </w:r>
      <w:r>
        <w:rPr>
          <w:rFonts w:ascii="Arial" w:cs="Arial" w:eastAsia="Arial" w:hAnsi="Arial"/>
          <w:sz w:val="16"/>
          <w:szCs w:val="16"/>
          <w:color w:val="auto"/>
        </w:rPr>
        <w:t>Unlike ADCs, which require cellular internalization for activity, BTCs do not require internalization into the 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therefore potentially can target a wider range of tumor antigens.</w:t>
      </w:r>
    </w:p>
    <w:p>
      <w:pPr>
        <w:spacing w:after="0" w:line="145" w:lineRule="exact"/>
        <w:rPr>
          <w:rFonts w:ascii="Arial" w:cs="Arial" w:eastAsia="Arial" w:hAnsi="Arial"/>
          <w:sz w:val="16"/>
          <w:szCs w:val="16"/>
          <w:color w:val="auto"/>
        </w:rPr>
      </w:pPr>
    </w:p>
    <w:p>
      <w:pPr>
        <w:ind w:left="980" w:right="60" w:hanging="493"/>
        <w:spacing w:after="0" w:line="256"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Access to non-expressing tumor cells. </w:t>
      </w:r>
      <w:r>
        <w:rPr>
          <w:rFonts w:ascii="Arial" w:cs="Arial" w:eastAsia="Arial" w:hAnsi="Arial"/>
          <w:sz w:val="16"/>
          <w:szCs w:val="16"/>
          <w:color w:val="auto"/>
        </w:rPr>
        <w:t>The toxin in our BTCs is liberated in the extracellular space, enabling cell-killing adjacent cells that do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express the specific target through a toxin bystander effect. In our preclinical studies, we observed activity for BTCs even in tumors that were heterogeneous for target expression.</w:t>
      </w:r>
    </w:p>
    <w:p>
      <w:pPr>
        <w:spacing w:after="0" w:line="144" w:lineRule="exact"/>
        <w:rPr>
          <w:rFonts w:ascii="Arial" w:cs="Arial" w:eastAsia="Arial" w:hAnsi="Arial"/>
          <w:sz w:val="16"/>
          <w:szCs w:val="16"/>
          <w:color w:val="auto"/>
        </w:rPr>
      </w:pPr>
    </w:p>
    <w:p>
      <w:pPr>
        <w:ind w:left="980" w:right="540" w:hanging="493"/>
        <w:spacing w:after="0" w:line="272"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Larger toxin payload. </w:t>
      </w:r>
      <w:r>
        <w:rPr>
          <w:rFonts w:ascii="Arial" w:cs="Arial" w:eastAsia="Arial" w:hAnsi="Arial"/>
          <w:sz w:val="16"/>
          <w:szCs w:val="16"/>
          <w:color w:val="auto"/>
        </w:rPr>
        <w:t>Despite the small size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Bicycles</w:t>
      </w:r>
      <w:r>
        <w:rPr>
          <w:rFonts w:ascii="Arial" w:cs="Arial" w:eastAsia="Arial" w:hAnsi="Arial"/>
          <w:sz w:val="16"/>
          <w:szCs w:val="16"/>
          <w:color w:val="auto"/>
        </w:rPr>
        <w:t>, they are able to carry a larger dose of toxin per unit mass than a comparator ADC.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Therefore, we believe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deliver a higher concentration of the linked toxin to increase the probability of tumor killing.</w:t>
      </w:r>
    </w:p>
    <w:p>
      <w:pPr>
        <w:spacing w:after="0" w:line="133" w:lineRule="exact"/>
        <w:rPr>
          <w:rFonts w:ascii="Arial" w:cs="Arial" w:eastAsia="Arial" w:hAnsi="Arial"/>
          <w:sz w:val="16"/>
          <w:szCs w:val="16"/>
          <w:color w:val="auto"/>
        </w:rPr>
      </w:pPr>
    </w:p>
    <w:p>
      <w:pPr>
        <w:ind w:left="980" w:right="260" w:hanging="493"/>
        <w:spacing w:after="0" w:line="272"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Manufacturing. </w:t>
      </w:r>
      <w:r>
        <w:rPr>
          <w:rFonts w:ascii="Arial" w:cs="Arial" w:eastAsia="Arial" w:hAnsi="Arial"/>
          <w:sz w:val="16"/>
          <w:szCs w:val="16"/>
          <w:color w:val="auto"/>
        </w:rPr>
        <w:t>The fully synthetic process by which</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Bicycles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manufactured facilitates ease and consistency of manufacturing and improved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formulation compared to ADCs.</w:t>
      </w:r>
    </w:p>
    <w:p>
      <w:pPr>
        <w:spacing w:after="0" w:line="147" w:lineRule="exact"/>
        <w:rPr>
          <w:sz w:val="20"/>
          <w:szCs w:val="20"/>
          <w:color w:val="auto"/>
        </w:rPr>
      </w:pPr>
    </w:p>
    <w:p>
      <w:pPr>
        <w:ind w:right="40" w:firstLine="442"/>
        <w:spacing w:after="0" w:line="270" w:lineRule="auto"/>
        <w:rPr>
          <w:sz w:val="20"/>
          <w:szCs w:val="20"/>
          <w:color w:val="auto"/>
        </w:rPr>
      </w:pPr>
      <w:r>
        <w:rPr>
          <w:rFonts w:ascii="Arial" w:cs="Arial" w:eastAsia="Arial" w:hAnsi="Arial"/>
          <w:sz w:val="16"/>
          <w:szCs w:val="16"/>
          <w:color w:val="auto"/>
        </w:rPr>
        <w:t xml:space="preserve">In order to compare the ability of a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conjugate and an antibody conjugate to penetrate a tumor, using positron emission tomography, or PET, imaging, we compared a radiolabeled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1" w:name="page132"/>
    <w:bookmarkEnd w:id="1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 xml:space="preserve">Bicycle </w:t>
      </w:r>
      <w:r>
        <w:rPr>
          <w:rFonts w:ascii="Arial" w:cs="Arial" w:eastAsia="Arial" w:hAnsi="Arial"/>
          <w:sz w:val="16"/>
          <w:szCs w:val="16"/>
          <w:color w:val="auto"/>
        </w:rPr>
        <w:t>to an antibody directed at the same target in a preclinical rodent study. As shown in the figure below, we observed that 15% to 20% of the injected dose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 gram was detected after administration of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in the tumor at 40 to 60 minutes, with no antibody detectable in the tumor during this time. We also observed accumulation of the balance of the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 the bladder and kidneys, indicating rapid renal excretion. In contrast, the antibody was detected in the vasculature.</w:t>
      </w: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i w:val="1"/>
          <w:iCs w:val="1"/>
          <w:color w:val="auto"/>
        </w:rPr>
        <w:t>PET Imaging Revealing Payload Delivery in a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133350</wp:posOffset>
            </wp:positionV>
            <wp:extent cx="2569845" cy="2197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9845" cy="2197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80" w:firstLine="442"/>
        <w:spacing w:after="0" w:line="270" w:lineRule="auto"/>
        <w:rPr>
          <w:sz w:val="20"/>
          <w:szCs w:val="20"/>
          <w:color w:val="auto"/>
        </w:rPr>
      </w:pPr>
      <w:r>
        <w:rPr>
          <w:rFonts w:ascii="Arial" w:cs="Arial" w:eastAsia="Arial" w:hAnsi="Arial"/>
          <w:sz w:val="16"/>
          <w:szCs w:val="16"/>
          <w:color w:val="auto"/>
        </w:rPr>
        <w:t xml:space="preserve">In addition, in a preclinical rodent study using photoacoustic imaging, we observed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were retained in the tumor for 24 hours and at levels substantially in excess of those observed with a comparator antibody.</w:t>
      </w:r>
    </w:p>
    <w:p>
      <w:pPr>
        <w:spacing w:after="0" w:line="164" w:lineRule="exact"/>
        <w:rPr>
          <w:sz w:val="20"/>
          <w:szCs w:val="20"/>
          <w:color w:val="auto"/>
        </w:rPr>
      </w:pPr>
    </w:p>
    <w:p>
      <w:pPr>
        <w:jc w:val="both"/>
        <w:ind w:right="320" w:firstLine="439"/>
        <w:spacing w:after="0" w:line="244" w:lineRule="auto"/>
        <w:rPr>
          <w:sz w:val="20"/>
          <w:szCs w:val="20"/>
          <w:color w:val="auto"/>
        </w:rPr>
      </w:pPr>
      <w:r>
        <w:rPr>
          <w:rFonts w:ascii="Arial" w:cs="Arial" w:eastAsia="Arial" w:hAnsi="Arial"/>
          <w:sz w:val="16"/>
          <w:szCs w:val="16"/>
          <w:color w:val="auto"/>
        </w:rPr>
        <w:t>The figure below summarizes the results of a preclinical rodent xenograft model that investigated payload concentrations over time in different organ systems after administration of a BTC. In this model, we observed the toxin payload was retained in the target-expressing tumor over time, but was rapidly eliminated from other tissues.</w:t>
      </w:r>
    </w:p>
    <w:p>
      <w:pPr>
        <w:spacing w:after="0" w:line="350" w:lineRule="exact"/>
        <w:rPr>
          <w:sz w:val="20"/>
          <w:szCs w:val="20"/>
          <w:color w:val="auto"/>
        </w:rPr>
      </w:pPr>
    </w:p>
    <w:p>
      <w:pPr>
        <w:ind w:left="2180"/>
        <w:spacing w:after="0"/>
        <w:rPr>
          <w:sz w:val="20"/>
          <w:szCs w:val="20"/>
          <w:color w:val="auto"/>
        </w:rPr>
      </w:pPr>
      <w:r>
        <w:rPr>
          <w:rFonts w:ascii="Arial" w:cs="Arial" w:eastAsia="Arial" w:hAnsi="Arial"/>
          <w:sz w:val="16"/>
          <w:szCs w:val="16"/>
          <w:b w:val="1"/>
          <w:bCs w:val="1"/>
          <w:i w:val="1"/>
          <w:iCs w:val="1"/>
          <w:color w:val="auto"/>
        </w:rPr>
        <w:t>Payload Concentrations Over Time in Different Organ Systems After Administration of a BTC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133350</wp:posOffset>
            </wp:positionV>
            <wp:extent cx="3726815" cy="22129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726815" cy="221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believe these data demonstrate the potential of BTCs to have long-term sustained activity and to limit the toxicity that is associated with ADCs.</w:t>
      </w:r>
    </w:p>
    <w:p>
      <w:pPr>
        <w:spacing w:after="0" w:line="19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160"/>
          </w:cols>
          <w:pgMar w:left="240" w:top="142" w:right="499" w:bottom="1440" w:gutter="0" w:footer="0" w:header="0"/>
        </w:sectPr>
      </w:pPr>
    </w:p>
    <w:bookmarkStart w:id="132" w:name="page133"/>
    <w:bookmarkEnd w:id="1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BT1718</w:t>
      </w:r>
    </w:p>
    <w:p>
      <w:pPr>
        <w:spacing w:after="0" w:line="211" w:lineRule="exact"/>
        <w:rPr>
          <w:sz w:val="20"/>
          <w:szCs w:val="20"/>
          <w:color w:val="auto"/>
        </w:rPr>
      </w:pPr>
    </w:p>
    <w:p>
      <w:pPr>
        <w:ind w:right="440" w:firstLine="442"/>
        <w:spacing w:after="0" w:line="249" w:lineRule="auto"/>
        <w:rPr>
          <w:sz w:val="20"/>
          <w:szCs w:val="20"/>
          <w:color w:val="auto"/>
        </w:rPr>
      </w:pPr>
      <w:r>
        <w:rPr>
          <w:rFonts w:ascii="Arial" w:cs="Arial" w:eastAsia="Arial" w:hAnsi="Arial"/>
          <w:sz w:val="16"/>
          <w:szCs w:val="16"/>
          <w:color w:val="auto"/>
        </w:rPr>
        <w:t xml:space="preserve">Our lead product candidate, BT1718, is a BTC that we are developing for oncology indications. The molecule is comprised of our MT1-MMP targeting </w:t>
      </w:r>
      <w:r>
        <w:rPr>
          <w:rFonts w:ascii="Arial" w:cs="Arial" w:eastAsia="Arial" w:hAnsi="Arial"/>
          <w:sz w:val="16"/>
          <w:szCs w:val="16"/>
          <w:i w:val="1"/>
          <w:iCs w:val="1"/>
          <w:color w:val="auto"/>
        </w:rPr>
        <w:t>Bicycle</w:t>
      </w:r>
      <w:r>
        <w:rPr>
          <w:rFonts w:ascii="Arial" w:cs="Arial" w:eastAsia="Arial" w:hAnsi="Arial"/>
          <w:sz w:val="16"/>
          <w:szCs w:val="16"/>
          <w:color w:val="auto"/>
        </w:rPr>
        <w:t>, a hindered disulphide cleavable linker and a cytotoxin DM1 payload.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Schematic of BT1718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133350</wp:posOffset>
            </wp:positionV>
            <wp:extent cx="4378960" cy="12807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78960" cy="1280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0" w:firstLine="442"/>
        <w:spacing w:after="0" w:line="242" w:lineRule="auto"/>
        <w:rPr>
          <w:sz w:val="20"/>
          <w:szCs w:val="20"/>
          <w:color w:val="auto"/>
        </w:rPr>
      </w:pPr>
      <w:r>
        <w:rPr>
          <w:rFonts w:ascii="Arial" w:cs="Arial" w:eastAsia="Arial" w:hAnsi="Arial"/>
          <w:sz w:val="16"/>
          <w:szCs w:val="16"/>
          <w:color w:val="auto"/>
        </w:rPr>
        <w:t>MT1-MMP is a matrix metalloprotease involved in tissue remodeling and is generally expressed at relatively low levels in normal adult tissues. MT1-MMP has an established role in cell invasion and metastasis, and we believe that MT1-MMP is an attractive target for cytotoxin delivery due to its high level of expression on stromal and tumor cell subsets in various cancers. We estimate that MT1-MMP expression ranges from approximately 58% to up to 100% of the ovarian, bladder, lung, endometrial and triple negative breast cancer samples we have tested, depending on cancer type.</w:t>
      </w:r>
    </w:p>
    <w:p>
      <w:pPr>
        <w:spacing w:after="0" w:line="187" w:lineRule="exact"/>
        <w:rPr>
          <w:sz w:val="20"/>
          <w:szCs w:val="20"/>
          <w:color w:val="auto"/>
        </w:rPr>
      </w:pPr>
    </w:p>
    <w:p>
      <w:pPr>
        <w:ind w:right="40" w:firstLine="442"/>
        <w:spacing w:after="0" w:line="242" w:lineRule="auto"/>
        <w:rPr>
          <w:sz w:val="20"/>
          <w:szCs w:val="20"/>
          <w:color w:val="auto"/>
        </w:rPr>
      </w:pPr>
      <w:r>
        <w:rPr>
          <w:rFonts w:ascii="Arial" w:cs="Arial" w:eastAsia="Arial" w:hAnsi="Arial"/>
          <w:sz w:val="16"/>
          <w:szCs w:val="16"/>
          <w:color w:val="auto"/>
        </w:rPr>
        <w:t>In our preclinical studies, we observed that BT1718 was associated with the greatest anti-tumor effect when membrane staining for MT1-MMP was high. Tumors with lower levels of expression of MT1-MMP were observed to have reduced levels of response to BT1718. We are collaborating with leading cancer researchers to determine MT1-MMP expression levels across a panel of tumor types, which will help inform patient selection for further clinical development. One of the goals of our clinical trials is to better understand the relationship between the level of target expression and activity of BT1718.</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not aware of any other cytotoxin conjugates in development that target MT1-MMP.</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Preclinical Experience</w:t>
      </w:r>
    </w:p>
    <w:p>
      <w:pPr>
        <w:spacing w:after="0" w:line="195"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 xml:space="preserve">BT1718 has been dosed in multiple species, including rodents and non-human primates.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we observed dose-dependent anti-tumor activity following administration of BT1718 with disease stabilization or regression in multiple xenograft models across tumor types including lung, breast, gastric, head and neck, fibrosarcoma and colorectal. These models utilized an endpoint of tumor volume, as calculated from standard caliper measurements of subcutaneous tumor and measured through the course of the preclinical study and at the end of the preclinical study to evaluate the activity of BT1718. A 3 mg/kg dose of BT1718 administered biweekly was observed to be associated with stable disease or tumor regression in several models. Further, the highest dose of BT1718 tested, 10 mg/kg administered biweekly, was observed to be associated with complete regressions in the majority of MT1-MMP-expressing xenograft tumors tested, with most mice remaining tumor-free for up to 60 days after the last dose, following which the study ended.</w:t>
      </w:r>
    </w:p>
    <w:p>
      <w:pPr>
        <w:spacing w:after="0" w:line="186" w:lineRule="exact"/>
        <w:rPr>
          <w:sz w:val="20"/>
          <w:szCs w:val="20"/>
          <w:color w:val="auto"/>
        </w:rPr>
      </w:pPr>
    </w:p>
    <w:p>
      <w:pPr>
        <w:ind w:right="260" w:firstLine="442"/>
        <w:spacing w:after="0" w:line="249" w:lineRule="auto"/>
        <w:rPr>
          <w:sz w:val="20"/>
          <w:szCs w:val="20"/>
          <w:color w:val="auto"/>
        </w:rPr>
      </w:pPr>
      <w:r>
        <w:rPr>
          <w:rFonts w:ascii="Arial" w:cs="Arial" w:eastAsia="Arial" w:hAnsi="Arial"/>
          <w:sz w:val="16"/>
          <w:szCs w:val="16"/>
          <w:color w:val="auto"/>
        </w:rPr>
        <w:t>BT1718 was also evaluated in two lung adenocarcinoma patient-derived xenograft models, one sensitive to, and one resistant to, docetaxel, a marketed chemotherapy medication. In both cases, we observed that BT1718 treatment at a dose of 3 mg/kg administered twice per week was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33" w:name="page134"/>
    <w:bookmarkEnd w:id="1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a significant reduction of tumor volume. Further, a 10 mg/kg dose of BT1718 administered twice per week was associated with complete and durable regression of tumors. In the docetaxel resistant model, we observed that BT1718 at both doses tested was associated with statistically significant responses, whereas docetaxel, at its maximum-tolerated dose, was not. To determine whether data is statistically significant, we use a "p-value," which represents the probability that random chance could explain the results. Generally, a p-value less than 0.05 is considered statistically significant, and may be supportive of a finding of efficacy by regulatory authorities. However, regulatory authorities, including the FDA and EMA, do not rely on strict statistical significance thresholds as criteria for marketing approval and maintain the flexibility to evaluate the overall risks and benefits of a treatment. If not otherwise specified, we used a conventional 5% or lower p-value (p &lt; 0.05) to define statistical significance for the clinical trials and studies and data presented in this prospectus. These models utilized an endpoint of tumor volume, as calculated from standard caliper measurments of subcutaneous tumor and measured through the course of the preclinical study and at the end of the preclinical study to evaluate the activity of BT1718.</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Effect of BT1718 on Tumor Volume in Preclinical Patient-Derived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133350</wp:posOffset>
            </wp:positionV>
            <wp:extent cx="5062220" cy="26555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62220" cy="2655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40" w:firstLine="442"/>
        <w:spacing w:after="0" w:line="249" w:lineRule="auto"/>
        <w:rPr>
          <w:sz w:val="20"/>
          <w:szCs w:val="20"/>
          <w:color w:val="auto"/>
        </w:rPr>
      </w:pPr>
      <w:r>
        <w:rPr>
          <w:rFonts w:ascii="Arial" w:cs="Arial" w:eastAsia="Arial" w:hAnsi="Arial"/>
          <w:sz w:val="16"/>
          <w:szCs w:val="16"/>
          <w:color w:val="auto"/>
        </w:rPr>
        <w:t xml:space="preserve">We also evaluated the PK profile of BT1718 in several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In these studies, we observed that BT1718 exhibited a consistent PK profile across species, as well as behavior consistent with our expectations of a BTC, including a volume of distribution approximately equal to extracellular fluid, rapid clearance and a short systemic half-life. These studies utilized an endpoint of tumor volume, as calculated from standard caliper measurments of subcutaneous tumor and measured through the course of the preclinical study and at the end of the preclinical study to evaluate the activity of BT1718.</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4" w:name="page135"/>
    <w:bookmarkEnd w:id="134"/>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60" w:lineRule="exact"/>
        <w:rPr>
          <w:sz w:val="20"/>
          <w:szCs w:val="20"/>
          <w:color w:val="auto"/>
        </w:rPr>
      </w:pPr>
    </w:p>
    <w:tbl>
      <w:tblPr>
        <w:tblLayout w:type="fixed"/>
        <w:tblInd w:w="1722"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3340" w:type="dxa"/>
            <w:vAlign w:val="bottom"/>
            <w:gridSpan w:val="3"/>
          </w:tcPr>
          <w:p>
            <w:pPr>
              <w:jc w:val="right"/>
              <w:ind w:right="41"/>
              <w:spacing w:after="0"/>
              <w:rPr>
                <w:sz w:val="20"/>
                <w:szCs w:val="20"/>
                <w:color w:val="auto"/>
              </w:rPr>
            </w:pPr>
            <w:r>
              <w:rPr>
                <w:rFonts w:ascii="Arial" w:cs="Arial" w:eastAsia="Arial" w:hAnsi="Arial"/>
                <w:sz w:val="16"/>
                <w:szCs w:val="16"/>
                <w:b w:val="1"/>
                <w:bCs w:val="1"/>
                <w:i w:val="1"/>
                <w:iCs w:val="1"/>
                <w:color w:val="auto"/>
              </w:rPr>
              <w:t>Pharmacokinetic Profile of BT1718</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Volume of</w:t>
            </w:r>
          </w:p>
        </w:tc>
        <w:tc>
          <w:tcPr>
            <w:tcW w:w="16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Terminal half-life</w:t>
            </w: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ind w:right="221"/>
              <w:spacing w:after="0" w:line="146" w:lineRule="exact"/>
              <w:rPr>
                <w:sz w:val="20"/>
                <w:szCs w:val="20"/>
                <w:color w:val="auto"/>
              </w:rPr>
            </w:pPr>
            <w:r>
              <w:rPr>
                <w:rFonts w:ascii="Arial" w:cs="Arial" w:eastAsia="Arial" w:hAnsi="Arial"/>
                <w:sz w:val="16"/>
                <w:szCs w:val="16"/>
                <w:color w:val="auto"/>
              </w:rPr>
              <w:t>Clearance</w:t>
            </w:r>
          </w:p>
        </w:tc>
        <w:tc>
          <w:tcPr>
            <w:tcW w:w="140" w:type="dxa"/>
            <w:vAlign w:val="bottom"/>
          </w:tcPr>
          <w:p>
            <w:pPr>
              <w:spacing w:after="0"/>
              <w:rPr>
                <w:sz w:val="12"/>
                <w:szCs w:val="12"/>
                <w:color w:val="auto"/>
              </w:rPr>
            </w:pPr>
          </w:p>
        </w:tc>
        <w:tc>
          <w:tcPr>
            <w:tcW w:w="900" w:type="dxa"/>
            <w:vAlign w:val="bottom"/>
          </w:tcPr>
          <w:p>
            <w:pPr>
              <w:jc w:val="right"/>
              <w:spacing w:after="0" w:line="146" w:lineRule="exact"/>
              <w:rPr>
                <w:sz w:val="20"/>
                <w:szCs w:val="20"/>
                <w:color w:val="auto"/>
              </w:rPr>
            </w:pPr>
            <w:r>
              <w:rPr>
                <w:rFonts w:ascii="Arial" w:cs="Arial" w:eastAsia="Arial" w:hAnsi="Arial"/>
                <w:sz w:val="16"/>
                <w:szCs w:val="16"/>
                <w:color w:val="auto"/>
              </w:rPr>
              <w:t>distribution</w:t>
            </w: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Preclinical Species</w:t>
            </w:r>
          </w:p>
        </w:tc>
        <w:tc>
          <w:tcPr>
            <w:tcW w:w="1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(CLp; mL/min/kg)</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(Vss; L/kg)</w:t>
            </w:r>
          </w:p>
        </w:tc>
        <w:tc>
          <w:tcPr>
            <w:tcW w:w="160" w:type="dxa"/>
            <w:vAlign w:val="bottom"/>
          </w:tcPr>
          <w:p>
            <w:pPr>
              <w:spacing w:after="0"/>
              <w:rPr>
                <w:sz w:val="19"/>
                <w:szCs w:val="19"/>
                <w:color w:val="auto"/>
              </w:rPr>
            </w:pPr>
          </w:p>
        </w:tc>
        <w:tc>
          <w:tcPr>
            <w:tcW w:w="1260" w:type="dxa"/>
            <w:vAlign w:val="bottom"/>
            <w:tcBorders>
              <w:bottom w:val="single" w:sz="8" w:color="auto"/>
            </w:tcBorders>
          </w:tcPr>
          <w:p>
            <w:pPr>
              <w:jc w:val="right"/>
              <w:ind w:right="102"/>
              <w:spacing w:after="0" w:line="217" w:lineRule="exact"/>
              <w:rPr>
                <w:sz w:val="20"/>
                <w:szCs w:val="20"/>
                <w:color w:val="auto"/>
              </w:rPr>
            </w:pPr>
            <w:r>
              <w:rPr>
                <w:rFonts w:ascii="Arial" w:cs="Arial" w:eastAsia="Arial" w:hAnsi="Arial"/>
                <w:sz w:val="15"/>
                <w:szCs w:val="15"/>
                <w:color w:val="auto"/>
              </w:rPr>
              <w:t>(t</w:t>
            </w:r>
            <w:r>
              <w:rPr>
                <w:rFonts w:ascii="Arial" w:cs="Arial" w:eastAsia="Arial" w:hAnsi="Arial"/>
                <w:sz w:val="25"/>
                <w:szCs w:val="25"/>
                <w:color w:val="auto"/>
                <w:vertAlign w:val="superscript"/>
              </w:rPr>
              <w:t>1</w:t>
            </w:r>
            <w:r>
              <w:rPr>
                <w:rFonts w:ascii="Arial" w:cs="Arial" w:eastAsia="Arial" w:hAnsi="Arial"/>
                <w:sz w:val="15"/>
                <w:szCs w:val="15"/>
                <w:color w:val="auto"/>
              </w:rPr>
              <w:t>/</w:t>
            </w:r>
            <w:r>
              <w:rPr>
                <w:rFonts w:ascii="Arial" w:cs="Arial" w:eastAsia="Arial" w:hAnsi="Arial"/>
                <w:sz w:val="13"/>
                <w:szCs w:val="13"/>
                <w:color w:val="auto"/>
              </w:rPr>
              <w:t>2</w:t>
            </w:r>
            <w:r>
              <w:rPr>
                <w:rFonts w:ascii="Arial" w:cs="Arial" w:eastAsia="Arial" w:hAnsi="Arial"/>
                <w:sz w:val="15"/>
                <w:szCs w:val="15"/>
                <w:color w:val="auto"/>
              </w:rPr>
              <w:t>; hours)</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20"/>
                <w:szCs w:val="20"/>
                <w:color w:val="auto"/>
              </w:rPr>
            </w:pPr>
            <w:r>
              <w:rPr>
                <w:rFonts w:ascii="Arial" w:cs="Arial" w:eastAsia="Arial" w:hAnsi="Arial"/>
                <w:sz w:val="16"/>
                <w:szCs w:val="16"/>
                <w:color w:val="auto"/>
              </w:rPr>
              <w:t>Mouse</w:t>
            </w:r>
          </w:p>
        </w:tc>
        <w:tc>
          <w:tcPr>
            <w:tcW w:w="3340" w:type="dxa"/>
            <w:vAlign w:val="bottom"/>
            <w:gridSpan w:val="3"/>
          </w:tcPr>
          <w:p>
            <w:pPr>
              <w:jc w:val="right"/>
              <w:spacing w:after="0"/>
              <w:rPr>
                <w:sz w:val="20"/>
                <w:szCs w:val="20"/>
                <w:color w:val="auto"/>
              </w:rPr>
            </w:pPr>
            <w:r>
              <w:rPr>
                <w:rFonts w:ascii="Arial" w:cs="Arial" w:eastAsia="Arial" w:hAnsi="Arial"/>
                <w:sz w:val="16"/>
                <w:szCs w:val="16"/>
                <w:color w:val="auto"/>
              </w:rPr>
              <w:t>8.4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0.20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3"/>
        </w:trPr>
        <w:tc>
          <w:tcPr>
            <w:tcW w:w="2060" w:type="dxa"/>
            <w:vAlign w:val="bottom"/>
          </w:tcPr>
          <w:p>
            <w:pPr>
              <w:spacing w:after="0"/>
              <w:rPr>
                <w:sz w:val="20"/>
                <w:szCs w:val="20"/>
                <w:color w:val="auto"/>
              </w:rPr>
            </w:pPr>
            <w:r>
              <w:rPr>
                <w:rFonts w:ascii="Arial" w:cs="Arial" w:eastAsia="Arial" w:hAnsi="Arial"/>
                <w:sz w:val="16"/>
                <w:szCs w:val="16"/>
                <w:color w:val="auto"/>
              </w:rPr>
              <w:t>Rat</w:t>
            </w:r>
          </w:p>
        </w:tc>
        <w:tc>
          <w:tcPr>
            <w:tcW w:w="3340" w:type="dxa"/>
            <w:vAlign w:val="bottom"/>
            <w:gridSpan w:val="3"/>
          </w:tcPr>
          <w:p>
            <w:pPr>
              <w:jc w:val="right"/>
              <w:spacing w:after="0"/>
              <w:rPr>
                <w:sz w:val="20"/>
                <w:szCs w:val="20"/>
                <w:color w:val="auto"/>
              </w:rPr>
            </w:pPr>
            <w:r>
              <w:rPr>
                <w:rFonts w:ascii="Arial" w:cs="Arial" w:eastAsia="Arial" w:hAnsi="Arial"/>
                <w:sz w:val="16"/>
                <w:szCs w:val="16"/>
                <w:color w:val="auto"/>
              </w:rPr>
              <w:t>9.4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0.29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2"/>
        </w:trPr>
        <w:tc>
          <w:tcPr>
            <w:tcW w:w="2060" w:type="dxa"/>
            <w:vAlign w:val="bottom"/>
          </w:tcPr>
          <w:p>
            <w:pPr>
              <w:spacing w:after="0"/>
              <w:rPr>
                <w:sz w:val="20"/>
                <w:szCs w:val="20"/>
                <w:color w:val="auto"/>
              </w:rPr>
            </w:pPr>
            <w:r>
              <w:rPr>
                <w:rFonts w:ascii="Arial" w:cs="Arial" w:eastAsia="Arial" w:hAnsi="Arial"/>
                <w:sz w:val="16"/>
                <w:szCs w:val="16"/>
                <w:color w:val="auto"/>
              </w:rPr>
              <w:t>Non-Human Primate</w:t>
            </w:r>
          </w:p>
        </w:tc>
        <w:tc>
          <w:tcPr>
            <w:tcW w:w="334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0.20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82"/>
        <w:spacing w:after="0"/>
        <w:rPr>
          <w:sz w:val="20"/>
          <w:szCs w:val="20"/>
          <w:color w:val="auto"/>
        </w:rPr>
      </w:pPr>
      <w:r>
        <w:rPr>
          <w:rFonts w:ascii="Arial" w:cs="Arial" w:eastAsia="Arial" w:hAnsi="Arial"/>
          <w:sz w:val="16"/>
          <w:szCs w:val="16"/>
          <w:i w:val="1"/>
          <w:iCs w:val="1"/>
          <w:color w:val="auto"/>
        </w:rPr>
        <w:t>Clinical Development</w:t>
      </w:r>
    </w:p>
    <w:p>
      <w:pPr>
        <w:spacing w:after="0" w:line="195" w:lineRule="exact"/>
        <w:rPr>
          <w:sz w:val="20"/>
          <w:szCs w:val="20"/>
          <w:color w:val="auto"/>
        </w:rPr>
      </w:pPr>
    </w:p>
    <w:p>
      <w:pPr>
        <w:ind w:left="842"/>
        <w:spacing w:after="0"/>
        <w:rPr>
          <w:sz w:val="20"/>
          <w:szCs w:val="20"/>
          <w:color w:val="auto"/>
        </w:rPr>
      </w:pPr>
      <w:r>
        <w:rPr>
          <w:rFonts w:ascii="Arial" w:cs="Arial" w:eastAsia="Arial" w:hAnsi="Arial"/>
          <w:sz w:val="16"/>
          <w:szCs w:val="16"/>
          <w:i w:val="1"/>
          <w:iCs w:val="1"/>
          <w:color w:val="auto"/>
        </w:rPr>
        <w:t>Ongoing Phase I/IIa First in Human Clinical Trial</w:t>
      </w:r>
    </w:p>
    <w:p>
      <w:pPr>
        <w:spacing w:after="0" w:line="211" w:lineRule="exact"/>
        <w:rPr>
          <w:sz w:val="20"/>
          <w:szCs w:val="20"/>
          <w:color w:val="auto"/>
        </w:rPr>
      </w:pPr>
    </w:p>
    <w:p>
      <w:pPr>
        <w:ind w:left="2" w:right="200" w:firstLine="442"/>
        <w:spacing w:after="0" w:line="244" w:lineRule="auto"/>
        <w:rPr>
          <w:sz w:val="20"/>
          <w:szCs w:val="20"/>
          <w:color w:val="auto"/>
        </w:rPr>
      </w:pPr>
      <w:r>
        <w:rPr>
          <w:rFonts w:ascii="Arial" w:cs="Arial" w:eastAsia="Arial" w:hAnsi="Arial"/>
          <w:sz w:val="16"/>
          <w:szCs w:val="16"/>
          <w:color w:val="auto"/>
        </w:rPr>
        <w:t>BT1718 is being investigated in an ongoing Phase I/IIa open label dose escalation and expansion clinical trial sponsored by CRUK. Up to 40 patients with advanced solid tumors are being enrolled in the ongoing Phase I part of this trial at three sites in the United Kingdom in which two dosing regimens are being evaluated.</w:t>
      </w:r>
    </w:p>
    <w:p>
      <w:pPr>
        <w:spacing w:after="0" w:line="185" w:lineRule="exact"/>
        <w:rPr>
          <w:sz w:val="20"/>
          <w:szCs w:val="20"/>
          <w:color w:val="auto"/>
        </w:rPr>
      </w:pPr>
    </w:p>
    <w:p>
      <w:pPr>
        <w:ind w:left="2" w:right="100" w:firstLine="439"/>
        <w:spacing w:after="0" w:line="242" w:lineRule="auto"/>
        <w:rPr>
          <w:sz w:val="20"/>
          <w:szCs w:val="20"/>
          <w:color w:val="auto"/>
        </w:rPr>
      </w:pPr>
      <w:r>
        <w:rPr>
          <w:rFonts w:ascii="Arial" w:cs="Arial" w:eastAsia="Arial" w:hAnsi="Arial"/>
          <w:sz w:val="16"/>
          <w:szCs w:val="16"/>
          <w:color w:val="auto"/>
        </w:rPr>
        <w:t>The Phase I part of this clinical trial is enrolling patients with advanced solid tumors, regardless of tumor MT1-MMP expression levels to evaluate the safety and tolerability of BT1718 and establish a recommended Phase 2 dose using two dosing schedules, twice per week and once per week, each as one-hour intravenous infusions. In addition, BT1718 and toxin PK profiles, preliminary efficacy, pharmacodynamic and predictive biomarkers will be explored. We expect to update preliminary data from the Phase I part of this clinical trial in the second half of 2019.</w:t>
      </w:r>
    </w:p>
    <w:p>
      <w:pPr>
        <w:spacing w:after="0" w:line="187" w:lineRule="exact"/>
        <w:rPr>
          <w:sz w:val="20"/>
          <w:szCs w:val="20"/>
          <w:color w:val="auto"/>
        </w:rPr>
      </w:pPr>
    </w:p>
    <w:p>
      <w:pPr>
        <w:ind w:left="2" w:right="100" w:firstLine="442"/>
        <w:spacing w:after="0" w:line="241" w:lineRule="auto"/>
        <w:rPr>
          <w:sz w:val="20"/>
          <w:szCs w:val="20"/>
          <w:color w:val="auto"/>
        </w:rPr>
      </w:pPr>
      <w:r>
        <w:rPr>
          <w:rFonts w:ascii="Arial" w:cs="Arial" w:eastAsia="Arial" w:hAnsi="Arial"/>
          <w:sz w:val="16"/>
          <w:szCs w:val="16"/>
          <w:color w:val="auto"/>
        </w:rPr>
        <w:t>Once a recommended Phase 2 dose has been determined, the Phase IIa part of the trial is expected to commence. In this part of the trial, patients with tumors that express MT1-MMP will be enrolled and we will determine tumor types for investigation in this part of the trial in conjunction with CRUK. Due to their high expression of MT1-MMP, tumor types of interest currently include breast, lung, sarcoma, gastric, ovarian endometrial, bladder, and esophageal cancers. The Phase IIa part will be conducted at up to six sites in the United Kingdom. We plan to enroll patients in up to four expansion cohorts administered with our once-weekly dose. Each cohort will evaluate 16 patients with a specified tumor type.</w:t>
      </w:r>
    </w:p>
    <w:p>
      <w:pPr>
        <w:spacing w:after="0" w:line="189" w:lineRule="exact"/>
        <w:rPr>
          <w:sz w:val="20"/>
          <w:szCs w:val="20"/>
          <w:color w:val="auto"/>
        </w:rPr>
      </w:pPr>
    </w:p>
    <w:p>
      <w:pPr>
        <w:ind w:left="2" w:right="140" w:firstLine="442"/>
        <w:spacing w:after="0" w:line="244" w:lineRule="auto"/>
        <w:rPr>
          <w:sz w:val="20"/>
          <w:szCs w:val="20"/>
          <w:color w:val="auto"/>
        </w:rPr>
      </w:pPr>
      <w:r>
        <w:rPr>
          <w:rFonts w:ascii="Arial" w:cs="Arial" w:eastAsia="Arial" w:hAnsi="Arial"/>
          <w:sz w:val="16"/>
          <w:szCs w:val="16"/>
          <w:color w:val="auto"/>
        </w:rPr>
        <w:t>We expect the endpoints for the Phase IIa part of this clinical trial will be safety and preliminary efficacy in patients with tumors expressing MT1-MMP. Biopsies of tumors will be mandatory in a subset of patients in this part of the study in order to evaluate tumor PK and pharmacodynamic biomarkers of response to BT1718.</w:t>
      </w:r>
    </w:p>
    <w:p>
      <w:pPr>
        <w:spacing w:after="0" w:line="18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The Phase I part of the clinical trial commenced in early 2018 and this part of the trial remains ongoing. As of March 31, 2019, six cohorts of patients (N =</w:t>
      </w:r>
    </w:p>
    <w:p>
      <w:pPr>
        <w:ind w:left="2" w:right="20" w:hanging="2"/>
        <w:spacing w:after="0" w:line="183" w:lineRule="auto"/>
        <w:tabs>
          <w:tab w:leader="none" w:pos="276" w:val="left"/>
        </w:tabs>
        <w:numPr>
          <w:ilvl w:val="0"/>
          <w:numId w:val="70"/>
        </w:numPr>
        <w:rPr>
          <w:rFonts w:ascii="Arial" w:cs="Arial" w:eastAsia="Arial" w:hAnsi="Arial"/>
          <w:sz w:val="15"/>
          <w:szCs w:val="15"/>
          <w:color w:val="auto"/>
        </w:rPr>
      </w:pPr>
      <w:r>
        <w:rPr>
          <w:rFonts w:ascii="Arial" w:cs="Arial" w:eastAsia="Arial" w:hAnsi="Arial"/>
          <w:sz w:val="15"/>
          <w:szCs w:val="15"/>
          <w:color w:val="auto"/>
        </w:rPr>
        <w:t>have been dosed and evaluated on the twice-weekly schedule, with doses ranging from 0.6 mg/m</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to 9.6 mg/m</w:t>
      </w:r>
      <w:r>
        <w:rPr>
          <w:rFonts w:ascii="Arial" w:cs="Arial" w:eastAsia="Arial" w:hAnsi="Arial"/>
          <w:sz w:val="25"/>
          <w:szCs w:val="25"/>
          <w:color w:val="auto"/>
          <w:vertAlign w:val="superscript"/>
        </w:rPr>
        <w:t>2</w:t>
      </w:r>
      <w:r>
        <w:rPr>
          <w:rFonts w:ascii="Arial" w:cs="Arial" w:eastAsia="Arial" w:hAnsi="Arial"/>
          <w:sz w:val="15"/>
          <w:szCs w:val="15"/>
          <w:color w:val="auto"/>
        </w:rPr>
        <w:t>. For the once a week schedule, two cohorts have been completed at doses of 9.6 mg/m</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and 15 mg/m</w:t>
      </w:r>
      <w:r>
        <w:rPr>
          <w:rFonts w:ascii="Arial" w:cs="Arial" w:eastAsia="Arial" w:hAnsi="Arial"/>
          <w:sz w:val="25"/>
          <w:szCs w:val="25"/>
          <w:color w:val="auto"/>
          <w:vertAlign w:val="superscript"/>
        </w:rPr>
        <w:t>2</w:t>
      </w:r>
      <w:r>
        <w:rPr>
          <w:rFonts w:ascii="Arial" w:cs="Arial" w:eastAsia="Arial" w:hAnsi="Arial"/>
          <w:sz w:val="15"/>
          <w:szCs w:val="15"/>
          <w:color w:val="auto"/>
        </w:rPr>
        <w:t>. In these cohorts, BT1718 exhibited a sufficiently favorable tolerability profile to enable dose escalation</w:t>
      </w:r>
    </w:p>
    <w:p>
      <w:pPr>
        <w:spacing w:after="0" w:line="2" w:lineRule="exact"/>
        <w:rPr>
          <w:sz w:val="20"/>
          <w:szCs w:val="20"/>
          <w:color w:val="auto"/>
        </w:rPr>
      </w:pPr>
    </w:p>
    <w:p>
      <w:pPr>
        <w:ind w:left="2"/>
        <w:spacing w:after="0" w:line="214" w:lineRule="auto"/>
        <w:rPr>
          <w:sz w:val="20"/>
          <w:szCs w:val="20"/>
          <w:color w:val="auto"/>
        </w:rPr>
      </w:pPr>
      <w:r>
        <w:rPr>
          <w:rFonts w:ascii="Arial" w:cs="Arial" w:eastAsia="Arial" w:hAnsi="Arial"/>
          <w:sz w:val="16"/>
          <w:szCs w:val="16"/>
          <w:color w:val="auto"/>
        </w:rPr>
        <w:t>such that patients are currently being enrolled into a 20 mg/m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dose cohort. We observed that following two cycles of the once-weekly dose of 15 mg/m</w:t>
      </w:r>
      <w:r>
        <w:rPr>
          <w:rFonts w:ascii="Arial" w:cs="Arial" w:eastAsia="Arial" w:hAnsi="Arial"/>
          <w:sz w:val="26"/>
          <w:szCs w:val="26"/>
          <w:color w:val="auto"/>
          <w:vertAlign w:val="superscript"/>
        </w:rPr>
        <w:t>2</w:t>
      </w:r>
      <w:r>
        <w:rPr>
          <w:rFonts w:ascii="Arial" w:cs="Arial" w:eastAsia="Arial" w:hAnsi="Arial"/>
          <w:sz w:val="16"/>
          <w:szCs w:val="16"/>
          <w:color w:val="auto"/>
        </w:rPr>
        <w:t>, two out of three patients had stable disease at first disease evaluation. The recommended dose for the weekly schedule is expected to be established in the second half of 2019.</w:t>
      </w:r>
    </w:p>
    <w:p>
      <w:pPr>
        <w:spacing w:after="0" w:line="188" w:lineRule="exact"/>
        <w:rPr>
          <w:sz w:val="20"/>
          <w:szCs w:val="20"/>
          <w:color w:val="auto"/>
        </w:rPr>
      </w:pPr>
    </w:p>
    <w:p>
      <w:pPr>
        <w:ind w:left="442"/>
        <w:spacing w:after="0"/>
        <w:rPr>
          <w:sz w:val="20"/>
          <w:szCs w:val="20"/>
          <w:color w:val="auto"/>
        </w:rPr>
      </w:pPr>
      <w:r>
        <w:rPr>
          <w:rFonts w:ascii="Arial" w:cs="Arial" w:eastAsia="Arial" w:hAnsi="Arial"/>
          <w:sz w:val="16"/>
          <w:szCs w:val="16"/>
          <w:color w:val="auto"/>
        </w:rPr>
        <w:t>Based on the data available to date, the pharmacokinetics of BT1718 are linear with dose, with BT1718 exhibiting a moderate plasma clearance (CLp; ca.</w:t>
      </w:r>
    </w:p>
    <w:p>
      <w:pPr>
        <w:ind w:left="2"/>
        <w:spacing w:after="0"/>
        <w:rPr>
          <w:sz w:val="20"/>
          <w:szCs w:val="20"/>
          <w:color w:val="auto"/>
        </w:rPr>
      </w:pPr>
      <w:r>
        <w:rPr>
          <w:rFonts w:ascii="Arial" w:cs="Arial" w:eastAsia="Arial" w:hAnsi="Arial"/>
          <w:sz w:val="16"/>
          <w:szCs w:val="16"/>
          <w:color w:val="auto"/>
        </w:rPr>
        <w:t>12 mL/min/kg) with a volume of distribution similar to extracellular fluid (Vss; ca. 0.23 L/kg) and a resultant plasma terminal half-life of approximately 14 minutes.</w:t>
      </w:r>
    </w:p>
    <w:p>
      <w:pPr>
        <w:ind w:left="2"/>
        <w:spacing w:after="0"/>
        <w:rPr>
          <w:sz w:val="20"/>
          <w:szCs w:val="20"/>
          <w:color w:val="auto"/>
        </w:rPr>
      </w:pPr>
      <w:r>
        <w:rPr>
          <w:rFonts w:ascii="Arial" w:cs="Arial" w:eastAsia="Arial" w:hAnsi="Arial"/>
          <w:sz w:val="16"/>
          <w:szCs w:val="16"/>
          <w:color w:val="auto"/>
        </w:rPr>
        <w:t>Based on this preliminary clinical pharmacokinetic data, we believe that the clinical pharmacokinetic profile of BT1718 is consistent with preclinical data.</w:t>
      </w:r>
    </w:p>
    <w:p>
      <w:pPr>
        <w:spacing w:after="0" w:line="19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42" w:right="239" w:bottom="1440" w:gutter="0" w:footer="0" w:header="0"/>
        </w:sectPr>
      </w:pPr>
    </w:p>
    <w:bookmarkStart w:id="135" w:name="page136"/>
    <w:bookmarkEnd w:id="1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 w:firstLine="442"/>
        <w:spacing w:after="0" w:line="244" w:lineRule="auto"/>
        <w:rPr>
          <w:sz w:val="20"/>
          <w:szCs w:val="20"/>
          <w:color w:val="auto"/>
        </w:rPr>
      </w:pPr>
      <w:r>
        <w:rPr>
          <w:rFonts w:ascii="Arial" w:cs="Arial" w:eastAsia="Arial" w:hAnsi="Arial"/>
          <w:sz w:val="16"/>
          <w:szCs w:val="16"/>
          <w:color w:val="auto"/>
        </w:rPr>
        <w:t>Based on an analysis of clinical tumor biopsy samples, tumor targeting and retention of the DM1 cytotoxin payload in patients has been exhibited. Concentrations of DM1 in clinical tumor biopsy samples are consistent with preclinical data obtained at partial (4.2 mg/m2) and full (14.4 mg/m2) tumor regression doses in mouse xenograft models.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DM1 levels in clinical and preclinical tumor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134620</wp:posOffset>
            </wp:positionV>
            <wp:extent cx="5310505" cy="30359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1050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BT5528</w:t>
      </w:r>
    </w:p>
    <w:p>
      <w:pPr>
        <w:spacing w:after="0" w:line="195" w:lineRule="exact"/>
        <w:rPr>
          <w:sz w:val="20"/>
          <w:szCs w:val="20"/>
          <w:color w:val="auto"/>
        </w:rPr>
      </w:pPr>
    </w:p>
    <w:p>
      <w:pPr>
        <w:ind w:right="140" w:firstLine="442"/>
        <w:spacing w:after="0" w:line="270" w:lineRule="auto"/>
        <w:rPr>
          <w:sz w:val="20"/>
          <w:szCs w:val="20"/>
          <w:color w:val="auto"/>
        </w:rPr>
      </w:pPr>
      <w:r>
        <w:rPr>
          <w:rFonts w:ascii="Arial" w:cs="Arial" w:eastAsia="Arial" w:hAnsi="Arial"/>
          <w:sz w:val="16"/>
          <w:szCs w:val="16"/>
          <w:color w:val="auto"/>
        </w:rPr>
        <w:t xml:space="preserve">BT5528 is a BTC designed to target EphA2. The molecule is comprised of our EphA2 targeting </w:t>
      </w:r>
      <w:r>
        <w:rPr>
          <w:rFonts w:ascii="Arial" w:cs="Arial" w:eastAsia="Arial" w:hAnsi="Arial"/>
          <w:sz w:val="16"/>
          <w:szCs w:val="16"/>
          <w:i w:val="1"/>
          <w:iCs w:val="1"/>
          <w:color w:val="auto"/>
        </w:rPr>
        <w:t>Bicycle</w:t>
      </w:r>
      <w:r>
        <w:rPr>
          <w:rFonts w:ascii="Arial" w:cs="Arial" w:eastAsia="Arial" w:hAnsi="Arial"/>
          <w:sz w:val="16"/>
          <w:szCs w:val="16"/>
          <w:color w:val="auto"/>
        </w:rPr>
        <w:t>, a valine-citrulline, or val-cit, cleavable linker and a cytotoxin MMAE payload.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Schematic of BT5528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1714500</wp:posOffset>
            </wp:positionH>
            <wp:positionV relativeFrom="paragraph">
              <wp:posOffset>133350</wp:posOffset>
            </wp:positionV>
            <wp:extent cx="3827780" cy="1172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27780" cy="117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EphA2 is a member of the Ephrin superfamily of receptor tyrosine kinases regulating cell migration, adhesion, proliferation and differentiation. EphA2 is expressed at relatively low levels in normal adult tissues, but is overexpressed in numerous difficult to treat tumors including lung, breast, bladder, gastric, ovarian, endometrial, cervical, melanoma, esophageal, pancreatic, and glioma. In both cell-derived and patient-derived preclinical models, we observed target-dependent anti-tumor activity signals following administration of our EphA2 toxin conjugates.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36" w:name="page137"/>
    <w:bookmarkEnd w:id="1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EphA2 has previously been pursued by other companies utilizing ADCs. However, significant safety concerns, including bleeding events and liver toxicity, were observed in preclinical studies and early clinical development, which resulted in the discontinuation of development. For example, in a Phase I clinical trial of MEDI-547, an EphA2-targeting ADC, an increase in the liver enzyme ALT and AST was observed in half of the dosed patients and bleeding events were observed in five out of six patients, in each case within two to eight days following a single dose. The bleeding events observed in humans from the clinical trial were consistent with findings from the preclinical studies in other species, including primates.</w:t>
      </w:r>
    </w:p>
    <w:p>
      <w:pPr>
        <w:spacing w:after="0" w:line="173" w:lineRule="exact"/>
        <w:rPr>
          <w:sz w:val="20"/>
          <w:szCs w:val="20"/>
          <w:color w:val="auto"/>
        </w:rPr>
      </w:pPr>
    </w:p>
    <w:p>
      <w:pPr>
        <w:ind w:right="40" w:firstLine="442"/>
        <w:spacing w:after="0" w:line="247" w:lineRule="auto"/>
        <w:rPr>
          <w:sz w:val="20"/>
          <w:szCs w:val="20"/>
          <w:color w:val="auto"/>
        </w:rPr>
      </w:pPr>
      <w:r>
        <w:rPr>
          <w:rFonts w:ascii="Arial" w:cs="Arial" w:eastAsia="Arial" w:hAnsi="Arial"/>
          <w:sz w:val="16"/>
          <w:szCs w:val="16"/>
          <w:color w:val="auto"/>
        </w:rPr>
        <w:t xml:space="preserve">We believe EphA2 is an attractive target for our BTCs due to the potential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to overcome the safety concerns observed with ADCs. In our preclinical PK and toxicokinetic studies, we observed a short half-life and volume of distribution similar to BT1718. We observed that the accumulation of MMAE in the tumor tissue led to mitotic arrest of tumor cells and tumor regression was evident within days of administration. Due to the shorter half-life, improved penetration into solid tumors and kidney elimination, we believe that BT5528 could address the challenges of ADCs. We plan to screen for specific tumor types that we may investigate with BT5528 using an approach similar to the one we are adopting for BT1718.</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IND-enabling preclinical studies for BT5528 are currently ongoing.</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Preclinical Experience</w:t>
      </w:r>
    </w:p>
    <w:p>
      <w:pPr>
        <w:spacing w:after="0" w:line="211" w:lineRule="exact"/>
        <w:rPr>
          <w:sz w:val="20"/>
          <w:szCs w:val="20"/>
          <w:color w:val="auto"/>
        </w:rPr>
      </w:pPr>
    </w:p>
    <w:p>
      <w:pPr>
        <w:jc w:val="both"/>
        <w:ind w:firstLine="442"/>
        <w:spacing w:after="0" w:line="241" w:lineRule="auto"/>
        <w:rPr>
          <w:sz w:val="20"/>
          <w:szCs w:val="20"/>
          <w:color w:val="auto"/>
        </w:rPr>
      </w:pPr>
      <w:r>
        <w:rPr>
          <w:rFonts w:ascii="Arial" w:cs="Arial" w:eastAsia="Arial" w:hAnsi="Arial"/>
          <w:sz w:val="16"/>
          <w:szCs w:val="16"/>
          <w:color w:val="auto"/>
        </w:rPr>
        <w:t>BT5528 has been evaluated in preclinical studies in multiple species, including rodents and non-human primates. In our preclinical studies, BT5528 was not observed to have a significant effect on clotting parameters and did not exhibit abnormal liver function at tolerated doses. We also observed no bleeding events in primates at toxin equivalent doses over 100-fold higher than the clinical dose of MEDI-547 used in patients. These studies utilized an endpoint of tumor volume, as calculated from standard caliper measurements of subcutaneous tumor, measured through course of experiment and at experiment end to evaluate the activity of BT5528.</w:t>
      </w:r>
    </w:p>
    <w:p>
      <w:pPr>
        <w:spacing w:after="0" w:line="173" w:lineRule="exact"/>
        <w:rPr>
          <w:sz w:val="20"/>
          <w:szCs w:val="20"/>
          <w:color w:val="auto"/>
        </w:rPr>
      </w:pPr>
    </w:p>
    <w:p>
      <w:pPr>
        <w:ind w:right="20" w:firstLine="442"/>
        <w:spacing w:after="0" w:line="244"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we observed dose-dependent anti-tumor activity following administration of BT5528 with disease stabilization or regression in multiple xenograft models representing tumor types including lung, breast, gastric, fibrosarcoma, prostate, ovarian and oesophageal, with activity correlating with EphA2 expression. We observed that a dose of 1 mg/kg of BT5528 administered weekly was associated with stable disease or tumor regression in several models. Complete regressions were observed in the majority of EphA2-expressing xenograft tumors in mice administered 2 mg/kg or 3 mg/kg of BT5528 weekly, with most mice remaining tumor-free for more than 60 days after dose cessation, following which the study was ended. These studies utilized an endpoint of tumor volume, as calculated from standard caliper measurements of subcutaneous tumor and measured through the course of the preclinical study and at the end of the preclinical study to evaluate the activity of BT5528.</w:t>
      </w:r>
    </w:p>
    <w:p>
      <w:pPr>
        <w:spacing w:after="0" w:line="186" w:lineRule="exact"/>
        <w:rPr>
          <w:sz w:val="20"/>
          <w:szCs w:val="20"/>
          <w:color w:val="auto"/>
        </w:rPr>
      </w:pPr>
    </w:p>
    <w:p>
      <w:pPr>
        <w:ind w:right="40" w:firstLine="433"/>
        <w:spacing w:after="0" w:line="214" w:lineRule="auto"/>
        <w:rPr>
          <w:sz w:val="20"/>
          <w:szCs w:val="20"/>
          <w:color w:val="auto"/>
        </w:rPr>
      </w:pPr>
      <w:r>
        <w:rPr>
          <w:rFonts w:ascii="Arial" w:cs="Arial" w:eastAsia="Arial" w:hAnsi="Arial"/>
          <w:sz w:val="16"/>
          <w:szCs w:val="16"/>
          <w:color w:val="auto"/>
        </w:rPr>
        <w:t>As shown in the figure below, we observed that BT5528 displayed superior activity to an EphA2 targeting ADC in a mouse patient-derived xenograft model. In this model, the tumors were large (approximately 1,000 mm</w:t>
      </w:r>
      <w:r>
        <w:rPr>
          <w:rFonts w:ascii="Arial" w:cs="Arial" w:eastAsia="Arial" w:hAnsi="Arial"/>
          <w:sz w:val="26"/>
          <w:szCs w:val="26"/>
          <w:color w:val="auto"/>
          <w:vertAlign w:val="superscript"/>
        </w:rPr>
        <w:t>3</w:t>
      </w:r>
      <w:r>
        <w:rPr>
          <w:rFonts w:ascii="Arial" w:cs="Arial" w:eastAsia="Arial" w:hAnsi="Arial"/>
          <w:sz w:val="16"/>
          <w:szCs w:val="16"/>
          <w:color w:val="auto"/>
        </w:rPr>
        <w:t>) at the commencement of dosing. The tumor was derived from a docetaxel resistant non-small cell lung cancer from a 74 year-old male smoker with moderate EphA2 expression. BT5528 was dosed once weekly.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7" w:name="page138"/>
    <w:bookmarkEnd w:id="1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Effect of BT5528 on Tumor Volume in a Preclinical Patient-Derived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133350</wp:posOffset>
            </wp:positionV>
            <wp:extent cx="3688080" cy="23526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688080" cy="2352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BT8009</w:t>
      </w:r>
    </w:p>
    <w:p>
      <w:pPr>
        <w:spacing w:after="0" w:line="195" w:lineRule="exact"/>
        <w:rPr>
          <w:sz w:val="20"/>
          <w:szCs w:val="20"/>
          <w:color w:val="auto"/>
        </w:rPr>
      </w:pPr>
    </w:p>
    <w:p>
      <w:pPr>
        <w:ind w:right="100" w:firstLine="442"/>
        <w:spacing w:after="0" w:line="270" w:lineRule="auto"/>
        <w:rPr>
          <w:sz w:val="20"/>
          <w:szCs w:val="20"/>
          <w:color w:val="auto"/>
        </w:rPr>
      </w:pPr>
      <w:r>
        <w:rPr>
          <w:rFonts w:ascii="Arial" w:cs="Arial" w:eastAsia="Arial" w:hAnsi="Arial"/>
          <w:sz w:val="16"/>
          <w:szCs w:val="16"/>
          <w:color w:val="auto"/>
        </w:rPr>
        <w:t xml:space="preserve">BT8009 is a BTC designed to target Nectin-4. The molecule is comprised of our Nectin-4 targeting </w:t>
      </w:r>
      <w:r>
        <w:rPr>
          <w:rFonts w:ascii="Arial" w:cs="Arial" w:eastAsia="Arial" w:hAnsi="Arial"/>
          <w:sz w:val="16"/>
          <w:szCs w:val="16"/>
          <w:i w:val="1"/>
          <w:iCs w:val="1"/>
          <w:color w:val="auto"/>
        </w:rPr>
        <w:t>Bicycle</w:t>
      </w:r>
      <w:r>
        <w:rPr>
          <w:rFonts w:ascii="Arial" w:cs="Arial" w:eastAsia="Arial" w:hAnsi="Arial"/>
          <w:sz w:val="16"/>
          <w:szCs w:val="16"/>
          <w:color w:val="auto"/>
        </w:rPr>
        <w:t>, a val-cit cleavable linker, and a cytotoxin MMAE payload.</w:t>
      </w: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Schematic of BT8009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133350</wp:posOffset>
            </wp:positionV>
            <wp:extent cx="3820160" cy="1164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20160" cy="116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60" w:firstLine="442"/>
        <w:spacing w:after="0" w:line="241" w:lineRule="auto"/>
        <w:rPr>
          <w:sz w:val="20"/>
          <w:szCs w:val="20"/>
          <w:color w:val="auto"/>
        </w:rPr>
      </w:pPr>
      <w:r>
        <w:rPr>
          <w:rFonts w:ascii="Arial" w:cs="Arial" w:eastAsia="Arial" w:hAnsi="Arial"/>
          <w:sz w:val="16"/>
          <w:szCs w:val="16"/>
          <w:color w:val="auto"/>
        </w:rPr>
        <w:t>Nectin-4 (also known as PVRL4) is a cell adhesion molecule from the Nectin and Nectin-like family, members of which are integral to the formation of the homotypic and heterotypic cell junctions. Nectin-4 has been shown to be overexpressed in tumor cells and is believed to play a role in tumor cell growth and proliferation. High in normal embryonic and fetal tissue, Nectin-4 declines in adulthood, showing a limited distribution in healthy tissues. However, Nectin-4 is expressed on tumor cells in numerous cancer types including bladder, breast, gastric, lung and ovarian. In addition, we believe the favorable characteristics of BTC-targeted therapies may address some of the challenges in treating pancreatic cancer.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observed that BT8009 efficiently delivered MMAE to the tumor and had a broad spectrum of activity, including decreasing Nectin-4 expression.</w:t>
      </w:r>
    </w:p>
    <w:p>
      <w:pPr>
        <w:spacing w:after="0" w:line="195"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We are aware of one Nectin-4 ADC program in development, which is being jointly conducted by Seattle Genetics and Astellas, and is currently in Phase III clinical development. We plan to screen for specific tumor types that we may investigate with BT8009 using an approach similar to the one that we are adopting for BT1718 and BT5528.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8" w:name="page139"/>
    <w:bookmarkEnd w:id="1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IND-enabling preclinical studies for BT8009 are currently ongoing.</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Preclinical Experience</w:t>
      </w:r>
    </w:p>
    <w:p>
      <w:pPr>
        <w:spacing w:after="0" w:line="195" w:lineRule="exact"/>
        <w:rPr>
          <w:sz w:val="20"/>
          <w:szCs w:val="20"/>
          <w:color w:val="auto"/>
        </w:rPr>
      </w:pPr>
    </w:p>
    <w:p>
      <w:pPr>
        <w:ind w:firstLine="442"/>
        <w:spacing w:after="0" w:line="245"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we observed that BT8009 was associated with dose-dependent anti-tumor activity with disease stabilization or regression in multiple xenograft models representing tumor types including lung, breast, and esophageal cancers. We observed that BT8009 activity was correlated with either Nectin-4 protein or mRNA expression. We observed that a dose of 3 mg/kg of BT8009 administered weekly was associated with complete regression in multiple models. In two models, there was no observed tumor regrowth at 59 days after the last administration, following which the study was ended. These studies utilized an endpoint of tumor volume, as calculated from standard caliper measurements of subcutaneous tumor and measured through the course of the preclinical study and at the end of the preclinical study to evaluate the activity of BT8009.</w:t>
      </w:r>
    </w:p>
    <w:p>
      <w:pPr>
        <w:spacing w:after="0" w:line="185" w:lineRule="exact"/>
        <w:rPr>
          <w:sz w:val="20"/>
          <w:szCs w:val="20"/>
          <w:color w:val="auto"/>
        </w:rPr>
      </w:pPr>
    </w:p>
    <w:p>
      <w:pPr>
        <w:ind w:right="20" w:firstLine="442"/>
        <w:spacing w:after="0" w:line="242" w:lineRule="auto"/>
        <w:rPr>
          <w:sz w:val="20"/>
          <w:szCs w:val="20"/>
          <w:color w:val="auto"/>
        </w:rPr>
      </w:pPr>
      <w:r>
        <w:rPr>
          <w:rFonts w:ascii="Arial" w:cs="Arial" w:eastAsia="Arial" w:hAnsi="Arial"/>
          <w:sz w:val="16"/>
          <w:szCs w:val="16"/>
          <w:color w:val="auto"/>
        </w:rPr>
        <w:t>In head to head preclinical studies comparing BT8009 to enfortumab vedotin, an ADC in clinical development that we replicated, BT8009 displayed comparable or superior activity to the ADC in three cell-derived xenograft studies and five patient-derived xenograft models. These studies utilized an endpoint of tumor volume, as calculated from standard caliper measurements of subcutaneous tumor and measured through the course of the preclinical study and at the end of the preclinical study to evaluate the activity of BT8009.</w:t>
      </w:r>
    </w:p>
    <w:p>
      <w:pPr>
        <w:spacing w:after="0" w:line="187" w:lineRule="exact"/>
        <w:rPr>
          <w:sz w:val="20"/>
          <w:szCs w:val="20"/>
          <w:color w:val="auto"/>
        </w:rPr>
      </w:pPr>
    </w:p>
    <w:p>
      <w:pPr>
        <w:ind w:right="380" w:firstLine="439"/>
        <w:spacing w:after="0" w:line="244" w:lineRule="auto"/>
        <w:rPr>
          <w:sz w:val="20"/>
          <w:szCs w:val="20"/>
          <w:color w:val="auto"/>
        </w:rPr>
      </w:pPr>
      <w:r>
        <w:rPr>
          <w:rFonts w:ascii="Arial" w:cs="Arial" w:eastAsia="Arial" w:hAnsi="Arial"/>
          <w:sz w:val="16"/>
          <w:szCs w:val="16"/>
          <w:color w:val="auto"/>
        </w:rPr>
        <w:t>The figure below illustrates results from a preclinical non-small cell lung cancer cell-derived xenograft. In that model, we observed that BT8009 showed superior activity at early timepoints compared to high dose administrations of enfortumab vedotin, docetaxel and doxorubucin. We also observed that administration of BT8009 was associated with complete regression of the tumor.</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Effect of BT8009 on Tumor Volume in a Preclinical Non-Small Cell Lung</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Cancer-Derived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121920</wp:posOffset>
            </wp:positionV>
            <wp:extent cx="3129280" cy="260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129280" cy="260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Bicycle Targeted Innate Immune Activators</w:t>
      </w:r>
    </w:p>
    <w:p>
      <w:pPr>
        <w:spacing w:after="0" w:line="211" w:lineRule="exact"/>
        <w:rPr>
          <w:sz w:val="20"/>
          <w:szCs w:val="20"/>
          <w:color w:val="auto"/>
        </w:rPr>
      </w:pPr>
    </w:p>
    <w:p>
      <w:pPr>
        <w:ind w:right="380" w:firstLine="442"/>
        <w:spacing w:after="0" w:line="249" w:lineRule="auto"/>
        <w:rPr>
          <w:sz w:val="20"/>
          <w:szCs w:val="20"/>
          <w:color w:val="auto"/>
        </w:rPr>
      </w:pPr>
      <w:r>
        <w:rPr>
          <w:rFonts w:ascii="Arial" w:cs="Arial" w:eastAsia="Arial" w:hAnsi="Arial"/>
          <w:sz w:val="16"/>
          <w:szCs w:val="16"/>
          <w:color w:val="auto"/>
        </w:rPr>
        <w:t>Local activation of the innate immune system within tumors is a promising area for cancer drug discovery. Many of the current clinical programs require direct injection of molecules activating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9" w:name="page140"/>
    <w:bookmarkEnd w:id="1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 xml:space="preserve">the innate immune system into tumors to avoid excessive systemic activation of the immune system and associated toxicity. Based on our experience with BTCs, we believe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systemically deliver activators of the innate immune system to tumors without activating the immune system in normal tissues. We believe that this approach has the potential to avoid the need for direct tumor injection and to allow inaccessible tumors to be reached, while enabling rapid systemic elimination of excess payloads in an inactive form.</w:t>
      </w:r>
    </w:p>
    <w:p>
      <w:pPr>
        <w:spacing w:after="0" w:line="171" w:lineRule="exact"/>
        <w:rPr>
          <w:sz w:val="20"/>
          <w:szCs w:val="20"/>
          <w:color w:val="auto"/>
        </w:rPr>
      </w:pPr>
    </w:p>
    <w:p>
      <w:pPr>
        <w:ind w:right="20" w:firstLine="442"/>
        <w:spacing w:after="0" w:line="254" w:lineRule="auto"/>
        <w:rPr>
          <w:sz w:val="20"/>
          <w:szCs w:val="20"/>
          <w:color w:val="auto"/>
        </w:rPr>
      </w:pPr>
      <w:r>
        <w:rPr>
          <w:rFonts w:ascii="Arial" w:cs="Arial" w:eastAsia="Arial" w:hAnsi="Arial"/>
          <w:sz w:val="16"/>
          <w:szCs w:val="16"/>
          <w:color w:val="auto"/>
        </w:rPr>
        <w:t xml:space="preserve">We are currently advancing this approach through the development of systemically-delivered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STING agonists, targeted to both novel and validated tumor targets. As shown in the figure below, in a preclinical study, a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conjugated to a cyclic dinucleotide STING agonist (BCY8390) delivered systemically in mice was observed to result in significantly lower serum inflammatory cytokine release, as measured by levels of IL-6, TNF-a and IFN-b as compared to the unconjugated STING agonist (3,3'-cGAMP). We believe these results support the potential for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innate immune activators to be systemically administered.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111760</wp:posOffset>
            </wp:positionV>
            <wp:extent cx="3291840" cy="1544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91840" cy="1544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Bicycle T-Cell Modulators</w:t>
      </w:r>
    </w:p>
    <w:p>
      <w:pPr>
        <w:spacing w:after="0" w:line="195" w:lineRule="exact"/>
        <w:rPr>
          <w:sz w:val="20"/>
          <w:szCs w:val="20"/>
          <w:color w:val="auto"/>
        </w:rPr>
      </w:pPr>
    </w:p>
    <w:p>
      <w:pPr>
        <w:ind w:firstLine="442"/>
        <w:spacing w:after="0" w:line="247" w:lineRule="auto"/>
        <w:rPr>
          <w:sz w:val="20"/>
          <w:szCs w:val="20"/>
          <w:color w:val="auto"/>
        </w:rPr>
      </w:pPr>
      <w:r>
        <w:rPr>
          <w:rFonts w:ascii="Arial" w:cs="Arial" w:eastAsia="Arial" w:hAnsi="Arial"/>
          <w:sz w:val="16"/>
          <w:szCs w:val="16"/>
          <w:color w:val="auto"/>
        </w:rPr>
        <w:t xml:space="preserve">We are developing cytotoxic T-cell activators, designed to trigger an immune response to tumors. We have identified potent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activators of CD137, a tumor necrosis factor receptor, or TNFR, family member and we believe we are currently the only company that has fully chemically synthetic CD137 agonists. We believe that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represent a differentiated approach to target CD137 that may confer several advantages over existing modalities due to the multivalency and PK characteristics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T-cell modulators are designed to circumvent the limitations of antibody and biologic therapies, such as liver toxicity and limited efficacy, and to better enable combination therapy.</w:t>
      </w:r>
    </w:p>
    <w:p>
      <w:pPr>
        <w:spacing w:after="0" w:line="166" w:lineRule="exact"/>
        <w:rPr>
          <w:sz w:val="20"/>
          <w:szCs w:val="20"/>
          <w:color w:val="auto"/>
        </w:rPr>
      </w:pPr>
    </w:p>
    <w:p>
      <w:pPr>
        <w:ind w:right="60" w:firstLine="442"/>
        <w:spacing w:after="0" w:line="270" w:lineRule="auto"/>
        <w:rPr>
          <w:sz w:val="20"/>
          <w:szCs w:val="20"/>
          <w:color w:val="auto"/>
        </w:rPr>
      </w:pPr>
      <w:r>
        <w:rPr>
          <w:rFonts w:ascii="Arial" w:cs="Arial" w:eastAsia="Arial" w:hAnsi="Arial"/>
          <w:sz w:val="16"/>
          <w:szCs w:val="16"/>
          <w:color w:val="auto"/>
        </w:rPr>
        <w:t xml:space="preserve">We are also exploring CD137 in a bi-specific format linked to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that bind tumor antigens, inhibit checkpoint proteins or otherwise activate the immune system. We believe we are currently the only company that has fully chemically synthetic bi-specific CD137 agonist.</w:t>
      </w:r>
    </w:p>
    <w:p>
      <w:pPr>
        <w:spacing w:after="0" w:line="164" w:lineRule="exact"/>
        <w:rPr>
          <w:sz w:val="20"/>
          <w:szCs w:val="20"/>
          <w:color w:val="auto"/>
        </w:rPr>
      </w:pPr>
    </w:p>
    <w:p>
      <w:pPr>
        <w:ind w:right="120" w:firstLine="433"/>
        <w:spacing w:after="0" w:line="242" w:lineRule="auto"/>
        <w:rPr>
          <w:sz w:val="20"/>
          <w:szCs w:val="20"/>
          <w:color w:val="auto"/>
        </w:rPr>
      </w:pPr>
      <w:r>
        <w:rPr>
          <w:rFonts w:ascii="Arial" w:cs="Arial" w:eastAsia="Arial" w:hAnsi="Arial"/>
          <w:sz w:val="16"/>
          <w:szCs w:val="16"/>
          <w:color w:val="auto"/>
        </w:rPr>
        <w:t xml:space="preserve">Approaches that activate cytotoxic T-cells, a type of cell used in a body's immune response, have been observed to improve outcomes in cancer. However, prolonged immune activation can be toxic and lead to T-cell exhaustion, which is a challenge amplified by the long half-life of antibodies and biologics that are often used in these treatment approaches. We believe the differentiated properties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may allow us to develop molecules with a pharmacodynamically distinct and improved profile over existing therapies.</w:t>
      </w:r>
    </w:p>
    <w:p>
      <w:pPr>
        <w:spacing w:after="0" w:line="187" w:lineRule="exact"/>
        <w:rPr>
          <w:sz w:val="20"/>
          <w:szCs w:val="20"/>
          <w:color w:val="auto"/>
        </w:rPr>
      </w:pPr>
    </w:p>
    <w:p>
      <w:pPr>
        <w:ind w:right="320" w:firstLine="442"/>
        <w:spacing w:after="0" w:line="249" w:lineRule="auto"/>
        <w:rPr>
          <w:sz w:val="20"/>
          <w:szCs w:val="20"/>
          <w:color w:val="auto"/>
        </w:rPr>
      </w:pPr>
      <w:r>
        <w:rPr>
          <w:rFonts w:ascii="Arial" w:cs="Arial" w:eastAsia="Arial" w:hAnsi="Arial"/>
          <w:sz w:val="16"/>
          <w:szCs w:val="16"/>
          <w:color w:val="auto"/>
        </w:rPr>
        <w:t>We are aware of anti-CD137 antibodies undergoing clinical testing, including urelumab being developed by Bristol-Myers Squibb, which produced single agent responses but also severe liver toxicity, which exhibited minimal clinical activity with less toxicity.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0" w:name="page141"/>
    <w:bookmarkEnd w:id="1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Properties of Bicycle T-Cell Modulators</w:t>
      </w:r>
    </w:p>
    <w:p>
      <w:pPr>
        <w:spacing w:after="0" w:line="211" w:lineRule="exact"/>
        <w:rPr>
          <w:sz w:val="20"/>
          <w:szCs w:val="20"/>
          <w:color w:val="auto"/>
        </w:rPr>
      </w:pPr>
    </w:p>
    <w:p>
      <w:pPr>
        <w:ind w:right="60" w:firstLine="442"/>
        <w:spacing w:after="0" w:line="249" w:lineRule="auto"/>
        <w:rPr>
          <w:sz w:val="20"/>
          <w:szCs w:val="20"/>
          <w:color w:val="auto"/>
        </w:rPr>
      </w:pPr>
      <w:r>
        <w:rPr>
          <w:rFonts w:ascii="Arial" w:cs="Arial" w:eastAsia="Arial" w:hAnsi="Arial"/>
          <w:sz w:val="16"/>
          <w:szCs w:val="16"/>
          <w:color w:val="auto"/>
        </w:rPr>
        <w:t>In order to activate the CD137 receptor, cross-linking of a trimeric receptor is required. As a result, we are developing trimeric and tetrameric molecules that cross-link the receptor into an active form as shown in the image below.</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Schematic of a Proposed Trimeric CD137 Bicycle Agonist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2219325</wp:posOffset>
            </wp:positionH>
            <wp:positionV relativeFrom="paragraph">
              <wp:posOffset>133350</wp:posOffset>
            </wp:positionV>
            <wp:extent cx="2818130" cy="18713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18130" cy="187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 w:firstLine="439"/>
        <w:spacing w:after="0" w:line="270" w:lineRule="auto"/>
        <w:rPr>
          <w:sz w:val="20"/>
          <w:szCs w:val="20"/>
          <w:color w:val="auto"/>
        </w:rPr>
      </w:pPr>
      <w:r>
        <w:rPr>
          <w:rFonts w:ascii="Arial" w:cs="Arial" w:eastAsia="Arial" w:hAnsi="Arial"/>
          <w:sz w:val="16"/>
          <w:szCs w:val="16"/>
          <w:color w:val="auto"/>
        </w:rPr>
        <w:t xml:space="preserve">These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multimers feature the following favorable pharmacological characteristics for immuno-oncology therapeutics. We believe these characteristics have the potential to overcome the limitations of antibodies and fusion proteins.</w:t>
      </w:r>
    </w:p>
    <w:p>
      <w:pPr>
        <w:spacing w:after="0" w:line="146" w:lineRule="exact"/>
        <w:rPr>
          <w:sz w:val="20"/>
          <w:szCs w:val="20"/>
          <w:color w:val="auto"/>
        </w:rPr>
      </w:pPr>
    </w:p>
    <w:p>
      <w:pPr>
        <w:ind w:left="980" w:hanging="493"/>
        <w:spacing w:after="0" w:line="250"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Simplicity and small size. </w:t>
      </w:r>
      <w:r>
        <w:rPr>
          <w:rFonts w:ascii="Arial" w:cs="Arial" w:eastAsia="Arial" w:hAnsi="Arial"/>
          <w:sz w:val="16"/>
          <w:szCs w:val="16"/>
          <w:color w:val="auto"/>
        </w:rPr>
        <w:t>Our trimeric and tetrameric</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Bicycles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chemically synthesized and are very small in comparison to other molecules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targeting the CD137 receptor. For example, the approximate molecular weight of urelumab is 146 kDa. In contrast, the molecular weight of our tri-and tetrameric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are in the range of approximately 9 kDa to 15 kDa, which is designed to facilitate the rapid penetration of the therapeutic into tumor tissue.</w:t>
      </w:r>
    </w:p>
    <w:p>
      <w:pPr>
        <w:spacing w:after="0" w:line="162" w:lineRule="exact"/>
        <w:rPr>
          <w:rFonts w:ascii="Arial" w:cs="Arial" w:eastAsia="Arial" w:hAnsi="Arial"/>
          <w:sz w:val="16"/>
          <w:szCs w:val="16"/>
          <w:color w:val="auto"/>
        </w:rPr>
      </w:pPr>
    </w:p>
    <w:p>
      <w:pPr>
        <w:ind w:left="980" w:right="340" w:hanging="493"/>
        <w:spacing w:after="0" w:line="250"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Tunable PK. </w:t>
      </w:r>
      <w:r>
        <w:rPr>
          <w:rFonts w:ascii="Arial" w:cs="Arial" w:eastAsia="Arial" w:hAnsi="Arial"/>
          <w:sz w:val="16"/>
          <w:szCs w:val="16"/>
          <w:i w:val="1"/>
          <w:iCs w:val="1"/>
          <w:color w:val="auto"/>
        </w:rPr>
        <w:t>Bicycles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amenable to chemical modifications that allow the PK of the multimers to be fine-tuned. We believe this enables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of molecules with the optimal balance of prolonged CD137 agonism, but with rapid enough elimination from systemic circulation to avoid the undesired toxicities of CD137, as has been observed with urelumab. In addition, this tunable half-life is expected to enable different sequences of therapeutics to be evaluated in the clinic potentially reducing the risk of overlapping toxicities.</w:t>
      </w:r>
    </w:p>
    <w:p>
      <w:pPr>
        <w:spacing w:after="0" w:line="150" w:lineRule="exact"/>
        <w:rPr>
          <w:rFonts w:ascii="Arial" w:cs="Arial" w:eastAsia="Arial" w:hAnsi="Arial"/>
          <w:sz w:val="16"/>
          <w:szCs w:val="16"/>
          <w:color w:val="auto"/>
        </w:rPr>
      </w:pPr>
    </w:p>
    <w:p>
      <w:pPr>
        <w:ind w:left="980" w:hanging="493"/>
        <w:spacing w:after="0"/>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Renal elimination. </w:t>
      </w:r>
      <w:r>
        <w:rPr>
          <w:rFonts w:ascii="Arial" w:cs="Arial" w:eastAsia="Arial" w:hAnsi="Arial"/>
          <w:sz w:val="16"/>
          <w:szCs w:val="16"/>
          <w:color w:val="auto"/>
        </w:rPr>
        <w:t>Rapid renal elimination may avoid liver toxicity observed with other CD137 agonists in development.</w:t>
      </w:r>
    </w:p>
    <w:p>
      <w:pPr>
        <w:spacing w:after="0" w:line="182" w:lineRule="exact"/>
        <w:rPr>
          <w:rFonts w:ascii="Arial" w:cs="Arial" w:eastAsia="Arial" w:hAnsi="Arial"/>
          <w:sz w:val="16"/>
          <w:szCs w:val="16"/>
          <w:color w:val="auto"/>
        </w:rPr>
      </w:pPr>
    </w:p>
    <w:p>
      <w:pPr>
        <w:ind w:left="980" w:right="140" w:hanging="493"/>
        <w:spacing w:after="0" w:line="256"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Modular. </w:t>
      </w:r>
      <w:r>
        <w:rPr>
          <w:rFonts w:ascii="Arial" w:cs="Arial" w:eastAsia="Arial" w:hAnsi="Arial"/>
          <w:sz w:val="16"/>
          <w:szCs w:val="16"/>
          <w:color w:val="auto"/>
        </w:rPr>
        <w:t>The modular nature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Bicycles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permits the presentation of CD137 binders in various orientations allowing us to design molecules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range of activities. We believe that we can select the optimal activity profile to avoid the weak efficacy seen with the utomilumab molecule or the overstimulation of CD137 by urelumab that resulted in systemic toxicity.</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1" w:name="page142"/>
    <w:bookmarkEnd w:id="1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Comparison of the Features of our Bicycle T-Cell Modulators to Biological T-Cell 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133350</wp:posOffset>
            </wp:positionV>
            <wp:extent cx="5271770" cy="19875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71770" cy="198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Preclinical Experience</w:t>
      </w:r>
    </w:p>
    <w:p>
      <w:pPr>
        <w:spacing w:after="0" w:line="195" w:lineRule="exact"/>
        <w:rPr>
          <w:sz w:val="20"/>
          <w:szCs w:val="20"/>
          <w:color w:val="auto"/>
        </w:rPr>
      </w:pPr>
    </w:p>
    <w:p>
      <w:pPr>
        <w:ind w:firstLine="442"/>
        <w:spacing w:after="0" w:line="254" w:lineRule="auto"/>
        <w:rPr>
          <w:sz w:val="20"/>
          <w:szCs w:val="20"/>
          <w:color w:val="auto"/>
        </w:rPr>
      </w:pPr>
      <w:r>
        <w:rPr>
          <w:rFonts w:ascii="Arial" w:cs="Arial" w:eastAsia="Arial" w:hAnsi="Arial"/>
          <w:sz w:val="16"/>
          <w:szCs w:val="16"/>
          <w:color w:val="auto"/>
        </w:rPr>
        <w:t xml:space="preserve">We observed that simple multivalent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CD137 agonists (BCY7839, BCY7838 and BCY7842) displayed potent activity in preclinical cell-based assays. As shown in the figure below, several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CD137 agonists displayed comparable or higher fold induction compared to the natural ligand (CD137L) in an engineered reporter cell assay.</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Activity of Bicycle CD137 Agonist Compared to the Natural Ligand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133350</wp:posOffset>
            </wp:positionV>
            <wp:extent cx="3121025" cy="2305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2102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firstLine="433"/>
        <w:spacing w:after="0" w:line="270" w:lineRule="auto"/>
        <w:rPr>
          <w:sz w:val="20"/>
          <w:szCs w:val="20"/>
          <w:color w:val="auto"/>
        </w:rPr>
      </w:pPr>
      <w:r>
        <w:rPr>
          <w:rFonts w:ascii="Arial" w:cs="Arial" w:eastAsia="Arial" w:hAnsi="Arial"/>
          <w:sz w:val="16"/>
          <w:szCs w:val="16"/>
          <w:color w:val="auto"/>
        </w:rPr>
        <w:t xml:space="preserve">As shown in the figure below, we also observed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stimulated the release of the cytokine IL-2, a marker of immune response, from primary human T-cells to a comparable degree as urelumab, which we believe provides meaningful evidence of activity.</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42" w:name="page143"/>
    <w:bookmarkEnd w:id="1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Activity of CD137 Bicycles on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2219325</wp:posOffset>
            </wp:positionH>
            <wp:positionV relativeFrom="paragraph">
              <wp:posOffset>133350</wp:posOffset>
            </wp:positionV>
            <wp:extent cx="2818130" cy="1917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18130" cy="191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 xml:space="preserve">* Negative control non-agonist </w:t>
      </w:r>
      <w:r>
        <w:rPr>
          <w:rFonts w:ascii="Arial" w:cs="Arial" w:eastAsia="Arial" w:hAnsi="Arial"/>
          <w:sz w:val="13"/>
          <w:szCs w:val="13"/>
          <w:i w:val="1"/>
          <w:iCs w:val="1"/>
          <w:color w:val="auto"/>
        </w:rPr>
        <w:t>Bicycle</w:t>
      </w:r>
    </w:p>
    <w:p>
      <w:pPr>
        <w:spacing w:after="0" w:line="189" w:lineRule="exact"/>
        <w:rPr>
          <w:sz w:val="20"/>
          <w:szCs w:val="20"/>
          <w:color w:val="auto"/>
        </w:rPr>
      </w:pPr>
    </w:p>
    <w:p>
      <w:pPr>
        <w:ind w:right="140" w:firstLine="442"/>
        <w:spacing w:after="0" w:line="254" w:lineRule="auto"/>
        <w:rPr>
          <w:sz w:val="20"/>
          <w:szCs w:val="20"/>
          <w:color w:val="auto"/>
        </w:rPr>
      </w:pPr>
      <w:r>
        <w:rPr>
          <w:rFonts w:ascii="Arial" w:cs="Arial" w:eastAsia="Arial" w:hAnsi="Arial"/>
          <w:sz w:val="16"/>
          <w:szCs w:val="16"/>
          <w:color w:val="auto"/>
        </w:rPr>
        <w:t xml:space="preserve">In additional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we observed that CD137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increased the cytotoxic T-cell infiltration in tumor tissue. The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did not significantly change the expression of CD137 on tumoral T-cells while urelumab led to a decrease in the target cell population. We believe this increased cytotoxic T-cell infiltration correlates with the anti-tumor activity of the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CD137 agonists.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Bi-Specific Approach</w:t>
      </w:r>
    </w:p>
    <w:p>
      <w:pPr>
        <w:spacing w:after="0" w:line="195" w:lineRule="exact"/>
        <w:rPr>
          <w:sz w:val="20"/>
          <w:szCs w:val="20"/>
          <w:color w:val="auto"/>
        </w:rPr>
      </w:pPr>
    </w:p>
    <w:p>
      <w:pPr>
        <w:ind w:right="40" w:firstLine="442"/>
        <w:spacing w:after="0" w:line="270" w:lineRule="auto"/>
        <w:rPr>
          <w:sz w:val="20"/>
          <w:szCs w:val="20"/>
          <w:color w:val="auto"/>
        </w:rPr>
      </w:pPr>
      <w:r>
        <w:rPr>
          <w:rFonts w:ascii="Arial" w:cs="Arial" w:eastAsia="Arial" w:hAnsi="Arial"/>
          <w:sz w:val="16"/>
          <w:szCs w:val="16"/>
          <w:color w:val="auto"/>
        </w:rPr>
        <w:t xml:space="preserve">In preclinical studies, we have also linked CD137 binding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to tumor antigen targeting </w:t>
      </w:r>
      <w:r>
        <w:rPr>
          <w:rFonts w:ascii="Arial" w:cs="Arial" w:eastAsia="Arial" w:hAnsi="Arial"/>
          <w:sz w:val="16"/>
          <w:szCs w:val="16"/>
          <w:i w:val="1"/>
          <w:iCs w:val="1"/>
          <w:color w:val="auto"/>
        </w:rPr>
        <w:t>Bicycles</w:t>
      </w:r>
      <w:r>
        <w:rPr>
          <w:rFonts w:ascii="Arial" w:cs="Arial" w:eastAsia="Arial" w:hAnsi="Arial"/>
          <w:sz w:val="16"/>
          <w:szCs w:val="16"/>
          <w:color w:val="auto"/>
        </w:rPr>
        <w:t>. We constructed multiple bi-specific molecules and observed that these bi-specific molecules agonize the CD137 receptor only in the presence of cells that express the appropriate tumor antigen.</w:t>
      </w:r>
    </w:p>
    <w:p>
      <w:pPr>
        <w:spacing w:after="0" w:line="164" w:lineRule="exact"/>
        <w:rPr>
          <w:sz w:val="20"/>
          <w:szCs w:val="20"/>
          <w:color w:val="auto"/>
        </w:rPr>
      </w:pPr>
    </w:p>
    <w:p>
      <w:pPr>
        <w:ind w:firstLine="433"/>
        <w:spacing w:after="0" w:line="242" w:lineRule="auto"/>
        <w:rPr>
          <w:sz w:val="20"/>
          <w:szCs w:val="20"/>
          <w:color w:val="auto"/>
        </w:rPr>
      </w:pPr>
      <w:r>
        <w:rPr>
          <w:rFonts w:ascii="Arial" w:cs="Arial" w:eastAsia="Arial" w:hAnsi="Arial"/>
          <w:sz w:val="16"/>
          <w:szCs w:val="16"/>
          <w:color w:val="auto"/>
        </w:rPr>
        <w:t>As shown in the figure below, we observed that a bi-specific Nectin-4-CD137 agonist (BCY8854) demonstrated agonist activity in a CD137 reporter assay only when tumor cells presenting Nectin-4 were present, with the degree of induction dependent on the level of Nectin-4 expression. With a high expressing cell line (T47D), the activation of CD137 by the bi-specific molecule was observed to be significantly higher than the natural ligand (CD137L) and when a low expressing cell line (NCI-H292) was tested, activation was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1729740</wp:posOffset>
            </wp:positionH>
            <wp:positionV relativeFrom="paragraph">
              <wp:posOffset>116840</wp:posOffset>
            </wp:positionV>
            <wp:extent cx="3804285" cy="20034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04285" cy="200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43" w:name="page144"/>
    <w:bookmarkEnd w:id="1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firstLine="442"/>
        <w:spacing w:after="0" w:line="242" w:lineRule="auto"/>
        <w:rPr>
          <w:sz w:val="20"/>
          <w:szCs w:val="20"/>
          <w:color w:val="auto"/>
        </w:rPr>
      </w:pPr>
      <w:r>
        <w:rPr>
          <w:rFonts w:ascii="Arial" w:cs="Arial" w:eastAsia="Arial" w:hAnsi="Arial"/>
          <w:sz w:val="16"/>
          <w:szCs w:val="16"/>
          <w:color w:val="auto"/>
        </w:rPr>
        <w:t xml:space="preserve">In our preclinical development of Nectin-4-CD137 bi-specific molecules, we have observed an ability to tune bi-specific molecules based on simple chemical changes, which we believe is an inherent advantage of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platform-based approach to bi-specifics compared to other modalities. As an example of this, activity of two different Nectin-4-CD137 bi-specific molecules is shown below. BCY10000 was observed to have a higher affinity CD137 binding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than BCY8854, yielding increased activity and potency in a CD137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116840</wp:posOffset>
            </wp:positionV>
            <wp:extent cx="3610610" cy="20262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10610" cy="2026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20" w:firstLine="433"/>
        <w:spacing w:after="0" w:line="244" w:lineRule="auto"/>
        <w:rPr>
          <w:sz w:val="20"/>
          <w:szCs w:val="20"/>
          <w:color w:val="auto"/>
        </w:rPr>
      </w:pPr>
      <w:r>
        <w:rPr>
          <w:rFonts w:ascii="Arial" w:cs="Arial" w:eastAsia="Arial" w:hAnsi="Arial"/>
          <w:sz w:val="16"/>
          <w:szCs w:val="16"/>
          <w:color w:val="auto"/>
        </w:rPr>
        <w:t>As shown it the figure below, we also observed that BCY10000 stimulated the release of the cytokine IL-2 from primary human T cells from three independent donors (D1-D3) when in co-culture with 4T1 cells that were engineered to express Nectin-4. In 4T1 cells lacking Nectin-4 expression, there was no activity observed.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Activity of CD137 Bi-Specific on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133350</wp:posOffset>
            </wp:positionV>
            <wp:extent cx="4177030" cy="16535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177030" cy="165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In additional studies, we observed that bi-specific Nectin-4-CD137 agonists stimulated the release of the cytokine IL-2 and other immune markers in cultures from patient-derived tumours harboring Nectin-4 expression.</w:t>
      </w:r>
    </w:p>
    <w:p>
      <w:pPr>
        <w:spacing w:after="0" w:line="181" w:lineRule="exact"/>
        <w:rPr>
          <w:sz w:val="20"/>
          <w:szCs w:val="20"/>
          <w:color w:val="auto"/>
        </w:rPr>
      </w:pPr>
    </w:p>
    <w:p>
      <w:pPr>
        <w:ind w:right="120" w:firstLine="442"/>
        <w:spacing w:after="0" w:line="244" w:lineRule="auto"/>
        <w:rPr>
          <w:sz w:val="20"/>
          <w:szCs w:val="20"/>
          <w:color w:val="auto"/>
        </w:rPr>
      </w:pPr>
      <w:r>
        <w:rPr>
          <w:rFonts w:ascii="Arial" w:cs="Arial" w:eastAsia="Arial" w:hAnsi="Arial"/>
          <w:sz w:val="16"/>
          <w:szCs w:val="16"/>
          <w:color w:val="auto"/>
        </w:rPr>
        <w:t xml:space="preserve">We believe that our ability to rapidly generate and test bi-specific molecules and their simple molecular format may form the basis of additional programs in the future. In addition to the immune cell and tumor targets that we have already investigated, we are also planning to screen for, or have started to screen for, </w:t>
      </w:r>
      <w:r>
        <w:rPr>
          <w:rFonts w:ascii="Arial" w:cs="Arial" w:eastAsia="Arial" w:hAnsi="Arial"/>
          <w:sz w:val="16"/>
          <w:szCs w:val="16"/>
          <w:i w:val="1"/>
          <w:iCs w:val="1"/>
          <w:color w:val="auto"/>
        </w:rPr>
        <w:t xml:space="preserve">Bicycles </w:t>
      </w:r>
      <w:r>
        <w:rPr>
          <w:rFonts w:ascii="Arial" w:cs="Arial" w:eastAsia="Arial" w:hAnsi="Arial"/>
          <w:sz w:val="16"/>
          <w:szCs w:val="16"/>
          <w:color w:val="auto"/>
        </w:rPr>
        <w:t>that target the NK cell receptors FcgRIIIA and NKp46 as well as additional immune cell and tumor specific antigens.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4" w:name="page145"/>
    <w:bookmarkEnd w:id="1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Beyond Oncology</w:t>
      </w:r>
    </w:p>
    <w:p>
      <w:pPr>
        <w:spacing w:after="0" w:line="197" w:lineRule="exact"/>
        <w:rPr>
          <w:sz w:val="20"/>
          <w:szCs w:val="20"/>
          <w:color w:val="auto"/>
        </w:rPr>
      </w:pPr>
    </w:p>
    <w:p>
      <w:pPr>
        <w:ind w:right="500" w:firstLine="442"/>
        <w:spacing w:after="0" w:line="254" w:lineRule="auto"/>
        <w:rPr>
          <w:sz w:val="20"/>
          <w:szCs w:val="20"/>
          <w:color w:val="auto"/>
        </w:rPr>
      </w:pPr>
      <w:r>
        <w:rPr>
          <w:rFonts w:ascii="Arial" w:cs="Arial" w:eastAsia="Arial" w:hAnsi="Arial"/>
          <w:sz w:val="16"/>
          <w:szCs w:val="16"/>
          <w:color w:val="auto"/>
        </w:rPr>
        <w:t xml:space="preserve">We have entered into several collaborations outside of our internal focus in oncology to leverage the broad applicability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Our strategic collaborations are based on the ability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to address a wide variety of targets and we are working with collaborators with deep therapeutic expertise outside of oncology to enable us to more efficiently develop novel medicines for patients.</w:t>
      </w:r>
    </w:p>
    <w:p>
      <w:pPr>
        <w:spacing w:after="0" w:line="162" w:lineRule="exact"/>
        <w:rPr>
          <w:sz w:val="20"/>
          <w:szCs w:val="20"/>
          <w:color w:val="auto"/>
        </w:rPr>
      </w:pPr>
    </w:p>
    <w:p>
      <w:pPr>
        <w:ind w:firstLine="436"/>
        <w:spacing w:after="0" w:line="270" w:lineRule="auto"/>
        <w:rPr>
          <w:sz w:val="20"/>
          <w:szCs w:val="20"/>
          <w:color w:val="auto"/>
        </w:rPr>
      </w:pPr>
      <w:r>
        <w:rPr>
          <w:rFonts w:ascii="Arial" w:cs="Arial" w:eastAsia="Arial" w:hAnsi="Arial"/>
          <w:sz w:val="16"/>
          <w:szCs w:val="16"/>
          <w:i w:val="1"/>
          <w:iCs w:val="1"/>
          <w:color w:val="auto"/>
        </w:rPr>
        <w:t xml:space="preserve">AstraZeneca. </w:t>
      </w:r>
      <w:r>
        <w:rPr>
          <w:rFonts w:ascii="Arial" w:cs="Arial" w:eastAsia="Arial" w:hAnsi="Arial"/>
          <w:sz w:val="16"/>
          <w:szCs w:val="16"/>
          <w:color w:val="auto"/>
        </w:rPr>
        <w:t>In November 2016, we entered into a research collaboration agreement with AstraZeneca AB, or AstraZeneca, with a focus on targets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respiratory, cardiovascular and metabolic disease.</w:t>
      </w:r>
    </w:p>
    <w:p>
      <w:pPr>
        <w:spacing w:after="0" w:line="148" w:lineRule="exact"/>
        <w:rPr>
          <w:sz w:val="20"/>
          <w:szCs w:val="20"/>
          <w:color w:val="auto"/>
        </w:rPr>
      </w:pPr>
    </w:p>
    <w:p>
      <w:pPr>
        <w:ind w:right="640" w:firstLine="442"/>
        <w:spacing w:after="0" w:line="270" w:lineRule="auto"/>
        <w:rPr>
          <w:sz w:val="20"/>
          <w:szCs w:val="20"/>
          <w:color w:val="auto"/>
        </w:rPr>
      </w:pPr>
      <w:r>
        <w:rPr>
          <w:rFonts w:ascii="Arial" w:cs="Arial" w:eastAsia="Arial" w:hAnsi="Arial"/>
          <w:sz w:val="16"/>
          <w:szCs w:val="16"/>
          <w:i w:val="1"/>
          <w:iCs w:val="1"/>
          <w:color w:val="auto"/>
        </w:rPr>
        <w:t xml:space="preserve">Bioverativ. </w:t>
      </w:r>
      <w:r>
        <w:rPr>
          <w:rFonts w:ascii="Arial" w:cs="Arial" w:eastAsia="Arial" w:hAnsi="Arial"/>
          <w:sz w:val="16"/>
          <w:szCs w:val="16"/>
          <w:color w:val="auto"/>
        </w:rPr>
        <w:t>In August 2017, we entered into a collaboration agreement with Bioverativ, Inc., or Bioverativ, in the field of non-malignant hematology,</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hemophilia.</w:t>
      </w:r>
    </w:p>
    <w:p>
      <w:pPr>
        <w:spacing w:after="0" w:line="148" w:lineRule="exact"/>
        <w:rPr>
          <w:sz w:val="20"/>
          <w:szCs w:val="20"/>
          <w:color w:val="auto"/>
        </w:rPr>
      </w:pPr>
    </w:p>
    <w:p>
      <w:pPr>
        <w:ind w:right="20" w:firstLine="442"/>
        <w:spacing w:after="0" w:line="245" w:lineRule="auto"/>
        <w:rPr>
          <w:sz w:val="20"/>
          <w:szCs w:val="20"/>
          <w:color w:val="auto"/>
        </w:rPr>
      </w:pPr>
      <w:r>
        <w:rPr>
          <w:rFonts w:ascii="Arial" w:cs="Arial" w:eastAsia="Arial" w:hAnsi="Arial"/>
          <w:sz w:val="16"/>
          <w:szCs w:val="16"/>
          <w:i w:val="1"/>
          <w:iCs w:val="1"/>
          <w:color w:val="auto"/>
        </w:rPr>
        <w:t xml:space="preserve">Oxurion. </w:t>
      </w:r>
      <w:r>
        <w:rPr>
          <w:rFonts w:ascii="Arial" w:cs="Arial" w:eastAsia="Arial" w:hAnsi="Arial"/>
          <w:sz w:val="16"/>
          <w:szCs w:val="16"/>
          <w:color w:val="auto"/>
        </w:rPr>
        <w:t>In August 2013, we entered into a research collaboration and license agreement with Oxurion NV (formerly ThromboGenics NV), or Oxurion,</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on ophthalmology. The lead molecule of the partnership is THR-149, a novel plasma kallikrein inhibitor, for the treatment of diabetic macular edema. A Phase I clinical trial of THR-149 is currently ongoing. The Phase I clinical trial, which is being conducted by Oxurion, is an open-label, multi-center, dose escalation trial to evaluate the safety of a single intravitreal injection of THR-149 of three dose levels for the treatment of diabetic macular edema, or DME, with a primary endpoint of dose-limiting toxicities up to the Day 14 visit. On April 24, 2019, we and Oxurion announced that enrollment in the trial had been completed, with 15 patients enrolled.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Collaborations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Cancer Research UK</w:t>
      </w:r>
    </w:p>
    <w:p>
      <w:pPr>
        <w:spacing w:after="0" w:line="213" w:lineRule="exact"/>
        <w:rPr>
          <w:sz w:val="20"/>
          <w:szCs w:val="20"/>
          <w:color w:val="auto"/>
        </w:rPr>
      </w:pPr>
    </w:p>
    <w:p>
      <w:pPr>
        <w:ind w:right="120" w:firstLine="442"/>
        <w:spacing w:after="0" w:line="244" w:lineRule="auto"/>
        <w:rPr>
          <w:sz w:val="20"/>
          <w:szCs w:val="20"/>
          <w:color w:val="auto"/>
        </w:rPr>
      </w:pPr>
      <w:r>
        <w:rPr>
          <w:rFonts w:ascii="Arial" w:cs="Arial" w:eastAsia="Arial" w:hAnsi="Arial"/>
          <w:sz w:val="16"/>
          <w:szCs w:val="16"/>
          <w:color w:val="auto"/>
        </w:rPr>
        <w:t>In December 2016, we entered into a clinical trial and license agreement with the Cancer Research Technology Limited and CRUK. Pursuant to the agreement, as amended in March 2017 and June 2018, CRUK's Centre for Drug Development will sponsor and fund a Phase I/IIa clinical trial of our lead product candidate, BT1718, in patients with advanced solid tumors.</w:t>
      </w:r>
    </w:p>
    <w:p>
      <w:pPr>
        <w:spacing w:after="0" w:line="185" w:lineRule="exact"/>
        <w:rPr>
          <w:sz w:val="20"/>
          <w:szCs w:val="20"/>
          <w:color w:val="auto"/>
        </w:rPr>
      </w:pPr>
    </w:p>
    <w:p>
      <w:pPr>
        <w:ind w:right="40" w:firstLine="442"/>
        <w:spacing w:after="0" w:line="242" w:lineRule="auto"/>
        <w:rPr>
          <w:sz w:val="20"/>
          <w:szCs w:val="20"/>
          <w:color w:val="auto"/>
        </w:rPr>
      </w:pPr>
      <w:r>
        <w:rPr>
          <w:rFonts w:ascii="Arial" w:cs="Arial" w:eastAsia="Arial" w:hAnsi="Arial"/>
          <w:sz w:val="16"/>
          <w:szCs w:val="16"/>
          <w:color w:val="auto"/>
        </w:rPr>
        <w:t>CRUK is responsible for designing, preparing, carrying out and sponsoring the clinical trial at its cost. We are responsible for supplying agreed quantities of GMP materials for the study, the supply of which has been completed. In the event that additional quantities are needed, we will provide CRUK with all reasonable assistance to complete the arrangements necessary for the generation and supply of such additional GMP materials but CRUK will be responsible for supplying and paying for such additional quantities of GMP materials.</w:t>
      </w:r>
    </w:p>
    <w:p>
      <w:pPr>
        <w:spacing w:after="0" w:line="187"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We granted to CRUK a license to our intellectual property in order to design, prepare for, sponsor, and carry out the clinical trial. We retain the right to continue the development of BT1718 during the clinical trial. Upon the completion of the Phase I/IIa clinical study, we have the right to obtain a license to the results of the clinical trial upon the payment of a milestone, in cash and ordinary shares, with a combined value in the mid six digit dollar amount. If such license is not acquired, or if it is acquired and the license is terminated and we decide to abandon development of all products that deliver cytotoxic payloads to the MT1 target antigen, we will assign or grant to Cancer Research Technology Limited an exclusive license to develop and commercialize the product on a revenue sharing basis (in which case we will receive tiered royalties of 70% to 90% of the net revenue depending on the stage of development when the license is granted) less certain costs, as defined by the agreement. The CRUK agreement contains additional future milestone payments upon the achievement of development, regulatory and commercial milestones, payable in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5" w:name="page146"/>
    <w:bookmarkEnd w:id="1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800"/>
        <w:spacing w:after="0" w:line="249" w:lineRule="auto"/>
        <w:rPr>
          <w:sz w:val="20"/>
          <w:szCs w:val="20"/>
          <w:color w:val="auto"/>
        </w:rPr>
      </w:pPr>
      <w:r>
        <w:rPr>
          <w:rFonts w:ascii="Arial" w:cs="Arial" w:eastAsia="Arial" w:hAnsi="Arial"/>
          <w:sz w:val="16"/>
          <w:szCs w:val="16"/>
          <w:color w:val="auto"/>
        </w:rPr>
        <w:t>cash and shares, with an aggregate total value of $50.9 million, as well as royalty payments based on a single digit percentage on net sales of products developed.</w:t>
      </w:r>
    </w:p>
    <w:p>
      <w:pPr>
        <w:spacing w:after="0" w:line="181" w:lineRule="exact"/>
        <w:rPr>
          <w:sz w:val="20"/>
          <w:szCs w:val="20"/>
          <w:color w:val="auto"/>
        </w:rPr>
      </w:pPr>
    </w:p>
    <w:p>
      <w:pPr>
        <w:ind w:right="60" w:firstLine="439"/>
        <w:spacing w:after="0"/>
        <w:rPr>
          <w:sz w:val="20"/>
          <w:szCs w:val="20"/>
          <w:color w:val="auto"/>
        </w:rPr>
      </w:pPr>
      <w:r>
        <w:rPr>
          <w:rFonts w:ascii="Arial" w:cs="Arial" w:eastAsia="Arial" w:hAnsi="Arial"/>
          <w:sz w:val="16"/>
          <w:szCs w:val="16"/>
          <w:color w:val="auto"/>
        </w:rPr>
        <w:t>The CRUK agreement can be terminated by either party upon an insolvency event, material breach of the terms of the contract, or upon a change in control (and the new controlling entity generates its revenue from the sale of tobacco products). CRUK may terminate the arrangement for safety reasons or if it determines that the objectives of the clinical trial will not be met, in which case, if the study is terminated by CRUK prior to the completion of the Phase Ia dose escalation part of the study for such reasons or if CRUK refuses release of any additional quantities of GMP materials or if the parties cannot agree upon a plan to supply the additional quantities of GMP materials, we will be obligated to refund 50% of the costs and expenses incurred or committed by CRUK to perform the clinical trial. If the study is terminated by CRUK for an insolvency event, a material breach by us, or if we are acquired by an entity that generates its revenue from the sale of tobacco products, we will reimburse CRUK in full for all costs paid or committed in connection with the clinical trial and no further license payments, where applicable, shall be due. In such case where we are acquired by an entity that generates its revenue from the sale of tobacco products, CRUK will not be obliged to grant a license to us in respect of the results of the clinical trial and we will assign or grant to Cancer Research Technology Limited an exclusive license to develop and commercialize the product without Cancer Research Technology Limited being required to make any payment to 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Non-Oncology Collaborators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Bioverativ</w:t>
      </w:r>
    </w:p>
    <w:p>
      <w:pPr>
        <w:spacing w:after="0" w:line="213" w:lineRule="exact"/>
        <w:rPr>
          <w:sz w:val="20"/>
          <w:szCs w:val="20"/>
          <w:color w:val="auto"/>
        </w:rPr>
      </w:pPr>
    </w:p>
    <w:p>
      <w:pPr>
        <w:ind w:right="200" w:firstLine="442"/>
        <w:spacing w:after="0" w:line="244" w:lineRule="auto"/>
        <w:rPr>
          <w:sz w:val="20"/>
          <w:szCs w:val="20"/>
          <w:color w:val="auto"/>
        </w:rPr>
      </w:pPr>
      <w:r>
        <w:rPr>
          <w:rFonts w:ascii="Arial" w:cs="Arial" w:eastAsia="Arial" w:hAnsi="Arial"/>
          <w:sz w:val="16"/>
          <w:szCs w:val="16"/>
          <w:color w:val="auto"/>
        </w:rPr>
        <w:t>In August 2017, we entered into a research collaboration agreement with Bioverativ Inc. (acquired by Sanofi), or Bioverativ, in the field of non-malignant hematology. The Bioverativ collaboration agreement targeted two disease areas, with an option to add a third. We use our Bicycle screening platform to perform research and development services for the programs and Bioverativ can select, under one or more license collaborations, products for each program.</w:t>
      </w:r>
    </w:p>
    <w:p>
      <w:pPr>
        <w:spacing w:after="0" w:line="18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Under the Bioverativ agreement, we are obligated to perform research activities on each active research program, under mutually agreed upon research plans. The research and development services for each program (including for clarity the third, optional program) consist of two stages. The first is an initial stage of screening and optimization to identify high affinity Bicycle binders and optimization of early drug like properties and is led by Bicycle. If lead compounds are identified, the second stage includes chemical optimization and testing of these compounds in disease relevant biological assays, conducted jointly by us and Bioverativ, in preparation for lead collaboration product nomination. Each collaboration program has a maximum initial period of three years, unless a program is abandoned or extended for up to one year by Bioverativ. Bioverativ may, at its sole discretion, approve any compound to be progressed into drug development and upon the selection of a collaboration product for each collaboration program, must pay a $5.0 million payment (or $7.0 million if such product includes certain additional enabling intellectual property developed by us in the course of the collaboration) in order to obtain worldwide development and exploitation rights for that collaboration product. Bioverativ will lead preclinical and clinical development, as well as subsequent marketing and commercialization.</w:t>
      </w:r>
    </w:p>
    <w:p>
      <w:pPr>
        <w:spacing w:after="0" w:line="190"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Under the terms of the Bioverativ collaboration agreement, we granted to Bioverativ, for each collaboration program, a non-exclusive, sublicensable (through multiple tiers), worldwide license under certain of our intellectual property to conduct the activities assigned to Bioverativ in the applicable research plan for the duration of the applicable research term, but for no other purpose and we have agreed not to, directly or indirectly, by ourselves or in collaboration with others, screen the Bicycle platform for compounds that bind to a target that is the subject of the Bioverativ</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6" w:name="page147"/>
    <w:bookmarkEnd w:id="1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collaboration or otherwise perform any work related to or disclose such a target until the earliest of the filing acceptance for the first regulatory approval in a major market with respect to the collaboration program, termination or abandonment of such collaboration program or the seventh anniversary of the first date of the research term for the collaboration program.</w:t>
      </w:r>
    </w:p>
    <w:p>
      <w:pPr>
        <w:spacing w:after="0" w:line="185" w:lineRule="exact"/>
        <w:rPr>
          <w:sz w:val="20"/>
          <w:szCs w:val="20"/>
          <w:color w:val="auto"/>
        </w:rPr>
      </w:pPr>
    </w:p>
    <w:p>
      <w:pPr>
        <w:ind w:right="480" w:firstLine="442"/>
        <w:spacing w:after="0" w:line="239" w:lineRule="auto"/>
        <w:rPr>
          <w:sz w:val="20"/>
          <w:szCs w:val="20"/>
          <w:color w:val="auto"/>
        </w:rPr>
      </w:pPr>
      <w:r>
        <w:rPr>
          <w:rFonts w:ascii="Arial" w:cs="Arial" w:eastAsia="Arial" w:hAnsi="Arial"/>
          <w:sz w:val="16"/>
          <w:szCs w:val="16"/>
          <w:color w:val="auto"/>
        </w:rPr>
        <w:t>Under the terms of the Bioverativ collaboration agreement, we received a $10.0 million up front cash payment. Additionally, prior to the initiation of the research plan for each of the first two collaboration programs, Bioverativ made a non-refundable payment of $1.4 million for the sickle cell program and</w:t>
      </w:r>
    </w:p>
    <w:p>
      <w:pPr>
        <w:ind w:right="60"/>
        <w:spacing w:after="0"/>
        <w:rPr>
          <w:sz w:val="20"/>
          <w:szCs w:val="20"/>
          <w:color w:val="auto"/>
        </w:rPr>
      </w:pPr>
      <w:r>
        <w:rPr>
          <w:rFonts w:ascii="Arial" w:cs="Arial" w:eastAsia="Arial" w:hAnsi="Arial"/>
          <w:sz w:val="16"/>
          <w:szCs w:val="16"/>
          <w:color w:val="auto"/>
        </w:rPr>
        <w:t>$2.8 million for the hemophilia program as payment for our services during the respective Bicycle Research Term for each program. During the Joint Research Term, Bioverativ is obligated to fund our services at a minimum of $0.7 million and fund certain external costs incurred by us of up to $1.0 million per year. In addition, Bioverativ is required to make certain other milestone payments to us upon the achievement of specified development, regulatory and commercial milestones. More specifically, for each collaboration program, we are eligible to receive, inclusive of the $5.0 to $7.0 million milestone payment described above, between $47.5 million and $67.0 million in development milestone payments. We are also eligible to receive up to $104.0 million in regulatory milestone payments for each collaboration product. In addition, we are eligible to receive up to $55.0 million in commercial milestone payments, on a collaboration program by collaboration program basis. In addition, to the extent any of the collaboration products covered by the licenses granted to Bioverativ are commercialized, we would be entitled to receive tiered royalty payments of mid-single digits to low-teen digits based on a percentage of net sales. Royalty payments are subject to certain reductions, including for instances where Bioverativ faces generic competition in certain countries.</w:t>
      </w:r>
    </w:p>
    <w:p>
      <w:pPr>
        <w:spacing w:after="0" w:line="190"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Either party may terminate the agreement if the other party has materially breached or defaulted in the performance of any of its material obligations and such breach or default continues after the specified cure period. Either party may terminate the agreement in the event of the commencement of any proceeding in or for bankruptcy, insolvency, dissolution or winding up by or against the other party that is not dismissed or otherwise disposed of within a specified time period. In the event of a breach, the collaboration agreement may be terminated by either party in its entirety, or, if the breach is limited to a country or countries, with respect to the country or countries to which the breach applies. Bioverativ may terminate the agreement, entirely or on a program by program, licensed product by licensed product or country by country basis, for convenience.</w:t>
      </w:r>
    </w:p>
    <w:p>
      <w:pPr>
        <w:spacing w:after="0" w:line="188"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Bioverativ was also provided with an option to obtain screening services on the additional program upon making an option fee payment in addition to a non-refundable payment as payment for our services during the respective Bicycle Research Term. The option expired in November 2018 unexercised. Bioverativ exercised its right to terminate the sickle cell program in March 2019. The hemophilia program is continuing. We own the material intellectual property rights developed under the sickle cell program and are currently evaluating whether to advance it as an internal program, seek a collaborator or cease work on the program.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AstraZeneca</w:t>
      </w:r>
    </w:p>
    <w:p>
      <w:pPr>
        <w:spacing w:after="0" w:line="213" w:lineRule="exact"/>
        <w:rPr>
          <w:sz w:val="20"/>
          <w:szCs w:val="20"/>
          <w:color w:val="auto"/>
        </w:rPr>
      </w:pPr>
    </w:p>
    <w:p>
      <w:pPr>
        <w:ind w:right="60" w:firstLine="442"/>
        <w:spacing w:after="0" w:line="264" w:lineRule="auto"/>
        <w:rPr>
          <w:sz w:val="20"/>
          <w:szCs w:val="20"/>
          <w:color w:val="auto"/>
        </w:rPr>
      </w:pPr>
      <w:r>
        <w:rPr>
          <w:rFonts w:ascii="Arial" w:cs="Arial" w:eastAsia="Arial" w:hAnsi="Arial"/>
          <w:sz w:val="15"/>
          <w:szCs w:val="15"/>
          <w:color w:val="auto"/>
        </w:rPr>
        <w:t>In November 2016, we entered into a research collaboration agreement with AstraZeneca AB. The collaboration is focused on the research and development of Bicycle peptides that bind to an undisclosed number of biological targets for the treatment of respiratory, cardiovascular and metabolic diseases. After discovery and initial optimization of such Bicycle peptides, AstraZeneca will be responsible for all research and development, including lead optimization and drug candidate selection. AstraZeneca receives development, commercialization and manufacturing license rights with regard to any selected drug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7" w:name="page148"/>
    <w:bookmarkEnd w:id="1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60" w:firstLine="442"/>
        <w:spacing w:after="0"/>
        <w:rPr>
          <w:sz w:val="20"/>
          <w:szCs w:val="20"/>
          <w:color w:val="auto"/>
        </w:rPr>
      </w:pPr>
      <w:r>
        <w:rPr>
          <w:rFonts w:ascii="Arial" w:cs="Arial" w:eastAsia="Arial" w:hAnsi="Arial"/>
          <w:sz w:val="16"/>
          <w:szCs w:val="16"/>
          <w:color w:val="auto"/>
        </w:rPr>
        <w:t>Under the AstraZeneca collaboration agreement, Bicycle is obligated to use commercially reasonable efforts to perform research activities, under mutually agreed upon research plans. The research plans includes two discrete parts, on a research program by research program basis: (i) the Bicycle Research Term, which is focused on the generation of Bicycle peptide libraries using our peptide drug discovery platform, to be screened against selected biological targets, with the goal of identifying compounds that meet agreed criteria set by the parties, and (ii) the AZ Research Term, during which AstraZeneca may continue research activities with the goal of identifying compounds that satisfy the relevant pharmacological and pharmaceutical criteria for clinical testing. AstraZeneca may, at its sole discretion, approve any compound to be progressed into drug development and, upon the selection of each drug candidate, AstraZeneca is to pay a milestone of $8 million.</w:t>
      </w:r>
    </w:p>
    <w:p>
      <w:pPr>
        <w:spacing w:after="0" w:line="192" w:lineRule="exact"/>
        <w:rPr>
          <w:sz w:val="20"/>
          <w:szCs w:val="20"/>
          <w:color w:val="auto"/>
        </w:rPr>
      </w:pPr>
    </w:p>
    <w:p>
      <w:pPr>
        <w:ind w:right="120" w:firstLine="442"/>
        <w:spacing w:after="0" w:line="241" w:lineRule="auto"/>
        <w:rPr>
          <w:sz w:val="20"/>
          <w:szCs w:val="20"/>
          <w:color w:val="auto"/>
        </w:rPr>
      </w:pPr>
      <w:r>
        <w:rPr>
          <w:rFonts w:ascii="Arial" w:cs="Arial" w:eastAsia="Arial" w:hAnsi="Arial"/>
          <w:sz w:val="16"/>
          <w:szCs w:val="16"/>
          <w:color w:val="auto"/>
        </w:rPr>
        <w:t>Each research program is to continue for an initial period of three years, referred to as the research term, including one year for the Bicycle Research Term and two for the AZ Research Term. AstraZeneca may extend the research term for each research program by twelve months (or fifteen months, if needed to complete certain toxicology studies). The research term for a specific program can be shorter if it is ceased due to a screening failure, a futility determination, or abandonment by AstraZeneca. AstraZeneca has certain substitution rights should a screening failure or futility determination be reached. but is obligated to fund these additional efforts related to substitution.</w:t>
      </w:r>
    </w:p>
    <w:p>
      <w:pPr>
        <w:spacing w:after="0" w:line="189"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Under the terms of the AstraZeneca collaboration agreement, we granted to AstraZeneca the right and license (with the right to sublicense) to certain background, foreground and platform intellectual property, for the duration of the agreement, to the extent reasonably necessary or useful for AstraZeneca to conduct the activities that are assigned to it in the applicable research plan or that are reasonably necessary or useful or the purpose of researching, developing or exploiting resulting compounds and products. We have agreed not to, directly or indirectly, by ourselves or in collaboration with others, screen the Bicycle platform for compounds that bind to a target that is the subject of the AstraZeneca collaboration or otherwise perform any work related to or disclose such a target until the earlier of the tenth anniversary of the date on which such target was selected or the dosing of the first patient in the first Phase III clinical trial for a product that modulates such collaboration target.</w:t>
      </w:r>
    </w:p>
    <w:p>
      <w:pPr>
        <w:spacing w:after="0" w:line="192" w:lineRule="exact"/>
        <w:rPr>
          <w:sz w:val="20"/>
          <w:szCs w:val="20"/>
          <w:color w:val="auto"/>
        </w:rPr>
      </w:pPr>
    </w:p>
    <w:p>
      <w:pPr>
        <w:ind w:right="240" w:firstLine="439"/>
        <w:spacing w:after="0" w:line="242" w:lineRule="auto"/>
        <w:rPr>
          <w:sz w:val="20"/>
          <w:szCs w:val="20"/>
          <w:color w:val="auto"/>
        </w:rPr>
      </w:pPr>
      <w:r>
        <w:rPr>
          <w:rFonts w:ascii="Arial" w:cs="Arial" w:eastAsia="Arial" w:hAnsi="Arial"/>
          <w:sz w:val="16"/>
          <w:szCs w:val="16"/>
          <w:color w:val="auto"/>
        </w:rPr>
        <w:t>The activities under the AstraZeneca collaboration agreement are governed by a joint steering committee and joint project team each formed by an equal number of representatives from our company and AstraZeneca. The joint steering committee oversees and reviews each research program and the activities of the joint program team. Among other responsibilities, the joint steering committee monitors the research progress and ensures open and frequent exchange between the parties regarding research program activities.</w:t>
      </w:r>
    </w:p>
    <w:p>
      <w:pPr>
        <w:spacing w:after="0" w:line="187" w:lineRule="exact"/>
        <w:rPr>
          <w:sz w:val="20"/>
          <w:szCs w:val="20"/>
          <w:color w:val="auto"/>
        </w:rPr>
      </w:pPr>
    </w:p>
    <w:p>
      <w:pPr>
        <w:ind w:firstLine="433"/>
        <w:spacing w:after="0"/>
        <w:rPr>
          <w:sz w:val="20"/>
          <w:szCs w:val="20"/>
          <w:color w:val="auto"/>
        </w:rPr>
      </w:pPr>
      <w:r>
        <w:rPr>
          <w:rFonts w:ascii="Arial" w:cs="Arial" w:eastAsia="Arial" w:hAnsi="Arial"/>
          <w:sz w:val="16"/>
          <w:szCs w:val="16"/>
          <w:color w:val="auto"/>
        </w:rPr>
        <w:t>AstraZeneca receives development and commercialization licenses associated with each designated drug candidate, and owes a milestone fee of $8 million for the first drug candidate selected from each research program. In addition, AstraZeneca is required to make certain other milestone payments to us upon the achievement of specified development, regulatory and commercial milestones. More specifically, for each research program, we are eligible to receive, in addition to the milestone fee described above, up to $162 million in development, regulatory and commercial milestones on a research program by research program basis, for a total of up to $170 million in milestone payments per research program. We are eligible to receive these milestone payments for up to six research programs. In addition, to the extent any of the drug candidates covered by the licenses conveyed to AstraZeneca are commercialized, we would be entitled to receive tiered royalty payments of mid-single digits based on a percentage of net sales. Royalty payments are subject to certain reductions, including in certain countries where AstraZeneca faces generic competition. In total, we could receive more than $1 billion in milestone payments and royalties under the collaboration agreement.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8" w:name="page149"/>
    <w:bookmarkEnd w:id="1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Either party may terminate the AstraZeneca collaboration agreement if the other party has materially breached or defaulted in the performance of any of its material obligations and such breach or default continues after the specified cure period. In the event of a breach, the collaboration agreement may be terminated in its entirety, or, if the breach is limited to a country or countries, with respect to the country or countries to which the breach applies. Either party may terminate the AstraZeneca collaboration agreement in the event of the commencement of any proceeding in or for bankruptcy, insolvency, dissolution or winding up by or against the other party that is not dismissed or otherwise disposed of within a specified time period. AstraZeneca may terminate the AstraZeneca collaboration agreement, entirely or on a licensed product by licensed product or country by country basis, for convenience.</w:t>
      </w:r>
    </w:p>
    <w:p>
      <w:pPr>
        <w:spacing w:after="0" w:line="188" w:lineRule="exact"/>
        <w:rPr>
          <w:sz w:val="20"/>
          <w:szCs w:val="20"/>
          <w:color w:val="auto"/>
        </w:rPr>
      </w:pPr>
    </w:p>
    <w:p>
      <w:pPr>
        <w:ind w:right="140" w:firstLine="442"/>
        <w:spacing w:after="0" w:line="244" w:lineRule="auto"/>
        <w:rPr>
          <w:sz w:val="20"/>
          <w:szCs w:val="20"/>
          <w:color w:val="auto"/>
        </w:rPr>
      </w:pPr>
      <w:r>
        <w:rPr>
          <w:rFonts w:ascii="Arial" w:cs="Arial" w:eastAsia="Arial" w:hAnsi="Arial"/>
          <w:sz w:val="16"/>
          <w:szCs w:val="16"/>
          <w:color w:val="auto"/>
        </w:rPr>
        <w:t>Under the AstraZeneca collaboration agreement, AstraZeneca was granted an option to nominate additional targets on the same contractual terms as the initial targets. In May 2018, AstraZeneca made an irrevocable election to exercise the additional target option, giving AstraZeneca the option to designate additional targets, for $5.0 million that was paid by AstraZeneca to us in January 2019.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Oxurion (formerly ThromboGenics)</w:t>
      </w:r>
    </w:p>
    <w:p>
      <w:pPr>
        <w:spacing w:after="0" w:line="213" w:lineRule="exact"/>
        <w:rPr>
          <w:sz w:val="20"/>
          <w:szCs w:val="20"/>
          <w:color w:val="auto"/>
        </w:rPr>
      </w:pPr>
    </w:p>
    <w:p>
      <w:pPr>
        <w:ind w:firstLine="442"/>
        <w:spacing w:after="0" w:line="268" w:lineRule="auto"/>
        <w:rPr>
          <w:sz w:val="20"/>
          <w:szCs w:val="20"/>
          <w:color w:val="auto"/>
        </w:rPr>
      </w:pPr>
      <w:r>
        <w:rPr>
          <w:rFonts w:ascii="Arial" w:cs="Arial" w:eastAsia="Arial" w:hAnsi="Arial"/>
          <w:sz w:val="15"/>
          <w:szCs w:val="15"/>
          <w:color w:val="auto"/>
        </w:rPr>
        <w:t>In August 2013, we entered into a research collaboration and license agreement with Oxurion NV (formerly ThromboGenics NV), or Oxurion. Under the Oxurion collaboration agreement, we are responsible for identifying Bicycle peptides related to the collaboration target, human plasma kallikrein, for use in various ophthalmic indications. Oxurion is responsible for further development and product commercialization after the defined research screening is performed by us.</w:t>
      </w:r>
    </w:p>
    <w:p>
      <w:pPr>
        <w:spacing w:after="0" w:line="168" w:lineRule="exact"/>
        <w:rPr>
          <w:sz w:val="20"/>
          <w:szCs w:val="20"/>
          <w:color w:val="auto"/>
        </w:rPr>
      </w:pPr>
    </w:p>
    <w:p>
      <w:pPr>
        <w:ind w:right="140" w:firstLine="439"/>
        <w:spacing w:after="0" w:line="241" w:lineRule="auto"/>
        <w:rPr>
          <w:sz w:val="20"/>
          <w:szCs w:val="20"/>
          <w:color w:val="auto"/>
        </w:rPr>
      </w:pPr>
      <w:r>
        <w:rPr>
          <w:rFonts w:ascii="Arial" w:cs="Arial" w:eastAsia="Arial" w:hAnsi="Arial"/>
          <w:sz w:val="16"/>
          <w:szCs w:val="16"/>
          <w:color w:val="auto"/>
        </w:rPr>
        <w:t>The collaboration includes two stages. During Stage I, which has been completed, we were obligated to perform specific research activities in accordance with the research plan focused on screening the target using our Bicycle platform to identify compounds that meet the criteria set by the parties. During Stage II, which is ongoing, Oxurion has continued research activities on selected Bicycle peptides with the goal of identifying compounds for further development and commercialization. We are not obligated or expected to perform any research services during Stage II of the research plan. THR-149 has been selected as a development compound under the Oxurion collaboration agreement.</w:t>
      </w:r>
    </w:p>
    <w:p>
      <w:pPr>
        <w:spacing w:after="0" w:line="189" w:lineRule="exact"/>
        <w:rPr>
          <w:sz w:val="20"/>
          <w:szCs w:val="20"/>
          <w:color w:val="auto"/>
        </w:rPr>
      </w:pPr>
    </w:p>
    <w:p>
      <w:pPr>
        <w:ind w:right="480" w:firstLine="442"/>
        <w:spacing w:after="0" w:line="249" w:lineRule="auto"/>
        <w:rPr>
          <w:sz w:val="20"/>
          <w:szCs w:val="20"/>
          <w:color w:val="auto"/>
        </w:rPr>
      </w:pPr>
      <w:r>
        <w:rPr>
          <w:rFonts w:ascii="Arial" w:cs="Arial" w:eastAsia="Arial" w:hAnsi="Arial"/>
          <w:sz w:val="16"/>
          <w:szCs w:val="16"/>
          <w:color w:val="auto"/>
        </w:rPr>
        <w:t>We granted certain worldwide intellectual property rights to Oxurion for the development, manufacture and commercialization of licensed compounds associated with plasma kallikrein.</w:t>
      </w:r>
    </w:p>
    <w:p>
      <w:pPr>
        <w:spacing w:after="0" w:line="181" w:lineRule="exact"/>
        <w:rPr>
          <w:sz w:val="20"/>
          <w:szCs w:val="20"/>
          <w:color w:val="auto"/>
        </w:rPr>
      </w:pPr>
    </w:p>
    <w:p>
      <w:pPr>
        <w:ind w:firstLine="439"/>
        <w:spacing w:after="0" w:line="255" w:lineRule="auto"/>
        <w:rPr>
          <w:sz w:val="20"/>
          <w:szCs w:val="20"/>
          <w:color w:val="auto"/>
        </w:rPr>
      </w:pPr>
      <w:r>
        <w:rPr>
          <w:rFonts w:ascii="Arial" w:cs="Arial" w:eastAsia="Arial" w:hAnsi="Arial"/>
          <w:sz w:val="15"/>
          <w:szCs w:val="15"/>
          <w:color w:val="auto"/>
        </w:rPr>
        <w:t>The Oxurion collaboration agreement provided an upfront payment of €1.0 million and potential additional research and development funding, at an agreed upon FTE rate, should the research effort require more than one FTE or the research plan be amended or extended by Oxurion. In addition, Oxurion is required to make certain milestone payments to us upon the achievement of specified research, development, regulatory and commercial milestones. More specifically, for each collaboration compound, we are eligible to receive up to €8.3 million in research and development milestone payments, from which we have received</w:t>
      </w:r>
    </w:p>
    <w:p>
      <w:pPr>
        <w:spacing w:after="0" w:line="1"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€1.8 million as of December 31, 2018, in connection with the development of THR-149, and up to €16.5 million in regulatory milestone payments. In addition, to the extent any of the collaboration products covered by the licenses granted to Oxurion are commercialized, we would be entitled to receive tiered royalty payments of mid-single digits based on a percentage of net sales. Royalty payments are subject to certain reductions. Also, if Oxurion grants a sublicense to a third party for rights to the program for non-ophthalmic use prior to the filing of an IND, we would be entitled to receive payments in the double digits (no higher than first quartile) based on a percentage of non-royalty sublicensing income. If Oxurion grants a sublicense to a third party for rights to the program for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49" w:name="page150"/>
    <w:bookmarkEnd w:id="1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non-opthalmic use after the filing of an IND, we would be entitled to receive payments of mid-single digits to low teen-digits.</w:t>
      </w:r>
    </w:p>
    <w:p>
      <w:pPr>
        <w:spacing w:after="0" w:line="195" w:lineRule="exact"/>
        <w:rPr>
          <w:sz w:val="20"/>
          <w:szCs w:val="20"/>
          <w:color w:val="auto"/>
        </w:rPr>
      </w:pPr>
    </w:p>
    <w:p>
      <w:pPr>
        <w:ind w:right="200" w:firstLine="442"/>
        <w:spacing w:after="0" w:line="264" w:lineRule="auto"/>
        <w:rPr>
          <w:sz w:val="20"/>
          <w:szCs w:val="20"/>
          <w:color w:val="auto"/>
        </w:rPr>
      </w:pPr>
      <w:r>
        <w:rPr>
          <w:rFonts w:ascii="Arial" w:cs="Arial" w:eastAsia="Arial" w:hAnsi="Arial"/>
          <w:sz w:val="15"/>
          <w:szCs w:val="15"/>
          <w:color w:val="auto"/>
        </w:rPr>
        <w:t>Either party may terminate the Oxurion collaboration agreement if the other party has breached any of its material obligations and such breach continues after the specified cure period. Either party may terminate the Oxurion collaboration agreement in the event of the commencement of any proceeding in or for bankruptcy, insolvency, dissolution or winding up by or against the other party. Oxurion may terminate the Oxurion collaboration agreement for convenience. We may terminate the Oxurion collaboration agreement if Oxurion challenges the validity of any licensed patents or opposes the grant of a licensed patent.</w:t>
      </w:r>
    </w:p>
    <w:p>
      <w:pPr>
        <w:spacing w:after="0" w:line="170"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In November 2017, we entered into an amendment to the Oxurion collaboration agreement. This amendment provides for additional research services to be performed by us related to the identification of additional Bicycles binding to the target for Oxurion, in its discretion, to select as development compounds. We were obligated to perform the work in accordance with an amended research plan under Stage I of the collaboration and were funded at a specified FTE rate, plus any direct out of pocket expenses, and Oxurion will be responsible for Stage II research and any development after the selection of a development compound. As of December 1, 2018, we had completed Stage I of the research plan. Additional milestones were added for the potential additional licensed compounds, consistent with those of the initial Oxurion collaboration agreement. Additionally, the tiered royalty rates for all licensed compounds other than THR-149 was increased by one percentage point. We are not obligated or expected to perform any research services during Stage II of the collaboration.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Founder Royalty Arrangements</w:t>
      </w:r>
    </w:p>
    <w:p>
      <w:pPr>
        <w:spacing w:after="0" w:line="213" w:lineRule="exact"/>
        <w:rPr>
          <w:sz w:val="20"/>
          <w:szCs w:val="20"/>
          <w:color w:val="auto"/>
        </w:rPr>
      </w:pPr>
    </w:p>
    <w:p>
      <w:pPr>
        <w:ind w:right="20" w:firstLine="442"/>
        <w:spacing w:after="0" w:line="242" w:lineRule="auto"/>
        <w:rPr>
          <w:sz w:val="20"/>
          <w:szCs w:val="20"/>
          <w:color w:val="auto"/>
        </w:rPr>
      </w:pPr>
      <w:r>
        <w:rPr>
          <w:rFonts w:ascii="Arial" w:cs="Arial" w:eastAsia="Arial" w:hAnsi="Arial"/>
          <w:sz w:val="16"/>
          <w:szCs w:val="16"/>
          <w:color w:val="auto"/>
        </w:rPr>
        <w:t>We have entered into two royalty agreements with our founders, Christian Heinis, John Tite, and Sir Greg Winter, and our initial investors, Atlas Venture Fund VIII LP, Novartis Bioventures LTD. Pursuant to the first royalty agreement, we are obligated to pay an aggregate royalty percentage in the low single digits on net sales arising from products licensed under the Oxurion collaboration agreement. Pursuant to the second royalty agreement, we are obligated to pay an aggregate royalty percentage in the low single digits on net sales arising from products licensed under the AstraZeneca collaboration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11" w:lineRule="exact"/>
        <w:rPr>
          <w:sz w:val="20"/>
          <w:szCs w:val="20"/>
          <w:color w:val="auto"/>
        </w:rPr>
      </w:pPr>
    </w:p>
    <w:p>
      <w:pPr>
        <w:ind w:right="40" w:firstLine="442"/>
        <w:spacing w:after="0"/>
        <w:rPr>
          <w:sz w:val="20"/>
          <w:szCs w:val="20"/>
          <w:color w:val="auto"/>
        </w:rPr>
      </w:pPr>
      <w:r>
        <w:rPr>
          <w:rFonts w:ascii="Arial" w:cs="Arial" w:eastAsia="Arial" w:hAnsi="Arial"/>
          <w:sz w:val="16"/>
          <w:szCs w:val="16"/>
          <w:color w:val="auto"/>
        </w:rPr>
        <w:t xml:space="preserve">We strive to protect and enhance the proprietary technology, inventions, and improvements that are commercially important to the development of our business, including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platform. This includes seeking, maintaining, and defending patent rights, whether developed internally or licensed from third parties, which are directed to the use of our Bicycle platform and composition of matter involved in the platform, composition of matter and use of product candidates, and other inventions that are important to our business. We have three patent families directed to novel scaffolds, and 11 patent families directed to our platform technology, including the composition of matter of Bicycle® binders and method of treatment of related indications, including cancer. For example, a patent family directed to the composition of matter of Bicycle® binders and method of treatment of related indications, including cancer, was issued in the United States and Europe, and is pending in several other jurisdictions. The issued patents from this family, and the pending patent applications if issued, are expected to expire in 2034, before patent term extensions, if any. We have 63 patent families directed to the composition of matter of bicyclic peptides and related conjugates, and six patent families directed to methods of using bicyclic peptide conjugates for treating various indications. For example, two patent families directed to the composition of matter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0" w:name="page151"/>
    <w:bookmarkEnd w:id="1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of one of our product candidates, BT1718, and methods of use for treating cancer are pending in certain jurisdictions, which if issued, would expire in 2035 and 2037, respectively. We also rely on trade secrets and know-how that may be important for the development of our business. This includes aspects of our proprietary technology platform and our continuing technological innovation to develop, maintain, and strengthen our position in the field of peptide, peptidomimetic, and small molecule-based therapeutics. We additionally may rely on regulatory protection afforded through data exclusivity, market exclusivity and patent term extensions where available.</w:t>
      </w:r>
    </w:p>
    <w:p>
      <w:pPr>
        <w:spacing w:after="0" w:line="189" w:lineRule="exact"/>
        <w:rPr>
          <w:sz w:val="20"/>
          <w:szCs w:val="20"/>
          <w:color w:val="auto"/>
        </w:rPr>
      </w:pPr>
    </w:p>
    <w:p>
      <w:pPr>
        <w:ind w:right="200" w:firstLine="442"/>
        <w:spacing w:after="0" w:line="244"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our product candidates, technology and know-how, defend and enforce our patents; prevent others from infringing our proprietary rights, preserve the confidentiality of our trade secrets, and to operate without infringing the proprietary rights of others.</w:t>
      </w:r>
    </w:p>
    <w:p>
      <w:pPr>
        <w:spacing w:after="0" w:line="185"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Our ability to stop third parties from making, having made, using, selling, offering to sell or importing our products may depend on the extent to which we have rights under valid and enforceable licenses, patents or trade secrets that cover these activities. In some cases, these rights may need to be enforced by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For more information, please see "Risk Factors — Risks Related to Our Intellectual Property."</w:t>
      </w:r>
    </w:p>
    <w:p>
      <w:pPr>
        <w:spacing w:after="0" w:line="188" w:lineRule="exact"/>
        <w:rPr>
          <w:sz w:val="20"/>
          <w:szCs w:val="20"/>
          <w:color w:val="auto"/>
        </w:rPr>
      </w:pPr>
    </w:p>
    <w:p>
      <w:pPr>
        <w:ind w:right="140" w:firstLine="442"/>
        <w:spacing w:after="0" w:line="241" w:lineRule="auto"/>
        <w:rPr>
          <w:sz w:val="20"/>
          <w:szCs w:val="20"/>
          <w:color w:val="auto"/>
        </w:rPr>
      </w:pPr>
      <w:r>
        <w:rPr>
          <w:rFonts w:ascii="Arial" w:cs="Arial" w:eastAsia="Arial" w:hAnsi="Arial"/>
          <w:sz w:val="16"/>
          <w:szCs w:val="16"/>
          <w:color w:val="auto"/>
        </w:rPr>
        <w:t>We seek to protect our proprietary position in a variety of ways, including by pursuing patent protection in certain jurisdictions where it is available. For example, we file U.S. and certain foreign patent applications related to our proprietary technology, inventions and improvements that are important to the development of our business. We also intend to seek patent protection or rely upon trade secret rights to protect other technologies that may be used to discover and validate targets and that may be used to identify and develop novel products. We seek protection, in part, through confidentiality and proprietary information agreements. We are a party to various other license agreements that give us rights to use specific technologies in our research and development.</w:t>
      </w:r>
    </w:p>
    <w:p>
      <w:pPr>
        <w:spacing w:after="0" w:line="189"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or PTA, under certain circumstances to compensate for delays in obtaining the patent caused by the United States Patent and Trademark Office.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1" w:name="page152"/>
    <w:bookmarkEnd w:id="1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with our assessment of whether such extensions should be granted, and if granted, the length of such extensions.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Company-Owned Intellectual Property</w:t>
      </w:r>
    </w:p>
    <w:p>
      <w:pPr>
        <w:spacing w:after="0" w:line="211" w:lineRule="exact"/>
        <w:rPr>
          <w:sz w:val="20"/>
          <w:szCs w:val="20"/>
          <w:color w:val="auto"/>
        </w:rPr>
      </w:pPr>
    </w:p>
    <w:p>
      <w:pPr>
        <w:ind w:right="200" w:firstLine="433"/>
        <w:spacing w:after="0" w:line="242" w:lineRule="auto"/>
        <w:rPr>
          <w:sz w:val="20"/>
          <w:szCs w:val="20"/>
          <w:color w:val="auto"/>
        </w:rPr>
      </w:pPr>
      <w:r>
        <w:rPr>
          <w:rFonts w:ascii="Arial" w:cs="Arial" w:eastAsia="Arial" w:hAnsi="Arial"/>
          <w:sz w:val="16"/>
          <w:szCs w:val="16"/>
          <w:color w:val="auto"/>
        </w:rPr>
        <w:t>As of April 2, 2019, our patent portfolio included three patent families covering novel scaffolds, 11 patent families directed to our platform technology, 63 patent families covering bicyclic peptides and related conjugates, and six patent families directed to clinical indications and other properties of development assets. In total, as of April 2, 2019, we owned 40 patents in the U.S. and in Australia, Canada, China, Europe, Japan, New Zealand, Russia and Singapore, with terms expiring at various dates in February 2029 to October 2034 exclusive of potential patent term adjustment and/or patent term extension.</w:t>
      </w:r>
    </w:p>
    <w:p>
      <w:pPr>
        <w:spacing w:after="0" w:line="187" w:lineRule="exact"/>
        <w:rPr>
          <w:sz w:val="20"/>
          <w:szCs w:val="20"/>
          <w:color w:val="auto"/>
        </w:rPr>
      </w:pPr>
    </w:p>
    <w:p>
      <w:pPr>
        <w:jc w:val="both"/>
        <w:ind w:right="120" w:firstLine="442"/>
        <w:spacing w:after="0" w:line="244" w:lineRule="auto"/>
        <w:rPr>
          <w:sz w:val="20"/>
          <w:szCs w:val="20"/>
          <w:color w:val="auto"/>
        </w:rPr>
      </w:pPr>
      <w:r>
        <w:rPr>
          <w:rFonts w:ascii="Arial" w:cs="Arial" w:eastAsia="Arial" w:hAnsi="Arial"/>
          <w:sz w:val="16"/>
          <w:szCs w:val="16"/>
          <w:color w:val="auto"/>
        </w:rPr>
        <w:t>In addition, as of April 2, 2019, we had 139 patent applications pending in the U.S. and Australia, Brazil, Canada, China, Europe, Hong Kong, India, Japan, South Korea, New Zealand, Russia and Singapore, and any patents that may be issued from these patent applications are generally expected to have terms that will expire at various dates in February 2029 to April 2040 subject to possible patent term extensions and/or patent term adjustments.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Trade Secret Protection</w:t>
      </w:r>
    </w:p>
    <w:p>
      <w:pPr>
        <w:spacing w:after="0" w:line="211"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 xml:space="preserve">Finally, we may rely, in some circumstances, on trade secrets to protect our technology. We anticipate relying on trade secrets to protect the know-how behind our </w:t>
      </w:r>
      <w:r>
        <w:rPr>
          <w:rFonts w:ascii="Arial" w:cs="Arial" w:eastAsia="Arial" w:hAnsi="Arial"/>
          <w:sz w:val="16"/>
          <w:szCs w:val="16"/>
          <w:i w:val="1"/>
          <w:iCs w:val="1"/>
          <w:color w:val="auto"/>
        </w:rPr>
        <w:t>Bicycle</w:t>
      </w:r>
      <w:r>
        <w:rPr>
          <w:rFonts w:ascii="Arial" w:cs="Arial" w:eastAsia="Arial" w:hAnsi="Arial"/>
          <w:sz w:val="16"/>
          <w:szCs w:val="16"/>
          <w:color w:val="auto"/>
        </w:rPr>
        <w:t xml:space="preserve"> platform. However, trade secrets can be difficult to protect. We seek to protect our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 For further information, please see "Risk Factors — Risks Related to Our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15" w:lineRule="exact"/>
        <w:rPr>
          <w:sz w:val="20"/>
          <w:szCs w:val="20"/>
          <w:color w:val="auto"/>
        </w:rPr>
      </w:pPr>
    </w:p>
    <w:p>
      <w:pPr>
        <w:ind w:firstLine="439"/>
        <w:spacing w:after="0" w:line="241"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89" w:lineRule="exact"/>
        <w:rPr>
          <w:sz w:val="20"/>
          <w:szCs w:val="20"/>
          <w:color w:val="auto"/>
        </w:rPr>
      </w:pPr>
    </w:p>
    <w:p>
      <w:pPr>
        <w:ind w:right="20" w:firstLine="439"/>
        <w:spacing w:after="0" w:line="241" w:lineRule="auto"/>
        <w:rPr>
          <w:sz w:val="20"/>
          <w:szCs w:val="20"/>
          <w:color w:val="auto"/>
        </w:rPr>
      </w:pPr>
      <w:r>
        <w:rPr>
          <w:rFonts w:ascii="Arial" w:cs="Arial" w:eastAsia="Arial" w:hAnsi="Arial"/>
          <w:sz w:val="16"/>
          <w:szCs w:val="16"/>
          <w:color w:val="auto"/>
        </w:rPr>
        <w:t>There are a number of currently marketed products and product candidates in preclinical research and clinical development by third parties for the various oncology applications that we are targeting. For example, a number of multinational companies as well as large biotechnology companies, including Astellas Pharma, Inc., Seattle Genetics, Inc., AstraZeneca, and GlaxoSmithKline plc, are developing programs for the targets that we are exploring for our BTC programs. Furthermore, Agenus Inc., Bristol-Myers Squibb Company, Pfizer Inc., and Roche Holding AG, or Roche, have or are developing programs for CD137, and Amgen Inc., Pieris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2" w:name="page153"/>
    <w:bookmarkEnd w:id="1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Pharmaceuticals, Inc. and Roche are developing bi-specifics. In addition, we are aware that technologies for drug discovery, including peptide-based medicines, continue to advance rapidly, which may compete with our own screening technology or render it obsolete.</w:t>
      </w:r>
    </w:p>
    <w:p>
      <w:pPr>
        <w:spacing w:after="0" w:line="181" w:lineRule="exact"/>
        <w:rPr>
          <w:sz w:val="20"/>
          <w:szCs w:val="20"/>
          <w:color w:val="auto"/>
        </w:rPr>
      </w:pPr>
    </w:p>
    <w:p>
      <w:pPr>
        <w:ind w:right="80" w:firstLine="442"/>
        <w:spacing w:after="0"/>
        <w:rPr>
          <w:sz w:val="20"/>
          <w:szCs w:val="20"/>
          <w:color w:val="auto"/>
        </w:rPr>
      </w:pPr>
      <w:r>
        <w:rPr>
          <w:rFonts w:ascii="Arial" w:cs="Arial" w:eastAsia="Arial" w:hAnsi="Arial"/>
          <w:sz w:val="16"/>
          <w:szCs w:val="16"/>
          <w:color w:val="auto"/>
        </w:rPr>
        <w:t>Many of our competitors, either alone or with their strategic partners, have substantially greater financial, technical and human resources than we do and significantly greater experience in the discovery and development of product candidates, obtaining FDA and other regulatory approvals of products and the commercialization of those products. Accordingly, our competitors may be more successful than we may be in discovering product candidates, obtaining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We anticipate that we will face intense and increasing competition as new drugs enter the market and advanced technologies become available.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15"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Subject to receiving marketing approval, we intend to pursue the commercialization of our product candidates either by building internal sales and marketing capabilities or through opportunistic collaborations with others.</w:t>
      </w:r>
    </w:p>
    <w:p>
      <w:pPr>
        <w:spacing w:after="0" w:line="181"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We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199" w:lineRule="exact"/>
        <w:rPr>
          <w:sz w:val="20"/>
          <w:szCs w:val="20"/>
          <w:color w:val="auto"/>
        </w:rPr>
      </w:pPr>
    </w:p>
    <w:p>
      <w:pPr>
        <w:ind w:right="360" w:firstLine="442"/>
        <w:spacing w:after="0" w:line="249" w:lineRule="auto"/>
        <w:rPr>
          <w:sz w:val="20"/>
          <w:szCs w:val="20"/>
          <w:color w:val="auto"/>
        </w:rPr>
      </w:pPr>
      <w:r>
        <w:rPr>
          <w:rFonts w:ascii="Arial" w:cs="Arial" w:eastAsia="Arial" w:hAnsi="Arial"/>
          <w:sz w:val="16"/>
          <w:szCs w:val="16"/>
          <w:color w:val="auto"/>
        </w:rPr>
        <w:t xml:space="preserve">Each of our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is entirely synthetic. We believe the synthetic nature of our product candidates allow for a more cost effective and scalable manufacturing process compared to biologics. In addition, this property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allows for the manufacturing of product candidates of consistent pharmaceutical quality with favorable stability characteristics. Based on our experience, we believe that the manufacturing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can be made to be well controlled, reproducible and scalable.</w:t>
      </w:r>
    </w:p>
    <w:p>
      <w:pPr>
        <w:spacing w:after="0" w:line="182" w:lineRule="exact"/>
        <w:rPr>
          <w:sz w:val="20"/>
          <w:szCs w:val="20"/>
          <w:color w:val="auto"/>
        </w:rPr>
      </w:pPr>
    </w:p>
    <w:p>
      <w:pPr>
        <w:ind w:right="180" w:firstLine="442"/>
        <w:spacing w:after="0" w:line="241" w:lineRule="auto"/>
        <w:rPr>
          <w:sz w:val="20"/>
          <w:szCs w:val="20"/>
          <w:color w:val="auto"/>
        </w:rPr>
      </w:pPr>
      <w:r>
        <w:rPr>
          <w:rFonts w:ascii="Arial" w:cs="Arial" w:eastAsia="Arial" w:hAnsi="Arial"/>
          <w:sz w:val="16"/>
          <w:szCs w:val="16"/>
          <w:color w:val="auto"/>
        </w:rPr>
        <w:t>We operate an outsourced model for the manufacture of our product candidates, and contract with good manufacturing practice, or GMP, licensed pharmaceutical contract development and manufacturing organizations, both for the synthesis of each drug substance component, and the formulation and packaging of the finished drug product. We selected these organizations based on their experience, capability, capacity and regulatory status. We do not own or operate GMP manufacturing facilities, nor do we currently plan to build our own GMP manufacturing capabilities for the production of candidates for clinical or commercial use.</w:t>
      </w:r>
    </w:p>
    <w:p>
      <w:pPr>
        <w:spacing w:after="0" w:line="189" w:lineRule="exact"/>
        <w:rPr>
          <w:sz w:val="20"/>
          <w:szCs w:val="20"/>
          <w:color w:val="auto"/>
        </w:rPr>
      </w:pPr>
    </w:p>
    <w:p>
      <w:pPr>
        <w:ind w:right="280" w:firstLine="442"/>
        <w:spacing w:after="0" w:line="244" w:lineRule="auto"/>
        <w:rPr>
          <w:sz w:val="20"/>
          <w:szCs w:val="20"/>
          <w:color w:val="auto"/>
        </w:rPr>
      </w:pPr>
      <w:r>
        <w:rPr>
          <w:rFonts w:ascii="Arial" w:cs="Arial" w:eastAsia="Arial" w:hAnsi="Arial"/>
          <w:sz w:val="16"/>
          <w:szCs w:val="16"/>
          <w:color w:val="auto"/>
        </w:rPr>
        <w:t>We currently engage five third-party manufacturers to provide clinical supplies of our product candidates, three third-party manufacturers to provide non-clinical supplies of our product candidates and three third-party manufacturers to provide fill-finish services. Projects are managed by a specialist team of our internal staff, which is designed to promote compliance with the technical aspects and regulatory requirements of the manufacturing process.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3" w:name="page154"/>
    <w:bookmarkEnd w:id="1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15"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Review and Approval of Drugs in the United States</w:t>
      </w:r>
    </w:p>
    <w:p>
      <w:pPr>
        <w:spacing w:after="0" w:line="213"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In the United States, the FDA regulates drugs and devices under the Federal Food, Drug, and Cosmetic Act, or FDCA, and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 addition, an applicant may need to recall a product.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 applicant seeking approval to market and distribute a new drug product in the United States must typically undertake the following:</w:t>
      </w:r>
    </w:p>
    <w:p>
      <w:pPr>
        <w:spacing w:after="0" w:line="195" w:lineRule="exact"/>
        <w:rPr>
          <w:sz w:val="20"/>
          <w:szCs w:val="20"/>
          <w:color w:val="auto"/>
        </w:rPr>
      </w:pPr>
    </w:p>
    <w:p>
      <w:pPr>
        <w:ind w:left="980" w:right="440" w:hanging="493"/>
        <w:spacing w:after="0" w:line="249"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completion of nonclinical, or preclinical, laboratory tests, animal studies and formulation studies in compliance with the FDA's good laboratory practice, or GLP, regulations;</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submission to the FDA of an IND, which must take effect before human clinical trials may begin;</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approval by an independent IRB representing each clinical site before each clinical trial may be initiated;</w:t>
      </w:r>
    </w:p>
    <w:p>
      <w:pPr>
        <w:spacing w:after="0" w:line="182" w:lineRule="exact"/>
        <w:rPr>
          <w:rFonts w:ascii="Arial" w:cs="Arial" w:eastAsia="Arial" w:hAnsi="Arial"/>
          <w:sz w:val="16"/>
          <w:szCs w:val="16"/>
          <w:color w:val="auto"/>
        </w:rPr>
      </w:pPr>
    </w:p>
    <w:p>
      <w:pPr>
        <w:ind w:left="980" w:right="280" w:hanging="493"/>
        <w:spacing w:after="0" w:line="249"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good clinical practices, or GCP, to establish the safety and efficacy of the proposed drug product for each indication;</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preparation and submission to the FDA of a new drug application, or NDA;</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review of the product by an FDA advisory committee, where appropriate or if applicable;</w:t>
      </w:r>
    </w:p>
    <w:p>
      <w:pPr>
        <w:spacing w:after="0" w:line="182" w:lineRule="exact"/>
        <w:rPr>
          <w:rFonts w:ascii="Arial" w:cs="Arial" w:eastAsia="Arial" w:hAnsi="Arial"/>
          <w:sz w:val="16"/>
          <w:szCs w:val="16"/>
          <w:color w:val="auto"/>
        </w:rPr>
      </w:pPr>
    </w:p>
    <w:p>
      <w:pPr>
        <w:jc w:val="both"/>
        <w:ind w:left="980" w:right="160" w:hanging="493"/>
        <w:spacing w:after="0" w:line="244"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184" w:lineRule="exact"/>
        <w:rPr>
          <w:rFonts w:ascii="Arial" w:cs="Arial" w:eastAsia="Arial" w:hAnsi="Arial"/>
          <w:sz w:val="16"/>
          <w:szCs w:val="16"/>
          <w:color w:val="auto"/>
        </w:rPr>
      </w:pPr>
    </w:p>
    <w:p>
      <w:pPr>
        <w:ind w:left="980" w:hanging="493"/>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satisfactory completion of FDA audits of clinical trial sites to assure compliance with GCPs and the integrity of the clinical data;</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payment of user fees and securing FDA approval of the NDA; and</w:t>
      </w:r>
    </w:p>
    <w:p>
      <w:pPr>
        <w:spacing w:after="0" w:line="182" w:lineRule="exact"/>
        <w:rPr>
          <w:rFonts w:ascii="Arial" w:cs="Arial" w:eastAsia="Arial" w:hAnsi="Arial"/>
          <w:sz w:val="16"/>
          <w:szCs w:val="16"/>
          <w:color w:val="auto"/>
        </w:rPr>
      </w:pPr>
    </w:p>
    <w:p>
      <w:pPr>
        <w:ind w:left="980" w:right="20" w:hanging="493"/>
        <w:spacing w:after="0" w:line="249"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compliance with any post-approval requirements, including Risk Evaluation and Mitigation Strategies, or REMS, and post-approval studies required by the FDA.</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154" w:name="page155"/>
    <w:bookmarkEnd w:id="1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Preclinical Studies</w:t>
      </w:r>
    </w:p>
    <w:p>
      <w:pPr>
        <w:spacing w:after="0" w:line="211" w:lineRule="exact"/>
        <w:rPr>
          <w:sz w:val="20"/>
          <w:szCs w:val="20"/>
          <w:color w:val="auto"/>
        </w:rPr>
      </w:pPr>
    </w:p>
    <w:p>
      <w:pPr>
        <w:ind w:right="220" w:firstLine="442"/>
        <w:spacing w:after="0" w:line="241" w:lineRule="auto"/>
        <w:rPr>
          <w:sz w:val="20"/>
          <w:szCs w:val="20"/>
          <w:color w:val="auto"/>
        </w:rPr>
      </w:pPr>
      <w:r>
        <w:rPr>
          <w:rFonts w:ascii="Arial" w:cs="Arial" w:eastAsia="Arial" w:hAnsi="Arial"/>
          <w:sz w:val="16"/>
          <w:szCs w:val="16"/>
          <w:color w:val="auto"/>
        </w:rPr>
        <w:t>Preclinical studies include laboratory evaluation of the purity and stability of the manufactured drug substance or active pharmaceutical ingredient and the formulated drug or drug product, as well as in vitro and animal studies to assess the safety and activity of the drug for initial testing in humans and to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may continue after the IND is submitted.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Human Clinical Trials in Support of an NDA</w:t>
      </w:r>
    </w:p>
    <w:p>
      <w:pPr>
        <w:spacing w:after="0" w:line="211" w:lineRule="exact"/>
        <w:rPr>
          <w:sz w:val="20"/>
          <w:szCs w:val="20"/>
          <w:color w:val="auto"/>
        </w:rPr>
      </w:pPr>
    </w:p>
    <w:p>
      <w:pPr>
        <w:ind w:firstLine="442"/>
        <w:spacing w:after="0" w:line="259" w:lineRule="auto"/>
        <w:rPr>
          <w:sz w:val="20"/>
          <w:szCs w:val="20"/>
          <w:color w:val="auto"/>
        </w:rPr>
      </w:pPr>
      <w:r>
        <w:rPr>
          <w:rFonts w:ascii="Arial" w:cs="Arial" w:eastAsia="Arial" w:hAnsi="Arial"/>
          <w:sz w:val="15"/>
          <w:szCs w:val="15"/>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The FDA can place an IND on full or partial clinical hold at any point in development, and depending upon the scope of the hold, clinical trial(s) may not restart until resolution of the outstanding concerns to the FDA's satisfaction.</w:t>
      </w:r>
    </w:p>
    <w:p>
      <w:pPr>
        <w:spacing w:after="0" w:line="174" w:lineRule="exact"/>
        <w:rPr>
          <w:sz w:val="20"/>
          <w:szCs w:val="20"/>
          <w:color w:val="auto"/>
        </w:rPr>
      </w:pPr>
    </w:p>
    <w:p>
      <w:pPr>
        <w:ind w:firstLine="442"/>
        <w:spacing w:after="0" w:line="264" w:lineRule="auto"/>
        <w:rPr>
          <w:sz w:val="20"/>
          <w:szCs w:val="20"/>
          <w:color w:val="auto"/>
        </w:rPr>
      </w:pPr>
      <w:r>
        <w:rPr>
          <w:rFonts w:ascii="Arial" w:cs="Arial" w:eastAsia="Arial" w:hAnsi="Arial"/>
          <w:sz w:val="15"/>
          <w:szCs w:val="15"/>
          <w:color w:val="auto"/>
        </w:rPr>
        <w:t>In addition, an IRB representing each institution participating in the clinical trial must review and approve the plan for any clinical trial before it commences at that institution, and the IRB must conduct a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National Institutes of Health for public dissemination on their ClinicalTrials.gov website.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Human clinical trials are typically conducted in three sequential phases, which may overlap or be combined:</w:t>
      </w:r>
    </w:p>
    <w:p>
      <w:pPr>
        <w:spacing w:after="0" w:line="177" w:lineRule="exact"/>
        <w:rPr>
          <w:sz w:val="20"/>
          <w:szCs w:val="20"/>
          <w:color w:val="auto"/>
        </w:rPr>
      </w:pPr>
    </w:p>
    <w:p>
      <w:pPr>
        <w:jc w:val="both"/>
        <w:ind w:left="980" w:right="340" w:hanging="493"/>
        <w:spacing w:after="0" w:line="256"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I. </w:t>
      </w:r>
      <w:r>
        <w:rPr>
          <w:rFonts w:ascii="Arial" w:cs="Arial" w:eastAsia="Arial" w:hAnsi="Arial"/>
          <w:sz w:val="16"/>
          <w:szCs w:val="16"/>
          <w:color w:val="auto"/>
        </w:rPr>
        <w:t>The drug is initially introduced into healthy human subjects or, in certain indications such as cancer, patients with the target disease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and tested for safety, dosage tolerance, absorption, metabolism, distribution, excretion and, if possible, to gain an early indication of its effectiveness and to determine optimal dosage.</w:t>
      </w:r>
    </w:p>
    <w:p>
      <w:pPr>
        <w:spacing w:after="0" w:line="157" w:lineRule="exact"/>
        <w:rPr>
          <w:rFonts w:ascii="Arial" w:cs="Arial" w:eastAsia="Arial" w:hAnsi="Arial"/>
          <w:sz w:val="16"/>
          <w:szCs w:val="16"/>
          <w:color w:val="auto"/>
        </w:rPr>
      </w:pPr>
    </w:p>
    <w:p>
      <w:pPr>
        <w:ind w:left="980" w:right="200" w:hanging="493"/>
        <w:spacing w:after="0" w:line="272"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II. </w:t>
      </w:r>
      <w:r>
        <w:rPr>
          <w:rFonts w:ascii="Arial" w:cs="Arial" w:eastAsia="Arial" w:hAnsi="Arial"/>
          <w:sz w:val="16"/>
          <w:szCs w:val="16"/>
          <w:color w:val="auto"/>
        </w:rPr>
        <w:t>The drug is administered to a limited patient population to identify possible adverse effects and safety risks, to preliminarily evaluate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efficacy of the product for specific targeted diseases and to determine dosage tolerance and optimal dosage.</w:t>
      </w:r>
    </w:p>
    <w:p>
      <w:pPr>
        <w:spacing w:after="0" w:line="133" w:lineRule="exact"/>
        <w:rPr>
          <w:rFonts w:ascii="Arial" w:cs="Arial" w:eastAsia="Arial" w:hAnsi="Arial"/>
          <w:sz w:val="16"/>
          <w:szCs w:val="16"/>
          <w:color w:val="auto"/>
        </w:rPr>
      </w:pPr>
    </w:p>
    <w:p>
      <w:pPr>
        <w:ind w:left="980" w:right="60" w:hanging="493"/>
        <w:spacing w:after="0" w:line="256"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III. </w:t>
      </w:r>
      <w:r>
        <w:rPr>
          <w:rFonts w:ascii="Arial" w:cs="Arial" w:eastAsia="Arial" w:hAnsi="Arial"/>
          <w:sz w:val="16"/>
          <w:szCs w:val="16"/>
          <w:color w:val="auto"/>
        </w:rPr>
        <w:t>The drug is administered to an expanded patient population, generally at geographically dispersed clinical trial sites, in well-controlled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trials to generate enough data to evaluate the efficacy and safety of the product for approval, to establish the overall risk-benefit profile of the product and to provide adequate information for the labeling of the product.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5" w:name="page156"/>
    <w:bookmarkEnd w:id="1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ind w:left="980" w:right="200" w:hanging="493"/>
        <w:spacing w:after="0" w:line="272"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IV. </w:t>
      </w:r>
      <w:r>
        <w:rPr>
          <w:rFonts w:ascii="Arial" w:cs="Arial" w:eastAsia="Arial" w:hAnsi="Arial"/>
          <w:sz w:val="16"/>
          <w:szCs w:val="16"/>
          <w:color w:val="auto"/>
        </w:rPr>
        <w:t>Post-approval studies may be conducted after initial marketing approval. These studies are used to gain additional experience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treatment of patients in the intended therapeutic indication.</w:t>
      </w:r>
    </w:p>
    <w:p>
      <w:pPr>
        <w:spacing w:after="0" w:line="163" w:lineRule="exact"/>
        <w:rPr>
          <w:sz w:val="20"/>
          <w:szCs w:val="20"/>
          <w:color w:val="auto"/>
        </w:rPr>
      </w:pPr>
    </w:p>
    <w:p>
      <w:pPr>
        <w:ind w:right="180" w:firstLine="442"/>
        <w:spacing w:after="0"/>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in vitro testing that suggest a significant risk in humans exposed to the drug; and any clinically important increase in the case of a serious suspected adverse reaction over that listed in the protocol or investigator brochure. Phase I, Phase II and Phase III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190"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Review of an NDA by the FDA</w:t>
      </w:r>
    </w:p>
    <w:p>
      <w:pPr>
        <w:spacing w:after="0" w:line="211" w:lineRule="exact"/>
        <w:rPr>
          <w:sz w:val="20"/>
          <w:szCs w:val="20"/>
          <w:color w:val="auto"/>
        </w:rPr>
      </w:pPr>
    </w:p>
    <w:p>
      <w:pPr>
        <w:ind w:right="180" w:firstLine="433"/>
        <w:spacing w:after="0" w:line="242" w:lineRule="auto"/>
        <w:rPr>
          <w:sz w:val="20"/>
          <w:szCs w:val="20"/>
          <w:color w:val="auto"/>
        </w:rPr>
      </w:pPr>
      <w:r>
        <w:rPr>
          <w:rFonts w:ascii="Arial" w:cs="Arial" w:eastAsia="Arial" w:hAnsi="Arial"/>
          <w:sz w:val="16"/>
          <w:szCs w:val="16"/>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substantial user fees, and the sponsor of an approved NDA is also subject to annual program user fees. These fees are typically increased annually.</w:t>
      </w:r>
    </w:p>
    <w:p>
      <w:pPr>
        <w:spacing w:after="0" w:line="187"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The FDA conducts a preliminary review of an NDA within 60 days of its receipt and informs the sponsor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92" w:lineRule="exact"/>
        <w:rPr>
          <w:sz w:val="20"/>
          <w:szCs w:val="20"/>
          <w:color w:val="auto"/>
        </w:rPr>
      </w:pPr>
    </w:p>
    <w:p>
      <w:pPr>
        <w:ind w:right="60" w:firstLine="442"/>
        <w:spacing w:after="0" w:line="249" w:lineRule="auto"/>
        <w:rPr>
          <w:sz w:val="20"/>
          <w:szCs w:val="20"/>
          <w:color w:val="auto"/>
        </w:rPr>
      </w:pPr>
      <w:r>
        <w:rPr>
          <w:rFonts w:ascii="Arial" w:cs="Arial" w:eastAsia="Arial" w:hAnsi="Arial"/>
          <w:sz w:val="16"/>
          <w:szCs w:val="16"/>
          <w:color w:val="auto"/>
        </w:rPr>
        <w:t>Before approving an NDA, the FDA typically will inspect the facility or facilities where the product is or will be manufactured. These pre-approval inspections may cover all facilities associated with an NDA submission, including drug component manufacturing (such as active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6" w:name="page157"/>
    <w:bookmarkEnd w:id="1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20"/>
        <w:spacing w:after="0" w:line="268" w:lineRule="auto"/>
        <w:rPr>
          <w:sz w:val="20"/>
          <w:szCs w:val="20"/>
          <w:color w:val="auto"/>
        </w:rPr>
      </w:pPr>
      <w:r>
        <w:rPr>
          <w:rFonts w:ascii="Arial" w:cs="Arial" w:eastAsia="Arial" w:hAnsi="Arial"/>
          <w:sz w:val="15"/>
          <w:szCs w:val="15"/>
          <w:color w:val="auto"/>
        </w:rPr>
        <w:t>pharmaceutical ingredients),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168" w:lineRule="exact"/>
        <w:rPr>
          <w:sz w:val="20"/>
          <w:szCs w:val="20"/>
          <w:color w:val="auto"/>
        </w:rPr>
      </w:pPr>
    </w:p>
    <w:p>
      <w:pPr>
        <w:ind w:right="80" w:firstLine="442"/>
        <w:spacing w:after="0"/>
        <w:rPr>
          <w:sz w:val="20"/>
          <w:szCs w:val="20"/>
          <w:color w:val="auto"/>
        </w:rPr>
      </w:pPr>
      <w:r>
        <w:rPr>
          <w:rFonts w:ascii="Arial" w:cs="Arial" w:eastAsia="Arial" w:hAnsi="Arial"/>
          <w:sz w:val="16"/>
          <w:szCs w:val="16"/>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91" w:lineRule="exact"/>
        <w:rPr>
          <w:sz w:val="20"/>
          <w:szCs w:val="20"/>
          <w:color w:val="auto"/>
        </w:rPr>
      </w:pPr>
    </w:p>
    <w:p>
      <w:pPr>
        <w:ind w:right="60" w:firstLine="439"/>
        <w:spacing w:after="0" w:line="242" w:lineRule="auto"/>
        <w:rPr>
          <w:sz w:val="20"/>
          <w:szCs w:val="20"/>
          <w:color w:val="auto"/>
        </w:rPr>
      </w:pPr>
      <w:r>
        <w:rPr>
          <w:rFonts w:ascii="Arial" w:cs="Arial" w:eastAsia="Arial" w:hAnsi="Arial"/>
          <w:sz w:val="16"/>
          <w:szCs w:val="16"/>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Fast Track, Breakthrough Therapy and Priority Review Designations</w:t>
      </w:r>
    </w:p>
    <w:p>
      <w:pPr>
        <w:spacing w:after="0" w:line="211" w:lineRule="exact"/>
        <w:rPr>
          <w:sz w:val="20"/>
          <w:szCs w:val="20"/>
          <w:color w:val="auto"/>
        </w:rPr>
      </w:pPr>
    </w:p>
    <w:p>
      <w:pPr>
        <w:ind w:right="240" w:firstLine="439"/>
        <w:spacing w:after="0" w:line="282" w:lineRule="auto"/>
        <w:rPr>
          <w:sz w:val="20"/>
          <w:szCs w:val="20"/>
          <w:color w:val="auto"/>
        </w:rPr>
      </w:pPr>
      <w:r>
        <w:rPr>
          <w:rFonts w:ascii="Arial" w:cs="Arial" w:eastAsia="Arial" w:hAnsi="Arial"/>
          <w:sz w:val="15"/>
          <w:szCs w:val="15"/>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and priority review designation.</w:t>
      </w:r>
    </w:p>
    <w:p>
      <w:pPr>
        <w:spacing w:after="0" w:line="157"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91" w:lineRule="exact"/>
        <w:rPr>
          <w:sz w:val="20"/>
          <w:szCs w:val="20"/>
          <w:color w:val="auto"/>
        </w:rPr>
      </w:pPr>
    </w:p>
    <w:p>
      <w:pPr>
        <w:ind w:right="40" w:firstLine="442"/>
        <w:spacing w:after="0" w:line="242"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7" w:name="page158"/>
    <w:bookmarkEnd w:id="1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0"/>
        <w:spacing w:after="0" w:line="249" w:lineRule="auto"/>
        <w:rPr>
          <w:sz w:val="20"/>
          <w:szCs w:val="20"/>
          <w:color w:val="auto"/>
        </w:rPr>
      </w:pPr>
      <w:r>
        <w:rPr>
          <w:rFonts w:ascii="Arial" w:cs="Arial" w:eastAsia="Arial" w:hAnsi="Arial"/>
          <w:sz w:val="16"/>
          <w:szCs w:val="16"/>
          <w:color w:val="auto"/>
        </w:rPr>
        <w:t>sponsor throughout the development process; providing timely advice to the sponsor regarding development and approval; involving more senior staff in the review process; assigning a cross-disciplinary project lead for the review team; and taking other steps to design the clinical trials in an efficient manner.</w:t>
      </w:r>
    </w:p>
    <w:p>
      <w:pPr>
        <w:spacing w:after="0" w:line="181" w:lineRule="exact"/>
        <w:rPr>
          <w:sz w:val="20"/>
          <w:szCs w:val="20"/>
          <w:color w:val="auto"/>
        </w:rPr>
      </w:pPr>
    </w:p>
    <w:p>
      <w:pPr>
        <w:ind w:right="20" w:firstLine="439"/>
        <w:spacing w:after="0" w:line="260" w:lineRule="auto"/>
        <w:rPr>
          <w:sz w:val="20"/>
          <w:szCs w:val="20"/>
          <w:color w:val="auto"/>
        </w:rPr>
      </w:pPr>
      <w:r>
        <w:rPr>
          <w:rFonts w:ascii="Arial" w:cs="Arial" w:eastAsia="Arial" w:hAnsi="Arial"/>
          <w:sz w:val="15"/>
          <w:szCs w:val="15"/>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is expected to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Accelerated Approval Pathway</w:t>
      </w:r>
    </w:p>
    <w:p>
      <w:pPr>
        <w:spacing w:after="0" w:line="211" w:lineRule="exact"/>
        <w:rPr>
          <w:sz w:val="20"/>
          <w:szCs w:val="20"/>
          <w:color w:val="auto"/>
        </w:rPr>
      </w:pPr>
    </w:p>
    <w:p>
      <w:pPr>
        <w:ind w:right="20" w:firstLine="439"/>
        <w:spacing w:after="0" w:line="241"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88" w:lineRule="exact"/>
        <w:rPr>
          <w:sz w:val="20"/>
          <w:szCs w:val="20"/>
          <w:color w:val="auto"/>
        </w:rPr>
      </w:pPr>
    </w:p>
    <w:p>
      <w:pPr>
        <w:ind w:firstLine="442"/>
        <w:spacing w:after="0" w:line="260" w:lineRule="auto"/>
        <w:rPr>
          <w:sz w:val="20"/>
          <w:szCs w:val="20"/>
          <w:color w:val="auto"/>
        </w:rPr>
      </w:pPr>
      <w:r>
        <w:rPr>
          <w:rFonts w:ascii="Arial" w:cs="Arial" w:eastAsia="Arial" w:hAnsi="Arial"/>
          <w:sz w:val="15"/>
          <w:szCs w:val="15"/>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5" w:lineRule="exact"/>
        <w:rPr>
          <w:sz w:val="20"/>
          <w:szCs w:val="20"/>
          <w:color w:val="auto"/>
        </w:rPr>
      </w:pPr>
    </w:p>
    <w:p>
      <w:pPr>
        <w:ind w:right="120" w:firstLine="439"/>
        <w:spacing w:after="0" w:line="241" w:lineRule="auto"/>
        <w:rPr>
          <w:sz w:val="20"/>
          <w:szCs w:val="20"/>
          <w:color w:val="auto"/>
        </w:rPr>
      </w:pPr>
      <w:r>
        <w:rPr>
          <w:rFonts w:ascii="Arial" w:cs="Arial" w:eastAsia="Arial" w:hAnsi="Arial"/>
          <w:sz w:val="16"/>
          <w:szCs w:val="16"/>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9" w:lineRule="exact"/>
        <w:rPr>
          <w:sz w:val="20"/>
          <w:szCs w:val="20"/>
          <w:color w:val="auto"/>
        </w:rPr>
      </w:pPr>
    </w:p>
    <w:p>
      <w:pPr>
        <w:ind w:right="180" w:firstLine="439"/>
        <w:spacing w:after="0" w:line="242"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IV or post-approval clinical trials to confirm the effect on the clinical endpoint. Failure to conduct required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58" w:name="page159"/>
    <w:bookmarkEnd w:id="1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FDA's Decision on an NDA</w:t>
      </w:r>
    </w:p>
    <w:p>
      <w:pPr>
        <w:spacing w:after="0" w:line="211"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92"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If the FDA approves a product, it may limit the approved indications for use for the product, require that contraindications, warnings or precautions be included in the product labeling, require that post-approval studies, including Phase IV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Post-Approval Requirements</w:t>
      </w:r>
    </w:p>
    <w:p>
      <w:pPr>
        <w:spacing w:after="0" w:line="211"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w:t>
      </w:r>
    </w:p>
    <w:p>
      <w:pPr>
        <w:spacing w:after="0" w:line="189"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Accordingly, manufacturers must continue to expend time, money, and effort in the area of production and quality control to maintain cGMP compliance.</w:t>
      </w:r>
    </w:p>
    <w:p>
      <w:pPr>
        <w:spacing w:after="0" w:line="188" w:lineRule="exact"/>
        <w:rPr>
          <w:sz w:val="20"/>
          <w:szCs w:val="20"/>
          <w:color w:val="auto"/>
        </w:rPr>
      </w:pPr>
    </w:p>
    <w:p>
      <w:pPr>
        <w:jc w:val="both"/>
        <w:ind w:right="20" w:firstLine="442"/>
        <w:spacing w:after="0" w:line="244"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59" w:name="page160"/>
    <w:bookmarkEnd w:id="1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5" w:lineRule="exact"/>
        <w:rPr>
          <w:sz w:val="20"/>
          <w:szCs w:val="20"/>
          <w:color w:val="auto"/>
        </w:rPr>
      </w:pPr>
    </w:p>
    <w:p>
      <w:pPr>
        <w:ind w:left="980" w:hanging="493"/>
        <w:spacing w:after="0"/>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voluntary product recalls;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fines, warning letters or holds on post-approval clinical trials;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approvals;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products; or</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195" w:lineRule="exact"/>
        <w:rPr>
          <w:sz w:val="20"/>
          <w:szCs w:val="20"/>
          <w:color w:val="auto"/>
        </w:rPr>
      </w:pPr>
    </w:p>
    <w:p>
      <w:pPr>
        <w:ind w:right="60" w:firstLine="439"/>
        <w:spacing w:after="0" w:line="268" w:lineRule="auto"/>
        <w:rPr>
          <w:sz w:val="20"/>
          <w:szCs w:val="20"/>
          <w:color w:val="auto"/>
        </w:rPr>
      </w:pPr>
      <w:r>
        <w:rPr>
          <w:rFonts w:ascii="Arial" w:cs="Arial" w:eastAsia="Arial" w:hAnsi="Arial"/>
          <w:sz w:val="15"/>
          <w:szCs w:val="15"/>
          <w:color w:val="auto"/>
        </w:rPr>
        <w:t>The FDA strictly regulates marketing, labeling, advertising and promotion of products that are placed on the market. Drugs generally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68" w:lineRule="exact"/>
        <w:rPr>
          <w:sz w:val="20"/>
          <w:szCs w:val="20"/>
          <w:color w:val="auto"/>
        </w:rPr>
      </w:pPr>
    </w:p>
    <w:p>
      <w:pPr>
        <w:ind w:right="120" w:firstLine="442"/>
        <w:spacing w:after="0" w:line="268" w:lineRule="auto"/>
        <w:rPr>
          <w:sz w:val="20"/>
          <w:szCs w:val="20"/>
          <w:color w:val="auto"/>
        </w:rPr>
      </w:pPr>
      <w:r>
        <w:rPr>
          <w:rFonts w:ascii="Arial" w:cs="Arial" w:eastAsia="Arial" w:hAnsi="Arial"/>
          <w:sz w:val="15"/>
          <w:szCs w:val="15"/>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Companion Diagnostics</w:t>
      </w:r>
    </w:p>
    <w:p>
      <w:pPr>
        <w:spacing w:after="0" w:line="211" w:lineRule="exact"/>
        <w:rPr>
          <w:sz w:val="20"/>
          <w:szCs w:val="20"/>
          <w:color w:val="auto"/>
        </w:rPr>
      </w:pPr>
    </w:p>
    <w:p>
      <w:pPr>
        <w:ind w:right="20" w:firstLine="442"/>
        <w:spacing w:after="0" w:line="258" w:lineRule="auto"/>
        <w:rPr>
          <w:sz w:val="20"/>
          <w:szCs w:val="20"/>
          <w:color w:val="auto"/>
        </w:rPr>
      </w:pPr>
      <w:r>
        <w:rPr>
          <w:rFonts w:ascii="Arial" w:cs="Arial" w:eastAsia="Arial" w:hAnsi="Arial"/>
          <w:sz w:val="15"/>
          <w:szCs w:val="15"/>
          <w:color w:val="auto"/>
        </w:rPr>
        <w:t>We may employ companion diagnostics to help us to more accurately identify patients within a particular subset, both during our clinical trials and in connection with the commercialization of our product candidates that we are developing or may in the future develop. Companion diagnostics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and, as such, require either clearance or approval prior to commercialization. The level of risk combined with available controls to mitigate risk determines whether a companion diagnostic device requires Premarket Approval Application, or PMA, approval or is cleared through the 510(k) premarket notification process. For a novel therapeutic product for which a companion diagnostic device is essential for the safe and effective use of the product, the companion diagnostic device should be developed and approved or 510(k)-cleared contemporaneously with the therapeutic. The use of the companion diagnostic device will be stipulated in the labeling of the therapeutic product.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Abbreviated New Drug Applications for Generic Drugs</w:t>
      </w:r>
    </w:p>
    <w:p>
      <w:pPr>
        <w:spacing w:after="0" w:line="211" w:lineRule="exact"/>
        <w:rPr>
          <w:sz w:val="20"/>
          <w:szCs w:val="20"/>
          <w:color w:val="auto"/>
        </w:rPr>
      </w:pPr>
    </w:p>
    <w:p>
      <w:pPr>
        <w:jc w:val="both"/>
        <w:ind w:firstLine="442"/>
        <w:spacing w:after="0" w:line="244" w:lineRule="auto"/>
        <w:rPr>
          <w:sz w:val="20"/>
          <w:szCs w:val="20"/>
          <w:color w:val="auto"/>
        </w:rPr>
      </w:pPr>
      <w:r>
        <w:rPr>
          <w:rFonts w:ascii="Arial" w:cs="Arial" w:eastAsia="Arial" w:hAnsi="Arial"/>
          <w:sz w:val="16"/>
          <w:szCs w:val="16"/>
          <w:color w:val="auto"/>
        </w:rPr>
        <w:t>In 1984, with passage of the Hatch-Waxman Amendments to the FDCA,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preclinical and clinical testing previously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0" w:name="page161"/>
    <w:bookmarkEnd w:id="1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conducted for a drug product previously approved under an NDA, known as the reference-listed drug, or RLD.</w:t>
      </w:r>
    </w:p>
    <w:p>
      <w:pPr>
        <w:spacing w:after="0" w:line="195" w:lineRule="exact"/>
        <w:rPr>
          <w:sz w:val="20"/>
          <w:szCs w:val="20"/>
          <w:color w:val="auto"/>
        </w:rPr>
      </w:pPr>
    </w:p>
    <w:p>
      <w:pPr>
        <w:ind w:right="120" w:firstLine="442"/>
        <w:spacing w:after="0" w:line="242"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187" w:lineRule="exact"/>
        <w:rPr>
          <w:sz w:val="20"/>
          <w:szCs w:val="20"/>
          <w:color w:val="auto"/>
        </w:rPr>
      </w:pPr>
    </w:p>
    <w:p>
      <w:pPr>
        <w:ind w:right="20" w:firstLine="442"/>
        <w:spacing w:after="0" w:line="242" w:lineRule="auto"/>
        <w:rPr>
          <w:sz w:val="20"/>
          <w:szCs w:val="20"/>
          <w:color w:val="auto"/>
        </w:rPr>
      </w:pPr>
      <w:r>
        <w:rPr>
          <w:rFonts w:ascii="Arial" w:cs="Arial" w:eastAsia="Arial" w:hAnsi="Arial"/>
          <w:sz w:val="16"/>
          <w:szCs w:val="16"/>
          <w:color w:val="auto"/>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87"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the already approved product's listed patents or that such patents are invalid or unenforceable, in which case the applicant may submit its application four years following the original product approval.</w:t>
      </w:r>
    </w:p>
    <w:p>
      <w:pPr>
        <w:spacing w:after="0" w:line="192" w:lineRule="exact"/>
        <w:rPr>
          <w:sz w:val="20"/>
          <w:szCs w:val="20"/>
          <w:color w:val="auto"/>
        </w:rPr>
      </w:pPr>
    </w:p>
    <w:p>
      <w:pPr>
        <w:ind w:right="20" w:firstLine="439"/>
        <w:spacing w:after="0"/>
        <w:rPr>
          <w:sz w:val="20"/>
          <w:szCs w:val="20"/>
          <w:color w:val="auto"/>
        </w:rPr>
      </w:pPr>
      <w:r>
        <w:rPr>
          <w:rFonts w:ascii="Arial" w:cs="Arial" w:eastAsia="Arial" w:hAnsi="Arial"/>
          <w:sz w:val="16"/>
          <w:szCs w:val="16"/>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Hatch-Waxman Patent Certification and the 30-Month Stay</w:t>
      </w:r>
    </w:p>
    <w:p>
      <w:pPr>
        <w:spacing w:after="0" w:line="211"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An applicant who submits a section 505(b)(2) NDA, which is for new or improved formulations or new uses of previously approved drug products and where at least one or more of the investigations relied upon by the applicant for approval were not conducted by or for the applicant and for which the applicant has not obtained a right of reference or use from the person by or for whom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1" w:name="page162"/>
    <w:bookmarkEnd w:id="1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investigations were conducted, also must certify to the FDA concerning any patents listed for the approved product in the Orange Book to the same extent that an ANDA applicant would.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Specifically, the applicant must certify with respect to each patent that:</w:t>
      </w:r>
    </w:p>
    <w:p>
      <w:pPr>
        <w:spacing w:after="0" w:line="195" w:lineRule="exact"/>
        <w:rPr>
          <w:sz w:val="20"/>
          <w:szCs w:val="20"/>
          <w:color w:val="auto"/>
        </w:rPr>
      </w:pPr>
    </w:p>
    <w:p>
      <w:pPr>
        <w:ind w:left="980" w:hanging="493"/>
        <w:spacing w:after="0"/>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required patent information has not been filed;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listed patent has expired;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listed patent has not expired, but will expire on a particular date and approval is sought after patent expiration; or</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listed patent is invalid, unenforceable or will not be infringed by the new product.</w:t>
      </w:r>
    </w:p>
    <w:p>
      <w:pPr>
        <w:spacing w:after="0" w:line="195" w:lineRule="exact"/>
        <w:rPr>
          <w:sz w:val="20"/>
          <w:szCs w:val="20"/>
          <w:color w:val="auto"/>
        </w:rPr>
      </w:pPr>
    </w:p>
    <w:p>
      <w:pPr>
        <w:jc w:val="both"/>
        <w:ind w:right="60" w:firstLine="433"/>
        <w:spacing w:after="0" w:line="242" w:lineRule="auto"/>
        <w:rPr>
          <w:sz w:val="20"/>
          <w:szCs w:val="20"/>
          <w:color w:val="auto"/>
        </w:rPr>
      </w:pPr>
      <w:r>
        <w:rPr>
          <w:rFonts w:ascii="Arial" w:cs="Arial" w:eastAsia="Arial" w:hAnsi="Arial"/>
          <w:sz w:val="16"/>
          <w:szCs w:val="16"/>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applicant is not seeking approval).</w:t>
      </w:r>
    </w:p>
    <w:p>
      <w:pPr>
        <w:spacing w:after="0" w:line="187"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Orphan Drug Designation and Exclusivity</w:t>
      </w:r>
    </w:p>
    <w:p>
      <w:pPr>
        <w:spacing w:after="0" w:line="211"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89"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2" w:name="page163"/>
    <w:bookmarkEnd w:id="1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Pediatric Studies and Exclusivity</w:t>
      </w:r>
    </w:p>
    <w:p>
      <w:pPr>
        <w:spacing w:after="0" w:line="211"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92" w:lineRule="exact"/>
        <w:rPr>
          <w:sz w:val="20"/>
          <w:szCs w:val="20"/>
          <w:color w:val="auto"/>
        </w:rPr>
      </w:pPr>
    </w:p>
    <w:p>
      <w:pPr>
        <w:ind w:firstLine="439"/>
        <w:spacing w:after="0" w:line="242" w:lineRule="auto"/>
        <w:rPr>
          <w:sz w:val="20"/>
          <w:szCs w:val="20"/>
          <w:color w:val="auto"/>
        </w:rPr>
      </w:pPr>
      <w:r>
        <w:rPr>
          <w:rFonts w:ascii="Arial" w:cs="Arial" w:eastAsia="Arial" w:hAnsi="Arial"/>
          <w:sz w:val="16"/>
          <w:szCs w:val="16"/>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7"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Patent Term Restoration and Extension</w:t>
      </w:r>
    </w:p>
    <w:p>
      <w:pPr>
        <w:spacing w:after="0" w:line="211" w:lineRule="exact"/>
        <w:rPr>
          <w:sz w:val="20"/>
          <w:szCs w:val="20"/>
          <w:color w:val="auto"/>
        </w:rPr>
      </w:pPr>
    </w:p>
    <w:p>
      <w:pPr>
        <w:ind w:firstLine="433"/>
        <w:spacing w:after="0"/>
        <w:rPr>
          <w:sz w:val="20"/>
          <w:szCs w:val="20"/>
          <w:color w:val="auto"/>
        </w:rPr>
      </w:pPr>
      <w:r>
        <w:rPr>
          <w:rFonts w:ascii="Arial" w:cs="Arial" w:eastAsia="Arial" w:hAnsi="Arial"/>
          <w:sz w:val="16"/>
          <w:szCs w:val="16"/>
          <w:color w:val="auto"/>
        </w:rPr>
        <w:t>A patent claiming a new drug product may be eligible for a limited patent term extension under the Hatch-Waxman Amendments,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Europe/Rest of World Regulation</w:t>
      </w:r>
    </w:p>
    <w:p>
      <w:pPr>
        <w:spacing w:after="0" w:line="213" w:lineRule="exact"/>
        <w:rPr>
          <w:sz w:val="20"/>
          <w:szCs w:val="20"/>
          <w:color w:val="auto"/>
        </w:rPr>
      </w:pPr>
    </w:p>
    <w:p>
      <w:pPr>
        <w:ind w:right="440" w:firstLine="442"/>
        <w:spacing w:after="0" w:line="249" w:lineRule="auto"/>
        <w:rPr>
          <w:sz w:val="20"/>
          <w:szCs w:val="20"/>
          <w:color w:val="auto"/>
        </w:rPr>
      </w:pPr>
      <w:r>
        <w:rPr>
          <w:rFonts w:ascii="Arial" w:cs="Arial" w:eastAsia="Arial" w:hAnsi="Arial"/>
          <w:sz w:val="16"/>
          <w:szCs w:val="16"/>
          <w:color w:val="auto"/>
        </w:rPr>
        <w:t>In addition to regulations in the United States, a manufacturer is subject to a variety of regulations in other jurisdictions governing, among other things, clinical trials and any commercial sales and distribution of products, if approved. Even if a manufacturer obtains FDA approval of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3" w:name="page164"/>
    <w:bookmarkEnd w:id="1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product, it must still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To obtain regulatory approval of an investigational drug under EU regulatory systems, a manufacturer must submit a marketing authorization application. More concretely, in the EEA (which is comprised of the 28 Member States of the EU plus Norway, Liechtenstein and Iceland, medicinal products can only be commercialized after obtaining a Marketing Authorization, or MA. There are two types of marketing authorizations:</w:t>
      </w:r>
    </w:p>
    <w:p>
      <w:pPr>
        <w:spacing w:after="0" w:line="191" w:lineRule="exact"/>
        <w:rPr>
          <w:sz w:val="20"/>
          <w:szCs w:val="20"/>
          <w:color w:val="auto"/>
        </w:rPr>
      </w:pPr>
    </w:p>
    <w:p>
      <w:pPr>
        <w:ind w:left="980" w:right="240" w:hanging="493"/>
        <w:spacing w:after="0" w:line="241" w:lineRule="auto"/>
        <w:tabs>
          <w:tab w:leader="none" w:pos="9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87" w:lineRule="exact"/>
        <w:rPr>
          <w:rFonts w:ascii="Arial" w:cs="Arial" w:eastAsia="Arial" w:hAnsi="Arial"/>
          <w:sz w:val="16"/>
          <w:szCs w:val="16"/>
          <w:color w:val="auto"/>
        </w:rPr>
      </w:pPr>
    </w:p>
    <w:p>
      <w:pPr>
        <w:ind w:left="980" w:right="40" w:hanging="493"/>
        <w:spacing w:after="0" w:line="241" w:lineRule="auto"/>
        <w:tabs>
          <w:tab w:leader="none" w:pos="9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89" w:lineRule="exact"/>
        <w:rPr>
          <w:sz w:val="20"/>
          <w:szCs w:val="20"/>
          <w:color w:val="auto"/>
        </w:rPr>
      </w:pPr>
    </w:p>
    <w:p>
      <w:pPr>
        <w:ind w:right="800" w:firstLine="442"/>
        <w:spacing w:after="0" w:line="249" w:lineRule="auto"/>
        <w:rPr>
          <w:sz w:val="20"/>
          <w:szCs w:val="20"/>
          <w:color w:val="auto"/>
        </w:rPr>
      </w:pPr>
      <w:r>
        <w:rPr>
          <w:rFonts w:ascii="Arial" w:cs="Arial" w:eastAsia="Arial" w:hAnsi="Arial"/>
          <w:sz w:val="16"/>
          <w:szCs w:val="16"/>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1" w:lineRule="exact"/>
        <w:rPr>
          <w:sz w:val="20"/>
          <w:szCs w:val="20"/>
          <w:color w:val="auto"/>
        </w:rPr>
      </w:pPr>
    </w:p>
    <w:p>
      <w:pPr>
        <w:jc w:val="both"/>
        <w:ind w:right="100" w:firstLine="442"/>
        <w:spacing w:after="0" w:line="244" w:lineRule="auto"/>
        <w:rPr>
          <w:sz w:val="20"/>
          <w:szCs w:val="20"/>
          <w:color w:val="auto"/>
        </w:rPr>
      </w:pPr>
      <w:r>
        <w:rPr>
          <w:rFonts w:ascii="Arial" w:cs="Arial" w:eastAsia="Arial" w:hAnsi="Arial"/>
          <w:sz w:val="16"/>
          <w:szCs w:val="16"/>
          <w:color w:val="auto"/>
        </w:rPr>
        <w:t>In Europe, the period of orphan drug exclusivity is ten years, although it may be reduced to six years if, at the end of the fifth year, it is established that the criteria for orphan drug designation are no longer met, in other words, when it is shown on the basis of available evidence that the product is sufficiently profitable not to justify maintenance of market exclusivity.</w:t>
      </w:r>
    </w:p>
    <w:p>
      <w:pPr>
        <w:spacing w:after="0" w:line="185" w:lineRule="exact"/>
        <w:rPr>
          <w:sz w:val="20"/>
          <w:szCs w:val="20"/>
          <w:color w:val="auto"/>
        </w:rPr>
      </w:pPr>
    </w:p>
    <w:p>
      <w:pPr>
        <w:ind w:right="20" w:firstLine="442"/>
        <w:spacing w:after="0" w:line="244"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approval, pricing and reimbursement vary from country to country. In all cases, the clinical trials are to be conducted in accordance with GCP and the applicable regulatory requirements and the ethical principles that have their origin in the Declaration of Helsinki.</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Pharmaceutical Coverage, Pricing and Reimbursement</w:t>
      </w:r>
    </w:p>
    <w:p>
      <w:pPr>
        <w:spacing w:after="0" w:line="215" w:lineRule="exact"/>
        <w:rPr>
          <w:sz w:val="20"/>
          <w:szCs w:val="20"/>
          <w:color w:val="auto"/>
        </w:rPr>
      </w:pPr>
    </w:p>
    <w:p>
      <w:pPr>
        <w:ind w:right="180" w:firstLine="442"/>
        <w:spacing w:after="0" w:line="242" w:lineRule="auto"/>
        <w:rPr>
          <w:sz w:val="20"/>
          <w:szCs w:val="20"/>
          <w:color w:val="auto"/>
        </w:rPr>
      </w:pPr>
      <w:r>
        <w:rPr>
          <w:rFonts w:ascii="Arial" w:cs="Arial" w:eastAsia="Arial" w:hAnsi="Arial"/>
          <w:sz w:val="16"/>
          <w:szCs w:val="16"/>
          <w:color w:val="auto"/>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 The process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4" w:name="page165"/>
    <w:bookmarkEnd w:id="1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auto"/>
        </w:rPr>
        <w:t>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spacing w:after="0" w:line="187"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In order to secure coverage and reimbursement for any product approved for sale, a company may need to conduct expensive pharmacoeconomic studies in order to demonstrate the medical necessity and cost-effectiveness of the product, in addition to the costs required to obtain FDA or other comparable regulatory approvals. Nonetheless, product candidates may not be considered medically necessary or cost effective. Additionally, a payor's decision to provide coverage for a drug product does not imply that an adequate reimbursement rate will be approved. Further, no uniform policy for coverage and reimbursement exists in the United States. Third-party payors often rely upon Medicare coverage policy and payment limitations in setting their own reimbursement rates, but also have their own methods and approval process apart from Medicare determinations. Therefore one payor's determination to provide coverage for a drug product does not assure that other payors will also provide coverage for the drug product. Third-party reimbursement may not be sufficient to maintain price levels high enough to realize an appropriate return on investment in product development.</w:t>
      </w:r>
    </w:p>
    <w:p>
      <w:pPr>
        <w:spacing w:after="0" w:line="191" w:lineRule="exact"/>
        <w:rPr>
          <w:sz w:val="20"/>
          <w:szCs w:val="20"/>
          <w:color w:val="auto"/>
        </w:rPr>
      </w:pPr>
    </w:p>
    <w:p>
      <w:pPr>
        <w:ind w:right="120" w:firstLine="439"/>
        <w:spacing w:after="0" w:line="241"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88" w:lineRule="exact"/>
        <w:rPr>
          <w:sz w:val="20"/>
          <w:szCs w:val="20"/>
          <w:color w:val="auto"/>
        </w:rPr>
      </w:pPr>
    </w:p>
    <w:p>
      <w:pPr>
        <w:ind w:right="300" w:firstLine="442"/>
        <w:spacing w:after="0" w:line="242" w:lineRule="auto"/>
        <w:rPr>
          <w:sz w:val="20"/>
          <w:szCs w:val="20"/>
          <w:color w:val="auto"/>
        </w:rPr>
      </w:pPr>
      <w:r>
        <w:rPr>
          <w:rFonts w:ascii="Arial" w:cs="Arial" w:eastAsia="Arial" w:hAnsi="Arial"/>
          <w:sz w:val="16"/>
          <w:szCs w:val="16"/>
          <w:color w:val="auto"/>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The conduct of such a clinical trial could be expensive and result in delays in our commercialization efforts.</w:t>
      </w:r>
    </w:p>
    <w:p>
      <w:pPr>
        <w:spacing w:after="0" w:line="187"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5" w:name="page166"/>
    <w:bookmarkEnd w:id="1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Healthcare Laws and Regulations</w:t>
      </w:r>
    </w:p>
    <w:p>
      <w:pPr>
        <w:spacing w:after="0" w:line="215"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without limitation, state and federal anti-kickback, fraud and abuse, false claims, privacy and security, price reporting and physician sunshine laws. Some of our pre-commercial activities are subject to some of these laws.</w:t>
      </w:r>
    </w:p>
    <w:p>
      <w:pPr>
        <w:spacing w:after="0" w:line="189"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The federal Health Care Program Anti-Kickback Statute, or Anti-Kickback Statute, prohibits any person or entity, including a prescription drug manufacturer or a party acting on its behalf, from, among other things, knowingly and willfully, directly or indirectly, soliciting, receiving, offering, or providing any remuneration that is intended to induce the referral of business, including the purchase, order or recommendation or arranging of, any good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In addition, a person or entity does not need to have actual knowledge of the statute or specific intent to violate it in order to have committed a violation. Moreover, a claim including items or services resulting from a violation of the Anti-Kickback Statute constitutes a false or fraudulent claim for purposes of the federal civil False Claims Act.</w:t>
      </w:r>
    </w:p>
    <w:p>
      <w:pPr>
        <w:spacing w:after="0" w:line="188" w:lineRule="exact"/>
        <w:rPr>
          <w:sz w:val="20"/>
          <w:szCs w:val="20"/>
          <w:color w:val="auto"/>
        </w:rPr>
      </w:pPr>
    </w:p>
    <w:p>
      <w:pPr>
        <w:ind w:right="20" w:firstLine="439"/>
        <w:spacing w:after="0"/>
        <w:rPr>
          <w:sz w:val="20"/>
          <w:szCs w:val="20"/>
          <w:color w:val="auto"/>
        </w:rPr>
      </w:pPr>
      <w:r>
        <w:rPr>
          <w:rFonts w:ascii="Arial" w:cs="Arial" w:eastAsia="Arial" w:hAnsi="Arial"/>
          <w:sz w:val="16"/>
          <w:szCs w:val="16"/>
          <w:color w:val="auto"/>
        </w:rPr>
        <w:t>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Persons and entities can be held liable under these laws if they are deemed to "cause" the submission of false or fraudulent claims by, for example, providing inaccurate billing or coding information to customers or promoting a product off-label. In addition, any of our future activities relating to the reporting of wholesaler or estimated retail prices for our products, the reporting of prices used to calculate Medicaid rebate information and other information affecting federal, state and other third-party payor reimbursement for our products, and the sale and marketing of our products, are subject to scrutiny under this law. Penalties for federal civil False Claims Act violations may include up to three times the actual damages sustained by the government, plus significant mandatory civil penalties for each separate false claim, the potential for</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66" w:name="page167"/>
    <w:bookmarkEnd w:id="1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0"/>
        <w:spacing w:after="0" w:line="249" w:lineRule="auto"/>
        <w:rPr>
          <w:sz w:val="20"/>
          <w:szCs w:val="20"/>
          <w:color w:val="auto"/>
        </w:rPr>
      </w:pPr>
      <w:r>
        <w:rPr>
          <w:rFonts w:ascii="Arial" w:cs="Arial" w:eastAsia="Arial" w:hAnsi="Arial"/>
          <w:sz w:val="16"/>
          <w:szCs w:val="16"/>
          <w:color w:val="auto"/>
        </w:rPr>
        <w:t>exclusion from participation in federal healthcare programs, and, although the federal False Claims Act is a civil statute, False Claims Act violations may also implicate various federal criminal statutes.</w:t>
      </w:r>
    </w:p>
    <w:p>
      <w:pPr>
        <w:spacing w:after="0" w:line="181" w:lineRule="exact"/>
        <w:rPr>
          <w:sz w:val="20"/>
          <w:szCs w:val="20"/>
          <w:color w:val="auto"/>
        </w:rPr>
      </w:pPr>
    </w:p>
    <w:p>
      <w:pPr>
        <w:ind w:right="160" w:firstLine="439"/>
        <w:spacing w:after="0"/>
        <w:rPr>
          <w:sz w:val="20"/>
          <w:szCs w:val="20"/>
          <w:color w:val="auto"/>
        </w:rPr>
      </w:pPr>
      <w:r>
        <w:rPr>
          <w:rFonts w:ascii="Arial" w:cs="Arial" w:eastAsia="Arial" w:hAnsi="Arial"/>
          <w:sz w:val="16"/>
          <w:szCs w:val="16"/>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does not need to have actual knowledge of the statute or specific intent to violate it in order to have committed a violation. Also, many states have similar fraud and abuse statutes or regulations that may be broader in scope and may apply regardless of payor, in addition to items and services reimbursed under Medicaid and other state programs. Additionally, to the extent that any of our product candidates, if approved, are sold in a foreign country, we may be subject to similar foreign laws.</w:t>
      </w:r>
    </w:p>
    <w:p>
      <w:pPr>
        <w:spacing w:after="0" w:line="191" w:lineRule="exact"/>
        <w:rPr>
          <w:sz w:val="20"/>
          <w:szCs w:val="20"/>
          <w:color w:val="auto"/>
        </w:rPr>
      </w:pPr>
    </w:p>
    <w:p>
      <w:pPr>
        <w:ind w:right="20" w:firstLine="442"/>
        <w:spacing w:after="0" w:line="258" w:lineRule="auto"/>
        <w:rPr>
          <w:sz w:val="20"/>
          <w:szCs w:val="20"/>
          <w:color w:val="auto"/>
        </w:rPr>
      </w:pPr>
      <w:r>
        <w:rPr>
          <w:rFonts w:ascii="Arial" w:cs="Arial" w:eastAsia="Arial" w:hAnsi="Arial"/>
          <w:sz w:val="15"/>
          <w:szCs w:val="15"/>
          <w:color w:val="auto"/>
        </w:rPr>
        <w:t>HIPAA, as amended by the Health Information Technology for Economic and Clinical Health Act, or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independent contractors or agents of certain healthcare providers, healthcare clearinghouses and health plans, known as covered entities,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HIPAA and seek attorney's fees and costs associated with pursuing federal civil actions. In addition, certain state and foreign laws govern the privacy and security of health information in certain circumstances, some of which are more stringent than HIPAA and many of which differ from each other in significant ways and may not have the same effect, thus complicating compliance efforts.</w:t>
      </w:r>
    </w:p>
    <w:p>
      <w:pPr>
        <w:spacing w:after="0" w:line="176"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The U.S. federal transparency requirements under the Patient Protection and Affordable Care Act, as amended by the Health Care and Education Reconciliation Act, or collectively, ACA, , including the provision commonly referred to as the Physician Payments Sunshine Act imposed, among other things, new annual reporting requirements for covered manufacturers for certain payments and other transfers of value provided to physicians and teaching hospitals, as well as certain ownership and investment interests held by physicians and their immediate family members. Beginning in 2022, covered manufacturers also will be required to report information regarding payments and transfers of value provided to physician assistants, nurse practitioners, clinical nurse specialists, certified nurse anesthetists, and certified nurse-midwives. Failure to submit timely, accurately and completely the required information for all payments, transfers of value and ownership or investment interests may result in civil monetary penalties of up to an aggregate of over $169,000 per year and up to an aggregate of over $1.1 million per year for "knowing failures." Certain states also mandate implementation of compliance programs, impose restrictions on drug manufacturer marketing practices or require the tracking and reporting of gifts, compensation or other remuneration to physicians.</w:t>
      </w:r>
    </w:p>
    <w:p>
      <w:pPr>
        <w:spacing w:after="0" w:line="190" w:lineRule="exact"/>
        <w:rPr>
          <w:sz w:val="20"/>
          <w:szCs w:val="20"/>
          <w:color w:val="auto"/>
        </w:rPr>
      </w:pPr>
    </w:p>
    <w:p>
      <w:pPr>
        <w:ind w:right="120" w:firstLine="442"/>
        <w:spacing w:after="0" w:line="249" w:lineRule="auto"/>
        <w:rPr>
          <w:sz w:val="20"/>
          <w:szCs w:val="20"/>
          <w:color w:val="auto"/>
        </w:rPr>
      </w:pPr>
      <w:r>
        <w:rPr>
          <w:rFonts w:ascii="Arial" w:cs="Arial" w:eastAsia="Arial" w:hAnsi="Arial"/>
          <w:sz w:val="16"/>
          <w:szCs w:val="16"/>
          <w:color w:val="auto"/>
        </w:rPr>
        <w:t>Because we intend to commercialize products that could be reimbursed under a federal healthcare program and other governmental healthcare programs, we intend to develop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67" w:name="page168"/>
    <w:bookmarkEnd w:id="1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comprehensive compliance program that establishes internal control to facilitate adherence to the rules and program requirements to which we will or may become subject. Although the development and implementation of compliance programs designed to establish internal control and facilitate compliance can mitigate the risk of investigation, prosecution, and penalties assessed for violations of these laws, the risks cannot be entirely eliminated.</w:t>
      </w:r>
    </w:p>
    <w:p>
      <w:pPr>
        <w:spacing w:after="0" w:line="185" w:lineRule="exact"/>
        <w:rPr>
          <w:sz w:val="20"/>
          <w:szCs w:val="20"/>
          <w:color w:val="auto"/>
        </w:rPr>
      </w:pPr>
    </w:p>
    <w:p>
      <w:pPr>
        <w:ind w:right="100" w:firstLine="442"/>
        <w:spacing w:after="0" w:line="241" w:lineRule="auto"/>
        <w:rPr>
          <w:sz w:val="20"/>
          <w:szCs w:val="20"/>
          <w:color w:val="auto"/>
        </w:rPr>
      </w:pPr>
      <w:r>
        <w:rPr>
          <w:rFonts w:ascii="Arial" w:cs="Arial" w:eastAsia="Arial" w:hAnsi="Arial"/>
          <w:sz w:val="16"/>
          <w:szCs w:val="16"/>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including Medicare and Medicaid, additional reporting requirements and/or oversight if we become subject to a corporate integrity agreement or similar agreement to resolve allegations of non-compliance with these laws, and individual imprisonment, any of which could adversely affect our ability to operate our business and our financial results.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Healthcare Reform</w:t>
      </w:r>
    </w:p>
    <w:p>
      <w:pPr>
        <w:spacing w:after="0" w:line="215" w:lineRule="exact"/>
        <w:rPr>
          <w:sz w:val="20"/>
          <w:szCs w:val="20"/>
          <w:color w:val="auto"/>
        </w:rPr>
      </w:pPr>
    </w:p>
    <w:p>
      <w:pPr>
        <w:ind w:right="20" w:firstLine="439"/>
        <w:spacing w:after="0" w:line="249" w:lineRule="auto"/>
        <w:rPr>
          <w:sz w:val="20"/>
          <w:szCs w:val="20"/>
          <w:color w:val="auto"/>
        </w:rPr>
      </w:pPr>
      <w:r>
        <w:rPr>
          <w:rFonts w:ascii="Arial" w:cs="Arial" w:eastAsia="Arial" w:hAnsi="Arial"/>
          <w:sz w:val="16"/>
          <w:szCs w:val="16"/>
          <w:color w:val="auto"/>
        </w:rPr>
        <w:t>There have been a number of federal and state proposals during the last few years regarding the pricing of pharmaceutical and biopharmaceutical products, government control and other changes to the healthcare system in the United States.</w:t>
      </w:r>
    </w:p>
    <w:p>
      <w:pPr>
        <w:spacing w:after="0" w:line="181" w:lineRule="exact"/>
        <w:rPr>
          <w:sz w:val="20"/>
          <w:szCs w:val="20"/>
          <w:color w:val="auto"/>
        </w:rPr>
      </w:pPr>
    </w:p>
    <w:p>
      <w:pPr>
        <w:ind w:right="140" w:firstLine="442"/>
        <w:spacing w:after="0" w:line="244" w:lineRule="auto"/>
        <w:rPr>
          <w:sz w:val="20"/>
          <w:szCs w:val="20"/>
          <w:color w:val="auto"/>
        </w:rPr>
      </w:pPr>
      <w:r>
        <w:rPr>
          <w:rFonts w:ascii="Arial" w:cs="Arial" w:eastAsia="Arial" w:hAnsi="Arial"/>
          <w:sz w:val="16"/>
          <w:szCs w:val="16"/>
          <w:color w:val="auto"/>
        </w:rPr>
        <w:t>By way of example, the United States and state governments continue to propose and pass legislation designed to reduce the cost of healthcare. In March 2010, the United States Congress passed the ACA, which, among other things, includes changes to the coverage and payment for drug products under government health care programs. Among the provisions of the ACA of importance to our potential drug candidates are:</w:t>
      </w:r>
    </w:p>
    <w:p>
      <w:pPr>
        <w:spacing w:after="0" w:line="185" w:lineRule="exact"/>
        <w:rPr>
          <w:sz w:val="20"/>
          <w:szCs w:val="20"/>
          <w:color w:val="auto"/>
        </w:rPr>
      </w:pPr>
    </w:p>
    <w:p>
      <w:pPr>
        <w:ind w:left="980" w:right="300" w:hanging="493"/>
        <w:spacing w:after="0" w:line="249" w:lineRule="auto"/>
        <w:tabs>
          <w:tab w:leader="none" w:pos="9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specified branded prescription drugs and biologic products, apportioned among these entities according to their market share in certain government healthcare programs;</w:t>
      </w:r>
    </w:p>
    <w:p>
      <w:pPr>
        <w:spacing w:after="0" w:line="180" w:lineRule="exact"/>
        <w:rPr>
          <w:rFonts w:ascii="Arial" w:cs="Arial" w:eastAsia="Arial" w:hAnsi="Arial"/>
          <w:sz w:val="16"/>
          <w:szCs w:val="16"/>
          <w:color w:val="auto"/>
        </w:rPr>
      </w:pPr>
    </w:p>
    <w:p>
      <w:pPr>
        <w:ind w:left="980" w:right="240" w:hanging="493"/>
        <w:spacing w:after="0" w:line="249" w:lineRule="auto"/>
        <w:tabs>
          <w:tab w:leader="none" w:pos="9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8" w:lineRule="exact"/>
        <w:rPr>
          <w:rFonts w:ascii="Arial" w:cs="Arial" w:eastAsia="Arial" w:hAnsi="Arial"/>
          <w:sz w:val="16"/>
          <w:szCs w:val="16"/>
          <w:color w:val="auto"/>
        </w:rPr>
      </w:pPr>
    </w:p>
    <w:p>
      <w:pPr>
        <w:ind w:left="980" w:right="120" w:hanging="493"/>
        <w:spacing w:after="0" w:line="244" w:lineRule="auto"/>
        <w:tabs>
          <w:tab w:leader="none" w:pos="9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72" w:lineRule="exact"/>
        <w:rPr>
          <w:rFonts w:ascii="Arial" w:cs="Arial" w:eastAsia="Arial" w:hAnsi="Arial"/>
          <w:sz w:val="16"/>
          <w:szCs w:val="16"/>
          <w:color w:val="auto"/>
        </w:rPr>
      </w:pPr>
    </w:p>
    <w:p>
      <w:pPr>
        <w:ind w:left="980" w:right="240" w:hanging="493"/>
        <w:spacing w:after="0" w:line="249" w:lineRule="auto"/>
        <w:tabs>
          <w:tab w:leader="none" w:pos="9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new methodology by which rebates owed by manufacturers under the Medicaid Drug Rebate Program are calculated for drugs that are inhaled, infused, instilled, implanted or injected;</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expansion of the types of entities eligible for the 340B drug discount program;</w:t>
      </w:r>
    </w:p>
    <w:p>
      <w:pPr>
        <w:spacing w:after="0" w:line="182" w:lineRule="exact"/>
        <w:rPr>
          <w:rFonts w:ascii="Arial" w:cs="Arial" w:eastAsia="Arial" w:hAnsi="Arial"/>
          <w:sz w:val="16"/>
          <w:szCs w:val="16"/>
          <w:color w:val="auto"/>
        </w:rPr>
      </w:pPr>
    </w:p>
    <w:p>
      <w:pPr>
        <w:ind w:left="980" w:right="140" w:hanging="493"/>
        <w:spacing w:after="0" w:line="244" w:lineRule="auto"/>
        <w:tabs>
          <w:tab w:leader="none" w:pos="9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establishment of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w:t>
      </w:r>
    </w:p>
    <w:p>
      <w:pPr>
        <w:spacing w:after="0" w:line="172" w:lineRule="exact"/>
        <w:rPr>
          <w:rFonts w:ascii="Arial" w:cs="Arial" w:eastAsia="Arial" w:hAnsi="Arial"/>
          <w:sz w:val="16"/>
          <w:szCs w:val="16"/>
          <w:color w:val="auto"/>
        </w:rPr>
      </w:pPr>
    </w:p>
    <w:p>
      <w:pPr>
        <w:ind w:left="980" w:hanging="493"/>
        <w:spacing w:after="0" w:line="249" w:lineRule="auto"/>
        <w:tabs>
          <w:tab w:leader="none" w:pos="9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new Patient-Centered Outcomes Research Institute to oversee, identify priorities in, and conduct comparative clinical effectiveness research, along with funding for such research;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8" w:name="page169"/>
    <w:bookmarkEnd w:id="1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right="140" w:hanging="493"/>
        <w:spacing w:after="0" w:line="249" w:lineRule="auto"/>
        <w:tabs>
          <w:tab w:leader="none" w:pos="9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establishment of a Center for Medicare and Medicaid Innovation at CMS to test innovative payment and service delivery models to lower Medicare and Medicaid spending, potentially including prescription drug spending.</w:t>
      </w:r>
    </w:p>
    <w:p>
      <w:pPr>
        <w:spacing w:after="0" w:line="181"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it has enacted laws that modify certain provisions of the ACA such as removing or delaying penalties, starting January 1, 2019, for not complying with the Affordable Care Act's individual mandate to carry health insurance, delaying the implementation of certain ACA-mandated fees, and increasing the point-of-sale discount that is owed by pharmaceutical manufacturers who participate in Medicare Part D.</w:t>
      </w:r>
    </w:p>
    <w:p>
      <w:pPr>
        <w:spacing w:after="0" w:line="192" w:lineRule="exact"/>
        <w:rPr>
          <w:sz w:val="20"/>
          <w:szCs w:val="20"/>
          <w:color w:val="auto"/>
        </w:rPr>
      </w:pPr>
    </w:p>
    <w:p>
      <w:pPr>
        <w:ind w:right="60" w:firstLine="442"/>
        <w:spacing w:after="0"/>
        <w:rPr>
          <w:sz w:val="20"/>
          <w:szCs w:val="20"/>
          <w:color w:val="auto"/>
        </w:rPr>
      </w:pPr>
      <w:r>
        <w:rPr>
          <w:rFonts w:ascii="Arial" w:cs="Arial" w:eastAsia="Arial" w:hAnsi="Arial"/>
          <w:sz w:val="16"/>
          <w:szCs w:val="16"/>
          <w:color w:val="auto"/>
        </w:rPr>
        <w:t>Other legislative changes have been proposed and adopted in the United States since the 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2% per fiscal year, which went into effect in April 2013 and, due to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91" w:lineRule="exact"/>
        <w:rPr>
          <w:sz w:val="20"/>
          <w:szCs w:val="20"/>
          <w:color w:val="auto"/>
        </w:rPr>
      </w:pPr>
    </w:p>
    <w:p>
      <w:pPr>
        <w:ind w:right="40" w:firstLine="433"/>
        <w:spacing w:after="0"/>
        <w:rPr>
          <w:sz w:val="20"/>
          <w:szCs w:val="20"/>
          <w:color w:val="auto"/>
        </w:rPr>
      </w:pPr>
      <w:r>
        <w:rPr>
          <w:rFonts w:ascii="Arial" w:cs="Arial" w:eastAsia="Arial" w:hAnsi="Arial"/>
          <w:sz w:val="16"/>
          <w:szCs w:val="16"/>
          <w:color w:val="auto"/>
        </w:rPr>
        <w:t>Also,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November 2018, CMS issued a proposed rule for comment that would, among other things, provide Medicare prescription drug plans under Part D more transparency in pricing and greater flexibility to negotiate discounts for, and in certain circumstances exclude, drugs in the six "protected" formulary classes and allow Medicare Advantage plans to use certain drug management tools such as step therapy for physician-administered drugs.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w:t>
      </w:r>
    </w:p>
    <w:p>
      <w:pPr>
        <w:spacing w:after="0" w:line="189" w:lineRule="exact"/>
        <w:rPr>
          <w:sz w:val="20"/>
          <w:szCs w:val="20"/>
          <w:color w:val="auto"/>
        </w:rPr>
      </w:pPr>
    </w:p>
    <w:p>
      <w:pPr>
        <w:jc w:val="both"/>
        <w:ind w:right="460" w:firstLine="439"/>
        <w:spacing w:after="0" w:line="244"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69" w:name="page170"/>
    <w:bookmarkEnd w:id="1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regulatory approval and may affect our overall financial condition and ability to develop product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15" w:lineRule="exact"/>
        <w:rPr>
          <w:sz w:val="20"/>
          <w:szCs w:val="20"/>
          <w:color w:val="auto"/>
        </w:rPr>
      </w:pPr>
    </w:p>
    <w:p>
      <w:pPr>
        <w:ind w:right="140" w:firstLine="433"/>
        <w:spacing w:after="0" w:line="244" w:lineRule="auto"/>
        <w:rPr>
          <w:sz w:val="20"/>
          <w:szCs w:val="20"/>
          <w:color w:val="auto"/>
        </w:rPr>
      </w:pPr>
      <w:r>
        <w:rPr>
          <w:rFonts w:ascii="Arial" w:cs="Arial" w:eastAsia="Arial" w:hAnsi="Arial"/>
          <w:sz w:val="16"/>
          <w:szCs w:val="16"/>
          <w:color w:val="auto"/>
        </w:rPr>
        <w:t>As of March 31, 2019, we had 61 full-time or part-time employees, including 28 with M.D. or Ph.D. degrees. Of these employees, 51 employees are engaged in research and development activities and 10 employees are engaged in general and administrative activities. None of our employees are represented by labor unions or covered by collective bargaining agreements. We consider the relationship with our employees to be good.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Facilities</w:t>
      </w:r>
    </w:p>
    <w:p>
      <w:pPr>
        <w:spacing w:after="0" w:line="215" w:lineRule="exact"/>
        <w:rPr>
          <w:sz w:val="20"/>
          <w:szCs w:val="20"/>
          <w:color w:val="auto"/>
        </w:rPr>
      </w:pPr>
    </w:p>
    <w:p>
      <w:pPr>
        <w:ind w:right="20" w:firstLine="442"/>
        <w:spacing w:after="0" w:line="242" w:lineRule="auto"/>
        <w:rPr>
          <w:sz w:val="20"/>
          <w:szCs w:val="20"/>
          <w:color w:val="auto"/>
        </w:rPr>
      </w:pPr>
      <w:r>
        <w:rPr>
          <w:rFonts w:ascii="Arial" w:cs="Arial" w:eastAsia="Arial" w:hAnsi="Arial"/>
          <w:sz w:val="16"/>
          <w:szCs w:val="16"/>
          <w:color w:val="auto"/>
        </w:rPr>
        <w:t>We occupy approximately 13,500 rentable square feet of office and laboratory space in Cambridge, United Kingdom under a lease that expires in December 2021, with a five-year extension option, and an additional 11,000 rental square feet of office and laboratory space in Lexington, Massachusetts under a lease that expires in December 2022, with a five-year extension option. We believe that our office and laboratory spaces are sufficient to meet our current needs and that suitable additional space will be available as and when needed.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than as described below, we are not currently subject to any material legal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Litigation</w:t>
      </w:r>
    </w:p>
    <w:p>
      <w:pPr>
        <w:spacing w:after="0" w:line="213"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 xml:space="preserve">In 2009, we entered into a non-exclusive patent license agreement with Pepscan Systems B.V., or Pepscan, pursuant to which we licensed rights related to the scaffold used for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contained in certain of our product candidates, including our lead product candidate, BT1718. The agreement required us to enter into a framework services agreement with Pepscan for Pepscan to provide certain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not produced by us. In 2010, we entered into such a framework services agreement. In 2014, we terminated the framework services agreement in accordance with its terms. Subsequently, in 2016, Pepscan terminated the patent license agreement.</w:t>
      </w:r>
    </w:p>
    <w:p>
      <w:pPr>
        <w:spacing w:after="0" w:line="189"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We instituted proceedings in the District Court of The Hague to contest the right of Pepscan to terminate the patent license agreement. In response, Pepscan claimed, among other things, that the termination of the framework services agreement and alleged breaches by us of confidentiality obligations constituted grounds for the termination of the patent license agreement. In a preliminary judgement delivered in April 2018, the District Court of the Hague rejected Pepscan's claim that it was entitled to terminate the patent license agreement on the basis of a breach of a purported exclusive supply obligation. The District Court of the Hague reserved for further proceedings the question of whether Pepscan was entitled to terminate the patent license agreement on the basis of allegations that we had breached our confidentiality obligations. The District Court of the Hague gave us an opportunity to submit proof to the contrary through written evidence and further hearings.</w:t>
      </w:r>
    </w:p>
    <w:p>
      <w:pPr>
        <w:spacing w:after="0" w:line="192"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In July 2018, Pepscan appealed the decision of the District Court of the Hague and the proceedings before the District Court of the Hague have been stayed pending a decision in the appeal brought by Pepscan. We intend to defend the appeal and any further proceedings before the District Court of the Hague.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patent that is the subject of these proceedings expires in 2024.</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0" w:name="page171"/>
    <w:bookmarkEnd w:id="1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Patent Opposition Proceedings</w:t>
      </w:r>
    </w:p>
    <w:p>
      <w:pPr>
        <w:spacing w:after="0" w:line="213"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In January 2013, Pepscan filed a notice of opposition in respect of European patent 2 257 624, which is a foundational patent that covers our technology platform. In June 2015, the European Patent Office issued a decision to maintain this patent as granted and rejecting Pepscan's opposition. Pepscan subsequently filed a notice of appeal to revoke the patent in its entirety, along with supporting materials. We filed a reply requesting that the appeal be dismissed. As of the date of this prospectus, no decision has been issued by the European Patent Office in respect of this appeal.</w:t>
      </w:r>
    </w:p>
    <w:p>
      <w:pPr>
        <w:spacing w:after="0" w:line="187" w:lineRule="exact"/>
        <w:rPr>
          <w:sz w:val="20"/>
          <w:szCs w:val="20"/>
          <w:color w:val="auto"/>
        </w:rPr>
      </w:pPr>
    </w:p>
    <w:p>
      <w:pPr>
        <w:ind w:right="160" w:firstLine="442"/>
        <w:spacing w:after="0" w:line="241" w:lineRule="auto"/>
        <w:rPr>
          <w:sz w:val="20"/>
          <w:szCs w:val="20"/>
          <w:color w:val="auto"/>
        </w:rPr>
      </w:pPr>
      <w:r>
        <w:rPr>
          <w:rFonts w:ascii="Arial" w:cs="Arial" w:eastAsia="Arial" w:hAnsi="Arial"/>
          <w:sz w:val="16"/>
          <w:szCs w:val="16"/>
          <w:color w:val="auto"/>
        </w:rPr>
        <w:t>In April 2015, Pepscan filed a notice of opposition in respect of European patent 2 474 613, which is a divisional patent that covers extensions of our technology platform. In February 2017, the European Patent Office issued a decision to maintain this patent in its amended form, which upheld this patent. Pepscan subsequently filed a notice of appeal to revoke the patent in its entirety, along with supporting materials. We also filed a Notice of Appeal contesting the amendments to the patent required by the decision of the Opposition Division along with supporting materials. As of the date of this prospectus, no decision has been issued by the European Patent Office in respect of these appeals.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1" w:name="page172"/>
    <w:bookmarkEnd w:id="1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MANAGEMENT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executive officers and directors and their respective ages and positions as of March 21, 2019:</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2680" w:type="dxa"/>
            <w:vAlign w:val="bottom"/>
            <w:gridSpan w:val="3"/>
          </w:tcPr>
          <w:p>
            <w:pPr>
              <w:spacing w:after="0"/>
              <w:rPr>
                <w:sz w:val="20"/>
                <w:szCs w:val="20"/>
                <w:color w:val="auto"/>
              </w:rPr>
            </w:pPr>
            <w:r>
              <w:rPr>
                <w:rFonts w:ascii="Arial" w:cs="Arial" w:eastAsia="Arial" w:hAnsi="Arial"/>
                <w:sz w:val="16"/>
                <w:szCs w:val="16"/>
                <w:color w:val="auto"/>
              </w:rPr>
              <w:t>Name</w:t>
            </w:r>
          </w:p>
        </w:tc>
        <w:tc>
          <w:tcPr>
            <w:tcW w:w="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Age</w:t>
            </w:r>
          </w:p>
        </w:tc>
        <w:tc>
          <w:tcPr>
            <w:tcW w:w="140" w:type="dxa"/>
            <w:vAlign w:val="bottom"/>
          </w:tcPr>
          <w:p>
            <w:pPr>
              <w:spacing w:after="0"/>
              <w:rPr>
                <w:sz w:val="16"/>
                <w:szCs w:val="16"/>
                <w:color w:val="auto"/>
              </w:rPr>
            </w:pPr>
          </w:p>
        </w:tc>
        <w:tc>
          <w:tcPr>
            <w:tcW w:w="5780" w:type="dxa"/>
            <w:vAlign w:val="bottom"/>
          </w:tcPr>
          <w:p>
            <w:pPr>
              <w:ind w:left="2500"/>
              <w:spacing w:after="0"/>
              <w:rPr>
                <w:sz w:val="20"/>
                <w:szCs w:val="20"/>
                <w:color w:val="auto"/>
              </w:rPr>
            </w:pPr>
            <w:r>
              <w:rPr>
                <w:rFonts w:ascii="Arial" w:cs="Arial" w:eastAsia="Arial" w:hAnsi="Arial"/>
                <w:sz w:val="16"/>
                <w:szCs w:val="16"/>
                <w:color w:val="auto"/>
              </w:rPr>
              <w:t>Position(s)</w:t>
            </w:r>
          </w:p>
        </w:tc>
      </w:tr>
      <w:tr>
        <w:trPr>
          <w:trHeight w:val="183"/>
        </w:trPr>
        <w:tc>
          <w:tcPr>
            <w:tcW w:w="20" w:type="dxa"/>
            <w:vAlign w:val="bottom"/>
          </w:tcPr>
          <w:p>
            <w:pPr>
              <w:spacing w:after="0"/>
              <w:rPr>
                <w:sz w:val="15"/>
                <w:szCs w:val="15"/>
                <w:color w:val="auto"/>
              </w:rPr>
            </w:pPr>
          </w:p>
        </w:tc>
        <w:tc>
          <w:tcPr>
            <w:tcW w:w="2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i w:val="1"/>
                <w:iCs w:val="1"/>
                <w:color w:val="auto"/>
              </w:rPr>
              <w:t>Executive Officers:</w:t>
            </w:r>
          </w:p>
        </w:tc>
        <w:tc>
          <w:tcPr>
            <w:tcW w:w="14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780" w:type="dxa"/>
            <w:vAlign w:val="bottom"/>
            <w:tcBorders>
              <w:top w:val="single" w:sz="8" w:color="auto"/>
            </w:tcBorders>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660" w:type="dxa"/>
            <w:vAlign w:val="bottom"/>
            <w:gridSpan w:val="2"/>
          </w:tcPr>
          <w:p>
            <w:pPr>
              <w:ind w:left="140"/>
              <w:spacing w:after="0"/>
              <w:rPr>
                <w:sz w:val="20"/>
                <w:szCs w:val="20"/>
                <w:color w:val="auto"/>
              </w:rPr>
            </w:pPr>
            <w:r>
              <w:rPr>
                <w:rFonts w:ascii="Arial" w:cs="Arial" w:eastAsia="Arial" w:hAnsi="Arial"/>
                <w:sz w:val="16"/>
                <w:szCs w:val="16"/>
                <w:color w:val="auto"/>
              </w:rPr>
              <w:t>Kevin Lee, Ph.D., MBA</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5920" w:type="dxa"/>
            <w:vAlign w:val="bottom"/>
            <w:gridSpan w:val="2"/>
          </w:tcPr>
          <w:p>
            <w:pPr>
              <w:ind w:left="140"/>
              <w:spacing w:after="0"/>
              <w:rPr>
                <w:sz w:val="20"/>
                <w:szCs w:val="20"/>
                <w:color w:val="auto"/>
              </w:rPr>
            </w:pPr>
            <w:r>
              <w:rPr>
                <w:rFonts w:ascii="Arial" w:cs="Arial" w:eastAsia="Arial" w:hAnsi="Arial"/>
                <w:sz w:val="16"/>
                <w:szCs w:val="16"/>
                <w:color w:val="auto"/>
              </w:rPr>
              <w:t>Chief Executive Officer and Director</w:t>
            </w:r>
          </w:p>
        </w:tc>
      </w:tr>
      <w:tr>
        <w:trPr>
          <w:trHeight w:val="183"/>
        </w:trPr>
        <w:tc>
          <w:tcPr>
            <w:tcW w:w="20" w:type="dxa"/>
            <w:vAlign w:val="bottom"/>
          </w:tcPr>
          <w:p>
            <w:pPr>
              <w:spacing w:after="0"/>
              <w:rPr>
                <w:sz w:val="15"/>
                <w:szCs w:val="15"/>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Lee Kalowski, MBA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President and Chief Financial Officer</w:t>
            </w:r>
          </w:p>
        </w:tc>
      </w:tr>
      <w:tr>
        <w:trPr>
          <w:trHeight w:val="183"/>
        </w:trPr>
        <w:tc>
          <w:tcPr>
            <w:tcW w:w="20" w:type="dxa"/>
            <w:vAlign w:val="bottom"/>
          </w:tcPr>
          <w:p>
            <w:pPr>
              <w:spacing w:after="0"/>
              <w:rPr>
                <w:sz w:val="15"/>
                <w:szCs w:val="15"/>
                <w:color w:val="auto"/>
              </w:rPr>
            </w:pPr>
          </w:p>
        </w:tc>
        <w:tc>
          <w:tcPr>
            <w:tcW w:w="2660" w:type="dxa"/>
            <w:vAlign w:val="bottom"/>
            <w:gridSpan w:val="2"/>
          </w:tcPr>
          <w:p>
            <w:pPr>
              <w:ind w:left="140"/>
              <w:spacing w:after="0"/>
              <w:rPr>
                <w:sz w:val="20"/>
                <w:szCs w:val="20"/>
                <w:color w:val="auto"/>
              </w:rPr>
            </w:pPr>
            <w:r>
              <w:rPr>
                <w:rFonts w:ascii="Arial" w:cs="Arial" w:eastAsia="Arial" w:hAnsi="Arial"/>
                <w:sz w:val="16"/>
                <w:szCs w:val="16"/>
                <w:color w:val="auto"/>
              </w:rPr>
              <w:t>Peter Leone, MBA</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5920" w:type="dxa"/>
            <w:vAlign w:val="bottom"/>
            <w:gridSpan w:val="2"/>
          </w:tcPr>
          <w:p>
            <w:pPr>
              <w:ind w:left="140"/>
              <w:spacing w:after="0"/>
              <w:rPr>
                <w:sz w:val="20"/>
                <w:szCs w:val="20"/>
                <w:color w:val="auto"/>
              </w:rPr>
            </w:pPr>
            <w:r>
              <w:rPr>
                <w:rFonts w:ascii="Arial" w:cs="Arial" w:eastAsia="Arial" w:hAnsi="Arial"/>
                <w:sz w:val="16"/>
                <w:szCs w:val="16"/>
                <w:color w:val="auto"/>
              </w:rPr>
              <w:t>Chief Business Officer</w:t>
            </w:r>
          </w:p>
        </w:tc>
      </w:tr>
      <w:tr>
        <w:trPr>
          <w:trHeight w:val="183"/>
        </w:trPr>
        <w:tc>
          <w:tcPr>
            <w:tcW w:w="20" w:type="dxa"/>
            <w:vAlign w:val="bottom"/>
          </w:tcPr>
          <w:p>
            <w:pPr>
              <w:spacing w:after="0"/>
              <w:rPr>
                <w:sz w:val="15"/>
                <w:szCs w:val="15"/>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Michael Skynner, Ph.D.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Chief Operating Officer</w:t>
            </w:r>
          </w:p>
        </w:tc>
      </w:tr>
      <w:tr>
        <w:trPr>
          <w:trHeight w:val="183"/>
        </w:trPr>
        <w:tc>
          <w:tcPr>
            <w:tcW w:w="20" w:type="dxa"/>
            <w:vAlign w:val="bottom"/>
          </w:tcPr>
          <w:p>
            <w:pPr>
              <w:spacing w:after="0"/>
              <w:rPr>
                <w:sz w:val="15"/>
                <w:szCs w:val="15"/>
                <w:color w:val="auto"/>
              </w:rPr>
            </w:pPr>
          </w:p>
        </w:tc>
        <w:tc>
          <w:tcPr>
            <w:tcW w:w="2660" w:type="dxa"/>
            <w:vAlign w:val="bottom"/>
            <w:gridSpan w:val="2"/>
          </w:tcPr>
          <w:p>
            <w:pPr>
              <w:ind w:left="140"/>
              <w:spacing w:after="0"/>
              <w:rPr>
                <w:sz w:val="20"/>
                <w:szCs w:val="20"/>
                <w:color w:val="auto"/>
              </w:rPr>
            </w:pPr>
            <w:r>
              <w:rPr>
                <w:rFonts w:ascii="Arial" w:cs="Arial" w:eastAsia="Arial" w:hAnsi="Arial"/>
                <w:sz w:val="16"/>
                <w:szCs w:val="16"/>
                <w:color w:val="auto"/>
              </w:rPr>
              <w:t>Maria Koehler, M.D., Ph.D.</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5920" w:type="dxa"/>
            <w:vAlign w:val="bottom"/>
            <w:gridSpan w:val="2"/>
          </w:tcPr>
          <w:p>
            <w:pPr>
              <w:ind w:left="140"/>
              <w:spacing w:after="0"/>
              <w:rPr>
                <w:sz w:val="20"/>
                <w:szCs w:val="20"/>
                <w:color w:val="auto"/>
              </w:rPr>
            </w:pPr>
            <w:r>
              <w:rPr>
                <w:rFonts w:ascii="Arial" w:cs="Arial" w:eastAsia="Arial" w:hAnsi="Arial"/>
                <w:sz w:val="16"/>
                <w:szCs w:val="16"/>
                <w:color w:val="auto"/>
              </w:rPr>
              <w:t>Chief Medical Officer</w:t>
            </w:r>
          </w:p>
        </w:tc>
      </w:tr>
      <w:tr>
        <w:trPr>
          <w:trHeight w:val="183"/>
        </w:trPr>
        <w:tc>
          <w:tcPr>
            <w:tcW w:w="20" w:type="dxa"/>
            <w:vAlign w:val="bottom"/>
          </w:tcPr>
          <w:p>
            <w:pPr>
              <w:spacing w:after="0"/>
              <w:rPr>
                <w:sz w:val="15"/>
                <w:szCs w:val="15"/>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Nick Keen, Ph.D.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Chief Scientific Officer</w:t>
            </w:r>
          </w:p>
        </w:tc>
      </w:tr>
      <w:tr>
        <w:trPr>
          <w:trHeight w:val="183"/>
        </w:trPr>
        <w:tc>
          <w:tcPr>
            <w:tcW w:w="20" w:type="dxa"/>
            <w:vAlign w:val="bottom"/>
          </w:tcPr>
          <w:p>
            <w:pPr>
              <w:spacing w:after="0"/>
              <w:rPr>
                <w:sz w:val="15"/>
                <w:szCs w:val="15"/>
                <w:color w:val="auto"/>
              </w:rPr>
            </w:pPr>
          </w:p>
        </w:tc>
        <w:tc>
          <w:tcPr>
            <w:tcW w:w="2660" w:type="dxa"/>
            <w:vAlign w:val="bottom"/>
            <w:gridSpan w:val="2"/>
          </w:tcPr>
          <w:p>
            <w:pPr>
              <w:spacing w:after="0"/>
              <w:rPr>
                <w:sz w:val="20"/>
                <w:szCs w:val="20"/>
                <w:color w:val="auto"/>
              </w:rPr>
            </w:pPr>
            <w:r>
              <w:rPr>
                <w:rFonts w:ascii="Arial" w:cs="Arial" w:eastAsia="Arial" w:hAnsi="Arial"/>
                <w:sz w:val="16"/>
                <w:szCs w:val="16"/>
                <w:i w:val="1"/>
                <w:iCs w:val="1"/>
                <w:color w:val="auto"/>
              </w:rPr>
              <w:t>Non-Employee Directors</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Pierre Legault, MBA, CPA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 and Non-Executive Chairman of the Board of Directors</w:t>
            </w:r>
          </w:p>
        </w:tc>
      </w:tr>
      <w:tr>
        <w:trPr>
          <w:trHeight w:val="220"/>
        </w:trPr>
        <w:tc>
          <w:tcPr>
            <w:tcW w:w="20" w:type="dxa"/>
            <w:vAlign w:val="bottom"/>
          </w:tcPr>
          <w:p>
            <w:pPr>
              <w:spacing w:after="0"/>
              <w:rPr>
                <w:sz w:val="19"/>
                <w:szCs w:val="19"/>
                <w:color w:val="auto"/>
              </w:rPr>
            </w:pPr>
          </w:p>
        </w:tc>
        <w:tc>
          <w:tcPr>
            <w:tcW w:w="2660" w:type="dxa"/>
            <w:vAlign w:val="bottom"/>
            <w:gridSpan w:val="2"/>
          </w:tcPr>
          <w:p>
            <w:pPr>
              <w:ind w:left="140"/>
              <w:spacing w:after="0" w:line="220" w:lineRule="exact"/>
              <w:rPr>
                <w:sz w:val="20"/>
                <w:szCs w:val="20"/>
                <w:color w:val="auto"/>
              </w:rPr>
            </w:pPr>
            <w:r>
              <w:rPr>
                <w:rFonts w:ascii="Arial" w:cs="Arial" w:eastAsia="Arial" w:hAnsi="Arial"/>
                <w:sz w:val="15"/>
                <w:szCs w:val="15"/>
                <w:color w:val="auto"/>
              </w:rPr>
              <w:t>Michael Anstey, DPhil</w:t>
            </w:r>
            <w:r>
              <w:rPr>
                <w:rFonts w:ascii="Arial" w:cs="Arial" w:eastAsia="Arial" w:hAnsi="Arial"/>
                <w:sz w:val="25"/>
                <w:szCs w:val="25"/>
                <w:color w:val="auto"/>
                <w:vertAlign w:val="superscript"/>
              </w:rPr>
              <w:t>(1)(3)</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592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220"/>
        </w:trPr>
        <w:tc>
          <w:tcPr>
            <w:tcW w:w="20" w:type="dxa"/>
            <w:vAlign w:val="bottom"/>
          </w:tcPr>
          <w:p>
            <w:pPr>
              <w:spacing w:after="0"/>
              <w:rPr>
                <w:sz w:val="19"/>
                <w:szCs w:val="19"/>
                <w:color w:val="auto"/>
              </w:rPr>
            </w:pPr>
          </w:p>
        </w:tc>
        <w:tc>
          <w:tcPr>
            <w:tcW w:w="2660" w:type="dxa"/>
            <w:vAlign w:val="bottom"/>
            <w:gridSpan w:val="2"/>
            <w:shd w:val="clear" w:color="auto" w:fill="CCEEFF"/>
          </w:tcPr>
          <w:p>
            <w:pPr>
              <w:ind w:left="140"/>
              <w:spacing w:after="0" w:line="220" w:lineRule="exact"/>
              <w:rPr>
                <w:sz w:val="20"/>
                <w:szCs w:val="20"/>
                <w:color w:val="auto"/>
              </w:rPr>
            </w:pPr>
            <w:r>
              <w:rPr>
                <w:rFonts w:ascii="Arial" w:cs="Arial" w:eastAsia="Arial" w:hAnsi="Arial"/>
                <w:sz w:val="15"/>
                <w:szCs w:val="15"/>
                <w:color w:val="auto"/>
              </w:rPr>
              <w:t>Kate Bingham, MBA</w:t>
            </w:r>
            <w:r>
              <w:rPr>
                <w:rFonts w:ascii="Arial" w:cs="Arial" w:eastAsia="Arial" w:hAnsi="Arial"/>
                <w:sz w:val="25"/>
                <w:szCs w:val="25"/>
                <w:color w:val="auto"/>
                <w:vertAlign w:val="superscript"/>
              </w:rPr>
              <w:t>(1)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r>
      <w:tr>
        <w:trPr>
          <w:trHeight w:val="220"/>
        </w:trPr>
        <w:tc>
          <w:tcPr>
            <w:tcW w:w="20" w:type="dxa"/>
            <w:vAlign w:val="bottom"/>
          </w:tcPr>
          <w:p>
            <w:pPr>
              <w:spacing w:after="0"/>
              <w:rPr>
                <w:sz w:val="19"/>
                <w:szCs w:val="19"/>
                <w:color w:val="auto"/>
              </w:rPr>
            </w:pPr>
          </w:p>
        </w:tc>
        <w:tc>
          <w:tcPr>
            <w:tcW w:w="2660" w:type="dxa"/>
            <w:vAlign w:val="bottom"/>
            <w:gridSpan w:val="2"/>
          </w:tcPr>
          <w:p>
            <w:pPr>
              <w:ind w:left="140"/>
              <w:spacing w:after="0" w:line="220" w:lineRule="exact"/>
              <w:rPr>
                <w:sz w:val="20"/>
                <w:szCs w:val="20"/>
                <w:color w:val="auto"/>
              </w:rPr>
            </w:pPr>
            <w:r>
              <w:rPr>
                <w:rFonts w:ascii="Arial" w:cs="Arial" w:eastAsia="Arial" w:hAnsi="Arial"/>
                <w:sz w:val="15"/>
                <w:szCs w:val="15"/>
                <w:color w:val="auto"/>
              </w:rPr>
              <w:t>Deborah Harland, Ph.D., MBA</w:t>
            </w:r>
            <w:r>
              <w:rPr>
                <w:rFonts w:ascii="Arial" w:cs="Arial" w:eastAsia="Arial" w:hAnsi="Arial"/>
                <w:sz w:val="25"/>
                <w:szCs w:val="25"/>
                <w:color w:val="auto"/>
                <w:vertAlign w:val="superscript"/>
              </w:rPr>
              <w:t>(2)(3)</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592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183"/>
        </w:trPr>
        <w:tc>
          <w:tcPr>
            <w:tcW w:w="20" w:type="dxa"/>
            <w:vAlign w:val="bottom"/>
          </w:tcPr>
          <w:p>
            <w:pPr>
              <w:spacing w:after="0"/>
              <w:rPr>
                <w:sz w:val="15"/>
                <w:szCs w:val="15"/>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Anja König, Ph.D.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r>
      <w:tr>
        <w:trPr>
          <w:trHeight w:val="183"/>
        </w:trPr>
        <w:tc>
          <w:tcPr>
            <w:tcW w:w="20" w:type="dxa"/>
            <w:vAlign w:val="bottom"/>
          </w:tcPr>
          <w:p>
            <w:pPr>
              <w:spacing w:after="0"/>
              <w:rPr>
                <w:sz w:val="15"/>
                <w:szCs w:val="15"/>
                <w:color w:val="auto"/>
              </w:rPr>
            </w:pPr>
          </w:p>
        </w:tc>
        <w:tc>
          <w:tcPr>
            <w:tcW w:w="2660" w:type="dxa"/>
            <w:vAlign w:val="bottom"/>
            <w:gridSpan w:val="2"/>
          </w:tcPr>
          <w:p>
            <w:pPr>
              <w:ind w:left="140"/>
              <w:spacing w:after="0"/>
              <w:rPr>
                <w:sz w:val="20"/>
                <w:szCs w:val="20"/>
                <w:color w:val="auto"/>
              </w:rPr>
            </w:pPr>
            <w:r>
              <w:rPr>
                <w:rFonts w:ascii="Arial" w:cs="Arial" w:eastAsia="Arial" w:hAnsi="Arial"/>
                <w:sz w:val="16"/>
                <w:szCs w:val="16"/>
                <w:color w:val="auto"/>
              </w:rPr>
              <w:t>Eashwar Krishnan</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592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220"/>
        </w:trPr>
        <w:tc>
          <w:tcPr>
            <w:tcW w:w="20" w:type="dxa"/>
            <w:vAlign w:val="bottom"/>
          </w:tcPr>
          <w:p>
            <w:pPr>
              <w:spacing w:after="0"/>
              <w:rPr>
                <w:sz w:val="19"/>
                <w:szCs w:val="19"/>
                <w:color w:val="auto"/>
              </w:rPr>
            </w:pPr>
          </w:p>
        </w:tc>
        <w:tc>
          <w:tcPr>
            <w:tcW w:w="2660" w:type="dxa"/>
            <w:vAlign w:val="bottom"/>
            <w:gridSpan w:val="2"/>
            <w:shd w:val="clear" w:color="auto" w:fill="CCEEFF"/>
          </w:tcPr>
          <w:p>
            <w:pPr>
              <w:ind w:left="140"/>
              <w:spacing w:after="0" w:line="220" w:lineRule="exact"/>
              <w:rPr>
                <w:sz w:val="20"/>
                <w:szCs w:val="20"/>
                <w:color w:val="auto"/>
              </w:rPr>
            </w:pPr>
            <w:r>
              <w:rPr>
                <w:rFonts w:ascii="Arial" w:cs="Arial" w:eastAsia="Arial" w:hAnsi="Arial"/>
                <w:sz w:val="15"/>
                <w:szCs w:val="15"/>
                <w:color w:val="auto"/>
              </w:rPr>
              <w:t>Carolyn Ng, Ph.D.</w:t>
            </w:r>
            <w:r>
              <w:rPr>
                <w:rFonts w:ascii="Arial" w:cs="Arial" w:eastAsia="Arial" w:hAnsi="Arial"/>
                <w:sz w:val="25"/>
                <w:szCs w:val="25"/>
                <w:color w:val="auto"/>
                <w:vertAlign w:val="superscript"/>
              </w:rPr>
              <w:t>(1)(2)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r>
      <w:tr>
        <w:trPr>
          <w:trHeight w:val="183"/>
        </w:trPr>
        <w:tc>
          <w:tcPr>
            <w:tcW w:w="20" w:type="dxa"/>
            <w:vAlign w:val="bottom"/>
          </w:tcPr>
          <w:p>
            <w:pPr>
              <w:spacing w:after="0"/>
              <w:rPr>
                <w:sz w:val="15"/>
                <w:szCs w:val="15"/>
                <w:color w:val="auto"/>
              </w:rPr>
            </w:pPr>
          </w:p>
        </w:tc>
        <w:tc>
          <w:tcPr>
            <w:tcW w:w="2660" w:type="dxa"/>
            <w:vAlign w:val="bottom"/>
            <w:gridSpan w:val="2"/>
          </w:tcPr>
          <w:p>
            <w:pPr>
              <w:ind w:left="140"/>
              <w:spacing w:after="0"/>
              <w:rPr>
                <w:sz w:val="20"/>
                <w:szCs w:val="20"/>
                <w:color w:val="auto"/>
              </w:rPr>
            </w:pPr>
            <w:r>
              <w:rPr>
                <w:rFonts w:ascii="Arial" w:cs="Arial" w:eastAsia="Arial" w:hAnsi="Arial"/>
                <w:sz w:val="16"/>
                <w:szCs w:val="16"/>
                <w:color w:val="auto"/>
              </w:rPr>
              <w:t>Jason Rhodes, MBA</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592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183"/>
        </w:trPr>
        <w:tc>
          <w:tcPr>
            <w:tcW w:w="20" w:type="dxa"/>
            <w:vAlign w:val="bottom"/>
          </w:tcPr>
          <w:p>
            <w:pPr>
              <w:spacing w:after="0"/>
              <w:rPr>
                <w:sz w:val="15"/>
                <w:szCs w:val="15"/>
                <w:color w:val="auto"/>
              </w:rPr>
            </w:pP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Sir Greg Winter, FRS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r>
      <w:tr>
        <w:trPr>
          <w:trHeight w:val="98"/>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780" w:type="dxa"/>
            <w:vAlign w:val="bottom"/>
          </w:tcPr>
          <w:p>
            <w:pPr>
              <w:spacing w:after="0"/>
              <w:rPr>
                <w:sz w:val="8"/>
                <w:szCs w:val="8"/>
                <w:color w:val="auto"/>
              </w:rPr>
            </w:pPr>
          </w:p>
        </w:tc>
      </w:tr>
    </w:tbl>
    <w:p>
      <w:pPr>
        <w:spacing w:after="0" w:line="126" w:lineRule="exact"/>
        <w:rPr>
          <w:sz w:val="20"/>
          <w:szCs w:val="20"/>
          <w:color w:val="auto"/>
        </w:rPr>
      </w:pPr>
    </w:p>
    <w:p>
      <w:pPr>
        <w:ind w:left="1640" w:hanging="499"/>
        <w:spacing w:after="0"/>
        <w:tabs>
          <w:tab w:leader="none" w:pos="1640" w:val="left"/>
        </w:tabs>
        <w:numPr>
          <w:ilvl w:val="0"/>
          <w:numId w:val="80"/>
        </w:numPr>
        <w:rPr>
          <w:rFonts w:ascii="Arial" w:cs="Arial" w:eastAsia="Arial" w:hAnsi="Arial"/>
          <w:sz w:val="20"/>
          <w:szCs w:val="20"/>
          <w:color w:val="auto"/>
          <w:vertAlign w:val="superscript"/>
        </w:rPr>
      </w:pPr>
      <w:r>
        <w:rPr>
          <w:rFonts w:ascii="Arial" w:cs="Arial" w:eastAsia="Arial" w:hAnsi="Arial"/>
          <w:sz w:val="13"/>
          <w:szCs w:val="13"/>
          <w:color w:val="auto"/>
        </w:rPr>
        <w:t>Member of the Audit Committee.</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80"/>
        </w:numPr>
        <w:rPr>
          <w:rFonts w:ascii="Arial" w:cs="Arial" w:eastAsia="Arial" w:hAnsi="Arial"/>
          <w:sz w:val="20"/>
          <w:szCs w:val="20"/>
          <w:color w:val="auto"/>
          <w:vertAlign w:val="superscript"/>
        </w:rPr>
      </w:pPr>
      <w:r>
        <w:rPr>
          <w:rFonts w:ascii="Arial" w:cs="Arial" w:eastAsia="Arial" w:hAnsi="Arial"/>
          <w:sz w:val="13"/>
          <w:szCs w:val="13"/>
          <w:color w:val="auto"/>
        </w:rPr>
        <w:t>Member of the Compensation Committee.</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80"/>
        </w:numPr>
        <w:rPr>
          <w:rFonts w:ascii="Arial" w:cs="Arial" w:eastAsia="Arial" w:hAnsi="Arial"/>
          <w:sz w:val="20"/>
          <w:szCs w:val="20"/>
          <w:color w:val="auto"/>
          <w:vertAlign w:val="superscript"/>
        </w:rPr>
      </w:pPr>
      <w:r>
        <w:rPr>
          <w:rFonts w:ascii="Arial" w:cs="Arial" w:eastAsia="Arial" w:hAnsi="Arial"/>
          <w:sz w:val="13"/>
          <w:szCs w:val="13"/>
          <w:color w:val="auto"/>
        </w:rPr>
        <w:t>Member of the Nominating and Corporate Governance Committee.</w:t>
      </w:r>
    </w:p>
    <w:p>
      <w:pPr>
        <w:spacing w:after="0" w:line="185" w:lineRule="exact"/>
        <w:rPr>
          <w:sz w:val="20"/>
          <w:szCs w:val="20"/>
          <w:color w:val="auto"/>
        </w:rPr>
      </w:pPr>
    </w:p>
    <w:p>
      <w:pPr>
        <w:ind w:right="380" w:firstLine="439"/>
        <w:spacing w:after="0" w:line="249" w:lineRule="auto"/>
        <w:rPr>
          <w:sz w:val="20"/>
          <w:szCs w:val="20"/>
          <w:color w:val="auto"/>
        </w:rPr>
      </w:pPr>
      <w:r>
        <w:rPr>
          <w:rFonts w:ascii="Arial" w:cs="Arial" w:eastAsia="Arial" w:hAnsi="Arial"/>
          <w:sz w:val="16"/>
          <w:szCs w:val="16"/>
          <w:color w:val="auto"/>
        </w:rPr>
        <w:t>The following is a biographical summary of the experience of our executive officers and directors. There are no family relationships among any of our executive officers or directors.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Officers</w:t>
      </w:r>
    </w:p>
    <w:p>
      <w:pPr>
        <w:spacing w:after="0" w:line="195" w:lineRule="exact"/>
        <w:rPr>
          <w:sz w:val="20"/>
          <w:szCs w:val="20"/>
          <w:color w:val="auto"/>
        </w:rPr>
      </w:pPr>
    </w:p>
    <w:p>
      <w:pPr>
        <w:ind w:firstLine="442"/>
        <w:spacing w:after="0" w:line="243" w:lineRule="auto"/>
        <w:rPr>
          <w:sz w:val="20"/>
          <w:szCs w:val="20"/>
          <w:color w:val="auto"/>
        </w:rPr>
      </w:pPr>
      <w:r>
        <w:rPr>
          <w:rFonts w:ascii="Arial" w:cs="Arial" w:eastAsia="Arial" w:hAnsi="Arial"/>
          <w:sz w:val="16"/>
          <w:szCs w:val="16"/>
          <w:b w:val="1"/>
          <w:bCs w:val="1"/>
          <w:i w:val="1"/>
          <w:iCs w:val="1"/>
          <w:color w:val="auto"/>
        </w:rPr>
        <w:t xml:space="preserve">Kevin Lee, Ph.D., MBA </w:t>
      </w:r>
      <w:r>
        <w:rPr>
          <w:rFonts w:ascii="Arial" w:cs="Arial" w:eastAsia="Arial" w:hAnsi="Arial"/>
          <w:sz w:val="16"/>
          <w:szCs w:val="16"/>
          <w:color w:val="auto"/>
        </w:rPr>
        <w:t>has served as our Chief Executive Officer and a member of our board of directors since September 2015. From April 2012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2015, Dr. Lee served as Senior Vice President and Chief Scientific Officer of the Rare Disease Research Unit at Pfizer Inc., a pharmaceutical company. From November 2004 to April 2012, Dr. Lee worked at GlaxoSmithKline plc, where in addition to leading the formation of multiple strategic commercial and academic partnerships, he led epigenetics research and was responsible for the creation of the EpiNova Discovery Performance Unit. Before joining GlaxoSmithKline, Dr. Lee was a lecturer at Warwick University Medical School and founded Cambridge Biotechnology Ltd, which specialized in developing small molecule and peptide therapeutics for inflammation and metabolic diseases before its trade sale to Biovitrum in 2005 and Neurosolutions (now Oncosil Medical Ltd ASX). Dr. Lee received a BPharm from Nottingham University and a Ph.D. in pharmacology from Cambridge University. Dr. Lee has an MBA from Warwick Business School and currently serves as a non-executive director for Nodthera Ltd, a position he has held since October 2018, and as a director at Wilbraham Consulting Ltd., a position he has held since December 2017.</w:t>
      </w:r>
    </w:p>
    <w:p>
      <w:pPr>
        <w:spacing w:after="0" w:line="188" w:lineRule="exact"/>
        <w:rPr>
          <w:sz w:val="20"/>
          <w:szCs w:val="20"/>
          <w:color w:val="auto"/>
        </w:rPr>
      </w:pPr>
    </w:p>
    <w:p>
      <w:pPr>
        <w:ind w:right="900" w:firstLine="442"/>
        <w:spacing w:after="0" w:line="249" w:lineRule="auto"/>
        <w:rPr>
          <w:sz w:val="20"/>
          <w:szCs w:val="20"/>
          <w:color w:val="auto"/>
        </w:rPr>
      </w:pPr>
      <w:r>
        <w:rPr>
          <w:rFonts w:ascii="Arial" w:cs="Arial" w:eastAsia="Arial" w:hAnsi="Arial"/>
          <w:sz w:val="16"/>
          <w:szCs w:val="16"/>
          <w:color w:val="auto"/>
        </w:rPr>
        <w:t>We believe that Dr. Lee is qualified to serve on our board of directors based on his extensive leadership, executive, managerial, business and pharmaceutical and biotechnology company</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60"/>
          </w:cols>
          <w:pgMar w:left="240" w:top="142" w:right="399" w:bottom="1440" w:gutter="0" w:footer="0" w:header="0"/>
        </w:sectPr>
      </w:pPr>
    </w:p>
    <w:bookmarkStart w:id="172" w:name="page173"/>
    <w:bookmarkEnd w:id="1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experience, along with his years of industry experience in the development and commercialization of pharmaceutical products.</w:t>
      </w:r>
    </w:p>
    <w:p>
      <w:pPr>
        <w:spacing w:after="0" w:line="177" w:lineRule="exact"/>
        <w:rPr>
          <w:sz w:val="20"/>
          <w:szCs w:val="20"/>
          <w:color w:val="auto"/>
        </w:rPr>
      </w:pPr>
    </w:p>
    <w:p>
      <w:pPr>
        <w:ind w:firstLine="442"/>
        <w:spacing w:after="0" w:line="245" w:lineRule="auto"/>
        <w:rPr>
          <w:sz w:val="20"/>
          <w:szCs w:val="20"/>
          <w:color w:val="auto"/>
        </w:rPr>
      </w:pPr>
      <w:r>
        <w:rPr>
          <w:rFonts w:ascii="Arial" w:cs="Arial" w:eastAsia="Arial" w:hAnsi="Arial"/>
          <w:sz w:val="16"/>
          <w:szCs w:val="16"/>
          <w:b w:val="1"/>
          <w:bCs w:val="1"/>
          <w:i w:val="1"/>
          <w:iCs w:val="1"/>
          <w:color w:val="auto"/>
        </w:rPr>
        <w:t xml:space="preserve">Lee Kalowski, MBA </w:t>
      </w:r>
      <w:r>
        <w:rPr>
          <w:rFonts w:ascii="Arial" w:cs="Arial" w:eastAsia="Arial" w:hAnsi="Arial"/>
          <w:sz w:val="16"/>
          <w:szCs w:val="16"/>
          <w:color w:val="auto"/>
        </w:rPr>
        <w:t>has served as our Chief Financial Officer since July 2017 and as our President since January 2019. Prior to joining us, from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until September 2016, Mr. Kalowski served as the Chief Financial Officer and from September 2016 until May 2017, served as the consulting Chief Financial/Business Officer of Tokai Pharmaceuticals, Inc. (NASDAQ: TKAI), a biopharmaceutical company. Prior to Tokai, from June 2010 to September 2014, Mr. Kalowski served in global biotechnology equity research at Credit Suisse, where he covered companies in the biopharmaceutical industry as a Senior Analyst from May 2011 until September 2014 and as an Associate from June 2010 until May 2011. Mr. Kalowski received a B.A. in biology and economics from Union College and an MBA from The Wharton School of the University of Pennsylvania.</w:t>
      </w:r>
    </w:p>
    <w:p>
      <w:pPr>
        <w:spacing w:after="0" w:line="169" w:lineRule="exact"/>
        <w:rPr>
          <w:sz w:val="20"/>
          <w:szCs w:val="20"/>
          <w:color w:val="auto"/>
        </w:rPr>
      </w:pPr>
    </w:p>
    <w:p>
      <w:pPr>
        <w:ind w:right="20" w:firstLine="442"/>
        <w:spacing w:after="0" w:line="244" w:lineRule="auto"/>
        <w:rPr>
          <w:sz w:val="20"/>
          <w:szCs w:val="20"/>
          <w:color w:val="auto"/>
        </w:rPr>
      </w:pPr>
      <w:r>
        <w:rPr>
          <w:rFonts w:ascii="Arial" w:cs="Arial" w:eastAsia="Arial" w:hAnsi="Arial"/>
          <w:sz w:val="16"/>
          <w:szCs w:val="16"/>
          <w:b w:val="1"/>
          <w:bCs w:val="1"/>
          <w:i w:val="1"/>
          <w:iCs w:val="1"/>
          <w:color w:val="auto"/>
        </w:rPr>
        <w:t xml:space="preserve">Peter Leone, MBA </w:t>
      </w:r>
      <w:r>
        <w:rPr>
          <w:rFonts w:ascii="Arial" w:cs="Arial" w:eastAsia="Arial" w:hAnsi="Arial"/>
          <w:sz w:val="16"/>
          <w:szCs w:val="16"/>
          <w:color w:val="auto"/>
        </w:rPr>
        <w:t>has served as our Chief Business Officer since February 2019. Prior to joining us, from May 2016 to January 2019, Mr. Leone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of Strategic Business Initiatives and from April 2012 to May 2016, served as Vice President of Strategy and Program Management at Arrowhead Pharmaceuticals, Inc. (NASDAQ: ARWR), a biopharmaceutical company. Prior to Arrowhead, from 2010 to 2012, Mr. Leone was Chief Operating Officer at Alvos Therapeutics, Inc., a biopharmaceutical company, which now operates as a subsidiary of Arrowhead. Before Alvos, Mr. Leone was the founding Chief Executive Officer or Chief Operating Officer at three different venture backed companies, including Mersana Therapeutics, Inc. (NASDAQ: MRSN), a biopharmaceutical company. Mr. Leone received a B.A. in engineering science with pre-med studies from Dartmouth College and an MBA from the Stanford University Graduate School of Business.</w:t>
      </w:r>
    </w:p>
    <w:p>
      <w:pPr>
        <w:spacing w:after="0" w:line="170" w:lineRule="exact"/>
        <w:rPr>
          <w:sz w:val="20"/>
          <w:szCs w:val="20"/>
          <w:color w:val="auto"/>
        </w:rPr>
      </w:pPr>
    </w:p>
    <w:p>
      <w:pPr>
        <w:ind w:right="80" w:firstLine="442"/>
        <w:spacing w:after="0" w:line="245" w:lineRule="auto"/>
        <w:rPr>
          <w:sz w:val="20"/>
          <w:szCs w:val="20"/>
          <w:color w:val="auto"/>
        </w:rPr>
      </w:pPr>
      <w:r>
        <w:rPr>
          <w:rFonts w:ascii="Arial" w:cs="Arial" w:eastAsia="Arial" w:hAnsi="Arial"/>
          <w:sz w:val="16"/>
          <w:szCs w:val="16"/>
          <w:b w:val="1"/>
          <w:bCs w:val="1"/>
          <w:i w:val="1"/>
          <w:iCs w:val="1"/>
          <w:color w:val="auto"/>
        </w:rPr>
        <w:t xml:space="preserve">Michael Skynner, Ph.D. </w:t>
      </w:r>
      <w:r>
        <w:rPr>
          <w:rFonts w:ascii="Arial" w:cs="Arial" w:eastAsia="Arial" w:hAnsi="Arial"/>
          <w:sz w:val="16"/>
          <w:szCs w:val="16"/>
          <w:color w:val="auto"/>
        </w:rPr>
        <w:t>has served as our Chief Operating Officer since January 2018 and prior to this, served as our Vice President of Operations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2016. Prior to joining us, Dr. Skynner worked at Pfizer Inc., a pharmaceutical company, from September 2013 to January 2016, where he was Head of Rare Disease Alliances, led rare disease efforts in Europe and founded and ran the Pfizer Rare Disease Consortium. Prior to Pfizer, from May 2008 to September 2013, Dr. Skynner worked at GlaxoSmithKline plc, where he focused on developing therapeutics targeting inflammatory kinases. Prior to GlaxoSmithKline, in 2001, Dr. Skynner co-founded Cambridge Biotechnology Ltd, which specialized in developing small molecule and peptide therapeutics for inflammation and metabolic diseases before its trade sale to Biovitrum in 2005. Dr. Skynner obtained his Ph.D. in biochemistry from Imperial College.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Maria Koehler, M.D, Ph.D. </w:t>
      </w:r>
      <w:r>
        <w:rPr>
          <w:rFonts w:ascii="Arial" w:cs="Arial" w:eastAsia="Arial" w:hAnsi="Arial"/>
          <w:sz w:val="16"/>
          <w:szCs w:val="16"/>
          <w:color w:val="auto"/>
        </w:rPr>
        <w:t>has served as our Chief Medical Officer since September 2017. Prior to joining us, from March 2009 to September 2017,</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Dr. Koehler was the Vice President of Strategy, Innovation and Collaborations for the Oncology Business Unit at Pfizer Inc., a pharmaceutical company. Prior to</w:t>
      </w:r>
    </w:p>
    <w:p>
      <w:pPr>
        <w:spacing w:after="0"/>
        <w:rPr>
          <w:sz w:val="20"/>
          <w:szCs w:val="20"/>
          <w:color w:val="auto"/>
        </w:rPr>
      </w:pPr>
      <w:r>
        <w:rPr>
          <w:rFonts w:ascii="Arial" w:cs="Arial" w:eastAsia="Arial" w:hAnsi="Arial"/>
          <w:sz w:val="16"/>
          <w:szCs w:val="16"/>
          <w:color w:val="auto"/>
        </w:rPr>
        <w:t>joining Pfizer, Dr. Koehler was the group leader for the Medicine Development Center of GlaxoSmithKline Oncology. Prior to that, Dr. Koehler was a Senior</w:t>
      </w:r>
    </w:p>
    <w:p>
      <w:pPr>
        <w:spacing w:after="0"/>
        <w:rPr>
          <w:sz w:val="20"/>
          <w:szCs w:val="20"/>
          <w:color w:val="auto"/>
        </w:rPr>
      </w:pPr>
      <w:r>
        <w:rPr>
          <w:rFonts w:ascii="Arial" w:cs="Arial" w:eastAsia="Arial" w:hAnsi="Arial"/>
          <w:sz w:val="16"/>
          <w:szCs w:val="16"/>
          <w:color w:val="auto"/>
        </w:rPr>
        <w:t>Medical Director for oncology research and development at AstraZeneca plc. Dr. Koehler has also served as the Clinical Director of Bone Marrow Transplantation</w:t>
      </w:r>
    </w:p>
    <w:p>
      <w:pPr>
        <w:spacing w:after="0"/>
        <w:rPr>
          <w:sz w:val="20"/>
          <w:szCs w:val="20"/>
          <w:color w:val="auto"/>
        </w:rPr>
      </w:pPr>
      <w:r>
        <w:rPr>
          <w:rFonts w:ascii="Arial" w:cs="Arial" w:eastAsia="Arial" w:hAnsi="Arial"/>
          <w:sz w:val="15"/>
          <w:szCs w:val="15"/>
          <w:color w:val="auto"/>
        </w:rPr>
        <w:t>at University Hospital in Pittsburgh and the Director of the Bone Marrow Transplant Program and Associate Professor at St. Christopher's Hospital in Philadelphia.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Dr. Koehler is a board-certified hematology/oncology physician. Dr. Koehler received her M.D. and Ph.D. from Silesian School of Medicine in Katowice, Poland. Dr.</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Koehler has resigned from all positions with our company effective April 30, 2019.</w:t>
      </w:r>
    </w:p>
    <w:p>
      <w:pPr>
        <w:spacing w:after="0" w:line="177" w:lineRule="exact"/>
        <w:rPr>
          <w:sz w:val="20"/>
          <w:szCs w:val="20"/>
          <w:color w:val="auto"/>
        </w:rPr>
      </w:pPr>
    </w:p>
    <w:p>
      <w:pPr>
        <w:ind w:right="20" w:firstLine="442"/>
        <w:spacing w:after="0" w:line="250" w:lineRule="auto"/>
        <w:rPr>
          <w:sz w:val="20"/>
          <w:szCs w:val="20"/>
          <w:color w:val="auto"/>
        </w:rPr>
      </w:pPr>
      <w:r>
        <w:rPr>
          <w:rFonts w:ascii="Arial" w:cs="Arial" w:eastAsia="Arial" w:hAnsi="Arial"/>
          <w:sz w:val="16"/>
          <w:szCs w:val="16"/>
          <w:b w:val="1"/>
          <w:bCs w:val="1"/>
          <w:i w:val="1"/>
          <w:iCs w:val="1"/>
          <w:color w:val="auto"/>
        </w:rPr>
        <w:t xml:space="preserve">Nicholas Keen, Ph.D. </w:t>
      </w:r>
      <w:r>
        <w:rPr>
          <w:rFonts w:ascii="Arial" w:cs="Arial" w:eastAsia="Arial" w:hAnsi="Arial"/>
          <w:sz w:val="16"/>
          <w:szCs w:val="16"/>
          <w:color w:val="auto"/>
        </w:rPr>
        <w:t>has served as our Chief Scientific Officer since January 2017. Prior to joining us, from April 2011 until December 2016, Dr. Keen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Head of Oncology Drug Discovery at the Cambridge (US) office of the Novartis Institutes for Biomedical Research (NIBR), a subsidiary of Novartis AG, a pharmaceutical company. Prior to Novartis, from August 2005 to March 2011, Dr. Keen led the early lead generation group for oncology at AstraZeneca plc's US research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3" w:name="page174"/>
    <w:bookmarkEnd w:id="1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site in Waltham, MA, and before this, from January 1997 to July 2005 worked in AstraZeneca's UK oncology research group. Dr. Keen completed his undergraduate studies at the University of Cambridge, his graduate studies at the Imperial Cancer Research Fund in Cambridge and his post-doctoral studies at the Laboratory of Molecular Biology in Cambridge.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Non-Employee Directors</w:t>
      </w:r>
    </w:p>
    <w:p>
      <w:pPr>
        <w:spacing w:after="0" w:line="195" w:lineRule="exact"/>
        <w:rPr>
          <w:sz w:val="20"/>
          <w:szCs w:val="20"/>
          <w:color w:val="auto"/>
        </w:rPr>
      </w:pPr>
    </w:p>
    <w:p>
      <w:pPr>
        <w:jc w:val="both"/>
        <w:ind w:right="80" w:firstLine="442"/>
        <w:spacing w:after="0" w:line="245" w:lineRule="auto"/>
        <w:rPr>
          <w:sz w:val="20"/>
          <w:szCs w:val="20"/>
          <w:color w:val="auto"/>
        </w:rPr>
      </w:pPr>
      <w:r>
        <w:rPr>
          <w:rFonts w:ascii="Arial" w:cs="Arial" w:eastAsia="Arial" w:hAnsi="Arial"/>
          <w:sz w:val="16"/>
          <w:szCs w:val="16"/>
          <w:b w:val="1"/>
          <w:bCs w:val="1"/>
          <w:i w:val="1"/>
          <w:iCs w:val="1"/>
          <w:color w:val="auto"/>
        </w:rPr>
        <w:t xml:space="preserve">Pierre Legault, MBA, CPA </w:t>
      </w:r>
      <w:r>
        <w:rPr>
          <w:rFonts w:ascii="Arial" w:cs="Arial" w:eastAsia="Arial" w:hAnsi="Arial"/>
          <w:sz w:val="16"/>
          <w:szCs w:val="16"/>
          <w:color w:val="auto"/>
        </w:rPr>
        <w:t>has served as our chairman and a member of our board of directors since March 2019. Mr. Legault has served on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Urovant Sciences Ltd. since July 2018 and has also served on the board of directors of Poxel SA since January 2016 and has been chairman of such board since March 2016. Since February 2018, Mr. Legault has served on the board of directors and as chairman of the board of Artios Pharma Limited. Mr. Legault has also served as a director of Clementia Pharmaceuticals Inc. since January 2018 and Syndax Pharmaceuticals Inc. since January 2017.</w:t>
      </w:r>
    </w:p>
    <w:p>
      <w:pPr>
        <w:ind w:right="60"/>
        <w:spacing w:after="0"/>
        <w:rPr>
          <w:sz w:val="20"/>
          <w:szCs w:val="20"/>
          <w:color w:val="auto"/>
        </w:rPr>
      </w:pPr>
      <w:r>
        <w:rPr>
          <w:rFonts w:ascii="Arial" w:cs="Arial" w:eastAsia="Arial" w:hAnsi="Arial"/>
          <w:sz w:val="16"/>
          <w:szCs w:val="16"/>
          <w:color w:val="auto"/>
        </w:rPr>
        <w:t>Mr. Legault has also previously served as a member of the boards of directors at Forest Laboratories, Inc., Tobira Therapeutics, Inc., NPS Pharmaceuticals, Inc., Regado Biosciences, Inc., ARMO Biosciences, Inc., Iroko Pharmaceuticals LLC, Cyclacel Pharmaceuticals Inc., Eckerd Pharmacy and NephroGenex, Inc., where he also served as the Chairman and Chief Executive Officer from 2012 to 2016. From 2010 to 2012, Mr. Legault served as the Chief Executive Officer of Prosidion Ltd., a subsidiary of Astellas Pharma Inc., and from 2009 to 2010, he served as the Chief Financial Officer and Treasurer of OSI Pharmaceuticals, Inc. Mr. Legault also previously served as the Chief Executive Officer of Eckerd Pharmacy and Senior Executive Vice President and Chief Accounting Officer of the Rite Aid Corporation. Between 1989 and 2005, Mr. Legault held various global roles such as President, Chief Executive Officer and Chief Financial Officer at legacy companies of the Sanofi-Aventis group. Mr. Legault earned a B.B.A. in Business &amp; International Finance from HEC Montreal, an MBA. in Marketing from McGill University and holds C.A. and C.P.A. diplomas. He also studied at Harvard Business School in their Graduate Executive MBA program.</w:t>
      </w:r>
    </w:p>
    <w:p>
      <w:pPr>
        <w:spacing w:after="0" w:line="191" w:lineRule="exact"/>
        <w:rPr>
          <w:sz w:val="20"/>
          <w:szCs w:val="20"/>
          <w:color w:val="auto"/>
        </w:rPr>
      </w:pPr>
    </w:p>
    <w:p>
      <w:pPr>
        <w:ind w:right="140" w:firstLine="442"/>
        <w:spacing w:after="0" w:line="249" w:lineRule="auto"/>
        <w:rPr>
          <w:sz w:val="20"/>
          <w:szCs w:val="20"/>
          <w:color w:val="auto"/>
        </w:rPr>
      </w:pPr>
      <w:r>
        <w:rPr>
          <w:rFonts w:ascii="Arial" w:cs="Arial" w:eastAsia="Arial" w:hAnsi="Arial"/>
          <w:sz w:val="16"/>
          <w:szCs w:val="16"/>
          <w:color w:val="auto"/>
        </w:rPr>
        <w:t>We believe that Mr. Legault's is qualified to serve on our board of directors based on his experience leading and managing a number of biopharmaceutical companies.</w:t>
      </w:r>
    </w:p>
    <w:p>
      <w:pPr>
        <w:spacing w:after="0" w:line="163" w:lineRule="exact"/>
        <w:rPr>
          <w:sz w:val="20"/>
          <w:szCs w:val="20"/>
          <w:color w:val="auto"/>
        </w:rPr>
      </w:pPr>
    </w:p>
    <w:p>
      <w:pPr>
        <w:ind w:firstLine="442"/>
        <w:spacing w:after="0" w:line="247" w:lineRule="auto"/>
        <w:rPr>
          <w:sz w:val="20"/>
          <w:szCs w:val="20"/>
          <w:color w:val="auto"/>
        </w:rPr>
      </w:pPr>
      <w:r>
        <w:rPr>
          <w:rFonts w:ascii="Arial" w:cs="Arial" w:eastAsia="Arial" w:hAnsi="Arial"/>
          <w:sz w:val="16"/>
          <w:szCs w:val="16"/>
          <w:b w:val="1"/>
          <w:bCs w:val="1"/>
          <w:i w:val="1"/>
          <w:iCs w:val="1"/>
          <w:color w:val="auto"/>
        </w:rPr>
        <w:t xml:space="preserve">Michael Anstey, DPhil </w:t>
      </w:r>
      <w:r>
        <w:rPr>
          <w:rFonts w:ascii="Arial" w:cs="Arial" w:eastAsia="Arial" w:hAnsi="Arial"/>
          <w:sz w:val="16"/>
          <w:szCs w:val="16"/>
          <w:color w:val="auto"/>
        </w:rPr>
        <w:t>has served as a member of our board of directors since June 2017. Dr. Anstey is an Investment Director at Cambridge Innovation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plc. Prior to this role, from January 2010 to January 2017, Dr. Anstey was a Principal in the Healthcare Practice Area of the Boston Consulting Group. Prior to Boston Consulting Group, Inc., from January 2008 to December 2009, Dr. Anstey was on the investment team at Oxford Capital Partners LLP. Dr. Anstey currently serves on the board of directors of Congenica Ltd. and Storm Therapeutics Ltd. Dr. Anstey graduated with a first class honors degree in biology from Queen's University, Canada and earned a DPhil in zoology in the field of neurobiology from Oxford University.</w:t>
      </w:r>
    </w:p>
    <w:p>
      <w:pPr>
        <w:spacing w:after="0" w:line="184"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We believe that Dr. Anstey is qualified to serve on our board of directors based on his knowledge of the healthcare sector and his experience as a seasoned investor.</w:t>
      </w:r>
    </w:p>
    <w:p>
      <w:pPr>
        <w:spacing w:after="0" w:line="163" w:lineRule="exact"/>
        <w:rPr>
          <w:sz w:val="20"/>
          <w:szCs w:val="20"/>
          <w:color w:val="auto"/>
        </w:rPr>
      </w:pPr>
    </w:p>
    <w:p>
      <w:pPr>
        <w:ind w:right="140" w:firstLine="442"/>
        <w:spacing w:after="0" w:line="247" w:lineRule="auto"/>
        <w:rPr>
          <w:sz w:val="20"/>
          <w:szCs w:val="20"/>
          <w:color w:val="auto"/>
        </w:rPr>
      </w:pPr>
      <w:r>
        <w:rPr>
          <w:rFonts w:ascii="Arial" w:cs="Arial" w:eastAsia="Arial" w:hAnsi="Arial"/>
          <w:sz w:val="16"/>
          <w:szCs w:val="16"/>
          <w:b w:val="1"/>
          <w:bCs w:val="1"/>
          <w:i w:val="1"/>
          <w:iCs w:val="1"/>
          <w:color w:val="auto"/>
        </w:rPr>
        <w:t xml:space="preserve">Kate Bingham, MBA </w:t>
      </w:r>
      <w:r>
        <w:rPr>
          <w:rFonts w:ascii="Arial" w:cs="Arial" w:eastAsia="Arial" w:hAnsi="Arial"/>
          <w:sz w:val="16"/>
          <w:szCs w:val="16"/>
          <w:color w:val="auto"/>
        </w:rPr>
        <w:t>has served as a member of our board of directors since October 2014. Ms. Bingham joined SV Health Investors LLP (then Schroder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Ventures), a venture capital fund, in 1991. Ms. Bingham currently serves on the boards of directors of Autifony Therapeutics Limited, Calchan Holdings Limited, Karus Therapeutics Limited, Ervaxx Limited, TRex Bio, Zarodex Therapeutics Limited, Pulmocide Limited and Sitryx Therapeutics Limited. She is Deputy Chairman of St. Paul's Girls' School, London, and sits on the Investment Committee of Oxford University Spin-out Equity Management (OSEM). Ms. Bingham holds a B.A. in biochemistry from Oxford University and graduated from Harvard Business School with an MBA.</w:t>
      </w:r>
    </w:p>
    <w:p>
      <w:pPr>
        <w:spacing w:after="0" w:line="184"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We believe that Ms. Bingham is qualified to serve on our board of directors based on her knowledge of the healthcare sector across international markets.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74" w:name="page175"/>
    <w:bookmarkEnd w:id="1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ind w:right="280" w:firstLine="442"/>
        <w:spacing w:after="0" w:line="247" w:lineRule="auto"/>
        <w:rPr>
          <w:sz w:val="20"/>
          <w:szCs w:val="20"/>
          <w:color w:val="auto"/>
        </w:rPr>
      </w:pPr>
      <w:r>
        <w:rPr>
          <w:rFonts w:ascii="Arial" w:cs="Arial" w:eastAsia="Arial" w:hAnsi="Arial"/>
          <w:sz w:val="16"/>
          <w:szCs w:val="16"/>
          <w:b w:val="1"/>
          <w:bCs w:val="1"/>
          <w:i w:val="1"/>
          <w:iCs w:val="1"/>
          <w:color w:val="auto"/>
        </w:rPr>
        <w:t xml:space="preserve">Deborah Harland, Ph.D., MBA </w:t>
      </w:r>
      <w:r>
        <w:rPr>
          <w:rFonts w:ascii="Arial" w:cs="Arial" w:eastAsia="Arial" w:hAnsi="Arial"/>
          <w:sz w:val="16"/>
          <w:szCs w:val="16"/>
          <w:color w:val="auto"/>
        </w:rPr>
        <w:t>has served as a member of our board of directors since December 2009. Since 2005, Dr. Harland has been a Partner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S.R. One, Limited, the corporate venture capital arm of GlaxoSmithKline plc. Dr. Harland is currently a member of the boards of directors of Asceneuron SA, F-star, MISSION Therapeutics Ltd., and VHsquared Ltd. and is an independent Director on the Board of Cancer Research Technology, the specialist commercialisation and development arm of Cancer Research UK, the world's largest cancer research charity. Dr. Harland holds a BSc. (with honors) in pharmacology from the University of Bath, a Ph.D. in pharmacology from the University of London and an MBA from Henley Management College.</w:t>
      </w:r>
    </w:p>
    <w:p>
      <w:pPr>
        <w:spacing w:after="0" w:line="184" w:lineRule="exact"/>
        <w:rPr>
          <w:sz w:val="20"/>
          <w:szCs w:val="20"/>
          <w:color w:val="auto"/>
        </w:rPr>
      </w:pPr>
    </w:p>
    <w:p>
      <w:pPr>
        <w:ind w:right="20" w:firstLine="442"/>
        <w:spacing w:after="0" w:line="249" w:lineRule="auto"/>
        <w:rPr>
          <w:sz w:val="20"/>
          <w:szCs w:val="20"/>
          <w:color w:val="auto"/>
        </w:rPr>
      </w:pPr>
      <w:r>
        <w:rPr>
          <w:rFonts w:ascii="Arial" w:cs="Arial" w:eastAsia="Arial" w:hAnsi="Arial"/>
          <w:sz w:val="16"/>
          <w:szCs w:val="16"/>
          <w:color w:val="auto"/>
        </w:rPr>
        <w:t>We believe that Dr. Harland is qualified to serve on our board of directors based on her knowledge of the healthcare sector across international markets, her extensive operational, drug development and licensing experience.</w:t>
      </w:r>
    </w:p>
    <w:p>
      <w:pPr>
        <w:spacing w:after="0" w:line="163" w:lineRule="exact"/>
        <w:rPr>
          <w:sz w:val="20"/>
          <w:szCs w:val="20"/>
          <w:color w:val="auto"/>
        </w:rPr>
      </w:pPr>
    </w:p>
    <w:p>
      <w:pPr>
        <w:ind w:right="20" w:firstLine="436"/>
        <w:spacing w:after="0" w:line="281" w:lineRule="auto"/>
        <w:rPr>
          <w:sz w:val="20"/>
          <w:szCs w:val="20"/>
          <w:color w:val="auto"/>
        </w:rPr>
      </w:pPr>
      <w:r>
        <w:rPr>
          <w:rFonts w:ascii="Arial" w:cs="Arial" w:eastAsia="Arial" w:hAnsi="Arial"/>
          <w:sz w:val="15"/>
          <w:szCs w:val="15"/>
          <w:b w:val="1"/>
          <w:bCs w:val="1"/>
          <w:i w:val="1"/>
          <w:iCs w:val="1"/>
          <w:color w:val="auto"/>
        </w:rPr>
        <w:t xml:space="preserve">Anja König, Ph.D. </w:t>
      </w:r>
      <w:r>
        <w:rPr>
          <w:rFonts w:ascii="Arial" w:cs="Arial" w:eastAsia="Arial" w:hAnsi="Arial"/>
          <w:sz w:val="15"/>
          <w:szCs w:val="15"/>
          <w:color w:val="auto"/>
        </w:rPr>
        <w:t>has served as a member of our board of directors since 2009. Dr. König is the global head of the Novartis Venture Fund in Basel,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Switzerland. Dr. König currently serves on the board of directors of Forendo Pharma, Ltd. Prior to joining Novartis in 2006, she was an Associate Partner at McKinsey &amp; Company, where she was a leader in McKinsey's North American Pharmaceutical Practice. Dr. König holds a Ph.D. in physics from Cornell University.</w:t>
      </w:r>
    </w:p>
    <w:p>
      <w:pPr>
        <w:spacing w:after="0" w:line="158" w:lineRule="exact"/>
        <w:rPr>
          <w:sz w:val="20"/>
          <w:szCs w:val="20"/>
          <w:color w:val="auto"/>
        </w:rPr>
      </w:pPr>
    </w:p>
    <w:p>
      <w:pPr>
        <w:ind w:right="80" w:firstLine="442"/>
        <w:spacing w:after="0" w:line="244" w:lineRule="auto"/>
        <w:rPr>
          <w:sz w:val="20"/>
          <w:szCs w:val="20"/>
          <w:color w:val="auto"/>
        </w:rPr>
      </w:pPr>
      <w:r>
        <w:rPr>
          <w:rFonts w:ascii="Arial" w:cs="Arial" w:eastAsia="Arial" w:hAnsi="Arial"/>
          <w:sz w:val="16"/>
          <w:szCs w:val="16"/>
          <w:color w:val="auto"/>
        </w:rPr>
        <w:t>We believe Dr. König's extensive knowledge of the healthcare sector qualifies her to serve on our board of directors. Dr. König has notified us that she will resign from our board of directors immediately prior to the effectiveness of the registration statement of which this prospectus forms a part. Dr. König's resignation is not due to any disagreement with the company or any matters relating to our operations, policies or practices.</w:t>
      </w:r>
    </w:p>
    <w:p>
      <w:pPr>
        <w:spacing w:after="0" w:line="167" w:lineRule="exact"/>
        <w:rPr>
          <w:sz w:val="20"/>
          <w:szCs w:val="20"/>
          <w:color w:val="auto"/>
        </w:rPr>
      </w:pPr>
    </w:p>
    <w:p>
      <w:pPr>
        <w:ind w:firstLine="442"/>
        <w:spacing w:after="0" w:line="265" w:lineRule="auto"/>
        <w:rPr>
          <w:sz w:val="20"/>
          <w:szCs w:val="20"/>
          <w:color w:val="auto"/>
        </w:rPr>
      </w:pPr>
      <w:r>
        <w:rPr>
          <w:rFonts w:ascii="Arial" w:cs="Arial" w:eastAsia="Arial" w:hAnsi="Arial"/>
          <w:sz w:val="15"/>
          <w:szCs w:val="15"/>
          <w:b w:val="1"/>
          <w:bCs w:val="1"/>
          <w:i w:val="1"/>
          <w:iCs w:val="1"/>
          <w:color w:val="auto"/>
        </w:rPr>
        <w:t xml:space="preserve">Eashwar Krishnan </w:t>
      </w:r>
      <w:r>
        <w:rPr>
          <w:rFonts w:ascii="Arial" w:cs="Arial" w:eastAsia="Arial" w:hAnsi="Arial"/>
          <w:sz w:val="15"/>
          <w:szCs w:val="15"/>
          <w:color w:val="auto"/>
        </w:rPr>
        <w:t>has served as a member of our board of directors since 2019. Mr. Krishnan is the Managing Partner of Tybourne Capital Management,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Hong Kong based global equity investment management firm founded in 2012. Prior to founding Tybourne, Mr Krishnan was a senior analyst at Lone Pine Capital for over 11 years. Mr Krishnan joined Lone Pine Capital in 2000 as a Managing Director with responsibility for the firm's global technology investments. Prior to joining Lone Pine Capital, Mr Krishnan spent two years as an analyst in the Principal Investment Area at Goldman Sachs in London (1998-2000) and worked as a summer research fellow at the Jet Propulsion Laboratory in Pasadena, California (1997). Mr Krishnan holds a first class degree in Physics from Trinity College, Cambridge University, U.K. and St. Stephen's College, Delhi University, India. Mr. Krishnan also serves on the Campaign Board of Cambridge University.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Mr. Krishnan is qualified to sit on our board of directors based on his extensive investment experience, including in the life sciences.</w:t>
      </w:r>
    </w:p>
    <w:p>
      <w:pPr>
        <w:spacing w:after="0" w:line="177" w:lineRule="exact"/>
        <w:rPr>
          <w:sz w:val="20"/>
          <w:szCs w:val="20"/>
          <w:color w:val="auto"/>
        </w:rPr>
      </w:pPr>
    </w:p>
    <w:p>
      <w:pPr>
        <w:ind w:right="140" w:firstLine="442"/>
        <w:spacing w:after="0" w:line="245" w:lineRule="auto"/>
        <w:rPr>
          <w:sz w:val="20"/>
          <w:szCs w:val="20"/>
          <w:color w:val="auto"/>
        </w:rPr>
      </w:pPr>
      <w:r>
        <w:rPr>
          <w:rFonts w:ascii="Arial" w:cs="Arial" w:eastAsia="Arial" w:hAnsi="Arial"/>
          <w:sz w:val="16"/>
          <w:szCs w:val="16"/>
          <w:b w:val="1"/>
          <w:bCs w:val="1"/>
          <w:i w:val="1"/>
          <w:iCs w:val="1"/>
          <w:color w:val="auto"/>
        </w:rPr>
        <w:t xml:space="preserve">Carolyn Ng, Ph.D. </w:t>
      </w:r>
      <w:r>
        <w:rPr>
          <w:rFonts w:ascii="Arial" w:cs="Arial" w:eastAsia="Arial" w:hAnsi="Arial"/>
          <w:sz w:val="16"/>
          <w:szCs w:val="16"/>
          <w:color w:val="auto"/>
        </w:rPr>
        <w:t>has served as a member of our board of directors since 2018. Dr. Ng is a principal of Vertex Ventures HC, a global venture capital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Ng currently serves on the Board of Obsidian Therapeutics, Inc. and Twentyeight-Seven Therapeutics, Inc. Prior to joining Vertex, from 2012 to 2014, Dr. Ng was a Pharma Strategy Consultant at Deallus Consulting, a specialized life sciences consulting firm. Dr. Ng started her career in the oncology pharmacy department of the National University Cancer Institute of Singapore, where she worked in 2006. Dr. Ng holds a Ph.D. in Cancer Molecular Biology from the National University of Singapore Graduate School for Integrative Sciences and Technology and a B.S. degree in pharmacy with first class honours from the National University of Singapore.</w:t>
      </w:r>
    </w:p>
    <w:p>
      <w:pPr>
        <w:spacing w:after="0" w:line="187" w:lineRule="exact"/>
        <w:rPr>
          <w:sz w:val="20"/>
          <w:szCs w:val="20"/>
          <w:color w:val="auto"/>
        </w:rPr>
      </w:pPr>
    </w:p>
    <w:p>
      <w:pPr>
        <w:ind w:right="400" w:firstLine="442"/>
        <w:spacing w:after="0" w:line="249" w:lineRule="auto"/>
        <w:rPr>
          <w:sz w:val="20"/>
          <w:szCs w:val="20"/>
          <w:color w:val="auto"/>
        </w:rPr>
      </w:pPr>
      <w:r>
        <w:rPr>
          <w:rFonts w:ascii="Arial" w:cs="Arial" w:eastAsia="Arial" w:hAnsi="Arial"/>
          <w:sz w:val="16"/>
          <w:szCs w:val="16"/>
          <w:color w:val="auto"/>
        </w:rPr>
        <w:t>We believe that Dr. Ng is qualified to serve on our board of directors based on her extensive experience in life sciences investing and knowledge of the healthcare sector.</w:t>
      </w:r>
    </w:p>
    <w:p>
      <w:pPr>
        <w:spacing w:after="0" w:line="163" w:lineRule="exact"/>
        <w:rPr>
          <w:sz w:val="20"/>
          <w:szCs w:val="20"/>
          <w:color w:val="auto"/>
        </w:rPr>
      </w:pPr>
    </w:p>
    <w:p>
      <w:pPr>
        <w:ind w:right="380" w:firstLine="442"/>
        <w:spacing w:after="0" w:line="272" w:lineRule="auto"/>
        <w:rPr>
          <w:sz w:val="20"/>
          <w:szCs w:val="20"/>
          <w:color w:val="auto"/>
        </w:rPr>
      </w:pPr>
      <w:r>
        <w:rPr>
          <w:rFonts w:ascii="Arial" w:cs="Arial" w:eastAsia="Arial" w:hAnsi="Arial"/>
          <w:sz w:val="16"/>
          <w:szCs w:val="16"/>
          <w:b w:val="1"/>
          <w:bCs w:val="1"/>
          <w:i w:val="1"/>
          <w:iCs w:val="1"/>
          <w:color w:val="auto"/>
        </w:rPr>
        <w:t xml:space="preserve">Jason Rhodes, MBA </w:t>
      </w:r>
      <w:r>
        <w:rPr>
          <w:rFonts w:ascii="Arial" w:cs="Arial" w:eastAsia="Arial" w:hAnsi="Arial"/>
          <w:sz w:val="16"/>
          <w:szCs w:val="16"/>
          <w:color w:val="auto"/>
        </w:rPr>
        <w:t>has served as a member of our board of directors since 2015. Mr. Rhodes is a partner at Atlas Venture LP, a venture capital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2014. He has been 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5" w:name="page176"/>
    <w:bookmarkEnd w:id="1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Founder and Chairman of Generation Bio, Co. since 2016 and a Founder, Chairman and currently acting Chief Executive Officer of Disarm Therapeutics, Inc. since 2016, both of which are biotechnology companies. He has been a member of the boards of directors of Replimune Group, Inc. (NASDAQ: REPL) since 2015, Gemini Therapeutics, Inc. since 2016 and Accent Therapeutics, Inc. since 2017. From 2010 to 2014, Mr. Rhodes was at Epizyme, Inc. (NASDAQ: EPZM), where he most recently served as President and Chief Financial Officer. He led business development at Alnylam (NASDAQ: ALNY) from 2007 to 2010. Mr. Rhodes obtained a B.A. from Yale University in 1991 and an M.B.A. from the Wharton School of the University of Pennsylvania in 1996.</w:t>
      </w:r>
    </w:p>
    <w:p>
      <w:pPr>
        <w:spacing w:after="0" w:line="189" w:lineRule="exact"/>
        <w:rPr>
          <w:sz w:val="20"/>
          <w:szCs w:val="20"/>
          <w:color w:val="auto"/>
        </w:rPr>
      </w:pPr>
    </w:p>
    <w:p>
      <w:pPr>
        <w:ind w:right="80" w:firstLine="442"/>
        <w:spacing w:after="0" w:line="242" w:lineRule="auto"/>
        <w:rPr>
          <w:sz w:val="20"/>
          <w:szCs w:val="20"/>
          <w:color w:val="auto"/>
        </w:rPr>
      </w:pPr>
      <w:r>
        <w:rPr>
          <w:rFonts w:ascii="Arial" w:cs="Arial" w:eastAsia="Arial" w:hAnsi="Arial"/>
          <w:sz w:val="16"/>
          <w:szCs w:val="16"/>
          <w:color w:val="auto"/>
        </w:rPr>
        <w:t>We believe that Mr. Rhodes is qualified to serve on our board of directors based on his experience as a life sciences investor, including serving on other boards of directors. Mr. Rhodes has notified us that he will resign from our board of directors immediately prior to the effectiveness of the registration statement of which this prospectus forms a part. Mr. Rhodes' resignation is not due to any disagreement with the company or any matters relating to our operations, policies or practices.</w:t>
      </w:r>
    </w:p>
    <w:p>
      <w:pPr>
        <w:spacing w:after="0" w:line="169" w:lineRule="exact"/>
        <w:rPr>
          <w:sz w:val="20"/>
          <w:szCs w:val="20"/>
          <w:color w:val="auto"/>
        </w:rPr>
      </w:pPr>
    </w:p>
    <w:p>
      <w:pPr>
        <w:ind w:firstLine="442"/>
        <w:spacing w:after="0" w:line="245" w:lineRule="auto"/>
        <w:rPr>
          <w:sz w:val="20"/>
          <w:szCs w:val="20"/>
          <w:color w:val="auto"/>
        </w:rPr>
      </w:pPr>
      <w:r>
        <w:rPr>
          <w:rFonts w:ascii="Arial" w:cs="Arial" w:eastAsia="Arial" w:hAnsi="Arial"/>
          <w:sz w:val="16"/>
          <w:szCs w:val="16"/>
          <w:b w:val="1"/>
          <w:bCs w:val="1"/>
          <w:i w:val="1"/>
          <w:iCs w:val="1"/>
          <w:color w:val="auto"/>
        </w:rPr>
        <w:t xml:space="preserve">Sir Greg Winter, FRS </w:t>
      </w:r>
      <w:r>
        <w:rPr>
          <w:rFonts w:ascii="Arial" w:cs="Arial" w:eastAsia="Arial" w:hAnsi="Arial"/>
          <w:sz w:val="16"/>
          <w:szCs w:val="16"/>
          <w:color w:val="auto"/>
        </w:rPr>
        <w:t>is our Co-Founder and has served on of our board of directors since our inception. Sir Greg was a member of staff of the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Council Laboratory of Molecular Biology (LMB) in Cambridge, U.K from 1981 to 2012, serving as both Deputy and Acting Director. He is currently Master of Trinity College, Cambridge. Sir Greg is a Fellow of the Royal Society and was knighted in 2004 for services to science. In 2018, Sir Greg was awarded a Nobel Prize in Chemistry for his work in developing phage display for the directed evolution of antibodies and peptides to produce new medicines. He has been the Acting Chairman of Biosceptre International Limited from 2016 to 2018. Sir Greg was a founder and non-Executive Director of Cambridge Antibody Technology and Domantis.</w:t>
      </w:r>
    </w:p>
    <w:p>
      <w:pPr>
        <w:spacing w:after="0" w:line="187" w:lineRule="exact"/>
        <w:rPr>
          <w:sz w:val="20"/>
          <w:szCs w:val="20"/>
          <w:color w:val="auto"/>
        </w:rPr>
      </w:pPr>
    </w:p>
    <w:p>
      <w:pPr>
        <w:ind w:right="180" w:firstLine="442"/>
        <w:spacing w:after="0" w:line="249" w:lineRule="auto"/>
        <w:rPr>
          <w:sz w:val="20"/>
          <w:szCs w:val="20"/>
          <w:color w:val="auto"/>
        </w:rPr>
      </w:pPr>
      <w:r>
        <w:rPr>
          <w:rFonts w:ascii="Arial" w:cs="Arial" w:eastAsia="Arial" w:hAnsi="Arial"/>
          <w:sz w:val="16"/>
          <w:szCs w:val="16"/>
          <w:color w:val="auto"/>
        </w:rPr>
        <w:t>We believe that Sir Greg is qualified to serve on our board of directors based on his extensive research experience, knowledge of antibody medicines and academic achievements, combined with his experience in the biotechnology industry.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Composition of Our Board of Directors</w:t>
      </w:r>
    </w:p>
    <w:p>
      <w:pPr>
        <w:spacing w:after="0" w:line="21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Our board of directors currently consists of ten members, all of whom were elected pursuant to the board composition provisions of in our articles of association and investment agreement, which is described under "Certain Relationships and Related Party Transactions—Agreements with Our Shareholders" in this prospectus. These board composition provisions will terminate upon the closing of this offering as the articles of association adopted by us immediately prior to closing of this offering will not include such provisions and the investment agreement relating to the group will terminate immediately prior to closing. Upon the termination of these provisions, there will be no further contractual obligations regarding the election of our directors. Our nominating and governance committee and board of directors may therefore consider a broad range of factors relating to the qualifications and background of nominees, which may include diversity and is not limited to race, gender or national origin. We have no formal policy regarding board diversity. Our nominating and governance committee's and board of directors' priority in selecting board members is identification of persons who will further the interests of our shareholders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resignation or removal.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6" w:name="page177"/>
    <w:bookmarkEnd w:id="1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both"/>
        <w:ind w:right="120" w:firstLine="433"/>
        <w:spacing w:after="0" w:line="268" w:lineRule="auto"/>
        <w:rPr>
          <w:sz w:val="20"/>
          <w:szCs w:val="20"/>
          <w:color w:val="auto"/>
        </w:rPr>
      </w:pPr>
      <w:r>
        <w:rPr>
          <w:rFonts w:ascii="Arial" w:cs="Arial" w:eastAsia="Arial" w:hAnsi="Arial"/>
          <w:sz w:val="15"/>
          <w:szCs w:val="15"/>
          <w:color w:val="auto"/>
        </w:rPr>
        <w:t>At every subsequent annual general meeting any director who either (i) has been appointed by the board of directors since the last annual general meeting or (ii) was not appointed or reappointed at one of the preceding two annual general meetings, must retire from office and may offer themselves for reappointment by the shareholders by ordinary resolution. See "Description of Share Capital and Articles of Association—Post-IPO Articles of Association—Board of Directors."</w:t>
      </w:r>
    </w:p>
    <w:p>
      <w:pPr>
        <w:spacing w:after="0" w:line="168"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Our board of directors has determined that all members of the board of directors, except Kevin Lee, Pierre Legault and Sir Greg Winter are independent, as determined in accordance with the rules of Nasdaq. In making such independence determination, our board of directors considered the relationships that each such non-employee director has with us and all other facts and circumstances that the board of directors deemed relevant in determining their independence. Upon the effectiveness of the registration statement of which this prospectus forms a part, we expect that the composition and functioning of our board of directors and each of our committees will comply with all applicable requirements of Nasdaq and the rules and regulations of the SEC.</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Staggered Board</w:t>
      </w:r>
    </w:p>
    <w:p>
      <w:pPr>
        <w:spacing w:after="0" w:line="215" w:lineRule="exact"/>
        <w:rPr>
          <w:sz w:val="20"/>
          <w:szCs w:val="20"/>
          <w:color w:val="auto"/>
        </w:rPr>
      </w:pPr>
    </w:p>
    <w:p>
      <w:pPr>
        <w:ind w:right="180" w:firstLine="442"/>
        <w:spacing w:after="0" w:line="242" w:lineRule="auto"/>
        <w:rPr>
          <w:sz w:val="20"/>
          <w:szCs w:val="20"/>
          <w:color w:val="auto"/>
        </w:rPr>
      </w:pPr>
      <w:r>
        <w:rPr>
          <w:rFonts w:ascii="Arial" w:cs="Arial" w:eastAsia="Arial" w:hAnsi="Arial"/>
          <w:sz w:val="16"/>
          <w:szCs w:val="16"/>
          <w:color w:val="auto"/>
        </w:rPr>
        <w:t>Our articles of association to be effective upon completion of this offering provide that our board of directors will be divided into three classes, Class I, Class II and Class III, each of which will consist, as nearly as possible, of one-third of the total number of directors constituting our entire board and which will serve staggered three-year terms. At each annual general meeting, the successors of directors whose terms then expire will be elected to serve from the time of election and qualification until the third annual meeting following election.</w:t>
      </w:r>
    </w:p>
    <w:p>
      <w:pPr>
        <w:spacing w:after="0" w:line="187" w:lineRule="exact"/>
        <w:rPr>
          <w:sz w:val="20"/>
          <w:szCs w:val="20"/>
          <w:color w:val="auto"/>
        </w:rPr>
      </w:pPr>
    </w:p>
    <w:p>
      <w:pPr>
        <w:ind w:left="980" w:hanging="493"/>
        <w:spacing w:after="0"/>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Our Class I directors will be Sir Greg Winter and Deborah Harland;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Our Class II directors will be Kate Bingham, Michael Anstey and Kevin Lee; and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Our Class III directors will be Carolyn Ng, Eashwar Krishnan and Pierre Legault.</w:t>
      </w:r>
    </w:p>
    <w:p>
      <w:pPr>
        <w:spacing w:after="0" w:line="195" w:lineRule="exact"/>
        <w:rPr>
          <w:sz w:val="20"/>
          <w:szCs w:val="20"/>
          <w:color w:val="auto"/>
        </w:rPr>
      </w:pPr>
    </w:p>
    <w:p>
      <w:pPr>
        <w:ind w:right="140" w:firstLine="442"/>
        <w:spacing w:after="0" w:line="244" w:lineRule="auto"/>
        <w:rPr>
          <w:sz w:val="20"/>
          <w:szCs w:val="20"/>
          <w:color w:val="auto"/>
        </w:rPr>
      </w:pPr>
      <w:r>
        <w:rPr>
          <w:rFonts w:ascii="Arial" w:cs="Arial" w:eastAsia="Arial" w:hAnsi="Arial"/>
          <w:sz w:val="16"/>
          <w:szCs w:val="16"/>
          <w:color w:val="auto"/>
        </w:rPr>
        <w:t>Our articles of association to be effective upon completion of this offering provide that the authorized number of directors may be changed only by ordinary resolution of the shareholders. Any additional directorships resulting from an increase in the number of directors will be distributed among the three classes so that, as nearly as possible, each class shall consist of one third of the board of directors.</w:t>
      </w:r>
    </w:p>
    <w:p>
      <w:pPr>
        <w:spacing w:after="0" w:line="185" w:lineRule="exact"/>
        <w:rPr>
          <w:sz w:val="20"/>
          <w:szCs w:val="20"/>
          <w:color w:val="auto"/>
        </w:rPr>
      </w:pPr>
    </w:p>
    <w:p>
      <w:pPr>
        <w:ind w:right="180" w:firstLine="439"/>
        <w:spacing w:after="0" w:line="249" w:lineRule="auto"/>
        <w:rPr>
          <w:sz w:val="20"/>
          <w:szCs w:val="20"/>
          <w:color w:val="auto"/>
        </w:rPr>
      </w:pPr>
      <w:r>
        <w:rPr>
          <w:rFonts w:ascii="Arial" w:cs="Arial" w:eastAsia="Arial" w:hAnsi="Arial"/>
          <w:sz w:val="16"/>
          <w:szCs w:val="16"/>
          <w:color w:val="auto"/>
        </w:rPr>
        <w:t>The division of our board of directors into three classes with staggered three-year terms may delay or prevent shareholder efforts to effect a change of our management or a change in control.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Board's Role in Risk Oversight</w:t>
      </w:r>
    </w:p>
    <w:p>
      <w:pPr>
        <w:spacing w:after="0" w:line="215" w:lineRule="exact"/>
        <w:rPr>
          <w:sz w:val="20"/>
          <w:szCs w:val="20"/>
          <w:color w:val="auto"/>
        </w:rPr>
      </w:pPr>
    </w:p>
    <w:p>
      <w:pPr>
        <w:jc w:val="both"/>
        <w:ind w:right="160" w:firstLine="442"/>
        <w:spacing w:after="0" w:line="264" w:lineRule="auto"/>
        <w:rPr>
          <w:sz w:val="20"/>
          <w:szCs w:val="20"/>
          <w:color w:val="auto"/>
        </w:rPr>
      </w:pPr>
      <w:r>
        <w:rPr>
          <w:rFonts w:ascii="Arial" w:cs="Arial" w:eastAsia="Arial" w:hAnsi="Arial"/>
          <w:sz w:val="15"/>
          <w:szCs w:val="15"/>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of our board committees also oversees the management of our risk that falls within the committee's areas of responsibility.</w:t>
      </w:r>
    </w:p>
    <w:p>
      <w:pPr>
        <w:spacing w:after="0" w:line="195"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In performing this function, each committee has full access to management, as well as the ability to engage advisors. Our Chief Financial Officer reports to the audit committee and is responsible for identifying, evaluating and implementing risk management controls and methodologies to address any identified risks. In connection with its risk management role,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7" w:name="page178"/>
    <w:bookmarkEnd w:id="1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audit committee meets privately with representatives from our independent registered public accounting firm and our Chief Financial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5" w:lineRule="exact"/>
        <w:rPr>
          <w:sz w:val="20"/>
          <w:szCs w:val="20"/>
          <w:color w:val="auto"/>
        </w:rPr>
      </w:pPr>
    </w:p>
    <w:p>
      <w:pPr>
        <w:ind w:right="360" w:firstLine="442"/>
        <w:spacing w:after="0" w:line="242"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each of which operates pursuant to a separate charter adopted by our board of directors. The composition and functioning of all of our committees will comply with all applicable requirements of the Sarbanes-Oxley Act of 2002, the Dodd-Frank Wall Street Reform and Consumer Protection Act, Nasdaq and SEC rules and regulations.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213" w:lineRule="exact"/>
        <w:rPr>
          <w:sz w:val="20"/>
          <w:szCs w:val="20"/>
          <w:color w:val="auto"/>
        </w:rPr>
      </w:pPr>
    </w:p>
    <w:p>
      <w:pPr>
        <w:ind w:right="60" w:firstLine="442"/>
        <w:spacing w:after="0" w:line="242" w:lineRule="auto"/>
        <w:rPr>
          <w:sz w:val="20"/>
          <w:szCs w:val="20"/>
          <w:color w:val="auto"/>
        </w:rPr>
      </w:pPr>
      <w:r>
        <w:rPr>
          <w:rFonts w:ascii="Arial" w:cs="Arial" w:eastAsia="Arial" w:hAnsi="Arial"/>
          <w:sz w:val="16"/>
          <w:szCs w:val="16"/>
          <w:color w:val="auto"/>
        </w:rPr>
        <w:t>Upon the effectiveness of the registration statement of which this prospectus forms a part, Michael Anstey, Kate Bingham and Carolyn Ng will serve on the audit committee, which will be chaired by Michael Anstey. Our board of directors has determined that each member of the audit committee is "independent" for audit committee purposes as that term is defined in the rules of the SEC and the applicable rules of Nasdaq. Our board of directors has designated Kate Bingham as an "audit committee financial expert," as defined under the applicable rules of the SEC. The audit committee's responsibilities include:</w:t>
      </w:r>
    </w:p>
    <w:p>
      <w:pPr>
        <w:spacing w:after="0" w:line="187" w:lineRule="exact"/>
        <w:rPr>
          <w:sz w:val="20"/>
          <w:szCs w:val="20"/>
          <w:color w:val="auto"/>
        </w:rPr>
      </w:pPr>
    </w:p>
    <w:p>
      <w:pPr>
        <w:ind w:left="980" w:hanging="493"/>
        <w:spacing w:after="0"/>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independent registered public accounting firm;</w:t>
      </w:r>
    </w:p>
    <w:p>
      <w:pPr>
        <w:spacing w:after="0" w:line="195" w:lineRule="exact"/>
        <w:rPr>
          <w:rFonts w:ascii="Arial" w:cs="Arial" w:eastAsia="Arial" w:hAnsi="Arial"/>
          <w:sz w:val="16"/>
          <w:szCs w:val="16"/>
          <w:color w:val="auto"/>
        </w:rPr>
      </w:pPr>
    </w:p>
    <w:p>
      <w:pPr>
        <w:ind w:left="980" w:right="700" w:hanging="493"/>
        <w:spacing w:after="0" w:line="249" w:lineRule="auto"/>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approving auditing and permissible non-audit services, and the terms of such services, to be provided by our independent registered public accounting firm;</w:t>
      </w:r>
    </w:p>
    <w:p>
      <w:pPr>
        <w:spacing w:after="0" w:line="168" w:lineRule="exact"/>
        <w:rPr>
          <w:rFonts w:ascii="Arial" w:cs="Arial" w:eastAsia="Arial" w:hAnsi="Arial"/>
          <w:sz w:val="16"/>
          <w:szCs w:val="16"/>
          <w:color w:val="auto"/>
        </w:rPr>
      </w:pPr>
    </w:p>
    <w:p>
      <w:pPr>
        <w:ind w:left="980" w:right="120" w:hanging="493"/>
        <w:spacing w:after="0" w:line="249" w:lineRule="auto"/>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the internal audit plan with the independent registered public accounting firm and members of management responsible for preparing our financial statements;</w:t>
      </w:r>
    </w:p>
    <w:p>
      <w:pPr>
        <w:spacing w:after="0" w:line="168" w:lineRule="exact"/>
        <w:rPr>
          <w:rFonts w:ascii="Arial" w:cs="Arial" w:eastAsia="Arial" w:hAnsi="Arial"/>
          <w:sz w:val="16"/>
          <w:szCs w:val="16"/>
          <w:color w:val="auto"/>
        </w:rPr>
      </w:pPr>
    </w:p>
    <w:p>
      <w:pPr>
        <w:ind w:left="980" w:right="20" w:hanging="493"/>
        <w:spacing w:after="0" w:line="249" w:lineRule="auto"/>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the adequacy of our internal control over financial reporting;</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establishing policies and procedures for the receipt and retention of accounting-related complaints and concerns;</w:t>
      </w:r>
    </w:p>
    <w:p>
      <w:pPr>
        <w:spacing w:after="0" w:line="182" w:lineRule="exact"/>
        <w:rPr>
          <w:rFonts w:ascii="Arial" w:cs="Arial" w:eastAsia="Arial" w:hAnsi="Arial"/>
          <w:sz w:val="16"/>
          <w:szCs w:val="16"/>
          <w:color w:val="auto"/>
        </w:rPr>
      </w:pPr>
    </w:p>
    <w:p>
      <w:pPr>
        <w:ind w:left="980" w:right="80" w:hanging="493"/>
        <w:spacing w:after="0" w:line="249" w:lineRule="auto"/>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180" w:lineRule="exact"/>
        <w:rPr>
          <w:rFonts w:ascii="Arial" w:cs="Arial" w:eastAsia="Arial" w:hAnsi="Arial"/>
          <w:sz w:val="16"/>
          <w:szCs w:val="16"/>
          <w:color w:val="auto"/>
        </w:rPr>
      </w:pPr>
    </w:p>
    <w:p>
      <w:pPr>
        <w:ind w:left="980" w:right="700" w:hanging="493"/>
        <w:spacing w:after="0" w:line="249" w:lineRule="auto"/>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monitoring the integrity of our financial statements and our compliance with legal and regulatory requirements as they relate to our financial statements and accounting matters;</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preparing the audit committee report required by the SEC rules to be included in our annual proxy statement;</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all related party transactions for potential conflict of interest situations and approving all such transactions; and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earnings releases.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8" w:name="page179"/>
    <w:bookmarkEnd w:id="1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13" w:lineRule="exact"/>
        <w:rPr>
          <w:sz w:val="20"/>
          <w:szCs w:val="20"/>
          <w:color w:val="auto"/>
        </w:rPr>
      </w:pPr>
    </w:p>
    <w:p>
      <w:pPr>
        <w:jc w:val="both"/>
        <w:ind w:firstLine="442"/>
        <w:spacing w:after="0" w:line="244" w:lineRule="auto"/>
        <w:rPr>
          <w:sz w:val="20"/>
          <w:szCs w:val="20"/>
          <w:color w:val="auto"/>
        </w:rPr>
      </w:pPr>
      <w:r>
        <w:rPr>
          <w:rFonts w:ascii="Arial" w:cs="Arial" w:eastAsia="Arial" w:hAnsi="Arial"/>
          <w:sz w:val="16"/>
          <w:szCs w:val="16"/>
          <w:color w:val="auto"/>
        </w:rPr>
        <w:t>Upon the effectiveness of the registration statement of which this prospectus forms a part, Deborah Harland and Carolyn Ng will serve on the compensation committee, which will be chaired by Deborah Harland. Our board of directors has determined that each member of the compensation committee is "independent" as that term is defined in the applicable rules of Nasdaq. The compensation committee's responsibilities include:</w:t>
      </w:r>
    </w:p>
    <w:p>
      <w:pPr>
        <w:spacing w:after="0" w:line="185" w:lineRule="exact"/>
        <w:rPr>
          <w:sz w:val="20"/>
          <w:szCs w:val="20"/>
          <w:color w:val="auto"/>
        </w:rPr>
      </w:pPr>
    </w:p>
    <w:p>
      <w:pPr>
        <w:ind w:left="980" w:right="220" w:hanging="493"/>
        <w:spacing w:after="0" w:line="249" w:lineRule="auto"/>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annually reviewing and approving corporate goals and objectives relevant to the compensation of our Chief Executive Officer and Chief Financial Officer;</w:t>
      </w:r>
    </w:p>
    <w:p>
      <w:pPr>
        <w:spacing w:after="0" w:line="180" w:lineRule="exact"/>
        <w:rPr>
          <w:rFonts w:ascii="Arial" w:cs="Arial" w:eastAsia="Arial" w:hAnsi="Arial"/>
          <w:sz w:val="16"/>
          <w:szCs w:val="16"/>
          <w:color w:val="auto"/>
        </w:rPr>
      </w:pPr>
    </w:p>
    <w:p>
      <w:pPr>
        <w:ind w:left="980" w:right="860" w:hanging="493"/>
        <w:spacing w:after="0" w:line="249" w:lineRule="auto"/>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evaluating the performance of our Chief Executive Officer and Chief Financial Officer in light of such corporate goals and objectives and recommending or determining the compensation of our Chief Executive Officer;</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recommending or determining the compensation of our other executive officers;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establishing our overall management compensation, philosophy and policy;</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overseeing and administering our compensation and similar plans;</w:t>
      </w:r>
    </w:p>
    <w:p>
      <w:pPr>
        <w:spacing w:after="0" w:line="182" w:lineRule="exact"/>
        <w:rPr>
          <w:rFonts w:ascii="Arial" w:cs="Arial" w:eastAsia="Arial" w:hAnsi="Arial"/>
          <w:sz w:val="16"/>
          <w:szCs w:val="16"/>
          <w:color w:val="auto"/>
        </w:rPr>
      </w:pPr>
    </w:p>
    <w:p>
      <w:pPr>
        <w:ind w:left="980" w:right="80" w:hanging="493"/>
        <w:spacing w:after="0" w:line="249" w:lineRule="auto"/>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evaluating and assessing potential current compensation advisors in accordance with the independence standards identified in the applicable rules of the Nasdaq Stock Market;</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retaining and approving the compensation of any compensation advisors;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approving our policies and procedures for the grant of equity-based awards;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of directors with respect to director compensation;</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preparing the compensation committee report required by the SEC rules to be included in our annual proxy statement;</w:t>
      </w:r>
    </w:p>
    <w:p>
      <w:pPr>
        <w:spacing w:after="0" w:line="195" w:lineRule="exact"/>
        <w:rPr>
          <w:rFonts w:ascii="Arial" w:cs="Arial" w:eastAsia="Arial" w:hAnsi="Arial"/>
          <w:sz w:val="16"/>
          <w:szCs w:val="16"/>
          <w:color w:val="auto"/>
        </w:rPr>
      </w:pPr>
    </w:p>
    <w:p>
      <w:pPr>
        <w:ind w:left="980" w:right="400" w:hanging="493"/>
        <w:spacing w:after="0" w:line="249" w:lineRule="auto"/>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to be included in our annual proxy statement or Annual Report on Form 10-K; and</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discussing with the board of directors corporate succession plans for the Chief Executive Officer and other key officers.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213" w:lineRule="exact"/>
        <w:rPr>
          <w:sz w:val="20"/>
          <w:szCs w:val="20"/>
          <w:color w:val="auto"/>
        </w:rPr>
      </w:pPr>
    </w:p>
    <w:p>
      <w:pPr>
        <w:ind w:right="360" w:firstLine="442"/>
        <w:spacing w:after="0" w:line="242" w:lineRule="auto"/>
        <w:rPr>
          <w:sz w:val="20"/>
          <w:szCs w:val="20"/>
          <w:color w:val="auto"/>
        </w:rPr>
      </w:pPr>
      <w:r>
        <w:rPr>
          <w:rFonts w:ascii="Arial" w:cs="Arial" w:eastAsia="Arial" w:hAnsi="Arial"/>
          <w:sz w:val="16"/>
          <w:szCs w:val="16"/>
          <w:color w:val="auto"/>
        </w:rPr>
        <w:t>Upon the effectiveness of the registration statement of which this prospectus forms a part, Michael Anstey and Deborah Harland will serve on the nominating and corporate governance committee, which will be chaired by Deborah Harland. Our board of directors has determined that each member of the nominating and corporate governance committee is "independent" as that term is defined in the applicable rules of Nasdaq. The nominating and corporate governance committee's responsibilities include:</w:t>
      </w:r>
    </w:p>
    <w:p>
      <w:pPr>
        <w:spacing w:after="0" w:line="187" w:lineRule="exact"/>
        <w:rPr>
          <w:sz w:val="20"/>
          <w:szCs w:val="20"/>
          <w:color w:val="auto"/>
        </w:rPr>
      </w:pPr>
    </w:p>
    <w:p>
      <w:pPr>
        <w:ind w:left="980" w:hanging="493"/>
        <w:spacing w:after="0"/>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criteria for board and committee membership;</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shareholders;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 of directors;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recommending to the board of directors the persons to be nominated for election as directors and to each of the board's committees;</w:t>
      </w:r>
    </w:p>
    <w:p>
      <w:pPr>
        <w:spacing w:after="0" w:line="195"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79" w:name="page180"/>
    <w:bookmarkEnd w:id="1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hanging="493"/>
        <w:spacing w:after="0"/>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a set of corporate governance guidelines; and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overseeing the evaluation of the board of directors and management.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board of directors may establish other committees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5" w:lineRule="exact"/>
        <w:rPr>
          <w:sz w:val="20"/>
          <w:szCs w:val="20"/>
          <w:color w:val="auto"/>
        </w:rPr>
      </w:pPr>
    </w:p>
    <w:p>
      <w:pPr>
        <w:ind w:right="200" w:firstLine="442"/>
        <w:spacing w:after="0" w:line="244" w:lineRule="auto"/>
        <w:rPr>
          <w:sz w:val="20"/>
          <w:szCs w:val="20"/>
          <w:color w:val="auto"/>
        </w:rPr>
      </w:pPr>
      <w:r>
        <w:rPr>
          <w:rFonts w:ascii="Arial" w:cs="Arial" w:eastAsia="Arial" w:hAnsi="Arial"/>
          <w:sz w:val="16"/>
          <w:szCs w:val="16"/>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w:t>
      </w:r>
    </w:p>
    <w:p>
      <w:pPr>
        <w:spacing w:after="0" w:line="215"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 xml:space="preserve">We intend to adopt, effective upon the effectiveness of the registration statement of which this prospectus forms a part, a written code of business conduct and ethics that applies to our directors, officers and employees, including our principal executive officer, principal financial officer, principal accounting officer or controller, or persons performing similar functions. Following the completion of this offering, a current copy of the code will be posted on the Corporate Governance section of our website, which is located at </w:t>
      </w:r>
      <w:r>
        <w:rPr>
          <w:rFonts w:ascii="Arial" w:cs="Arial" w:eastAsia="Arial" w:hAnsi="Arial"/>
          <w:sz w:val="16"/>
          <w:szCs w:val="16"/>
          <w:i w:val="1"/>
          <w:iCs w:val="1"/>
          <w:color w:val="auto"/>
        </w:rPr>
        <w:t>www.bicycletherapeutics.com</w:t>
      </w:r>
      <w:r>
        <w:rPr>
          <w:rFonts w:ascii="Arial" w:cs="Arial" w:eastAsia="Arial" w:hAnsi="Arial"/>
          <w:sz w:val="16"/>
          <w:szCs w:val="16"/>
          <w:color w:val="auto"/>
        </w:rPr>
        <w:t>. If we make any substantive amendments to, or grant any waivers from, the code of business conduct and ethics for any officer, we will disclose the nature of such amendment or waiver on our website or in a current report on Form 8-K.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0" w:name="page181"/>
    <w:bookmarkEnd w:id="18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EXECUTIVE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Overview</w:t>
      </w:r>
    </w:p>
    <w:p>
      <w:pPr>
        <w:spacing w:after="0" w:line="215"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Historically, our executive compensation program has reflected our growth and development-oriented corporate culture. To date, the compensation of the other executive officers identified in the summary compensation table below, who we refer to as the named executive officers, has consisted of a combination of base salary, bonuses and long-term incentive compensation in the form of share options or restricted shares. Our executive officers and all salaried employees are also eligible to receive health and welfare benefits.</w:t>
      </w:r>
    </w:p>
    <w:p>
      <w:pPr>
        <w:spacing w:after="0" w:line="187" w:lineRule="exact"/>
        <w:rPr>
          <w:sz w:val="20"/>
          <w:szCs w:val="20"/>
          <w:color w:val="auto"/>
        </w:rPr>
      </w:pPr>
    </w:p>
    <w:p>
      <w:pPr>
        <w:ind w:right="200" w:firstLine="433"/>
        <w:spacing w:after="0" w:line="241" w:lineRule="auto"/>
        <w:rPr>
          <w:sz w:val="20"/>
          <w:szCs w:val="20"/>
          <w:color w:val="auto"/>
        </w:rPr>
      </w:pPr>
      <w:r>
        <w:rPr>
          <w:rFonts w:ascii="Arial" w:cs="Arial" w:eastAsia="Arial" w:hAnsi="Arial"/>
          <w:sz w:val="16"/>
          <w:szCs w:val="16"/>
          <w:color w:val="auto"/>
        </w:rPr>
        <w:t>As we transition from a private company to a publicly-traded company, we will evaluate our compensation values and philosophy and compensation plans and arrangements as circumstances require. At a minimum, we expect to review executive compensation annually with input from a compensation consultant if and when determined appropriate by the compensation committee. As part of this review process, we expect the board of directors and the compensation committee to apply our values and philosophy, while considering the compensation levels needed to ensure our executive compensation program remains competitive. We will also review whether we are meeting our retention objectives and the potential cost of replacing a key employee.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 — 2018</w:t>
      </w:r>
    </w:p>
    <w:p>
      <w:pPr>
        <w:spacing w:after="0" w:line="215" w:lineRule="exact"/>
        <w:rPr>
          <w:sz w:val="20"/>
          <w:szCs w:val="20"/>
          <w:color w:val="auto"/>
        </w:rPr>
      </w:pPr>
    </w:p>
    <w:p>
      <w:pPr>
        <w:ind w:right="80" w:firstLine="439"/>
        <w:spacing w:after="0" w:line="268" w:lineRule="auto"/>
        <w:rPr>
          <w:sz w:val="20"/>
          <w:szCs w:val="20"/>
          <w:color w:val="auto"/>
        </w:rPr>
      </w:pPr>
      <w:r>
        <w:rPr>
          <w:rFonts w:ascii="Arial" w:cs="Arial" w:eastAsia="Arial" w:hAnsi="Arial"/>
          <w:sz w:val="15"/>
          <w:szCs w:val="15"/>
          <w:color w:val="auto"/>
        </w:rPr>
        <w:t>The following table presents information regarding the total compensation awarded to, earned by, and paid to our principal executive officer and the two most highly-compensated executive officers (other than the principal executive officer) who were serving as our executive officers at the end of the last completed fiscal year for services rendered in all capacities to us. We refer to these individuals as our named executive officers. Our named executive officers for 2018 are:</w:t>
      </w:r>
    </w:p>
    <w:p>
      <w:pPr>
        <w:spacing w:after="0" w:line="168" w:lineRule="exact"/>
        <w:rPr>
          <w:sz w:val="20"/>
          <w:szCs w:val="20"/>
          <w:color w:val="auto"/>
        </w:rPr>
      </w:pPr>
    </w:p>
    <w:p>
      <w:pPr>
        <w:ind w:left="980" w:hanging="493"/>
        <w:spacing w:after="0"/>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Kevin Lee, our Chief Executive Officer;</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Lee Kalowski, our Chief Financial Officer and President; and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Maria Koehler, our Chief Medical Officer.</w:t>
      </w:r>
    </w:p>
    <w:p>
      <w:pPr>
        <w:spacing w:after="0" w:line="195" w:lineRule="exact"/>
        <w:rPr>
          <w:sz w:val="20"/>
          <w:szCs w:val="20"/>
          <w:color w:val="auto"/>
        </w:rPr>
      </w:pPr>
    </w:p>
    <w:p>
      <w:pPr>
        <w:ind w:right="160" w:firstLine="439"/>
        <w:spacing w:after="0" w:line="249" w:lineRule="auto"/>
        <w:rPr>
          <w:sz w:val="20"/>
          <w:szCs w:val="20"/>
          <w:color w:val="auto"/>
        </w:rPr>
      </w:pPr>
      <w:r>
        <w:rPr>
          <w:rFonts w:ascii="Arial" w:cs="Arial" w:eastAsia="Arial" w:hAnsi="Arial"/>
          <w:sz w:val="16"/>
          <w:szCs w:val="16"/>
          <w:color w:val="auto"/>
        </w:rPr>
        <w:t>The following table provides information regarding the total compensation, for services rendered in all capacities, that was earned by our named executive officers during the year ended December 31, 2018.</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color w:val="auto"/>
              </w:rPr>
              <w:t>Non-Equity</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7"/>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20"/>
              <w:spacing w:after="0" w:line="147" w:lineRule="exact"/>
              <w:rPr>
                <w:sz w:val="20"/>
                <w:szCs w:val="20"/>
                <w:color w:val="auto"/>
              </w:rPr>
            </w:pPr>
            <w:r>
              <w:rPr>
                <w:rFonts w:ascii="Arial" w:cs="Arial" w:eastAsia="Arial" w:hAnsi="Arial"/>
                <w:sz w:val="13"/>
                <w:szCs w:val="13"/>
                <w:color w:val="auto"/>
              </w:rPr>
              <w:t>Incentive Plan</w:t>
            </w:r>
          </w:p>
        </w:tc>
        <w:tc>
          <w:tcPr>
            <w:tcW w:w="1120" w:type="dxa"/>
            <w:vAlign w:val="bottom"/>
            <w:gridSpan w:val="2"/>
          </w:tcPr>
          <w:p>
            <w:pPr>
              <w:jc w:val="center"/>
              <w:ind w:right="100"/>
              <w:spacing w:after="0" w:line="147" w:lineRule="exact"/>
              <w:rPr>
                <w:sz w:val="20"/>
                <w:szCs w:val="20"/>
                <w:color w:val="auto"/>
              </w:rPr>
            </w:pPr>
            <w:r>
              <w:rPr>
                <w:rFonts w:ascii="Arial" w:cs="Arial" w:eastAsia="Arial" w:hAnsi="Arial"/>
                <w:sz w:val="13"/>
                <w:szCs w:val="13"/>
                <w:color w:val="auto"/>
                <w:w w:val="98"/>
              </w:rPr>
              <w:t>All Other</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7"/>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20"/>
              <w:spacing w:after="0" w:line="147" w:lineRule="exact"/>
              <w:rPr>
                <w:sz w:val="20"/>
                <w:szCs w:val="20"/>
                <w:color w:val="auto"/>
              </w:rPr>
            </w:pPr>
            <w:r>
              <w:rPr>
                <w:rFonts w:ascii="Arial" w:cs="Arial" w:eastAsia="Arial" w:hAnsi="Arial"/>
                <w:sz w:val="13"/>
                <w:szCs w:val="13"/>
                <w:color w:val="auto"/>
                <w:w w:val="97"/>
              </w:rPr>
              <w:t>Salary</w:t>
            </w:r>
          </w:p>
        </w:tc>
        <w:tc>
          <w:tcPr>
            <w:tcW w:w="740" w:type="dxa"/>
            <w:vAlign w:val="bottom"/>
            <w:gridSpan w:val="2"/>
          </w:tcPr>
          <w:p>
            <w:pPr>
              <w:jc w:val="center"/>
              <w:ind w:right="100"/>
              <w:spacing w:after="0" w:line="147" w:lineRule="exact"/>
              <w:rPr>
                <w:sz w:val="20"/>
                <w:szCs w:val="20"/>
                <w:color w:val="auto"/>
              </w:rPr>
            </w:pPr>
            <w:r>
              <w:rPr>
                <w:rFonts w:ascii="Arial" w:cs="Arial" w:eastAsia="Arial" w:hAnsi="Arial"/>
                <w:sz w:val="13"/>
                <w:szCs w:val="13"/>
                <w:color w:val="auto"/>
                <w:w w:val="97"/>
              </w:rPr>
              <w:t>Bonus</w:t>
            </w:r>
          </w:p>
        </w:tc>
        <w:tc>
          <w:tcPr>
            <w:tcW w:w="1140" w:type="dxa"/>
            <w:vAlign w:val="bottom"/>
            <w:gridSpan w:val="2"/>
          </w:tcPr>
          <w:p>
            <w:pPr>
              <w:jc w:val="center"/>
              <w:ind w:right="100"/>
              <w:spacing w:after="0" w:line="147" w:lineRule="exact"/>
              <w:rPr>
                <w:sz w:val="20"/>
                <w:szCs w:val="20"/>
                <w:color w:val="auto"/>
              </w:rPr>
            </w:pPr>
            <w:r>
              <w:rPr>
                <w:rFonts w:ascii="Arial" w:cs="Arial" w:eastAsia="Arial" w:hAnsi="Arial"/>
                <w:sz w:val="13"/>
                <w:szCs w:val="13"/>
                <w:color w:val="auto"/>
              </w:rPr>
              <w:t>Compensation</w:t>
            </w:r>
          </w:p>
        </w:tc>
        <w:tc>
          <w:tcPr>
            <w:tcW w:w="1120" w:type="dxa"/>
            <w:vAlign w:val="bottom"/>
            <w:gridSpan w:val="2"/>
          </w:tcPr>
          <w:p>
            <w:pPr>
              <w:jc w:val="center"/>
              <w:ind w:right="80"/>
              <w:spacing w:after="0" w:line="147" w:lineRule="exact"/>
              <w:rPr>
                <w:sz w:val="20"/>
                <w:szCs w:val="20"/>
                <w:color w:val="auto"/>
              </w:rPr>
            </w:pPr>
            <w:r>
              <w:rPr>
                <w:rFonts w:ascii="Arial" w:cs="Arial" w:eastAsia="Arial" w:hAnsi="Arial"/>
                <w:sz w:val="13"/>
                <w:szCs w:val="13"/>
                <w:color w:val="auto"/>
              </w:rPr>
              <w:t>Compensation</w:t>
            </w:r>
          </w:p>
        </w:tc>
        <w:tc>
          <w:tcPr>
            <w:tcW w:w="800" w:type="dxa"/>
            <w:vAlign w:val="bottom"/>
            <w:gridSpan w:val="2"/>
          </w:tcPr>
          <w:p>
            <w:pPr>
              <w:ind w:left="220"/>
              <w:spacing w:after="0" w:line="147" w:lineRule="exact"/>
              <w:rPr>
                <w:sz w:val="20"/>
                <w:szCs w:val="20"/>
                <w:color w:val="auto"/>
              </w:rPr>
            </w:pPr>
            <w:r>
              <w:rPr>
                <w:rFonts w:ascii="Arial" w:cs="Arial" w:eastAsia="Arial" w:hAnsi="Arial"/>
                <w:sz w:val="13"/>
                <w:szCs w:val="13"/>
                <w:color w:val="auto"/>
              </w:rPr>
              <w:t>Total</w:t>
            </w:r>
          </w:p>
        </w:tc>
      </w:tr>
      <w:tr>
        <w:trPr>
          <w:trHeight w:val="147"/>
        </w:trPr>
        <w:tc>
          <w:tcPr>
            <w:tcW w:w="4000" w:type="dxa"/>
            <w:vAlign w:val="bottom"/>
            <w:tcBorders>
              <w:bottom w:val="single" w:sz="8" w:color="auto"/>
            </w:tcBorders>
          </w:tcPr>
          <w:p>
            <w:pPr>
              <w:spacing w:after="0" w:line="143" w:lineRule="exact"/>
              <w:rPr>
                <w:sz w:val="20"/>
                <w:szCs w:val="20"/>
                <w:color w:val="auto"/>
              </w:rPr>
            </w:pPr>
            <w:r>
              <w:rPr>
                <w:rFonts w:ascii="Arial" w:cs="Arial" w:eastAsia="Arial" w:hAnsi="Arial"/>
                <w:sz w:val="13"/>
                <w:szCs w:val="13"/>
                <w:color w:val="auto"/>
              </w:rPr>
              <w:t>Name and Principal Position</w:t>
            </w:r>
          </w:p>
        </w:tc>
        <w:tc>
          <w:tcPr>
            <w:tcW w:w="160" w:type="dxa"/>
            <w:vAlign w:val="bottom"/>
          </w:tcPr>
          <w:p>
            <w:pPr>
              <w:spacing w:after="0"/>
              <w:rPr>
                <w:sz w:val="12"/>
                <w:szCs w:val="12"/>
                <w:color w:val="auto"/>
              </w:rPr>
            </w:pPr>
          </w:p>
        </w:tc>
        <w:tc>
          <w:tcPr>
            <w:tcW w:w="38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3"/>
                <w:szCs w:val="13"/>
                <w:color w:val="auto"/>
              </w:rPr>
              <w:t>Year</w:t>
            </w:r>
          </w:p>
        </w:tc>
        <w:tc>
          <w:tcPr>
            <w:tcW w:w="160" w:type="dxa"/>
            <w:vAlign w:val="bottom"/>
          </w:tcPr>
          <w:p>
            <w:pPr>
              <w:spacing w:after="0"/>
              <w:rPr>
                <w:sz w:val="12"/>
                <w:szCs w:val="12"/>
                <w:color w:val="auto"/>
              </w:rPr>
            </w:pPr>
          </w:p>
        </w:tc>
        <w:tc>
          <w:tcPr>
            <w:tcW w:w="560" w:type="dxa"/>
            <w:vAlign w:val="bottom"/>
            <w:tcBorders>
              <w:bottom w:val="single" w:sz="8" w:color="auto"/>
            </w:tcBorders>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60" w:type="dxa"/>
            <w:vAlign w:val="bottom"/>
            <w:tcBorders>
              <w:bottom w:val="single" w:sz="8" w:color="auto"/>
            </w:tcBorders>
          </w:tcPr>
          <w:p>
            <w:pPr>
              <w:jc w:val="right"/>
              <w:ind w:right="98"/>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60" w:type="dxa"/>
            <w:vAlign w:val="bottom"/>
            <w:tcBorders>
              <w:bottom w:val="single" w:sz="8" w:color="auto"/>
            </w:tcBorders>
          </w:tcPr>
          <w:p>
            <w:pPr>
              <w:jc w:val="center"/>
              <w:ind w:left="18"/>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Borders>
              <w:bottom w:val="single" w:sz="8" w:color="auto"/>
            </w:tcBorders>
          </w:tcPr>
          <w:p>
            <w:pPr>
              <w:jc w:val="right"/>
              <w:ind w:right="135"/>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r>
      <w:tr>
        <w:trPr>
          <w:trHeight w:val="147"/>
        </w:trPr>
        <w:tc>
          <w:tcPr>
            <w:tcW w:w="4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Kevin Lee, Ph.D., MBA</w:t>
            </w:r>
          </w:p>
        </w:tc>
        <w:tc>
          <w:tcPr>
            <w:tcW w:w="700" w:type="dxa"/>
            <w:vAlign w:val="bottom"/>
            <w:gridSpan w:val="3"/>
            <w:shd w:val="clear" w:color="auto" w:fill="CCEEFF"/>
          </w:tcPr>
          <w:p>
            <w:pPr>
              <w:ind w:left="240"/>
              <w:spacing w:after="0" w:line="147" w:lineRule="exact"/>
              <w:rPr>
                <w:sz w:val="20"/>
                <w:szCs w:val="20"/>
                <w:color w:val="auto"/>
              </w:rPr>
            </w:pPr>
            <w:r>
              <w:rPr>
                <w:rFonts w:ascii="Arial" w:cs="Arial" w:eastAsia="Arial" w:hAnsi="Arial"/>
                <w:sz w:val="12"/>
                <w:szCs w:val="12"/>
                <w:color w:val="auto"/>
              </w:rPr>
              <w:t>2018</w:t>
            </w:r>
            <w:r>
              <w:rPr>
                <w:rFonts w:ascii="Arial" w:cs="Arial" w:eastAsia="Arial" w:hAnsi="Arial"/>
                <w:sz w:val="17"/>
                <w:szCs w:val="17"/>
                <w:color w:val="auto"/>
                <w:vertAlign w:val="superscript"/>
              </w:rPr>
              <w:t>(1)</w:t>
            </w:r>
          </w:p>
        </w:tc>
        <w:tc>
          <w:tcPr>
            <w:tcW w:w="72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2"/>
                <w:szCs w:val="12"/>
                <w:color w:val="auto"/>
              </w:rPr>
              <w:t>385,549</w:t>
            </w:r>
            <w:r>
              <w:rPr>
                <w:rFonts w:ascii="Arial" w:cs="Arial" w:eastAsia="Arial" w:hAnsi="Arial"/>
                <w:sz w:val="17"/>
                <w:szCs w:val="17"/>
                <w:color w:val="auto"/>
                <w:vertAlign w:val="superscript"/>
              </w:rPr>
              <w:t>(2)</w:t>
            </w:r>
          </w:p>
        </w:tc>
        <w:tc>
          <w:tcPr>
            <w:tcW w:w="74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2"/>
                <w:szCs w:val="12"/>
                <w:color w:val="auto"/>
              </w:rPr>
              <w:t>127,630</w:t>
            </w:r>
            <w:r>
              <w:rPr>
                <w:rFonts w:ascii="Arial" w:cs="Arial" w:eastAsia="Arial" w:hAnsi="Arial"/>
                <w:sz w:val="17"/>
                <w:szCs w:val="17"/>
                <w:color w:val="auto"/>
                <w:vertAlign w:val="superscript"/>
              </w:rPr>
              <w:t>(3)</w:t>
            </w:r>
          </w:p>
        </w:tc>
        <w:tc>
          <w:tcPr>
            <w:tcW w:w="114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2"/>
                <w:szCs w:val="12"/>
                <w:color w:val="auto"/>
              </w:rPr>
              <w:t>267,904</w:t>
            </w:r>
            <w:r>
              <w:rPr>
                <w:rFonts w:ascii="Arial" w:cs="Arial" w:eastAsia="Arial" w:hAnsi="Arial"/>
                <w:sz w:val="17"/>
                <w:szCs w:val="17"/>
                <w:color w:val="auto"/>
                <w:vertAlign w:val="superscript"/>
              </w:rPr>
              <w:t>(4)</w:t>
            </w:r>
          </w:p>
        </w:tc>
        <w:tc>
          <w:tcPr>
            <w:tcW w:w="11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2"/>
                <w:szCs w:val="12"/>
                <w:color w:val="auto"/>
              </w:rPr>
              <w:t>36,811</w:t>
            </w:r>
            <w:r>
              <w:rPr>
                <w:rFonts w:ascii="Arial" w:cs="Arial" w:eastAsia="Arial" w:hAnsi="Arial"/>
                <w:sz w:val="17"/>
                <w:szCs w:val="17"/>
                <w:color w:val="auto"/>
                <w:vertAlign w:val="superscript"/>
              </w:rPr>
              <w:t>(5)</w:t>
            </w: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817,894</w:t>
            </w:r>
          </w:p>
        </w:tc>
        <w:tc>
          <w:tcPr>
            <w:tcW w:w="160" w:type="dxa"/>
            <w:vAlign w:val="bottom"/>
            <w:shd w:val="clear" w:color="auto" w:fill="CCEEFF"/>
          </w:tcPr>
          <w:p>
            <w:pPr>
              <w:spacing w:after="0"/>
              <w:rPr>
                <w:sz w:val="12"/>
                <w:szCs w:val="12"/>
                <w:color w:val="auto"/>
              </w:rPr>
            </w:pPr>
          </w:p>
        </w:tc>
      </w:tr>
      <w:tr>
        <w:trPr>
          <w:trHeight w:val="147"/>
        </w:trPr>
        <w:tc>
          <w:tcPr>
            <w:tcW w:w="4000" w:type="dxa"/>
            <w:vAlign w:val="bottom"/>
            <w:shd w:val="clear" w:color="auto" w:fill="CCEEFF"/>
          </w:tcPr>
          <w:p>
            <w:pPr>
              <w:ind w:left="140"/>
              <w:spacing w:after="0" w:line="147" w:lineRule="exact"/>
              <w:rPr>
                <w:sz w:val="20"/>
                <w:szCs w:val="20"/>
                <w:color w:val="auto"/>
              </w:rPr>
            </w:pPr>
            <w:r>
              <w:rPr>
                <w:rFonts w:ascii="Arial" w:cs="Arial" w:eastAsia="Arial" w:hAnsi="Arial"/>
                <w:sz w:val="13"/>
                <w:szCs w:val="13"/>
                <w:i w:val="1"/>
                <w:iCs w:val="1"/>
                <w:color w:val="auto"/>
              </w:rPr>
              <w:t>Chief Executive Officer</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7"/>
        </w:trPr>
        <w:tc>
          <w:tcPr>
            <w:tcW w:w="4000" w:type="dxa"/>
            <w:vAlign w:val="bottom"/>
          </w:tcPr>
          <w:p>
            <w:pPr>
              <w:spacing w:after="0" w:line="138" w:lineRule="exact"/>
              <w:rPr>
                <w:sz w:val="20"/>
                <w:szCs w:val="20"/>
                <w:color w:val="auto"/>
              </w:rPr>
            </w:pPr>
            <w:r>
              <w:rPr>
                <w:rFonts w:ascii="Arial" w:cs="Arial" w:eastAsia="Arial" w:hAnsi="Arial"/>
                <w:sz w:val="13"/>
                <w:szCs w:val="13"/>
                <w:color w:val="auto"/>
              </w:rPr>
              <w:t>Lee Kalowski, MBA</w:t>
            </w:r>
          </w:p>
        </w:tc>
        <w:tc>
          <w:tcPr>
            <w:tcW w:w="540" w:type="dxa"/>
            <w:vAlign w:val="bottom"/>
            <w:gridSpan w:val="2"/>
          </w:tcPr>
          <w:p>
            <w:pPr>
              <w:ind w:left="240"/>
              <w:spacing w:after="0" w:line="138" w:lineRule="exact"/>
              <w:rPr>
                <w:sz w:val="20"/>
                <w:szCs w:val="20"/>
                <w:color w:val="auto"/>
              </w:rPr>
            </w:pPr>
            <w:r>
              <w:rPr>
                <w:rFonts w:ascii="Arial" w:cs="Arial" w:eastAsia="Arial" w:hAnsi="Arial"/>
                <w:sz w:val="13"/>
                <w:szCs w:val="13"/>
                <w:color w:val="auto"/>
                <w:w w:val="96"/>
              </w:rPr>
              <w:t>2018</w:t>
            </w:r>
          </w:p>
        </w:tc>
        <w:tc>
          <w:tcPr>
            <w:tcW w:w="160" w:type="dxa"/>
            <w:vAlign w:val="bottom"/>
          </w:tcPr>
          <w:p>
            <w:pPr>
              <w:spacing w:after="0"/>
              <w:rPr>
                <w:sz w:val="11"/>
                <w:szCs w:val="11"/>
                <w:color w:val="auto"/>
              </w:rPr>
            </w:pPr>
          </w:p>
        </w:tc>
        <w:tc>
          <w:tcPr>
            <w:tcW w:w="720" w:type="dxa"/>
            <w:vAlign w:val="bottom"/>
            <w:gridSpan w:val="2"/>
          </w:tcPr>
          <w:p>
            <w:pPr>
              <w:jc w:val="right"/>
              <w:ind w:right="60"/>
              <w:spacing w:after="0" w:line="137" w:lineRule="exact"/>
              <w:rPr>
                <w:sz w:val="20"/>
                <w:szCs w:val="20"/>
                <w:color w:val="auto"/>
              </w:rPr>
            </w:pPr>
            <w:r>
              <w:rPr>
                <w:rFonts w:ascii="Arial" w:cs="Arial" w:eastAsia="Arial" w:hAnsi="Arial"/>
                <w:sz w:val="11"/>
                <w:szCs w:val="11"/>
                <w:color w:val="auto"/>
              </w:rPr>
              <w:t>349,520</w:t>
            </w:r>
            <w:r>
              <w:rPr>
                <w:rFonts w:ascii="Arial" w:cs="Arial" w:eastAsia="Arial" w:hAnsi="Arial"/>
                <w:sz w:val="15"/>
                <w:szCs w:val="15"/>
                <w:color w:val="auto"/>
                <w:vertAlign w:val="superscript"/>
              </w:rPr>
              <w:t>(6)</w:t>
            </w:r>
          </w:p>
        </w:tc>
        <w:tc>
          <w:tcPr>
            <w:tcW w:w="740" w:type="dxa"/>
            <w:vAlign w:val="bottom"/>
            <w:gridSpan w:val="2"/>
          </w:tcPr>
          <w:p>
            <w:pPr>
              <w:jc w:val="right"/>
              <w:ind w:right="60"/>
              <w:spacing w:after="0" w:line="137" w:lineRule="exact"/>
              <w:rPr>
                <w:sz w:val="20"/>
                <w:szCs w:val="20"/>
                <w:color w:val="auto"/>
              </w:rPr>
            </w:pPr>
            <w:r>
              <w:rPr>
                <w:rFonts w:ascii="Arial" w:cs="Arial" w:eastAsia="Arial" w:hAnsi="Arial"/>
                <w:sz w:val="11"/>
                <w:szCs w:val="11"/>
                <w:color w:val="auto"/>
              </w:rPr>
              <w:t>60,000</w:t>
            </w:r>
            <w:r>
              <w:rPr>
                <w:rFonts w:ascii="Arial" w:cs="Arial" w:eastAsia="Arial" w:hAnsi="Arial"/>
                <w:sz w:val="15"/>
                <w:szCs w:val="15"/>
                <w:color w:val="auto"/>
                <w:vertAlign w:val="superscript"/>
              </w:rPr>
              <w:t>(7)</w:t>
            </w:r>
          </w:p>
        </w:tc>
        <w:tc>
          <w:tcPr>
            <w:tcW w:w="1140" w:type="dxa"/>
            <w:vAlign w:val="bottom"/>
            <w:gridSpan w:val="2"/>
          </w:tcPr>
          <w:p>
            <w:pPr>
              <w:jc w:val="right"/>
              <w:ind w:right="60"/>
              <w:spacing w:after="0" w:line="137" w:lineRule="exact"/>
              <w:rPr>
                <w:sz w:val="20"/>
                <w:szCs w:val="20"/>
                <w:color w:val="auto"/>
              </w:rPr>
            </w:pPr>
            <w:r>
              <w:rPr>
                <w:rFonts w:ascii="Arial" w:cs="Arial" w:eastAsia="Arial" w:hAnsi="Arial"/>
                <w:sz w:val="11"/>
                <w:szCs w:val="11"/>
                <w:color w:val="auto"/>
              </w:rPr>
              <w:t>110,536</w:t>
            </w:r>
            <w:r>
              <w:rPr>
                <w:rFonts w:ascii="Arial" w:cs="Arial" w:eastAsia="Arial" w:hAnsi="Arial"/>
                <w:sz w:val="15"/>
                <w:szCs w:val="15"/>
                <w:color w:val="auto"/>
                <w:vertAlign w:val="superscript"/>
              </w:rPr>
              <w:t>(4)</w:t>
            </w:r>
          </w:p>
        </w:tc>
        <w:tc>
          <w:tcPr>
            <w:tcW w:w="112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520,056</w:t>
            </w:r>
          </w:p>
        </w:tc>
        <w:tc>
          <w:tcPr>
            <w:tcW w:w="160" w:type="dxa"/>
            <w:vAlign w:val="bottom"/>
          </w:tcPr>
          <w:p>
            <w:pPr>
              <w:spacing w:after="0"/>
              <w:rPr>
                <w:sz w:val="11"/>
                <w:szCs w:val="11"/>
                <w:color w:val="auto"/>
              </w:rPr>
            </w:pPr>
          </w:p>
        </w:tc>
      </w:tr>
      <w:tr>
        <w:trPr>
          <w:trHeight w:val="156"/>
        </w:trPr>
        <w:tc>
          <w:tcPr>
            <w:tcW w:w="4000" w:type="dxa"/>
            <w:vAlign w:val="bottom"/>
          </w:tcPr>
          <w:p>
            <w:pPr>
              <w:ind w:left="140"/>
              <w:spacing w:after="0"/>
              <w:rPr>
                <w:sz w:val="20"/>
                <w:szCs w:val="20"/>
                <w:color w:val="auto"/>
              </w:rPr>
            </w:pPr>
            <w:r>
              <w:rPr>
                <w:rFonts w:ascii="Arial" w:cs="Arial" w:eastAsia="Arial" w:hAnsi="Arial"/>
                <w:sz w:val="13"/>
                <w:szCs w:val="13"/>
                <w:i w:val="1"/>
                <w:iCs w:val="1"/>
                <w:color w:val="auto"/>
              </w:rPr>
              <w:t>Chief Financial Officer and President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7"/>
        </w:trPr>
        <w:tc>
          <w:tcPr>
            <w:tcW w:w="40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Maria Koehler, M.D., Ph.D.</w:t>
            </w:r>
          </w:p>
        </w:tc>
        <w:tc>
          <w:tcPr>
            <w:tcW w:w="54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3"/>
                <w:szCs w:val="13"/>
                <w:color w:val="auto"/>
                <w:w w:val="96"/>
              </w:rPr>
              <w:t>2018</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2"/>
                <w:szCs w:val="12"/>
                <w:color w:val="auto"/>
              </w:rPr>
              <w:t>385,500</w:t>
            </w:r>
            <w:r>
              <w:rPr>
                <w:rFonts w:ascii="Arial" w:cs="Arial" w:eastAsia="Arial" w:hAnsi="Arial"/>
                <w:sz w:val="17"/>
                <w:szCs w:val="17"/>
                <w:color w:val="auto"/>
                <w:vertAlign w:val="superscript"/>
              </w:rPr>
              <w:t>(8)</w:t>
            </w:r>
          </w:p>
        </w:tc>
        <w:tc>
          <w:tcPr>
            <w:tcW w:w="7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2"/>
                <w:szCs w:val="12"/>
                <w:color w:val="auto"/>
              </w:rPr>
              <w:t>127,215</w:t>
            </w:r>
            <w:r>
              <w:rPr>
                <w:rFonts w:ascii="Arial" w:cs="Arial" w:eastAsia="Arial" w:hAnsi="Arial"/>
                <w:sz w:val="17"/>
                <w:szCs w:val="17"/>
                <w:color w:val="auto"/>
                <w:vertAlign w:val="superscript"/>
              </w:rPr>
              <w:t>(4)</w:t>
            </w:r>
          </w:p>
        </w:tc>
        <w:tc>
          <w:tcPr>
            <w:tcW w:w="11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512,715</w:t>
            </w:r>
          </w:p>
        </w:tc>
        <w:tc>
          <w:tcPr>
            <w:tcW w:w="1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-92710</wp:posOffset>
            </wp:positionV>
            <wp:extent cx="5846445" cy="1860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46445" cy="18605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3"/>
          <w:szCs w:val="13"/>
          <w:i w:val="1"/>
          <w:iCs w:val="1"/>
          <w:color w:val="auto"/>
        </w:rPr>
        <w:t>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60325</wp:posOffset>
            </wp:positionV>
            <wp:extent cx="45783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57835" cy="7620"/>
                    </a:xfrm>
                    <a:prstGeom prst="rect">
                      <a:avLst/>
                    </a:prstGeom>
                    <a:noFill/>
                  </pic:spPr>
                </pic:pic>
              </a:graphicData>
            </a:graphic>
          </wp:anchor>
        </w:drawing>
      </w:r>
    </w:p>
    <w:p>
      <w:pPr>
        <w:spacing w:after="0" w:line="287" w:lineRule="exact"/>
        <w:rPr>
          <w:sz w:val="20"/>
          <w:szCs w:val="20"/>
          <w:color w:val="auto"/>
        </w:rPr>
      </w:pPr>
    </w:p>
    <w:p>
      <w:pPr>
        <w:ind w:left="1640" w:right="40" w:hanging="499"/>
        <w:spacing w:after="0" w:line="218" w:lineRule="auto"/>
        <w:tabs>
          <w:tab w:leader="none" w:pos="1640" w:val="left"/>
        </w:tabs>
        <w:numPr>
          <w:ilvl w:val="0"/>
          <w:numId w:val="87"/>
        </w:numPr>
        <w:rPr>
          <w:rFonts w:ascii="Arial" w:cs="Arial" w:eastAsia="Arial" w:hAnsi="Arial"/>
          <w:sz w:val="20"/>
          <w:szCs w:val="20"/>
          <w:color w:val="auto"/>
          <w:vertAlign w:val="superscript"/>
        </w:rPr>
      </w:pPr>
      <w:r>
        <w:rPr>
          <w:rFonts w:ascii="Arial" w:cs="Arial" w:eastAsia="Arial" w:hAnsi="Arial"/>
          <w:sz w:val="13"/>
          <w:szCs w:val="13"/>
          <w:color w:val="auto"/>
        </w:rPr>
        <w:t>The amounts reported for Dr. Lee have been converted from GBP to USD using an exchange rate of $1.2763 to £1.00 as of December 31, 2018. In December 2018, Dr. Lee surrendered his vested share options in exchange for ordinary shares at a subscription price of £0.01 per ordinary share and surrendered his unvested share options in exchange for a new option grant on the same terms and vesting schedule as the unvested surrendered options. There was no value attributed to either action based on Financial Accounting Standards Board ("FASB") Accounting Standards Codification ("ASC") Topic 718 and accordingly, there is no amount reported in this table in connection with such award. The assumptions used in calculating the grant date fair value of the shares are set forth in the Notes to our Consolidated Financial Statements included elsewhere in this prospectus.</w:t>
      </w:r>
    </w:p>
    <w:p>
      <w:pPr>
        <w:spacing w:after="0" w:line="65"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87"/>
        </w:numPr>
        <w:rPr>
          <w:rFonts w:ascii="Arial" w:cs="Arial" w:eastAsia="Arial" w:hAnsi="Arial"/>
          <w:sz w:val="20"/>
          <w:szCs w:val="20"/>
          <w:color w:val="auto"/>
          <w:vertAlign w:val="superscript"/>
        </w:rPr>
      </w:pPr>
      <w:r>
        <w:rPr>
          <w:rFonts w:ascii="Arial" w:cs="Arial" w:eastAsia="Arial" w:hAnsi="Arial"/>
          <w:sz w:val="13"/>
          <w:szCs w:val="13"/>
          <w:color w:val="auto"/>
        </w:rPr>
        <w:t>In 2018, Dr. Lee's base salary was $375,000 and increased in August 2018 to $429,597.</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1" w:name="page182"/>
    <w:bookmarkEnd w:id="1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2" w:lineRule="exact"/>
        <w:rPr>
          <w:sz w:val="20"/>
          <w:szCs w:val="20"/>
          <w:color w:val="auto"/>
        </w:rPr>
      </w:pPr>
    </w:p>
    <w:p>
      <w:pPr>
        <w:ind w:left="1640" w:hanging="499"/>
        <w:spacing w:after="0"/>
        <w:tabs>
          <w:tab w:leader="none" w:pos="1640" w:val="left"/>
        </w:tabs>
        <w:numPr>
          <w:ilvl w:val="0"/>
          <w:numId w:val="88"/>
        </w:numPr>
        <w:rPr>
          <w:rFonts w:ascii="Arial" w:cs="Arial" w:eastAsia="Arial" w:hAnsi="Arial"/>
          <w:sz w:val="20"/>
          <w:szCs w:val="20"/>
          <w:color w:val="auto"/>
          <w:vertAlign w:val="superscript"/>
        </w:rPr>
      </w:pPr>
      <w:r>
        <w:rPr>
          <w:rFonts w:ascii="Arial" w:cs="Arial" w:eastAsia="Arial" w:hAnsi="Arial"/>
          <w:sz w:val="13"/>
          <w:szCs w:val="13"/>
          <w:color w:val="auto"/>
        </w:rPr>
        <w:t>The amount reported reflects a retention bonus paid to Dr. Lee in 2018 that is repayable in full to us if Dr. Lee gives notice prior to August 1, 2020.</w:t>
      </w:r>
    </w:p>
    <w:p>
      <w:pPr>
        <w:spacing w:after="0" w:line="137" w:lineRule="exact"/>
        <w:rPr>
          <w:rFonts w:ascii="Arial" w:cs="Arial" w:eastAsia="Arial" w:hAnsi="Arial"/>
          <w:sz w:val="20"/>
          <w:szCs w:val="20"/>
          <w:color w:val="auto"/>
          <w:vertAlign w:val="superscript"/>
        </w:rPr>
      </w:pPr>
    </w:p>
    <w:p>
      <w:pPr>
        <w:ind w:left="1640" w:right="180" w:hanging="499"/>
        <w:spacing w:after="0" w:line="203" w:lineRule="auto"/>
        <w:tabs>
          <w:tab w:leader="none" w:pos="1640" w:val="left"/>
        </w:tabs>
        <w:numPr>
          <w:ilvl w:val="0"/>
          <w:numId w:val="88"/>
        </w:numPr>
        <w:rPr>
          <w:rFonts w:ascii="Arial" w:cs="Arial" w:eastAsia="Arial" w:hAnsi="Arial"/>
          <w:sz w:val="20"/>
          <w:szCs w:val="20"/>
          <w:color w:val="auto"/>
          <w:vertAlign w:val="superscript"/>
        </w:rPr>
      </w:pPr>
      <w:r>
        <w:rPr>
          <w:rFonts w:ascii="Arial" w:cs="Arial" w:eastAsia="Arial" w:hAnsi="Arial"/>
          <w:sz w:val="13"/>
          <w:szCs w:val="13"/>
          <w:color w:val="auto"/>
        </w:rPr>
        <w:t>The amount reported represents the named executive officer's respective 2018 target bonus that was paid in February 2019, based on achievement of personal and Company goals. With respect to Dr. Lee, the amount also includes a stock grant awarded to Dr. Lee in lieu of cash with a grant date fair value of $24,042 in connection with entering into the Bioverativ collaboration arrangement.</w:t>
      </w:r>
    </w:p>
    <w:p>
      <w:pPr>
        <w:spacing w:after="0" w:line="65"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88"/>
        </w:numPr>
        <w:rPr>
          <w:rFonts w:ascii="Arial" w:cs="Arial" w:eastAsia="Arial" w:hAnsi="Arial"/>
          <w:sz w:val="20"/>
          <w:szCs w:val="20"/>
          <w:color w:val="auto"/>
          <w:vertAlign w:val="superscript"/>
        </w:rPr>
      </w:pPr>
      <w:r>
        <w:rPr>
          <w:rFonts w:ascii="Arial" w:cs="Arial" w:eastAsia="Arial" w:hAnsi="Arial"/>
          <w:sz w:val="13"/>
          <w:szCs w:val="13"/>
          <w:color w:val="auto"/>
        </w:rPr>
        <w:t>The amounts reported represent relocation reimbursements and $34,937 provided to Dr. Lee for pension benefits.</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88"/>
        </w:numPr>
        <w:rPr>
          <w:rFonts w:ascii="Arial" w:cs="Arial" w:eastAsia="Arial" w:hAnsi="Arial"/>
          <w:sz w:val="20"/>
          <w:szCs w:val="20"/>
          <w:color w:val="auto"/>
          <w:vertAlign w:val="superscript"/>
        </w:rPr>
      </w:pPr>
      <w:r>
        <w:rPr>
          <w:rFonts w:ascii="Arial" w:cs="Arial" w:eastAsia="Arial" w:hAnsi="Arial"/>
          <w:sz w:val="13"/>
          <w:szCs w:val="13"/>
          <w:color w:val="auto"/>
        </w:rPr>
        <w:t>At the beginning of 2018, Mr. Kalowski's base salary was $340,000 and increased in mid-January 2018 to $349,520.</w:t>
      </w:r>
    </w:p>
    <w:p>
      <w:pPr>
        <w:spacing w:after="0" w:line="137" w:lineRule="exact"/>
        <w:rPr>
          <w:rFonts w:ascii="Arial" w:cs="Arial" w:eastAsia="Arial" w:hAnsi="Arial"/>
          <w:sz w:val="20"/>
          <w:szCs w:val="20"/>
          <w:color w:val="auto"/>
          <w:vertAlign w:val="superscript"/>
        </w:rPr>
      </w:pPr>
    </w:p>
    <w:p>
      <w:pPr>
        <w:ind w:left="1640" w:right="100" w:hanging="499"/>
        <w:spacing w:after="0" w:line="191" w:lineRule="auto"/>
        <w:tabs>
          <w:tab w:leader="none" w:pos="1640" w:val="left"/>
        </w:tabs>
        <w:numPr>
          <w:ilvl w:val="0"/>
          <w:numId w:val="88"/>
        </w:numPr>
        <w:rPr>
          <w:rFonts w:ascii="Arial" w:cs="Arial" w:eastAsia="Arial" w:hAnsi="Arial"/>
          <w:sz w:val="20"/>
          <w:szCs w:val="20"/>
          <w:color w:val="auto"/>
          <w:vertAlign w:val="superscript"/>
        </w:rPr>
      </w:pPr>
      <w:r>
        <w:rPr>
          <w:rFonts w:ascii="Arial" w:cs="Arial" w:eastAsia="Arial" w:hAnsi="Arial"/>
          <w:sz w:val="13"/>
          <w:szCs w:val="13"/>
          <w:color w:val="auto"/>
        </w:rPr>
        <w:t>The amount reported represents a relocation bonus in the amount of $30,000 provided to Mr. Kalowski in 2018 and a discretionary cash bonus in the amount of $30,000 earned by Mr. Kalowski in 2018.</w:t>
      </w:r>
    </w:p>
    <w:p>
      <w:pPr>
        <w:spacing w:after="0" w:line="64"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88"/>
        </w:numPr>
        <w:rPr>
          <w:rFonts w:ascii="Arial" w:cs="Arial" w:eastAsia="Arial" w:hAnsi="Arial"/>
          <w:sz w:val="20"/>
          <w:szCs w:val="20"/>
          <w:color w:val="auto"/>
          <w:vertAlign w:val="superscript"/>
        </w:rPr>
      </w:pPr>
      <w:r>
        <w:rPr>
          <w:rFonts w:ascii="Arial" w:cs="Arial" w:eastAsia="Arial" w:hAnsi="Arial"/>
          <w:sz w:val="13"/>
          <w:szCs w:val="13"/>
          <w:color w:val="auto"/>
        </w:rPr>
        <w:t>At the beginning of 2018, Dr. Koehler's base salary was $375,000 and increased in mid-January 2018 to $385,500.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 with Our Named Executive Officers</w:t>
      </w:r>
    </w:p>
    <w:p>
      <w:pPr>
        <w:spacing w:after="0" w:line="197"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b w:val="1"/>
          <w:bCs w:val="1"/>
          <w:i w:val="1"/>
          <w:iCs w:val="1"/>
          <w:color w:val="auto"/>
        </w:rPr>
        <w:t xml:space="preserve">Kevin Lee, Ph.D. MBA. </w:t>
      </w:r>
      <w:r>
        <w:rPr>
          <w:rFonts w:ascii="Arial" w:cs="Arial" w:eastAsia="Arial" w:hAnsi="Arial"/>
          <w:sz w:val="16"/>
          <w:szCs w:val="16"/>
          <w:color w:val="auto"/>
        </w:rPr>
        <w:t>On August 1, 2018, we entered into an employment agreement with Dr. Lee for the position of Chief Executive Officer. Dr. Lee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receives a base salary of $429,597, which is subject to review and adjustment in accordance with our policy. Dr. Lee was granted a retention bonus of $127,630, which must be repaid if Dr. Lee notifies us that he has terminated his employment with us any time prior to August 1, 2020. Dr. Lee is eligible for an annual merit bonus of up to fifty percent (50%) of his salary, which may be paid in cash, in whole or in part, or options to purchase our shares, based on the achievement of certain performance goals, including corporate objectives, strategic initiatives and regulatory and clinical milestones, as determined by our remuneration committee. Dr. Lee is eligible for a shareholder value realization, or SVR, bonus, in which Dr. Lee, at the discretion of the remuneration committee, is eligible for a cash bonus in the event of a "Sale Event" (as defined in his employment agreement) on or before the fourth anniversary of his employment agreement. In the event of a "Sale Event" with proceeds of $587.39 million or less, Dr. Lee is entitled to a SVR bonus of 0.5% of the "Sales Event Proceeds" (as defined in his Employment Agreement). In the event of a "Sale Event" with proceeds between $583 million and $1.305 billion, Dr. Lee is entitled to a SVR bonus of 0.75% of the "Sales Event Proceeds". In the event of a "Sale Event" with proceeds of $1.305 billion or more, Dr. Lee is entitled to a SVR bonus of 1.0% of the "Sales Event Proceeds". Dr. Lee is eligible to participate in our employee benefit plans generally available to our executive employees, subject to the terms of those plans. Dr. Lee's employment has no specified term, but can be terminated at will by either party. Dr. Lee may be terminated, immediately and without notice, pursuant to the conditions specified in his employment agreement, in which event he would then be entitled to certain accrued obligations. We may also terminate Dr. Lee by providing twelve weeks advance written notice, in which event he would then be entitled to certain accrued obligations. Dr. Lee may terminate his employment with twelve weeks written notice and would then be entitled to certain accrued obligations.</w:t>
      </w:r>
    </w:p>
    <w:p>
      <w:pPr>
        <w:spacing w:after="0" w:line="175" w:lineRule="exact"/>
        <w:rPr>
          <w:sz w:val="20"/>
          <w:szCs w:val="20"/>
          <w:color w:val="auto"/>
        </w:rPr>
      </w:pPr>
    </w:p>
    <w:p>
      <w:pPr>
        <w:ind w:right="80" w:firstLine="442"/>
        <w:spacing w:after="0" w:line="244" w:lineRule="auto"/>
        <w:rPr>
          <w:sz w:val="20"/>
          <w:szCs w:val="20"/>
          <w:color w:val="auto"/>
        </w:rPr>
      </w:pPr>
      <w:r>
        <w:rPr>
          <w:rFonts w:ascii="Arial" w:cs="Arial" w:eastAsia="Arial" w:hAnsi="Arial"/>
          <w:sz w:val="16"/>
          <w:szCs w:val="16"/>
          <w:b w:val="1"/>
          <w:bCs w:val="1"/>
          <w:i w:val="1"/>
          <w:iCs w:val="1"/>
          <w:color w:val="auto"/>
        </w:rPr>
        <w:t xml:space="preserve">Lee Kalowski, MBA. </w:t>
      </w:r>
      <w:r>
        <w:rPr>
          <w:rFonts w:ascii="Arial" w:cs="Arial" w:eastAsia="Arial" w:hAnsi="Arial"/>
          <w:sz w:val="16"/>
          <w:szCs w:val="16"/>
          <w:color w:val="auto"/>
        </w:rPr>
        <w:t>Under an employment agreement that became effective on July 24, 2017, Mr. Kalowski serves as our Chief Financial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Mr. Kalowski currently receives a salary of $349,520 which is subject to review and adjustment in accordance with our policy. Mr. Kalowski is eligible to receive an annual discretionary cash bonus of up to 25% of his base salary, based on the achievement of certain performance goals, including corporate objectives, strategic initiatives and regulatory and clinical milestones, established our board of directors. Mr. Kalowski was also granted an option to purchase 97,813 ordinary shares, of which eighty percent (80%) vest over four (4) years, and twenty percent (20%) of which vest on the earlier of: (i) four years from the date of the option grant or (ii) the date on which our board of directors determines that we have received income of $22.19 million in respect of our collaborations with AstraZeneca, Oxurion and any future collaboration partners. Mr. Kalowski is eligible to participate in our employee benefit plans generally available to our executive employees, subject to the terms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82" w:name="page183"/>
    <w:bookmarkEnd w:id="18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those plans. Mr. Kalowski's employment has no specified term, but can be terminated at will by either party. Mr. Kalowski can be terminated with cause, at any time, pursuant to us providing him with written notice, in which event he would be entitled to certain accrued obligations. Mr. Kalowski can also be terminated without cause, and if so, he would receive his base salary and other benefits including health insurance payments for three months after his termination date along with other accrued obligations. The termination benefits would be contingent upon Mr. Kalowski signing a general release of claims upon his termination. Mr. Kalowski may terminate his employment with 60 days written notice to us and would then be entitled to certain accrued obligations.</w:t>
      </w:r>
    </w:p>
    <w:p>
      <w:pPr>
        <w:spacing w:after="0" w:line="171"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b w:val="1"/>
          <w:bCs w:val="1"/>
          <w:i w:val="1"/>
          <w:iCs w:val="1"/>
          <w:color w:val="auto"/>
        </w:rPr>
        <w:t xml:space="preserve">Maria Koehler, M.D., Ph.D. </w:t>
      </w:r>
      <w:r>
        <w:rPr>
          <w:rFonts w:ascii="Arial" w:cs="Arial" w:eastAsia="Arial" w:hAnsi="Arial"/>
          <w:sz w:val="16"/>
          <w:szCs w:val="16"/>
          <w:color w:val="auto"/>
        </w:rPr>
        <w:t>Under an employment agreement that became effective on September 18, 2017, Dr. Koehler became our Chief Medical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Koehler currently receives a salary of $385,500, which is subject to review and positive adjustment in accordance with our policy. Dr. Koehler was granted a sign-on award of $60,000, which must be repaid if Dr. Koehler leaves our company within 24 months of the effective date of her employment. Dr. Koehler is eligible to receive an annual discretionary cash bonus of up to 30% of her base salary, based on the achievement of certain performance goals, including corporate objectives, strategic initiatives and regulatory and clinical milestones, established by our board of directors. Dr. Koehler was also granted an option to purchase 75,241 ordinary shares, of which eighty percent (80%) vest over four years, and twenty percent (20%) of which vest on the earlier of: (i) four years from the date of the option grant or (ii) the date on which our board of directors determines that we have received income of $22.2 million in respect of our collaborations with AstraZeneca, Oxurion and collaboration partners. Dr. Koehler is eligible to participate in our employee benefit plans generally available to our executive employees, subject to the terms of those plans. Dr. Koehler's employment has no specified term, but may be terminated at will by us or Dr. Koehler. Dr. Koehler can be terminated with cause, at any time, pursuant to us providing her written notice, in which case she would be entitled to certain accrued obligations.</w:t>
      </w:r>
    </w:p>
    <w:p>
      <w:pPr>
        <w:spacing w:after="0" w:line="5"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Dr. Koehler can also be terminated without cause, and if so, she would receive her base salary and other benefits including health insurance payments for three months after her termination date along with other accrued obligations. The termination benefits would be contingent upon Dr. Koehler signing a general release of claims upon her termination. Dr. Koehler may terminate her employment with 60 days written notice and would then be entitled to certain accrued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 — 2018</w:t>
      </w:r>
    </w:p>
    <w:p>
      <w:pPr>
        <w:spacing w:after="0" w:line="215" w:lineRule="exact"/>
        <w:rPr>
          <w:sz w:val="20"/>
          <w:szCs w:val="20"/>
          <w:color w:val="auto"/>
        </w:rPr>
      </w:pPr>
    </w:p>
    <w:p>
      <w:pPr>
        <w:ind w:right="240" w:firstLine="439"/>
        <w:spacing w:after="0" w:line="249" w:lineRule="auto"/>
        <w:rPr>
          <w:sz w:val="20"/>
          <w:szCs w:val="20"/>
          <w:color w:val="auto"/>
        </w:rPr>
      </w:pPr>
      <w:r>
        <w:rPr>
          <w:rFonts w:ascii="Arial" w:cs="Arial" w:eastAsia="Arial" w:hAnsi="Arial"/>
          <w:sz w:val="16"/>
          <w:szCs w:val="16"/>
          <w:color w:val="auto"/>
        </w:rPr>
        <w:t>The following table summarizes, for each of our named executive officers, the number of ordinary shares underlying outstanding share options and share awards held as of December 31, 2018.</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7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9"/>
                <w:szCs w:val="19"/>
                <w:b w:val="1"/>
                <w:bCs w:val="1"/>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14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rPr>
              <w:t>Securities</w:t>
            </w:r>
          </w:p>
        </w:tc>
        <w:tc>
          <w:tcPr>
            <w:tcW w:w="140" w:type="dxa"/>
            <w:vAlign w:val="bottom"/>
          </w:tcPr>
          <w:p>
            <w:pPr>
              <w:spacing w:after="0"/>
              <w:rPr>
                <w:sz w:val="12"/>
                <w:szCs w:val="12"/>
                <w:color w:val="auto"/>
              </w:rPr>
            </w:pPr>
          </w:p>
        </w:tc>
        <w:tc>
          <w:tcPr>
            <w:tcW w:w="198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rPr>
              <w:t>Securities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rPr>
              <w:t>Underlying</w:t>
            </w:r>
          </w:p>
        </w:tc>
        <w:tc>
          <w:tcPr>
            <w:tcW w:w="140" w:type="dxa"/>
            <w:vAlign w:val="bottom"/>
          </w:tcPr>
          <w:p>
            <w:pPr>
              <w:spacing w:after="0"/>
              <w:rPr>
                <w:sz w:val="12"/>
                <w:szCs w:val="12"/>
                <w:color w:val="auto"/>
              </w:rPr>
            </w:pPr>
          </w:p>
        </w:tc>
        <w:tc>
          <w:tcPr>
            <w:tcW w:w="198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rPr>
              <w:t>Underlying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Option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8"/>
              </w:rPr>
              <w:t>Unexercised</w:t>
            </w:r>
          </w:p>
        </w:tc>
        <w:tc>
          <w:tcPr>
            <w:tcW w:w="140" w:type="dxa"/>
            <w:vAlign w:val="bottom"/>
          </w:tcPr>
          <w:p>
            <w:pPr>
              <w:spacing w:after="0"/>
              <w:rPr>
                <w:sz w:val="11"/>
                <w:szCs w:val="11"/>
                <w:color w:val="auto"/>
              </w:rPr>
            </w:pPr>
          </w:p>
        </w:tc>
        <w:tc>
          <w:tcPr>
            <w:tcW w:w="1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8"/>
              </w:rPr>
              <w:t>Unexercised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7"/>
              </w:rPr>
              <w:t>Options</w:t>
            </w:r>
          </w:p>
        </w:tc>
        <w:tc>
          <w:tcPr>
            <w:tcW w:w="140" w:type="dxa"/>
            <w:vAlign w:val="bottom"/>
          </w:tcPr>
          <w:p>
            <w:pPr>
              <w:spacing w:after="0"/>
              <w:rPr>
                <w:sz w:val="12"/>
                <w:szCs w:val="12"/>
                <w:color w:val="auto"/>
              </w:rPr>
            </w:pPr>
          </w:p>
        </w:tc>
        <w:tc>
          <w:tcPr>
            <w:tcW w:w="198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7"/>
              </w:rPr>
              <w:t>Options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Arial" w:cs="Arial" w:eastAsia="Arial" w:hAnsi="Arial"/>
                <w:sz w:val="13"/>
                <w:szCs w:val="13"/>
                <w:b w:val="1"/>
                <w:bCs w:val="1"/>
                <w:color w:val="auto"/>
                <w:w w:val="97"/>
              </w:rPr>
              <w:t>Exercise</w:t>
            </w:r>
          </w:p>
        </w:tc>
        <w:tc>
          <w:tcPr>
            <w:tcW w:w="140" w:type="dxa"/>
            <w:vAlign w:val="bottom"/>
          </w:tcPr>
          <w:p>
            <w:pPr>
              <w:spacing w:after="0"/>
              <w:rPr>
                <w:sz w:val="12"/>
                <w:szCs w:val="12"/>
                <w:color w:val="auto"/>
              </w:rPr>
            </w:pPr>
          </w:p>
        </w:tc>
        <w:tc>
          <w:tcPr>
            <w:tcW w:w="880" w:type="dxa"/>
            <w:vAlign w:val="bottom"/>
            <w:gridSpan w:val="2"/>
          </w:tcPr>
          <w:p>
            <w:pPr>
              <w:jc w:val="center"/>
              <w:ind w:right="60"/>
              <w:spacing w:after="0" w:line="147"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rPr>
              <w:t>(#)</w:t>
            </w:r>
          </w:p>
        </w:tc>
        <w:tc>
          <w:tcPr>
            <w:tcW w:w="2120" w:type="dxa"/>
            <w:vAlign w:val="bottom"/>
            <w:gridSpan w:val="2"/>
          </w:tcPr>
          <w:p>
            <w:pPr>
              <w:jc w:val="center"/>
              <w:ind w:left="135"/>
              <w:spacing w:after="0" w:line="147"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rPr>
              <w:t>Price</w:t>
            </w:r>
          </w:p>
        </w:tc>
        <w:tc>
          <w:tcPr>
            <w:tcW w:w="140" w:type="dxa"/>
            <w:vAlign w:val="bottom"/>
          </w:tcPr>
          <w:p>
            <w:pPr>
              <w:spacing w:after="0"/>
              <w:rPr>
                <w:sz w:val="12"/>
                <w:szCs w:val="12"/>
                <w:color w:val="auto"/>
              </w:rPr>
            </w:pPr>
          </w:p>
        </w:tc>
        <w:tc>
          <w:tcPr>
            <w:tcW w:w="880" w:type="dxa"/>
            <w:vAlign w:val="bottom"/>
            <w:gridSpan w:val="2"/>
          </w:tcPr>
          <w:p>
            <w:pPr>
              <w:jc w:val="center"/>
              <w:ind w:right="80"/>
              <w:spacing w:after="0" w:line="147" w:lineRule="exact"/>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76"/>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5"/>
                <w:szCs w:val="15"/>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9"/>
              </w:rPr>
              <w:t>Grant Date</w:t>
            </w:r>
          </w:p>
        </w:tc>
        <w:tc>
          <w:tcPr>
            <w:tcW w:w="1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Exercisable</w:t>
            </w:r>
          </w:p>
        </w:tc>
        <w:tc>
          <w:tcPr>
            <w:tcW w:w="14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Unexercisable</w:t>
            </w: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9"/>
                <w:szCs w:val="19"/>
                <w:b w:val="1"/>
                <w:bCs w:val="1"/>
                <w:color w:val="auto"/>
                <w:w w:val="89"/>
                <w:vertAlign w:val="superscript"/>
              </w:rPr>
              <w:t>(3)</w:t>
            </w:r>
          </w:p>
        </w:tc>
        <w:tc>
          <w:tcPr>
            <w:tcW w:w="14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520" w:type="dxa"/>
            <w:vAlign w:val="bottom"/>
            <w:gridSpan w:val="3"/>
            <w:shd w:val="clear" w:color="auto" w:fill="CCEEFF"/>
          </w:tcPr>
          <w:p>
            <w:pPr>
              <w:spacing w:after="0" w:line="147" w:lineRule="exact"/>
              <w:rPr>
                <w:sz w:val="20"/>
                <w:szCs w:val="20"/>
                <w:color w:val="auto"/>
              </w:rPr>
            </w:pPr>
            <w:r>
              <w:rPr>
                <w:rFonts w:ascii="Arial" w:cs="Arial" w:eastAsia="Arial" w:hAnsi="Arial"/>
                <w:sz w:val="13"/>
                <w:szCs w:val="13"/>
                <w:color w:val="auto"/>
              </w:rPr>
              <w:t>Kevin Lee, Ph.D., MBA</w:t>
            </w:r>
          </w:p>
        </w:tc>
        <w:tc>
          <w:tcPr>
            <w:tcW w:w="9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2"/>
                <w:szCs w:val="12"/>
                <w:color w:val="auto"/>
              </w:rPr>
              <w:t>12/17/2018</w:t>
            </w:r>
            <w:r>
              <w:rPr>
                <w:rFonts w:ascii="Arial" w:cs="Arial" w:eastAsia="Arial" w:hAnsi="Arial"/>
                <w:sz w:val="17"/>
                <w:szCs w:val="17"/>
                <w:color w:val="auto"/>
                <w:vertAlign w:val="superscript"/>
              </w:rPr>
              <w:t>(1)</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1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115,287</w:t>
            </w:r>
          </w:p>
        </w:tc>
        <w:tc>
          <w:tcPr>
            <w:tcW w:w="2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0.01</w:t>
            </w:r>
          </w:p>
        </w:tc>
        <w:tc>
          <w:tcPr>
            <w:tcW w:w="8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12/13/2029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20" w:type="dxa"/>
            <w:vAlign w:val="bottom"/>
            <w:gridSpan w:val="3"/>
          </w:tcPr>
          <w:p>
            <w:pPr>
              <w:spacing w:after="0" w:line="147" w:lineRule="exact"/>
              <w:rPr>
                <w:sz w:val="20"/>
                <w:szCs w:val="20"/>
                <w:color w:val="auto"/>
              </w:rPr>
            </w:pPr>
            <w:r>
              <w:rPr>
                <w:rFonts w:ascii="Arial" w:cs="Arial" w:eastAsia="Arial" w:hAnsi="Arial"/>
                <w:sz w:val="13"/>
                <w:szCs w:val="13"/>
                <w:color w:val="auto"/>
              </w:rPr>
              <w:t>Lee Kalowski, MBA</w:t>
            </w:r>
          </w:p>
        </w:tc>
        <w:tc>
          <w:tcPr>
            <w:tcW w:w="900" w:type="dxa"/>
            <w:vAlign w:val="bottom"/>
            <w:gridSpan w:val="2"/>
          </w:tcPr>
          <w:p>
            <w:pPr>
              <w:jc w:val="right"/>
              <w:ind w:right="40"/>
              <w:spacing w:after="0" w:line="147" w:lineRule="exact"/>
              <w:rPr>
                <w:sz w:val="20"/>
                <w:szCs w:val="20"/>
                <w:color w:val="auto"/>
              </w:rPr>
            </w:pPr>
            <w:r>
              <w:rPr>
                <w:rFonts w:ascii="Arial" w:cs="Arial" w:eastAsia="Arial" w:hAnsi="Arial"/>
                <w:sz w:val="12"/>
                <w:szCs w:val="12"/>
                <w:color w:val="auto"/>
              </w:rPr>
              <w:t>7/24/2017</w:t>
            </w:r>
            <w:r>
              <w:rPr>
                <w:rFonts w:ascii="Arial" w:cs="Arial" w:eastAsia="Arial" w:hAnsi="Arial"/>
                <w:sz w:val="17"/>
                <w:szCs w:val="17"/>
                <w:color w:val="auto"/>
                <w:vertAlign w:val="superscript"/>
              </w:rPr>
              <w:t>(2)</w:t>
            </w:r>
          </w:p>
        </w:tc>
        <w:tc>
          <w:tcPr>
            <w:tcW w:w="860" w:type="dxa"/>
            <w:vAlign w:val="bottom"/>
          </w:tcPr>
          <w:p>
            <w:pPr>
              <w:jc w:val="right"/>
              <w:spacing w:after="0" w:line="147" w:lineRule="exact"/>
              <w:rPr>
                <w:sz w:val="20"/>
                <w:szCs w:val="20"/>
                <w:color w:val="auto"/>
              </w:rPr>
            </w:pPr>
            <w:r>
              <w:rPr>
                <w:rFonts w:ascii="Arial" w:cs="Arial" w:eastAsia="Arial" w:hAnsi="Arial"/>
                <w:sz w:val="13"/>
                <w:szCs w:val="13"/>
                <w:color w:val="auto"/>
              </w:rPr>
              <w:t>47,276</w:t>
            </w:r>
          </w:p>
        </w:tc>
        <w:tc>
          <w:tcPr>
            <w:tcW w:w="21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50,537</w:t>
            </w:r>
          </w:p>
        </w:tc>
        <w:tc>
          <w:tcPr>
            <w:tcW w:w="2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7" w:lineRule="exact"/>
              <w:rPr>
                <w:sz w:val="20"/>
                <w:szCs w:val="20"/>
                <w:color w:val="auto"/>
              </w:rPr>
            </w:pPr>
            <w:r>
              <w:rPr>
                <w:rFonts w:ascii="Arial" w:cs="Arial" w:eastAsia="Arial" w:hAnsi="Arial"/>
                <w:sz w:val="13"/>
                <w:szCs w:val="13"/>
                <w:color w:val="auto"/>
              </w:rPr>
              <w:t>2.12</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7/23/2027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20" w:type="dxa"/>
            <w:vAlign w:val="bottom"/>
            <w:gridSpan w:val="3"/>
            <w:shd w:val="clear" w:color="auto" w:fill="CCEEFF"/>
          </w:tcPr>
          <w:p>
            <w:pPr>
              <w:spacing w:after="0" w:line="147" w:lineRule="exact"/>
              <w:rPr>
                <w:sz w:val="20"/>
                <w:szCs w:val="20"/>
                <w:color w:val="auto"/>
              </w:rPr>
            </w:pPr>
            <w:r>
              <w:rPr>
                <w:rFonts w:ascii="Arial" w:cs="Arial" w:eastAsia="Arial" w:hAnsi="Arial"/>
                <w:sz w:val="13"/>
                <w:szCs w:val="13"/>
                <w:color w:val="auto"/>
              </w:rPr>
              <w:t>Maria Koehler, M.D., Ph.D.</w:t>
            </w:r>
          </w:p>
        </w:tc>
        <w:tc>
          <w:tcPr>
            <w:tcW w:w="9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2"/>
                <w:szCs w:val="12"/>
                <w:color w:val="auto"/>
              </w:rPr>
              <w:t>9/18/2017</w:t>
            </w:r>
            <w:r>
              <w:rPr>
                <w:rFonts w:ascii="Arial" w:cs="Arial" w:eastAsia="Arial" w:hAnsi="Arial"/>
                <w:sz w:val="17"/>
                <w:szCs w:val="17"/>
                <w:color w:val="auto"/>
                <w:vertAlign w:val="superscript"/>
              </w:rPr>
              <w:t>(2)</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33,858</w:t>
            </w:r>
          </w:p>
        </w:tc>
        <w:tc>
          <w:tcPr>
            <w:tcW w:w="21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41,383</w:t>
            </w:r>
          </w:p>
        </w:tc>
        <w:tc>
          <w:tcPr>
            <w:tcW w:w="2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2.53</w:t>
            </w:r>
          </w:p>
        </w:tc>
        <w:tc>
          <w:tcPr>
            <w:tcW w:w="8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1/30/2028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78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40" w:right="20" w:hanging="499"/>
        <w:spacing w:after="0" w:line="215" w:lineRule="auto"/>
        <w:tabs>
          <w:tab w:leader="none" w:pos="1640" w:val="left"/>
        </w:tabs>
        <w:numPr>
          <w:ilvl w:val="0"/>
          <w:numId w:val="89"/>
        </w:numPr>
        <w:rPr>
          <w:rFonts w:ascii="Arial" w:cs="Arial" w:eastAsia="Arial" w:hAnsi="Arial"/>
          <w:sz w:val="20"/>
          <w:szCs w:val="20"/>
          <w:color w:val="auto"/>
          <w:vertAlign w:val="superscript"/>
        </w:rPr>
      </w:pPr>
      <w:r>
        <w:rPr>
          <w:rFonts w:ascii="Arial" w:cs="Arial" w:eastAsia="Arial" w:hAnsi="Arial"/>
          <w:sz w:val="13"/>
          <w:szCs w:val="13"/>
          <w:color w:val="auto"/>
        </w:rPr>
        <w:t>Commencing as of January 23, 2019, 5,579.6 of the shares subject to the option will vest every month through September 23, 2019; commencing as of October 23, 2019, 3,942.1 of the shares subject to the option will vest every month through March 23, 2020; commencing as of April 23, 2020, 3,155.1 of the shares subject to the option will vest every month through October 23, 2010; and commencing November 23, 2020, 2,761.7 of the shares subject to the option will vest every month through May 23, 2021, in each case provided that the named executive officer remains continuously employed with us through each applicable vesting date. The shares subject to the option are not early exercisable.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3" w:name="page184"/>
    <w:bookmarkEnd w:id="18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7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20% of the shares subject to the option will vest on the first anniversary of the grant date, 60% of the shares subject to the option will vest each month thereafter in 36 equal monthly installments, and the remaining 20% of the shares subject to the option will vest on the earlier of (i) the fourth anniversary of the grant date and (ii) the date in which our board of directors determines that we have received income of $22.2 million with respect to our collaborations with AstraZeneca, Oxurion, and any certain other collaborations, in all cases provided that the named executive officer remains continuously employed with us through each applicable vesting date.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The amounts reported have been converted from GBP to USD using an exchange rate of $1.2763 to £1.00 as of December 31, 2018.</w:t>
      </w:r>
    </w:p>
    <w:p>
      <w:pPr>
        <w:spacing w:after="0" w:line="171" w:lineRule="exact"/>
        <w:rPr>
          <w:sz w:val="20"/>
          <w:szCs w:val="20"/>
          <w:color w:val="auto"/>
        </w:rPr>
      </w:pPr>
    </w:p>
    <w:p>
      <w:pPr>
        <w:sectPr>
          <w:pgSz w:w="11900" w:h="16838" w:orient="portrait"/>
          <w:cols w:equalWidth="0" w:num="2">
            <w:col w:w="1260" w:space="380"/>
            <w:col w:w="9740"/>
          </w:cols>
          <w:pgMar w:left="240" w:top="142" w:right="279" w:bottom="1440" w:gutter="0" w:footer="0" w:header="0"/>
        </w:sectPr>
      </w:pPr>
    </w:p>
    <w:p>
      <w:pPr>
        <w:spacing w:after="0"/>
        <w:rPr>
          <w:sz w:val="20"/>
          <w:szCs w:val="20"/>
          <w:color w:val="auto"/>
        </w:rPr>
      </w:pPr>
      <w:r>
        <w:rPr>
          <w:rFonts w:ascii="Arial" w:cs="Arial" w:eastAsia="Arial" w:hAnsi="Arial"/>
          <w:sz w:val="16"/>
          <w:szCs w:val="16"/>
          <w:b w:val="1"/>
          <w:bCs w:val="1"/>
          <w:color w:val="auto"/>
        </w:rPr>
        <w:t>Equity Incentive Plans and Option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Option Agreements</w:t>
      </w:r>
    </w:p>
    <w:p>
      <w:pPr>
        <w:spacing w:after="0" w:line="213" w:lineRule="exact"/>
        <w:rPr>
          <w:sz w:val="20"/>
          <w:szCs w:val="20"/>
          <w:color w:val="auto"/>
        </w:rPr>
      </w:pPr>
    </w:p>
    <w:p>
      <w:pPr>
        <w:ind w:right="460" w:firstLine="442"/>
        <w:spacing w:after="0" w:line="249" w:lineRule="auto"/>
        <w:rPr>
          <w:sz w:val="20"/>
          <w:szCs w:val="20"/>
          <w:color w:val="auto"/>
        </w:rPr>
      </w:pPr>
      <w:r>
        <w:rPr>
          <w:rFonts w:ascii="Arial" w:cs="Arial" w:eastAsia="Arial" w:hAnsi="Arial"/>
          <w:sz w:val="16"/>
          <w:szCs w:val="16"/>
          <w:color w:val="auto"/>
        </w:rPr>
        <w:t>On December 17, 2018, our board of directors approved the form of the unapproved bilateral option agreement for U.K. employees pursuant to which options to subscribe for ordinary shares can be granted to our employees and executive directors.</w:t>
      </w:r>
    </w:p>
    <w:p>
      <w:pPr>
        <w:spacing w:after="0" w:line="181"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6"/>
          <w:szCs w:val="16"/>
          <w:color w:val="auto"/>
        </w:rPr>
        <w:t>As of December 31, 2018, we have reserved 1,611,226 ordinary shares for the employee share option pool (amount to 16% of our issued share capital on a fully diluted basis) of which 520,797 ordinary shares have been issued, options for over 604,444 ordinary shares have been granted and 485,985 ordinary shares remain unallocated in the employee share option pool. Our board may act to increase the number of ordinary shares available for issuance.</w:t>
      </w:r>
    </w:p>
    <w:p>
      <w:pPr>
        <w:spacing w:after="0" w:line="185" w:lineRule="exact"/>
        <w:rPr>
          <w:sz w:val="20"/>
          <w:szCs w:val="20"/>
          <w:color w:val="auto"/>
        </w:rPr>
      </w:pPr>
    </w:p>
    <w:p>
      <w:pPr>
        <w:ind w:right="280" w:firstLine="442"/>
        <w:spacing w:after="0" w:line="244" w:lineRule="auto"/>
        <w:rPr>
          <w:sz w:val="20"/>
          <w:szCs w:val="20"/>
          <w:color w:val="auto"/>
        </w:rPr>
      </w:pPr>
      <w:r>
        <w:rPr>
          <w:rFonts w:ascii="Arial" w:cs="Arial" w:eastAsia="Arial" w:hAnsi="Arial"/>
          <w:sz w:val="16"/>
          <w:szCs w:val="16"/>
          <w:color w:val="auto"/>
        </w:rPr>
        <w:t>In connection with certain corporate transactions, including a subdivision or consolidation or any other event that may affect the value of the options, the compensation committee has discretion to take action to prevent the dilution or enlargement of intended benefits, or to facilitate the transaction or event. In addition, in the event of a change in control, the compensation committee may accelerate the vesting and exercisability of any option in its discretion.</w:t>
      </w:r>
    </w:p>
    <w:p>
      <w:pPr>
        <w:spacing w:after="0" w:line="185" w:lineRule="exact"/>
        <w:rPr>
          <w:sz w:val="20"/>
          <w:szCs w:val="20"/>
          <w:color w:val="auto"/>
        </w:rPr>
      </w:pPr>
    </w:p>
    <w:p>
      <w:pPr>
        <w:ind w:right="200" w:firstLine="442"/>
        <w:spacing w:after="0" w:line="249" w:lineRule="auto"/>
        <w:rPr>
          <w:sz w:val="20"/>
          <w:szCs w:val="20"/>
          <w:color w:val="auto"/>
        </w:rPr>
      </w:pPr>
      <w:r>
        <w:rPr>
          <w:rFonts w:ascii="Arial" w:cs="Arial" w:eastAsia="Arial" w:hAnsi="Arial"/>
          <w:sz w:val="16"/>
          <w:szCs w:val="16"/>
          <w:color w:val="auto"/>
        </w:rPr>
        <w:t>Our board of directors may amend the option agreement for future issuances of options at any time. However, no amendment may affect an award which has already been granted without the consent of the affected grantee.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Share Option and Incentive Plan</w:t>
      </w:r>
    </w:p>
    <w:p>
      <w:pPr>
        <w:spacing w:after="0" w:line="213"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Our 2019 Plan was adopted by our board of directors on , 2019 and approved by our shareholders on , 2019 and will become effective upon the effectiveness of the registration statement of which this prospectus is part. The 2019 Plan will be utilized for all future share incentive awards following the closing of our initial public offering. The 2019 Plan allows the compensation committee to make equity-based and cash-based incentive awards to our officers, employees, directors and other key persons (including consultants). Except where the context indicates otherwise, references hereunder to our ordinary shares shall be deemed to include a number of ADSs equal to the number of ordinary shares.</w:t>
      </w:r>
    </w:p>
    <w:p>
      <w:pPr>
        <w:spacing w:after="0" w:line="188" w:lineRule="exact"/>
        <w:rPr>
          <w:sz w:val="20"/>
          <w:szCs w:val="20"/>
          <w:color w:val="auto"/>
        </w:rPr>
      </w:pPr>
    </w:p>
    <w:p>
      <w:pPr>
        <w:ind w:left="440"/>
        <w:spacing w:after="0"/>
        <w:tabs>
          <w:tab w:leader="none" w:pos="2800" w:val="left"/>
        </w:tabs>
        <w:rPr>
          <w:sz w:val="20"/>
          <w:szCs w:val="20"/>
          <w:color w:val="auto"/>
        </w:rPr>
      </w:pPr>
      <w:r>
        <w:rPr>
          <w:rFonts w:ascii="Arial" w:cs="Arial" w:eastAsia="Arial" w:hAnsi="Arial"/>
          <w:sz w:val="16"/>
          <w:szCs w:val="16"/>
          <w:color w:val="auto"/>
        </w:rPr>
        <w:t>We have initially reserved</w:t>
      </w:r>
      <w:r>
        <w:rPr>
          <w:sz w:val="20"/>
          <w:szCs w:val="20"/>
          <w:color w:val="auto"/>
        </w:rPr>
        <w:tab/>
      </w:r>
      <w:r>
        <w:rPr>
          <w:rFonts w:ascii="Arial" w:cs="Arial" w:eastAsia="Arial" w:hAnsi="Arial"/>
          <w:sz w:val="15"/>
          <w:szCs w:val="15"/>
          <w:color w:val="auto"/>
        </w:rPr>
        <w:t>ordinary shares, or the Initial Limit, for the issuance of awards under the 2019 Plan. The 2019 Plan provides that the</w:t>
      </w:r>
    </w:p>
    <w:p>
      <w:pPr>
        <w:spacing w:after="0"/>
        <w:tabs>
          <w:tab w:leader="none" w:pos="10580" w:val="left"/>
        </w:tabs>
        <w:rPr>
          <w:sz w:val="20"/>
          <w:szCs w:val="20"/>
          <w:color w:val="auto"/>
        </w:rPr>
      </w:pPr>
      <w:r>
        <w:rPr>
          <w:rFonts w:ascii="Arial" w:cs="Arial" w:eastAsia="Arial" w:hAnsi="Arial"/>
          <w:sz w:val="16"/>
          <w:szCs w:val="16"/>
          <w:color w:val="auto"/>
        </w:rPr>
        <w:t>number of shares reserved and available for issuance under the plan will automatically increase each January 1, beginning on January 1, 2020, by</w:t>
      </w:r>
      <w:r>
        <w:rPr>
          <w:sz w:val="20"/>
          <w:szCs w:val="20"/>
          <w:color w:val="auto"/>
        </w:rPr>
        <w:tab/>
      </w:r>
      <w:r>
        <w:rPr>
          <w:rFonts w:ascii="Arial" w:cs="Arial" w:eastAsia="Arial" w:hAnsi="Arial"/>
          <w:sz w:val="15"/>
          <w:szCs w:val="15"/>
          <w:color w:val="auto"/>
        </w:rPr>
        <w:t>% of the</w:t>
      </w:r>
    </w:p>
    <w:p>
      <w:pPr>
        <w:ind w:right="620"/>
        <w:spacing w:after="0" w:line="282" w:lineRule="auto"/>
        <w:rPr>
          <w:sz w:val="20"/>
          <w:szCs w:val="20"/>
          <w:color w:val="auto"/>
        </w:rPr>
      </w:pPr>
      <w:r>
        <w:rPr>
          <w:rFonts w:ascii="Arial" w:cs="Arial" w:eastAsia="Arial" w:hAnsi="Arial"/>
          <w:sz w:val="15"/>
          <w:szCs w:val="15"/>
          <w:color w:val="auto"/>
        </w:rPr>
        <w:t>outstanding number of ordinary shares on the immediately preceding December 31, or such lesser number of shares as determined by our compensation committee, or the Annual Increase. This number is subject to adjustment in the event of a split-up, share dividend or other change in our capitalization.</w:t>
      </w:r>
    </w:p>
    <w:p>
      <w:pPr>
        <w:spacing w:after="0" w:line="157" w:lineRule="exact"/>
        <w:rPr>
          <w:sz w:val="20"/>
          <w:szCs w:val="20"/>
          <w:color w:val="auto"/>
        </w:rPr>
      </w:pPr>
    </w:p>
    <w:p>
      <w:pPr>
        <w:jc w:val="both"/>
        <w:ind w:right="160" w:firstLine="439"/>
        <w:spacing w:after="0" w:line="244" w:lineRule="auto"/>
        <w:rPr>
          <w:sz w:val="20"/>
          <w:szCs w:val="20"/>
          <w:color w:val="auto"/>
        </w:rPr>
      </w:pPr>
      <w:r>
        <w:rPr>
          <w:rFonts w:ascii="Arial" w:cs="Arial" w:eastAsia="Arial" w:hAnsi="Arial"/>
          <w:sz w:val="16"/>
          <w:szCs w:val="16"/>
          <w:color w:val="auto"/>
        </w:rPr>
        <w:t>The shares we issue under the 2019 Plan will be authorized but unissued shares or shares that we reacquire. The ordinary shares underlying any awards that are forfeited, cancelled, held back upon exercise or settlement of an award to satisfy the exercise price or tax withholding, reacquired by us prior to vesting, satisfied without any issuance of shares, expire or are otherwise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type w:val="continuous"/>
        </w:sectPr>
      </w:pPr>
    </w:p>
    <w:bookmarkStart w:id="184" w:name="page185"/>
    <w:bookmarkEnd w:id="1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terminated (other than by exercise) under the 2019 Plan and or the awards that we granted prior to this offering will be added back to the ordinary shares available for issuance under the 2019 Plan.</w:t>
      </w:r>
    </w:p>
    <w:p>
      <w:pPr>
        <w:spacing w:after="0" w:line="181" w:lineRule="exact"/>
        <w:rPr>
          <w:sz w:val="20"/>
          <w:szCs w:val="20"/>
          <w:color w:val="auto"/>
        </w:rPr>
      </w:pPr>
    </w:p>
    <w:p>
      <w:pPr>
        <w:ind w:right="40" w:firstLine="442"/>
        <w:spacing w:after="0" w:line="239" w:lineRule="auto"/>
        <w:rPr>
          <w:sz w:val="20"/>
          <w:szCs w:val="20"/>
          <w:color w:val="auto"/>
        </w:rPr>
      </w:pPr>
      <w:r>
        <w:rPr>
          <w:rFonts w:ascii="Arial" w:cs="Arial" w:eastAsia="Arial" w:hAnsi="Arial"/>
          <w:sz w:val="16"/>
          <w:szCs w:val="16"/>
          <w:color w:val="auto"/>
        </w:rPr>
        <w:t>Share options and share appreciation rights with respect to no more than ordinary shares may be granted to any one individual in any one calendar year. The maximum aggregate number of shares that may be issued in the form of incentive share options shall not exceed the Initial Limit cumulatively increased</w:t>
      </w:r>
    </w:p>
    <w:p>
      <w:pPr>
        <w:spacing w:after="0"/>
        <w:tabs>
          <w:tab w:leader="none" w:pos="8020" w:val="left"/>
        </w:tabs>
        <w:rPr>
          <w:sz w:val="20"/>
          <w:szCs w:val="20"/>
          <w:color w:val="auto"/>
        </w:rPr>
      </w:pPr>
      <w:r>
        <w:rPr>
          <w:rFonts w:ascii="Arial" w:cs="Arial" w:eastAsia="Arial" w:hAnsi="Arial"/>
          <w:sz w:val="16"/>
          <w:szCs w:val="16"/>
          <w:color w:val="auto"/>
        </w:rPr>
        <w:t>on January 1, 2020 and on each January 1 thereafter by the lesser of the Annual Increase for such year or</w:t>
      </w:r>
      <w:r>
        <w:rPr>
          <w:sz w:val="20"/>
          <w:szCs w:val="20"/>
          <w:color w:val="auto"/>
        </w:rPr>
        <w:tab/>
      </w:r>
      <w:r>
        <w:rPr>
          <w:rFonts w:ascii="Arial" w:cs="Arial" w:eastAsia="Arial" w:hAnsi="Arial"/>
          <w:sz w:val="15"/>
          <w:szCs w:val="15"/>
          <w:color w:val="auto"/>
        </w:rPr>
        <w:t>ordinary shares.</w:t>
      </w:r>
    </w:p>
    <w:p>
      <w:pPr>
        <w:spacing w:after="0" w:line="195" w:lineRule="exact"/>
        <w:rPr>
          <w:sz w:val="20"/>
          <w:szCs w:val="20"/>
          <w:color w:val="auto"/>
        </w:rPr>
      </w:pPr>
    </w:p>
    <w:p>
      <w:pPr>
        <w:ind w:right="120" w:firstLine="439"/>
        <w:spacing w:after="0" w:line="264" w:lineRule="auto"/>
        <w:rPr>
          <w:sz w:val="20"/>
          <w:szCs w:val="20"/>
          <w:color w:val="auto"/>
        </w:rPr>
      </w:pPr>
      <w:r>
        <w:rPr>
          <w:rFonts w:ascii="Arial" w:cs="Arial" w:eastAsia="Arial" w:hAnsi="Arial"/>
          <w:sz w:val="15"/>
          <w:szCs w:val="15"/>
          <w:color w:val="auto"/>
        </w:rPr>
        <w:t>The 2019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2019 Plan. Persons eligible to participate in the 2019 Plan will be those full or part-time officers, employees, non-employee directors and other key persons (including consultants) as selected from time to time by our compensation committee in its discretion.</w:t>
      </w:r>
    </w:p>
    <w:p>
      <w:pPr>
        <w:spacing w:after="0" w:line="170" w:lineRule="exact"/>
        <w:rPr>
          <w:sz w:val="20"/>
          <w:szCs w:val="20"/>
          <w:color w:val="auto"/>
        </w:rPr>
      </w:pPr>
    </w:p>
    <w:p>
      <w:pPr>
        <w:ind w:right="300" w:firstLine="439"/>
        <w:spacing w:after="0" w:line="242" w:lineRule="auto"/>
        <w:rPr>
          <w:sz w:val="20"/>
          <w:szCs w:val="20"/>
          <w:color w:val="auto"/>
        </w:rPr>
      </w:pPr>
      <w:r>
        <w:rPr>
          <w:rFonts w:ascii="Arial" w:cs="Arial" w:eastAsia="Arial" w:hAnsi="Arial"/>
          <w:sz w:val="16"/>
          <w:szCs w:val="16"/>
          <w:color w:val="auto"/>
        </w:rPr>
        <w:t>The 2019 Plan permits the granting of both options to purchase ordinary shares intended to qualify as incentive share options under Section 422 of the Code, and options that do not so qualify. The option exercise price of each option will be determined by our compensation committee but may not be less than 100% of the fair market value of our ordinary shares on the date of grant. The term of each option will be fixed by our compensation committee and may not exceed 10 years from the date of grant. Our compensation committee will determine at what time or times each option may be exercised.</w:t>
      </w:r>
    </w:p>
    <w:p>
      <w:pPr>
        <w:spacing w:after="0" w:line="187"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Our compensation committee may award share appreciation rights subject to such conditions and restrictions as it may determine. Share appreciation rights entitle the recipient to ordinary shares, or cash, equal to the value of the appreciation in our share price over the exercise price. The exercise price of each share appreciation right may not be less than 100% of the fair market value of the ordinary shares on the date of grant.</w:t>
      </w:r>
    </w:p>
    <w:p>
      <w:pPr>
        <w:spacing w:after="0" w:line="185"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Our compensation committee may award restricted shares and restricted share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ordinary shares that are free from any restrictions under the 2019 Plan. Unrestricted shares may be granted to participants in recognition of past services or other valid consideration and may be issued in lieu of cash compensation due to such participant. Our compensation committee may grant cash bonuses under the 2019 Plan to participants, subject to the achievement of certain performance goals.</w:t>
      </w:r>
    </w:p>
    <w:p>
      <w:pPr>
        <w:spacing w:after="0" w:line="189"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The 2019 Plan provides that in the case of, and subject to, the consummation of a "sale event" as defined in the 2019 Plan, all outstanding awards may be assumed, substituted or otherwise continued by the successor entity. To the extent that the successor entity does not assume, substitute or otherwise continue such awards, then (i) all share options and share appreciation rights will automatically become fully exercisable and the restrictions and conditions on all other awards with time-based conditions will automatically be deemed waived, and awards with conditions and restrictions relating to the attainment of performance goals may become vested and non-forfeitable in connection with a sale event in the compensation committee's discretion and (ii) upon the effectiveness of the sale event, the 2019 Plan and all awards will automatically terminate. In the event of such termination, (i) individuals holding options and share appreciation rights will be permitted to exercise such options and share appreciation rights (to the extent exercisable) prior to the sale event; or (ii) we may make or provide for a cash payment to participants holding options and share appreciation rights equal to the difference between the per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5" w:name="page186"/>
    <w:bookmarkEnd w:id="1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820"/>
        <w:spacing w:after="0" w:line="249" w:lineRule="auto"/>
        <w:rPr>
          <w:sz w:val="20"/>
          <w:szCs w:val="20"/>
          <w:color w:val="auto"/>
        </w:rPr>
      </w:pPr>
      <w:r>
        <w:rPr>
          <w:rFonts w:ascii="Arial" w:cs="Arial" w:eastAsia="Arial" w:hAnsi="Arial"/>
          <w:sz w:val="16"/>
          <w:szCs w:val="16"/>
          <w:color w:val="auto"/>
        </w:rPr>
        <w:t>share cash consideration payable to shareholders in the sale event and the exercise price of the options or share appreciation rights (to the extent then exercisable).</w:t>
      </w:r>
    </w:p>
    <w:p>
      <w:pPr>
        <w:spacing w:after="0" w:line="181" w:lineRule="exact"/>
        <w:rPr>
          <w:sz w:val="20"/>
          <w:szCs w:val="20"/>
          <w:color w:val="auto"/>
        </w:rPr>
      </w:pPr>
    </w:p>
    <w:p>
      <w:pPr>
        <w:ind w:right="180" w:firstLine="442"/>
        <w:spacing w:after="0" w:line="264" w:lineRule="auto"/>
        <w:rPr>
          <w:sz w:val="20"/>
          <w:szCs w:val="20"/>
          <w:color w:val="auto"/>
        </w:rPr>
      </w:pPr>
      <w:r>
        <w:rPr>
          <w:rFonts w:ascii="Arial" w:cs="Arial" w:eastAsia="Arial" w:hAnsi="Arial"/>
          <w:sz w:val="15"/>
          <w:szCs w:val="15"/>
          <w:color w:val="auto"/>
        </w:rPr>
        <w:t>Our board of directors may amend or discontinue the 2019 Plan and our compensation committee may amend the exercise price of options and amend or cancel outstanding awards for purposes of satisfying changes in law or any other lawful purpose but no such action may adversely affect rights under an award without the holder's consent. Certain amendments to the 2019 Plan require the approval of our shareholders. No awards may be granted under the 2019 Plan after the date that is 10 years from the date of shareholder approval. No awards under the 2019 Plan have been made prior to the date of this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Employee Share Purchase Plan</w:t>
      </w:r>
    </w:p>
    <w:p>
      <w:pPr>
        <w:spacing w:after="0" w:line="212" w:lineRule="exact"/>
        <w:rPr>
          <w:sz w:val="20"/>
          <w:szCs w:val="20"/>
          <w:color w:val="auto"/>
        </w:rPr>
      </w:pPr>
    </w:p>
    <w:p>
      <w:pPr>
        <w:ind w:left="440"/>
        <w:spacing w:after="0"/>
        <w:tabs>
          <w:tab w:leader="none" w:pos="7880" w:val="left"/>
        </w:tabs>
        <w:rPr>
          <w:sz w:val="20"/>
          <w:szCs w:val="20"/>
          <w:color w:val="auto"/>
        </w:rPr>
      </w:pPr>
      <w:r>
        <w:rPr>
          <w:rFonts w:ascii="Arial" w:cs="Arial" w:eastAsia="Arial" w:hAnsi="Arial"/>
          <w:sz w:val="16"/>
          <w:szCs w:val="16"/>
          <w:color w:val="auto"/>
        </w:rPr>
        <w:t>Our 2019 Employee Share Purchase Plan, or the ESPP, was adopted by our board of directors on</w:t>
      </w:r>
      <w:r>
        <w:rPr>
          <w:sz w:val="20"/>
          <w:szCs w:val="20"/>
          <w:color w:val="auto"/>
        </w:rPr>
        <w:tab/>
      </w:r>
      <w:r>
        <w:rPr>
          <w:rFonts w:ascii="Arial" w:cs="Arial" w:eastAsia="Arial" w:hAnsi="Arial"/>
          <w:sz w:val="15"/>
          <w:szCs w:val="15"/>
          <w:color w:val="auto"/>
        </w:rPr>
        <w:t>, 2019 and approved by our shareholders</w:t>
      </w:r>
    </w:p>
    <w:p>
      <w:pPr>
        <w:spacing w:after="0"/>
        <w:tabs>
          <w:tab w:leader="none" w:pos="720" w:val="left"/>
        </w:tabs>
        <w:rPr>
          <w:sz w:val="20"/>
          <w:szCs w:val="20"/>
          <w:color w:val="auto"/>
        </w:rPr>
      </w:pPr>
      <w:r>
        <w:rPr>
          <w:rFonts w:ascii="Arial" w:cs="Arial" w:eastAsia="Arial" w:hAnsi="Arial"/>
          <w:sz w:val="15"/>
          <w:szCs w:val="15"/>
          <w:color w:val="auto"/>
        </w:rPr>
        <w:t>on</w:t>
      </w:r>
      <w:r>
        <w:rPr>
          <w:sz w:val="20"/>
          <w:szCs w:val="20"/>
          <w:color w:val="auto"/>
        </w:rPr>
        <w:tab/>
      </w:r>
      <w:r>
        <w:rPr>
          <w:rFonts w:ascii="Arial" w:cs="Arial" w:eastAsia="Arial" w:hAnsi="Arial"/>
          <w:sz w:val="15"/>
          <w:szCs w:val="15"/>
          <w:color w:val="auto"/>
        </w:rPr>
        <w:t>, 2019 and will become effective upon the effectiveness of the registration statement of which this prospectus is part. The ESPP is intended to qualify as</w:t>
      </w:r>
    </w:p>
    <w:p>
      <w:pPr>
        <w:spacing w:after="0" w:line="11"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an "employee share purchase plan" within the meaning of Section 423(b) of the Code. Except where the context indicates otherwise, references hereunder to our ordinary shares shall be deemed to include a number of ADSs equal to the number of ordinary shares. The ESPP initially reserves and authorizes the issuance of</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up to a total of ordinary shares to participating employees. The ESPP provides that the number of shares reserved and available for issuance will automatically increase each January 1, beginning on January 1, 2020 and each January 1 thereafter through January 1, 2029, by the least of (i) % of the outstanding number of ordinary shares on the immediately preceding December 31; (ii) shares or (iii) such number of shares as determined by the ESPP administrator. The number of shares reserved under the ESPP is subject to adjustment in the event of a split-up, share dividend or other change in our capitalization.</w:t>
      </w:r>
    </w:p>
    <w:p>
      <w:pPr>
        <w:spacing w:after="0" w:line="373" w:lineRule="exact"/>
        <w:rPr>
          <w:sz w:val="20"/>
          <w:szCs w:val="20"/>
          <w:color w:val="auto"/>
        </w:rPr>
      </w:pPr>
    </w:p>
    <w:p>
      <w:pPr>
        <w:ind w:left="440"/>
        <w:spacing w:after="0"/>
        <w:tabs>
          <w:tab w:leader="none" w:pos="4040" w:val="left"/>
          <w:tab w:leader="none" w:pos="9680" w:val="left"/>
        </w:tabs>
        <w:rPr>
          <w:sz w:val="20"/>
          <w:szCs w:val="20"/>
          <w:color w:val="auto"/>
        </w:rPr>
      </w:pPr>
      <w:r>
        <w:rPr>
          <w:rFonts w:ascii="Arial" w:cs="Arial" w:eastAsia="Arial" w:hAnsi="Arial"/>
          <w:sz w:val="16"/>
          <w:szCs w:val="16"/>
          <w:color w:val="auto"/>
        </w:rPr>
        <w:t>All employees who have completed at least</w:t>
      </w:r>
      <w:r>
        <w:rPr>
          <w:sz w:val="20"/>
          <w:szCs w:val="20"/>
          <w:color w:val="auto"/>
        </w:rPr>
        <w:tab/>
      </w:r>
      <w:r>
        <w:rPr>
          <w:rFonts w:ascii="Arial" w:cs="Arial" w:eastAsia="Arial" w:hAnsi="Arial"/>
          <w:sz w:val="16"/>
          <w:szCs w:val="16"/>
          <w:color w:val="auto"/>
        </w:rPr>
        <w:t>days of employment and whose customary employment is for more than</w:t>
      </w:r>
      <w:r>
        <w:rPr>
          <w:sz w:val="20"/>
          <w:szCs w:val="20"/>
          <w:color w:val="auto"/>
        </w:rPr>
        <w:tab/>
      </w:r>
      <w:r>
        <w:rPr>
          <w:rFonts w:ascii="Arial" w:cs="Arial" w:eastAsia="Arial" w:hAnsi="Arial"/>
          <w:sz w:val="15"/>
          <w:szCs w:val="15"/>
          <w:color w:val="auto"/>
        </w:rPr>
        <w:t>hours per week are</w:t>
      </w:r>
    </w:p>
    <w:p>
      <w:pPr>
        <w:spacing w:after="0" w:line="249" w:lineRule="auto"/>
        <w:rPr>
          <w:sz w:val="20"/>
          <w:szCs w:val="20"/>
          <w:color w:val="auto"/>
        </w:rPr>
      </w:pPr>
      <w:r>
        <w:rPr>
          <w:rFonts w:ascii="Arial" w:cs="Arial" w:eastAsia="Arial" w:hAnsi="Arial"/>
          <w:sz w:val="16"/>
          <w:szCs w:val="16"/>
          <w:color w:val="auto"/>
        </w:rPr>
        <w:t>eligible to participate in the ESPP. However, any employee who owns 5% or more of the total combined voting power or value of all classes of shares is not eligible to purchase shares under the ESPP.</w:t>
      </w:r>
    </w:p>
    <w:p>
      <w:pPr>
        <w:spacing w:after="0" w:line="181"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We will make one or more offerings each year to our employees to purchase shares under the ESPP. Unless otherwise determined by our compensation committee, offerings will usually begin on each January 1 and July 1 and will continue for six-month periods, referred to as offering periods. Each eligible employee may elect to participate in any offering by submitting an enrollment form at least 15 business days before the relevant offering date.</w:t>
      </w:r>
    </w:p>
    <w:p>
      <w:pPr>
        <w:spacing w:after="0" w:line="185" w:lineRule="exact"/>
        <w:rPr>
          <w:sz w:val="20"/>
          <w:szCs w:val="20"/>
          <w:color w:val="auto"/>
        </w:rPr>
      </w:pPr>
    </w:p>
    <w:p>
      <w:pPr>
        <w:ind w:right="100" w:firstLine="442"/>
        <w:spacing w:after="0" w:line="255" w:lineRule="auto"/>
        <w:rPr>
          <w:sz w:val="20"/>
          <w:szCs w:val="20"/>
          <w:color w:val="auto"/>
        </w:rPr>
      </w:pPr>
      <w:r>
        <w:rPr>
          <w:rFonts w:ascii="Arial" w:cs="Arial" w:eastAsia="Arial" w:hAnsi="Arial"/>
          <w:sz w:val="15"/>
          <w:szCs w:val="15"/>
          <w:color w:val="auto"/>
        </w:rPr>
        <w:t>Each employee who is a participant in the ESPP may purchase shares by authorizing payroll deductions of up to % of his or her base compensation during an offering period. Unless the participating employee has previously withdrawn from the offering, his or her accumulated payroll deductions will be used to purchase shares on the last business day of the offering period at a price equal to 85% of the fair market value of the shares on the first business day or the last</w:t>
      </w:r>
    </w:p>
    <w:p>
      <w:pPr>
        <w:ind w:right="420"/>
        <w:spacing w:after="0" w:line="249" w:lineRule="auto"/>
        <w:rPr>
          <w:sz w:val="20"/>
          <w:szCs w:val="20"/>
          <w:color w:val="auto"/>
        </w:rPr>
      </w:pPr>
      <w:r>
        <w:rPr>
          <w:rFonts w:ascii="Arial" w:cs="Arial" w:eastAsia="Arial" w:hAnsi="Arial"/>
          <w:sz w:val="16"/>
          <w:szCs w:val="16"/>
          <w:color w:val="auto"/>
        </w:rPr>
        <w:t>business day of the offering period, whichever is lower. Under applicable U.S. tax rules, an employee may purchase no more than $ worth of ordinary shares, valued at the start of the purchase period, under the ESPP in any calendar year.</w:t>
      </w:r>
    </w:p>
    <w:p>
      <w:pPr>
        <w:spacing w:after="0" w:line="181" w:lineRule="exact"/>
        <w:rPr>
          <w:sz w:val="20"/>
          <w:szCs w:val="20"/>
          <w:color w:val="auto"/>
        </w:rPr>
      </w:pPr>
    </w:p>
    <w:p>
      <w:pPr>
        <w:ind w:right="300" w:firstLine="439"/>
        <w:spacing w:after="0" w:line="249" w:lineRule="auto"/>
        <w:rPr>
          <w:sz w:val="20"/>
          <w:szCs w:val="20"/>
          <w:color w:val="auto"/>
        </w:rPr>
      </w:pPr>
      <w:r>
        <w:rPr>
          <w:rFonts w:ascii="Arial" w:cs="Arial" w:eastAsia="Arial" w:hAnsi="Arial"/>
          <w:sz w:val="16"/>
          <w:szCs w:val="16"/>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6" w:name="page187"/>
    <w:bookmarkEnd w:id="1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200" w:firstLine="439"/>
        <w:spacing w:after="0" w:line="249" w:lineRule="auto"/>
        <w:rPr>
          <w:sz w:val="20"/>
          <w:szCs w:val="20"/>
          <w:color w:val="auto"/>
        </w:rPr>
      </w:pPr>
      <w:r>
        <w:rPr>
          <w:rFonts w:ascii="Arial" w:cs="Arial" w:eastAsia="Arial" w:hAnsi="Arial"/>
          <w:sz w:val="16"/>
          <w:szCs w:val="16"/>
          <w:color w:val="auto"/>
        </w:rPr>
        <w:t>The ESPP may be terminated or amended by our board of directors at any time. An amendment that increases the number of ordinary shares authorized under the ESPP and certain other amendments require the approval of our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Plan</w:t>
      </w:r>
    </w:p>
    <w:p>
      <w:pPr>
        <w:spacing w:after="0" w:line="215" w:lineRule="exact"/>
        <w:rPr>
          <w:sz w:val="20"/>
          <w:szCs w:val="20"/>
          <w:color w:val="auto"/>
        </w:rPr>
      </w:pPr>
    </w:p>
    <w:p>
      <w:pPr>
        <w:ind w:right="180" w:firstLine="442"/>
        <w:spacing w:after="0" w:line="249" w:lineRule="auto"/>
        <w:rPr>
          <w:sz w:val="20"/>
          <w:szCs w:val="20"/>
          <w:color w:val="auto"/>
        </w:rPr>
      </w:pPr>
      <w:r>
        <w:rPr>
          <w:rFonts w:ascii="Arial" w:cs="Arial" w:eastAsia="Arial" w:hAnsi="Arial"/>
          <w:sz w:val="16"/>
          <w:szCs w:val="16"/>
          <w:color w:val="auto"/>
        </w:rPr>
        <w:t>We currently maintain a personal pension plan provided by Scottish Widows Group where we make contributions to our U.K. eligible employee's personal pension plan as selected by the Company. Each participant may make additional contributions at his or her discretion.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401(k) Plan</w:t>
      </w:r>
    </w:p>
    <w:p>
      <w:pPr>
        <w:spacing w:after="0" w:line="213"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We maintain a tax-qualified retirement plan that provides eligible U.S. employees with an opportunity to save for retirement on a tax-advantaged basis. Plan participants are able to defer eligible compensation subject to applicable annual Code limits. We have the ability to make discretionary contributions to the 401(k) plan and currently match each participant's contribution up to a maximum of 4% of their eligible compensation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Executive Cash Incentive Bonus Plan</w:t>
      </w:r>
    </w:p>
    <w:p>
      <w:pPr>
        <w:spacing w:after="0" w:line="213" w:lineRule="exact"/>
        <w:rPr>
          <w:sz w:val="20"/>
          <w:szCs w:val="20"/>
          <w:color w:val="auto"/>
        </w:rPr>
      </w:pPr>
    </w:p>
    <w:p>
      <w:pPr>
        <w:ind w:right="140" w:firstLine="442"/>
        <w:spacing w:after="0" w:line="244" w:lineRule="auto"/>
        <w:rPr>
          <w:sz w:val="20"/>
          <w:szCs w:val="20"/>
          <w:color w:val="auto"/>
        </w:rPr>
      </w:pPr>
      <w:r>
        <w:rPr>
          <w:rFonts w:ascii="Arial" w:cs="Arial" w:eastAsia="Arial" w:hAnsi="Arial"/>
          <w:sz w:val="16"/>
          <w:szCs w:val="16"/>
          <w:color w:val="auto"/>
        </w:rPr>
        <w:t>In 2019, our board of directors adopted the Senior Executive Cash Incentive Bonus Plan, or the Bonus Plan.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Our compensation committee may select corporate performance goals from among the following: achievement of cash flow (including, but not limited to, operating cash flow and free cash flow); research and development, publication, clinical and/or regulatory milestones; earnings before interest, taxes, depreciation and amortization; net income (loss) (either before or after interest, taxes, depreciation and/or amortization); changes in the market price of our ADSs; economic value-added; acquisitions or strategic transactions, including licenses, collaborations, joint ventures or promotion arrangements; operating income (loss); return on capital, assets, equity, or investment; total shareholder returns; coverage decisions; productivity; expense efficiency; margins; operating efficiency; working capital; earnings (loss) per share of our ADSs; sales or market shares; number of prescriptions or prescribing physicians; revenue; corporate revenue;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190"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87" w:name="page188"/>
    <w:bookmarkEnd w:id="1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 to account for unforeseen factors beyond management's control that affected corporate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and Indemnification</w:t>
      </w:r>
    </w:p>
    <w:p>
      <w:pPr>
        <w:spacing w:after="0" w:line="215" w:lineRule="exact"/>
        <w:rPr>
          <w:sz w:val="20"/>
          <w:szCs w:val="20"/>
          <w:color w:val="auto"/>
        </w:rPr>
      </w:pPr>
    </w:p>
    <w:p>
      <w:pPr>
        <w:ind w:right="200" w:firstLine="439"/>
        <w:spacing w:after="0" w:line="244" w:lineRule="auto"/>
        <w:rPr>
          <w:sz w:val="20"/>
          <w:szCs w:val="20"/>
          <w:color w:val="auto"/>
        </w:rPr>
      </w:pPr>
      <w:r>
        <w:rPr>
          <w:rFonts w:ascii="Arial" w:cs="Arial" w:eastAsia="Arial" w:hAnsi="Arial"/>
          <w:sz w:val="16"/>
          <w:szCs w:val="16"/>
          <w:color w:val="auto"/>
        </w:rPr>
        <w:t>To the extent permitted by the Companies Act, we are empowered to indemnify our directors against any liability they incur by reason of their directorship. We maintain directors' and officers' insurance to insure such persons against certain liabilities. We expect to enter into a deed of indemnity with each of our directors and executive officers prior to the completion of this offering.</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such indemnification, we provide our directors and executive officers with directors' and officers' liability insurance.</w:t>
      </w:r>
    </w:p>
    <w:p>
      <w:pPr>
        <w:spacing w:after="0" w:line="195" w:lineRule="exact"/>
        <w:rPr>
          <w:sz w:val="20"/>
          <w:szCs w:val="20"/>
          <w:color w:val="auto"/>
        </w:rPr>
      </w:pPr>
    </w:p>
    <w:p>
      <w:pPr>
        <w:jc w:val="both"/>
        <w:ind w:right="180" w:firstLine="442"/>
        <w:spacing w:after="0" w:line="244" w:lineRule="auto"/>
        <w:rPr>
          <w:sz w:val="20"/>
          <w:szCs w:val="20"/>
          <w:color w:val="auto"/>
        </w:rPr>
      </w:pPr>
      <w:r>
        <w:rPr>
          <w:rFonts w:ascii="Arial" w:cs="Arial" w:eastAsia="Arial" w:hAnsi="Arial"/>
          <w:sz w:val="16"/>
          <w:szCs w:val="16"/>
          <w:color w:val="auto"/>
        </w:rPr>
        <w:t>Insofar as indemnification of liabilities arising under the Securities Act may be permitted to our board of directors,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8" w:name="page189"/>
    <w:bookmarkEnd w:id="1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NON-EMPLOYEE DIRECTOR COMPENSATION</w:t>
      </w:r>
    </w:p>
    <w:p>
      <w:pPr>
        <w:spacing w:after="0" w:line="21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Other than as set forth in the table and described more fully below, we did not pay any compensation or make any equity awards or non-equity awards to any of our non-employee directors during the year ended December 31, 2018. Directors may be reimbursed for travel and other expenses directly related to their activities as directors. Directors who also serve as employees receive no additional compensation for their service as directors. During the year ended December 31, 2018, Dr. Lee, our Chief Executive Officer, was a member of our board of directors, as well as an employee, and thus received no additional compensation for his services as a director. See the section titled "Executive Compensation" for more information about Dr. Lee's compensation for the year ended December 31, 2018. The following table presents the total compensation for each person who served as a non-employee director during the year ended December 31, 2018.</w:t>
      </w:r>
    </w:p>
    <w:p>
      <w:pPr>
        <w:spacing w:after="0" w:line="171"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Fees Earned</w:t>
            </w: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7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8"/>
              </w:rPr>
              <w:t>or Paid in</w:t>
            </w: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5"/>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7"/>
                <w:szCs w:val="17"/>
                <w:color w:val="auto"/>
              </w:rPr>
            </w:pPr>
          </w:p>
        </w:tc>
        <w:tc>
          <w:tcPr>
            <w:tcW w:w="174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98"/>
              </w:rPr>
              <w:t>Cash ($)</w:t>
            </w:r>
          </w:p>
        </w:tc>
        <w:tc>
          <w:tcPr>
            <w:tcW w:w="160" w:type="dxa"/>
            <w:vAlign w:val="bottom"/>
          </w:tcPr>
          <w:p>
            <w:pPr>
              <w:spacing w:after="0"/>
              <w:rPr>
                <w:sz w:val="17"/>
                <w:szCs w:val="17"/>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Total ($)</w:t>
            </w:r>
          </w:p>
        </w:tc>
        <w:tc>
          <w:tcPr>
            <w:tcW w:w="140" w:type="dxa"/>
            <w:vAlign w:val="bottom"/>
          </w:tcPr>
          <w:p>
            <w:pPr>
              <w:spacing w:after="0"/>
              <w:rPr>
                <w:sz w:val="17"/>
                <w:szCs w:val="17"/>
                <w:color w:val="auto"/>
              </w:rPr>
            </w:pPr>
          </w:p>
        </w:tc>
      </w:tr>
      <w:tr>
        <w:trPr>
          <w:trHeight w:val="220"/>
        </w:trPr>
        <w:tc>
          <w:tcPr>
            <w:tcW w:w="40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Stephen Hoffman, M.D., Ph.D.</w:t>
            </w:r>
            <w:r>
              <w:rPr>
                <w:rFonts w:ascii="Arial" w:cs="Arial" w:eastAsia="Arial" w:hAnsi="Arial"/>
                <w:sz w:val="25"/>
                <w:szCs w:val="25"/>
                <w:color w:val="auto"/>
                <w:vertAlign w:val="superscript"/>
              </w:rPr>
              <w:t>(1)</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9,000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9,000</w:t>
            </w:r>
          </w:p>
        </w:tc>
      </w:tr>
      <w:tr>
        <w:trPr>
          <w:trHeight w:val="220"/>
        </w:trPr>
        <w:tc>
          <w:tcPr>
            <w:tcW w:w="4080" w:type="dxa"/>
            <w:vAlign w:val="bottom"/>
            <w:gridSpan w:val="2"/>
          </w:tcPr>
          <w:p>
            <w:pPr>
              <w:spacing w:after="0" w:line="220" w:lineRule="exact"/>
              <w:rPr>
                <w:sz w:val="20"/>
                <w:szCs w:val="20"/>
                <w:color w:val="auto"/>
              </w:rPr>
            </w:pPr>
            <w:r>
              <w:rPr>
                <w:rFonts w:ascii="Arial" w:cs="Arial" w:eastAsia="Arial" w:hAnsi="Arial"/>
                <w:sz w:val="15"/>
                <w:szCs w:val="15"/>
                <w:color w:val="auto"/>
              </w:rPr>
              <w:t>Michael Anstey, DPhil</w:t>
            </w:r>
            <w:r>
              <w:rPr>
                <w:rFonts w:ascii="Arial" w:cs="Arial" w:eastAsia="Arial" w:hAnsi="Arial"/>
                <w:sz w:val="25"/>
                <w:szCs w:val="25"/>
                <w:color w:val="auto"/>
                <w:vertAlign w:val="superscript"/>
              </w:rPr>
              <w:t>(2)</w:t>
            </w:r>
          </w:p>
        </w:tc>
        <w:tc>
          <w:tcPr>
            <w:tcW w:w="14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20"/>
        </w:trPr>
        <w:tc>
          <w:tcPr>
            <w:tcW w:w="40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Kate Bingham, MBA</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0"/>
        </w:trPr>
        <w:tc>
          <w:tcPr>
            <w:tcW w:w="4080" w:type="dxa"/>
            <w:vAlign w:val="bottom"/>
            <w:gridSpan w:val="2"/>
          </w:tcPr>
          <w:p>
            <w:pPr>
              <w:spacing w:after="0" w:line="220" w:lineRule="exact"/>
              <w:rPr>
                <w:sz w:val="20"/>
                <w:szCs w:val="20"/>
                <w:color w:val="auto"/>
              </w:rPr>
            </w:pPr>
            <w:r>
              <w:rPr>
                <w:rFonts w:ascii="Arial" w:cs="Arial" w:eastAsia="Arial" w:hAnsi="Arial"/>
                <w:sz w:val="15"/>
                <w:szCs w:val="15"/>
                <w:color w:val="auto"/>
              </w:rPr>
              <w:t>Deborah Harland, Ph.D., MBA</w:t>
            </w:r>
            <w:r>
              <w:rPr>
                <w:rFonts w:ascii="Arial" w:cs="Arial" w:eastAsia="Arial" w:hAnsi="Arial"/>
                <w:sz w:val="25"/>
                <w:szCs w:val="25"/>
                <w:color w:val="auto"/>
                <w:vertAlign w:val="superscript"/>
              </w:rPr>
              <w:t>(2)</w:t>
            </w:r>
          </w:p>
        </w:tc>
        <w:tc>
          <w:tcPr>
            <w:tcW w:w="14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20"/>
        </w:trPr>
        <w:tc>
          <w:tcPr>
            <w:tcW w:w="40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Anja König, Ph.D.</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0"/>
        </w:trPr>
        <w:tc>
          <w:tcPr>
            <w:tcW w:w="4080" w:type="dxa"/>
            <w:vAlign w:val="bottom"/>
            <w:gridSpan w:val="2"/>
          </w:tcPr>
          <w:p>
            <w:pPr>
              <w:spacing w:after="0" w:line="220" w:lineRule="exact"/>
              <w:rPr>
                <w:sz w:val="20"/>
                <w:szCs w:val="20"/>
                <w:color w:val="auto"/>
              </w:rPr>
            </w:pPr>
            <w:r>
              <w:rPr>
                <w:rFonts w:ascii="Arial" w:cs="Arial" w:eastAsia="Arial" w:hAnsi="Arial"/>
                <w:sz w:val="15"/>
                <w:szCs w:val="15"/>
                <w:color w:val="auto"/>
              </w:rPr>
              <w:t>Eashwar Krishnan</w:t>
            </w:r>
            <w:r>
              <w:rPr>
                <w:rFonts w:ascii="Arial" w:cs="Arial" w:eastAsia="Arial" w:hAnsi="Arial"/>
                <w:sz w:val="25"/>
                <w:szCs w:val="25"/>
                <w:color w:val="auto"/>
                <w:vertAlign w:val="superscript"/>
              </w:rPr>
              <w:t>(2)</w:t>
            </w:r>
          </w:p>
        </w:tc>
        <w:tc>
          <w:tcPr>
            <w:tcW w:w="14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20"/>
        </w:trPr>
        <w:tc>
          <w:tcPr>
            <w:tcW w:w="40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James Lee</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0"/>
        </w:trPr>
        <w:tc>
          <w:tcPr>
            <w:tcW w:w="4080" w:type="dxa"/>
            <w:vAlign w:val="bottom"/>
            <w:gridSpan w:val="2"/>
          </w:tcPr>
          <w:p>
            <w:pPr>
              <w:spacing w:after="0" w:line="220" w:lineRule="exact"/>
              <w:rPr>
                <w:sz w:val="20"/>
                <w:szCs w:val="20"/>
                <w:color w:val="auto"/>
              </w:rPr>
            </w:pPr>
            <w:r>
              <w:rPr>
                <w:rFonts w:ascii="Arial" w:cs="Arial" w:eastAsia="Arial" w:hAnsi="Arial"/>
                <w:sz w:val="15"/>
                <w:szCs w:val="15"/>
                <w:color w:val="auto"/>
              </w:rPr>
              <w:t>Carolyn Ng, Ph.D.</w:t>
            </w:r>
            <w:r>
              <w:rPr>
                <w:rFonts w:ascii="Arial" w:cs="Arial" w:eastAsia="Arial" w:hAnsi="Arial"/>
                <w:sz w:val="25"/>
                <w:szCs w:val="25"/>
                <w:color w:val="auto"/>
                <w:vertAlign w:val="superscript"/>
              </w:rPr>
              <w:t>(2)</w:t>
            </w:r>
          </w:p>
        </w:tc>
        <w:tc>
          <w:tcPr>
            <w:tcW w:w="14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20"/>
        </w:trPr>
        <w:tc>
          <w:tcPr>
            <w:tcW w:w="40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Jason Rhodes, MBA</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318"/>
        </w:trPr>
        <w:tc>
          <w:tcPr>
            <w:tcW w:w="4080" w:type="dxa"/>
            <w:vAlign w:val="bottom"/>
            <w:gridSpan w:val="2"/>
          </w:tcPr>
          <w:p>
            <w:pPr>
              <w:spacing w:after="0"/>
              <w:rPr>
                <w:sz w:val="20"/>
                <w:szCs w:val="20"/>
                <w:color w:val="auto"/>
              </w:rPr>
            </w:pPr>
            <w:r>
              <w:rPr>
                <w:rFonts w:ascii="Arial" w:cs="Arial" w:eastAsia="Arial" w:hAnsi="Arial"/>
                <w:sz w:val="16"/>
                <w:szCs w:val="16"/>
                <w:color w:val="auto"/>
              </w:rPr>
              <w:t>Sir Greg Winter, FRS</w:t>
            </w:r>
            <w:r>
              <w:rPr>
                <w:rFonts w:ascii="Arial" w:cs="Arial" w:eastAsia="Arial" w:hAnsi="Arial"/>
                <w:sz w:val="26"/>
                <w:szCs w:val="26"/>
                <w:color w:val="auto"/>
                <w:vertAlign w:val="superscript"/>
              </w:rPr>
              <w:t>(2)</w:t>
            </w:r>
          </w:p>
        </w:tc>
        <w:tc>
          <w:tcPr>
            <w:tcW w:w="140" w:type="dxa"/>
            <w:vAlign w:val="bottom"/>
          </w:tcPr>
          <w:p>
            <w:pPr>
              <w:spacing w:after="0"/>
              <w:rPr>
                <w:sz w:val="24"/>
                <w:szCs w:val="24"/>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7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ind w:left="2440" w:right="460" w:hanging="499"/>
        <w:spacing w:after="0" w:line="191" w:lineRule="auto"/>
        <w:tabs>
          <w:tab w:leader="none" w:pos="2440" w:val="left"/>
        </w:tabs>
        <w:numPr>
          <w:ilvl w:val="0"/>
          <w:numId w:val="90"/>
        </w:numPr>
        <w:rPr>
          <w:rFonts w:ascii="Arial" w:cs="Arial" w:eastAsia="Arial" w:hAnsi="Arial"/>
          <w:sz w:val="20"/>
          <w:szCs w:val="20"/>
          <w:color w:val="auto"/>
          <w:vertAlign w:val="superscript"/>
        </w:rPr>
      </w:pPr>
      <w:r>
        <w:rPr>
          <w:rFonts w:ascii="Arial" w:cs="Arial" w:eastAsia="Arial" w:hAnsi="Arial"/>
          <w:sz w:val="13"/>
          <w:szCs w:val="13"/>
          <w:color w:val="auto"/>
        </w:rPr>
        <w:t>As of December 31, 2018, Dr. Hoffman held restricted share awards for 56,430 ordinary shares. Dr. Hoffman departed from the board of directors on March 18, 2019.</w:t>
      </w:r>
    </w:p>
    <w:p>
      <w:pPr>
        <w:spacing w:after="0" w:line="138" w:lineRule="exact"/>
        <w:rPr>
          <w:rFonts w:ascii="Arial" w:cs="Arial" w:eastAsia="Arial" w:hAnsi="Arial"/>
          <w:sz w:val="20"/>
          <w:szCs w:val="20"/>
          <w:color w:val="auto"/>
          <w:vertAlign w:val="superscript"/>
        </w:rPr>
      </w:pPr>
    </w:p>
    <w:p>
      <w:pPr>
        <w:ind w:left="2440" w:hanging="499"/>
        <w:spacing w:after="0" w:line="203" w:lineRule="auto"/>
        <w:tabs>
          <w:tab w:leader="none" w:pos="2440" w:val="left"/>
        </w:tabs>
        <w:numPr>
          <w:ilvl w:val="0"/>
          <w:numId w:val="90"/>
        </w:numPr>
        <w:rPr>
          <w:rFonts w:ascii="Arial" w:cs="Arial" w:eastAsia="Arial" w:hAnsi="Arial"/>
          <w:sz w:val="20"/>
          <w:szCs w:val="20"/>
          <w:color w:val="auto"/>
          <w:vertAlign w:val="superscript"/>
        </w:rPr>
      </w:pPr>
      <w:r>
        <w:rPr>
          <w:rFonts w:ascii="Arial" w:cs="Arial" w:eastAsia="Arial" w:hAnsi="Arial"/>
          <w:sz w:val="13"/>
          <w:szCs w:val="13"/>
          <w:color w:val="auto"/>
        </w:rPr>
        <w:t>Each of Michael Anstey, Kate Bingham, Deborah Harland, Anja König, James Lee, Carolyn Ng, Jason Rhodes and Sir Greg Winter did not receive any compensation for the year ended December 31, 2018, and none of them held any outstanding equity awards as of December 31, 2018. James Lee resigned from the board of directors on July 12, 2018. Eashwar Krishnan joined the board of directors on December 22, 2018.</w:t>
      </w:r>
    </w:p>
    <w:p>
      <w:pPr>
        <w:spacing w:after="0" w:line="187" w:lineRule="exact"/>
        <w:rPr>
          <w:sz w:val="20"/>
          <w:szCs w:val="20"/>
          <w:color w:val="auto"/>
        </w:rPr>
      </w:pPr>
    </w:p>
    <w:p>
      <w:pPr>
        <w:ind w:right="260" w:firstLine="442"/>
        <w:spacing w:after="0" w:line="242" w:lineRule="auto"/>
        <w:rPr>
          <w:sz w:val="20"/>
          <w:szCs w:val="20"/>
          <w:color w:val="auto"/>
        </w:rPr>
      </w:pPr>
      <w:r>
        <w:rPr>
          <w:rFonts w:ascii="Arial" w:cs="Arial" w:eastAsia="Arial" w:hAnsi="Arial"/>
          <w:sz w:val="16"/>
          <w:szCs w:val="16"/>
          <w:color w:val="auto"/>
        </w:rPr>
        <w:t>In March 2019, Pierre Legault joined the board of directors as chairman. In his role as chairman, Mr. Legault will receive an annual fee of £5,000. In April 2019, Mr. Legault was also granted options to purchase 152,773 ordinary shares, which was equivalent to 1.5% of the equity in the company on the grant date, and which will be subject to anti-dilution protection until the earlier of (i) the completion of this offering or (ii) two years from March 15, 2019. For additional information, see "Certain Relationships and Related Party Transactions—Stone Sunny Isles, Inc."</w:t>
      </w:r>
    </w:p>
    <w:p>
      <w:pPr>
        <w:spacing w:after="0" w:line="187" w:lineRule="exact"/>
        <w:rPr>
          <w:sz w:val="20"/>
          <w:szCs w:val="20"/>
          <w:color w:val="auto"/>
        </w:rPr>
      </w:pPr>
    </w:p>
    <w:p>
      <w:pPr>
        <w:ind w:right="380" w:firstLine="442"/>
        <w:spacing w:after="0" w:line="249" w:lineRule="auto"/>
        <w:rPr>
          <w:sz w:val="20"/>
          <w:szCs w:val="20"/>
          <w:color w:val="auto"/>
        </w:rPr>
      </w:pPr>
      <w:r>
        <w:rPr>
          <w:rFonts w:ascii="Arial" w:cs="Arial" w:eastAsia="Arial" w:hAnsi="Arial"/>
          <w:sz w:val="16"/>
          <w:szCs w:val="16"/>
          <w:color w:val="auto"/>
        </w:rPr>
        <w:t>Prior to this offering, we did not have a formal policy to compensate our non-employee directors. Immediately prior to the completion of this offering, we intend to implement a formal policy pursuant to which our non-employee directors will be eligible to receive the cash retainers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9" w:name="page190"/>
    <w:bookmarkEnd w:id="189"/>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 equity awards discussed below: Mr. Legault will not participate in this policy and will instead continue to receive his monthly retainer.</w:t>
      </w:r>
    </w:p>
    <w:p>
      <w:pPr>
        <w:spacing w:after="0" w:line="371" w:lineRule="exact"/>
        <w:rPr>
          <w:sz w:val="20"/>
          <w:szCs w:val="20"/>
          <w:color w:val="auto"/>
        </w:rPr>
      </w:pPr>
    </w:p>
    <w:tbl>
      <w:tblPr>
        <w:tblLayout w:type="fixed"/>
        <w:tblInd w:w="1722" w:type="dxa"/>
        <w:tblCellMar>
          <w:top w:w="0" w:type="dxa"/>
          <w:left w:w="0" w:type="dxa"/>
          <w:bottom w:w="0" w:type="dxa"/>
          <w:right w:w="0" w:type="dxa"/>
        </w:tblCellMar>
      </w:tblPr>
      <w:tr>
        <w:trPr>
          <w:trHeight w:val="201"/>
        </w:trPr>
        <w:tc>
          <w:tcPr>
            <w:tcW w:w="6880" w:type="dxa"/>
            <w:vAlign w:val="bottom"/>
          </w:tcPr>
          <w:p>
            <w:pPr>
              <w:spacing w:after="0"/>
              <w:rPr>
                <w:sz w:val="20"/>
                <w:szCs w:val="20"/>
                <w:color w:val="auto"/>
              </w:rPr>
            </w:pPr>
            <w:r>
              <w:rPr>
                <w:rFonts w:ascii="Arial" w:cs="Arial" w:eastAsia="Arial" w:hAnsi="Arial"/>
                <w:sz w:val="16"/>
                <w:szCs w:val="16"/>
                <w:b w:val="1"/>
                <w:bCs w:val="1"/>
                <w:color w:val="auto"/>
              </w:rPr>
              <w:t>Annual Retainer for Board Membership</w:t>
            </w:r>
          </w:p>
        </w:tc>
        <w:tc>
          <w:tcPr>
            <w:tcW w:w="1120" w:type="dxa"/>
            <w:vAlign w:val="bottom"/>
          </w:tcPr>
          <w:p>
            <w:pPr>
              <w:spacing w:after="0"/>
              <w:rPr>
                <w:sz w:val="17"/>
                <w:szCs w:val="17"/>
                <w:color w:val="auto"/>
              </w:rPr>
            </w:pPr>
          </w:p>
        </w:tc>
      </w:tr>
      <w:tr>
        <w:trPr>
          <w:trHeight w:val="18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Annual service on the board of directors (other than chair)</w:t>
            </w:r>
          </w:p>
        </w:tc>
        <w:tc>
          <w:tcPr>
            <w:tcW w:w="112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r>
      <w:tr>
        <w:trPr>
          <w:trHeight w:val="367"/>
        </w:trPr>
        <w:tc>
          <w:tcPr>
            <w:tcW w:w="6880" w:type="dxa"/>
            <w:vAlign w:val="bottom"/>
          </w:tcPr>
          <w:p>
            <w:pPr>
              <w:spacing w:after="0"/>
              <w:rPr>
                <w:sz w:val="20"/>
                <w:szCs w:val="20"/>
                <w:color w:val="auto"/>
              </w:rPr>
            </w:pPr>
            <w:r>
              <w:rPr>
                <w:rFonts w:ascii="Arial" w:cs="Arial" w:eastAsia="Arial" w:hAnsi="Arial"/>
                <w:sz w:val="16"/>
                <w:szCs w:val="16"/>
                <w:b w:val="1"/>
                <w:bCs w:val="1"/>
                <w:color w:val="auto"/>
              </w:rPr>
              <w:t>Additional Annual Retainer for Committee Membership</w:t>
            </w:r>
          </w:p>
        </w:tc>
        <w:tc>
          <w:tcPr>
            <w:tcW w:w="1120" w:type="dxa"/>
            <w:vAlign w:val="bottom"/>
          </w:tcPr>
          <w:p>
            <w:pPr>
              <w:spacing w:after="0"/>
              <w:rPr>
                <w:sz w:val="24"/>
                <w:szCs w:val="24"/>
                <w:color w:val="auto"/>
              </w:rPr>
            </w:pPr>
          </w:p>
        </w:tc>
      </w:tr>
      <w:tr>
        <w:trPr>
          <w:trHeight w:val="18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Annual service as member of the audit committee (other than chair)</w:t>
            </w:r>
          </w:p>
        </w:tc>
        <w:tc>
          <w:tcPr>
            <w:tcW w:w="112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r>
      <w:tr>
        <w:trPr>
          <w:trHeight w:val="183"/>
        </w:trPr>
        <w:tc>
          <w:tcPr>
            <w:tcW w:w="6880" w:type="dxa"/>
            <w:vAlign w:val="bottom"/>
          </w:tcPr>
          <w:p>
            <w:pPr>
              <w:spacing w:after="0"/>
              <w:rPr>
                <w:sz w:val="20"/>
                <w:szCs w:val="20"/>
                <w:color w:val="auto"/>
              </w:rPr>
            </w:pPr>
            <w:r>
              <w:rPr>
                <w:rFonts w:ascii="Arial" w:cs="Arial" w:eastAsia="Arial" w:hAnsi="Arial"/>
                <w:sz w:val="16"/>
                <w:szCs w:val="16"/>
                <w:color w:val="auto"/>
              </w:rPr>
              <w:t>Annual service as chair of the audit committee</w:t>
            </w:r>
          </w:p>
        </w:tc>
        <w:tc>
          <w:tcPr>
            <w:tcW w:w="1120" w:type="dxa"/>
            <w:vAlign w:val="bottom"/>
          </w:tcPr>
          <w:p>
            <w:pPr>
              <w:jc w:val="right"/>
              <w:ind w:right="701"/>
              <w:spacing w:after="0"/>
              <w:rPr>
                <w:sz w:val="20"/>
                <w:szCs w:val="20"/>
                <w:color w:val="auto"/>
              </w:rPr>
            </w:pPr>
            <w:r>
              <w:rPr>
                <w:rFonts w:ascii="Arial" w:cs="Arial" w:eastAsia="Arial" w:hAnsi="Arial"/>
                <w:sz w:val="16"/>
                <w:szCs w:val="16"/>
                <w:color w:val="auto"/>
              </w:rPr>
              <w:t>$</w:t>
            </w:r>
          </w:p>
        </w:tc>
      </w:tr>
      <w:tr>
        <w:trPr>
          <w:trHeight w:val="18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Annual service as member of the compensation committee (other than chair)</w:t>
            </w:r>
          </w:p>
        </w:tc>
        <w:tc>
          <w:tcPr>
            <w:tcW w:w="112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rPr>
              <w:t>$</w:t>
            </w:r>
          </w:p>
        </w:tc>
      </w:tr>
      <w:tr>
        <w:trPr>
          <w:trHeight w:val="183"/>
        </w:trPr>
        <w:tc>
          <w:tcPr>
            <w:tcW w:w="6880" w:type="dxa"/>
            <w:vAlign w:val="bottom"/>
          </w:tcPr>
          <w:p>
            <w:pPr>
              <w:spacing w:after="0"/>
              <w:rPr>
                <w:sz w:val="20"/>
                <w:szCs w:val="20"/>
                <w:color w:val="auto"/>
              </w:rPr>
            </w:pPr>
            <w:r>
              <w:rPr>
                <w:rFonts w:ascii="Arial" w:cs="Arial" w:eastAsia="Arial" w:hAnsi="Arial"/>
                <w:sz w:val="16"/>
                <w:szCs w:val="16"/>
                <w:color w:val="auto"/>
              </w:rPr>
              <w:t>Annual service as chair of the compensation committee</w:t>
            </w:r>
          </w:p>
        </w:tc>
        <w:tc>
          <w:tcPr>
            <w:tcW w:w="1120" w:type="dxa"/>
            <w:vAlign w:val="bottom"/>
          </w:tcPr>
          <w:p>
            <w:pPr>
              <w:jc w:val="right"/>
              <w:ind w:right="701"/>
              <w:spacing w:after="0"/>
              <w:rPr>
                <w:sz w:val="20"/>
                <w:szCs w:val="20"/>
                <w:color w:val="auto"/>
              </w:rPr>
            </w:pPr>
            <w:r>
              <w:rPr>
                <w:rFonts w:ascii="Arial" w:cs="Arial" w:eastAsia="Arial" w:hAnsi="Arial"/>
                <w:sz w:val="16"/>
                <w:szCs w:val="16"/>
                <w:color w:val="auto"/>
              </w:rPr>
              <w:t>$</w:t>
            </w:r>
          </w:p>
        </w:tc>
      </w:tr>
      <w:tr>
        <w:trPr>
          <w:trHeight w:val="186"/>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Annual service as member of the nominating and corporate governance committee (other than</w:t>
            </w:r>
          </w:p>
        </w:tc>
        <w:tc>
          <w:tcPr>
            <w:tcW w:w="1120" w:type="dxa"/>
            <w:vAlign w:val="bottom"/>
            <w:shd w:val="clear" w:color="auto" w:fill="CCEEFF"/>
          </w:tcPr>
          <w:p>
            <w:pPr>
              <w:spacing w:after="0"/>
              <w:rPr>
                <w:sz w:val="16"/>
                <w:szCs w:val="16"/>
                <w:color w:val="auto"/>
              </w:rPr>
            </w:pPr>
          </w:p>
        </w:tc>
      </w:tr>
      <w:tr>
        <w:trPr>
          <w:trHeight w:val="181"/>
        </w:trPr>
        <w:tc>
          <w:tcPr>
            <w:tcW w:w="68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chair)</w:t>
            </w:r>
          </w:p>
        </w:tc>
        <w:tc>
          <w:tcPr>
            <w:tcW w:w="1120" w:type="dxa"/>
            <w:vAlign w:val="bottom"/>
            <w:shd w:val="clear" w:color="auto" w:fill="CCEEFF"/>
          </w:tcPr>
          <w:p>
            <w:pPr>
              <w:jc w:val="right"/>
              <w:ind w:right="701"/>
              <w:spacing w:after="0" w:line="181" w:lineRule="exact"/>
              <w:rPr>
                <w:sz w:val="20"/>
                <w:szCs w:val="20"/>
                <w:color w:val="auto"/>
              </w:rPr>
            </w:pPr>
            <w:r>
              <w:rPr>
                <w:rFonts w:ascii="Arial" w:cs="Arial" w:eastAsia="Arial" w:hAnsi="Arial"/>
                <w:sz w:val="16"/>
                <w:szCs w:val="16"/>
                <w:color w:val="auto"/>
              </w:rPr>
              <w:t>$</w:t>
            </w:r>
          </w:p>
        </w:tc>
      </w:tr>
      <w:tr>
        <w:trPr>
          <w:trHeight w:val="195"/>
        </w:trPr>
        <w:tc>
          <w:tcPr>
            <w:tcW w:w="6880" w:type="dxa"/>
            <w:vAlign w:val="bottom"/>
          </w:tcPr>
          <w:p>
            <w:pPr>
              <w:spacing w:after="0"/>
              <w:rPr>
                <w:sz w:val="20"/>
                <w:szCs w:val="20"/>
                <w:color w:val="auto"/>
              </w:rPr>
            </w:pPr>
            <w:r>
              <w:rPr>
                <w:rFonts w:ascii="Arial" w:cs="Arial" w:eastAsia="Arial" w:hAnsi="Arial"/>
                <w:sz w:val="16"/>
                <w:szCs w:val="16"/>
                <w:color w:val="auto"/>
              </w:rPr>
              <w:t>Annual service as chair of the nominating and corporate governance committee</w:t>
            </w:r>
          </w:p>
        </w:tc>
        <w:tc>
          <w:tcPr>
            <w:tcW w:w="1120" w:type="dxa"/>
            <w:vAlign w:val="bottom"/>
          </w:tcPr>
          <w:p>
            <w:pPr>
              <w:jc w:val="right"/>
              <w:ind w:right="701"/>
              <w:spacing w:after="0"/>
              <w:rPr>
                <w:sz w:val="20"/>
                <w:szCs w:val="20"/>
                <w:color w:val="auto"/>
              </w:rPr>
            </w:pPr>
            <w:r>
              <w:rPr>
                <w:rFonts w:ascii="Arial" w:cs="Arial" w:eastAsia="Arial" w:hAnsi="Arial"/>
                <w:sz w:val="16"/>
                <w:szCs w:val="16"/>
                <w:color w:val="auto"/>
              </w:rPr>
              <w:t>$</w:t>
            </w:r>
          </w:p>
        </w:tc>
      </w:tr>
    </w:tbl>
    <w:p>
      <w:pPr>
        <w:spacing w:after="0" w:line="187" w:lineRule="exact"/>
        <w:rPr>
          <w:sz w:val="20"/>
          <w:szCs w:val="20"/>
          <w:color w:val="auto"/>
        </w:rPr>
      </w:pPr>
    </w:p>
    <w:p>
      <w:pPr>
        <w:ind w:left="442"/>
        <w:spacing w:after="0"/>
        <w:rPr>
          <w:sz w:val="20"/>
          <w:szCs w:val="20"/>
          <w:color w:val="auto"/>
        </w:rPr>
      </w:pPr>
      <w:r>
        <w:rPr>
          <w:rFonts w:ascii="Arial" w:cs="Arial" w:eastAsia="Arial" w:hAnsi="Arial"/>
          <w:sz w:val="16"/>
          <w:szCs w:val="16"/>
          <w:color w:val="auto"/>
        </w:rPr>
        <w:t>Our policy will provide that, upon initial election to our board of directors, each non-employee director will be granted an equity award having a fair market</w:t>
      </w:r>
    </w:p>
    <w:p>
      <w:pPr>
        <w:ind w:left="2" w:right="220"/>
        <w:spacing w:after="0" w:line="239" w:lineRule="auto"/>
        <w:rPr>
          <w:sz w:val="20"/>
          <w:szCs w:val="20"/>
          <w:color w:val="auto"/>
        </w:rPr>
      </w:pPr>
      <w:r>
        <w:rPr>
          <w:rFonts w:ascii="Arial" w:cs="Arial" w:eastAsia="Arial" w:hAnsi="Arial"/>
          <w:sz w:val="16"/>
          <w:szCs w:val="16"/>
          <w:color w:val="auto"/>
        </w:rPr>
        <w:t>value of $ , or the Initial Grant. In addition, on the date of each of our annual meeting of shareholders following the completion of this offering, each non-employee director who will continue as a non-employee director following such meeting will be granted an annual equity award having a fair market value of</w:t>
      </w:r>
    </w:p>
    <w:p>
      <w:pPr>
        <w:ind w:left="2" w:hanging="2"/>
        <w:spacing w:after="0" w:line="241" w:lineRule="auto"/>
        <w:tabs>
          <w:tab w:leader="none" w:pos="66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or the Annual Grant. If a new non-employee director joins our board of directors on a date other than the date of our annual meeting of shareholders, such non-employee director will be granted a pro-rata portion of the Annual Grant, based on the time between his or her appointment and our next annual meeting of shareholders. The Initial Grant will vest in equal annual installments over three years, subject to continued service as a director through the applicable vesting dates. The Annual Grant will vest in full on the earlier of (i) the first anniversary of the grant date or (ii) our next annual meeting of shareholders, subject to continued service as a director through the applicable vesting date. Such awards are subject to full accelerated vesting upon the sale of our company.</w:t>
      </w:r>
    </w:p>
    <w:p>
      <w:pPr>
        <w:spacing w:after="0" w:line="189" w:lineRule="exact"/>
        <w:rPr>
          <w:sz w:val="20"/>
          <w:szCs w:val="20"/>
          <w:color w:val="auto"/>
        </w:rPr>
      </w:pPr>
    </w:p>
    <w:p>
      <w:pPr>
        <w:ind w:left="442"/>
        <w:spacing w:after="0"/>
        <w:rPr>
          <w:sz w:val="20"/>
          <w:szCs w:val="20"/>
          <w:color w:val="auto"/>
        </w:rPr>
      </w:pPr>
      <w:r>
        <w:rPr>
          <w:rFonts w:ascii="Arial" w:cs="Arial" w:eastAsia="Arial" w:hAnsi="Arial"/>
          <w:sz w:val="16"/>
          <w:szCs w:val="16"/>
          <w:color w:val="auto"/>
        </w:rPr>
        <w:t>Employee directors will receive no additional compensation for their service as a director.</w:t>
      </w:r>
    </w:p>
    <w:p>
      <w:pPr>
        <w:spacing w:after="0" w:line="195" w:lineRule="exact"/>
        <w:rPr>
          <w:sz w:val="20"/>
          <w:szCs w:val="20"/>
          <w:color w:val="auto"/>
        </w:rPr>
      </w:pPr>
    </w:p>
    <w:p>
      <w:pPr>
        <w:ind w:left="2" w:right="220" w:firstLine="442"/>
        <w:spacing w:after="0" w:line="249" w:lineRule="auto"/>
        <w:rPr>
          <w:sz w:val="20"/>
          <w:szCs w:val="20"/>
          <w:color w:val="auto"/>
        </w:rPr>
      </w:pPr>
      <w:r>
        <w:rPr>
          <w:rFonts w:ascii="Arial" w:cs="Arial" w:eastAsia="Arial" w:hAnsi="Arial"/>
          <w:sz w:val="16"/>
          <w:szCs w:val="16"/>
          <w:color w:val="auto"/>
        </w:rPr>
        <w:t>We will reimburse all reasonable out-of-pocket expenses incurred by directors for their attendance at meetings of our board of directors or any committee thereof.</w:t>
      </w:r>
    </w:p>
    <w:p>
      <w:pPr>
        <w:spacing w:after="0" w:line="181"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143" w:right="259" w:bottom="1440" w:gutter="0" w:footer="0" w:header="0"/>
        </w:sectPr>
      </w:pPr>
    </w:p>
    <w:bookmarkStart w:id="190" w:name="page191"/>
    <w:bookmarkEnd w:id="1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215" w:lineRule="exact"/>
        <w:rPr>
          <w:sz w:val="20"/>
          <w:szCs w:val="20"/>
          <w:color w:val="auto"/>
        </w:rPr>
      </w:pPr>
    </w:p>
    <w:p>
      <w:pPr>
        <w:ind w:right="40" w:firstLine="442"/>
        <w:spacing w:after="0" w:line="244" w:lineRule="auto"/>
        <w:rPr>
          <w:sz w:val="20"/>
          <w:szCs w:val="20"/>
          <w:color w:val="auto"/>
        </w:rPr>
      </w:pPr>
      <w:r>
        <w:rPr>
          <w:rFonts w:ascii="Arial" w:cs="Arial" w:eastAsia="Arial" w:hAnsi="Arial"/>
          <w:sz w:val="16"/>
          <w:szCs w:val="16"/>
          <w:color w:val="auto"/>
        </w:rPr>
        <w:t>Within this section, we have calculated the dollar amounts using the historical exchange rate as of the closing date of each transaction. Other than compensation arrangements, we describe below transactions and series of similar transactions, since January 1, 2015, to which we were a party or will be a party, in which:</w:t>
      </w:r>
    </w:p>
    <w:p>
      <w:pPr>
        <w:spacing w:after="0" w:line="185" w:lineRule="exact"/>
        <w:rPr>
          <w:sz w:val="20"/>
          <w:szCs w:val="20"/>
          <w:color w:val="auto"/>
        </w:rPr>
      </w:pPr>
    </w:p>
    <w:p>
      <w:pPr>
        <w:ind w:left="980" w:hanging="493"/>
        <w:spacing w:after="0"/>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amounts involved exceeded or will exceed $120,000 or 1% of our total assets at year end for the last two completed fiscal years; and</w:t>
      </w:r>
    </w:p>
    <w:p>
      <w:pPr>
        <w:spacing w:after="0" w:line="195" w:lineRule="exact"/>
        <w:rPr>
          <w:rFonts w:ascii="Arial" w:cs="Arial" w:eastAsia="Arial" w:hAnsi="Arial"/>
          <w:sz w:val="16"/>
          <w:szCs w:val="16"/>
          <w:color w:val="auto"/>
        </w:rPr>
      </w:pPr>
    </w:p>
    <w:p>
      <w:pPr>
        <w:ind w:left="980" w:right="420" w:hanging="493"/>
        <w:spacing w:after="0" w:line="249" w:lineRule="auto"/>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share capital, or any member of the immediate family of the foregoing persons, had or will have a direct or indirect material interest.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Compensation arrangements for our directors and named executive officers are described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Share Financings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A Financing</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October 6, 2014, we entered into a Series A Investment Agreement relating to BicycleRD Limited, pursuant to which we agreed to issue, and the</w:t>
      </w:r>
    </w:p>
    <w:p>
      <w:pPr>
        <w:spacing w:after="0"/>
        <w:rPr>
          <w:sz w:val="20"/>
          <w:szCs w:val="20"/>
          <w:color w:val="auto"/>
        </w:rPr>
      </w:pPr>
      <w:r>
        <w:rPr>
          <w:rFonts w:ascii="Arial" w:cs="Arial" w:eastAsia="Arial" w:hAnsi="Arial"/>
          <w:sz w:val="16"/>
          <w:szCs w:val="16"/>
          <w:color w:val="auto"/>
        </w:rPr>
        <w:t>subscribers agreed to subscribe for, up to 2,030,001 Series A convertible preferred shares at price of £10.00 per Series A preferred share in three tranches. We</w:t>
      </w:r>
    </w:p>
    <w:p>
      <w:pPr>
        <w:spacing w:after="0"/>
        <w:rPr>
          <w:sz w:val="20"/>
          <w:szCs w:val="20"/>
          <w:color w:val="auto"/>
        </w:rPr>
      </w:pPr>
      <w:r>
        <w:rPr>
          <w:rFonts w:ascii="Arial" w:cs="Arial" w:eastAsia="Arial" w:hAnsi="Arial"/>
          <w:sz w:val="16"/>
          <w:szCs w:val="16"/>
          <w:color w:val="auto"/>
        </w:rPr>
        <w:t>issued 811,998 Series A convertible preferred shares for an aggregate cash subscription price of $13.0 million on October 6, 2014. The Series A Investment</w:t>
      </w:r>
    </w:p>
    <w:p>
      <w:pPr>
        <w:spacing w:after="0"/>
        <w:rPr>
          <w:sz w:val="20"/>
          <w:szCs w:val="20"/>
          <w:color w:val="auto"/>
        </w:rPr>
      </w:pPr>
      <w:r>
        <w:rPr>
          <w:rFonts w:ascii="Arial" w:cs="Arial" w:eastAsia="Arial" w:hAnsi="Arial"/>
          <w:sz w:val="15"/>
          <w:szCs w:val="15"/>
          <w:color w:val="auto"/>
        </w:rPr>
        <w:t>Agreement provided for second and third closings based on the achievement of defined performance milestones. Subsequently, we and the subscribers (amongst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others) amended the Series A Investment Agreement to increase the Series A convertible preferred shares issued in the second closing and reduce the Series A</w:t>
      </w:r>
    </w:p>
    <w:p>
      <w:pPr>
        <w:spacing w:after="0"/>
        <w:rPr>
          <w:sz w:val="20"/>
          <w:szCs w:val="20"/>
          <w:color w:val="auto"/>
        </w:rPr>
      </w:pPr>
      <w:r>
        <w:rPr>
          <w:rFonts w:ascii="Arial" w:cs="Arial" w:eastAsia="Arial" w:hAnsi="Arial"/>
          <w:sz w:val="16"/>
          <w:szCs w:val="16"/>
          <w:color w:val="auto"/>
        </w:rPr>
        <w:t>convertible preferred shares issued in the third closing. We issued 812,002 Series A convertible preferred shares for an aggregate cash subscription price of</w:t>
      </w:r>
    </w:p>
    <w:p>
      <w:pPr>
        <w:spacing w:after="0"/>
        <w:rPr>
          <w:sz w:val="20"/>
          <w:szCs w:val="20"/>
          <w:color w:val="auto"/>
        </w:rPr>
      </w:pPr>
      <w:r>
        <w:rPr>
          <w:rFonts w:ascii="Arial" w:cs="Arial" w:eastAsia="Arial" w:hAnsi="Arial"/>
          <w:sz w:val="16"/>
          <w:szCs w:val="16"/>
          <w:color w:val="auto"/>
        </w:rPr>
        <w:t>$11.5 million on March 11, 2016, and 406,001 Series A convertible preferred shares for an aggregate cash subscription price of $5.3 million on October 3, 2016.</w:t>
      </w:r>
    </w:p>
    <w:p>
      <w:pPr>
        <w:spacing w:after="0" w:line="195" w:lineRule="exact"/>
        <w:rPr>
          <w:sz w:val="20"/>
          <w:szCs w:val="20"/>
          <w:color w:val="auto"/>
        </w:rPr>
      </w:pPr>
    </w:p>
    <w:p>
      <w:pPr>
        <w:ind w:right="340" w:firstLine="439"/>
        <w:spacing w:after="0" w:line="249" w:lineRule="auto"/>
        <w:rPr>
          <w:sz w:val="20"/>
          <w:szCs w:val="20"/>
          <w:color w:val="auto"/>
        </w:rPr>
      </w:pPr>
      <w:r>
        <w:rPr>
          <w:rFonts w:ascii="Arial" w:cs="Arial" w:eastAsia="Arial" w:hAnsi="Arial"/>
          <w:sz w:val="16"/>
          <w:szCs w:val="16"/>
          <w:color w:val="auto"/>
        </w:rPr>
        <w:t>The following table summarizes the participation in the Series A financing across all three tranches by any of our directors, executive officers, holders of more than 5% of our share capital, or any member of the immediate family of the foregoing persons.</w:t>
      </w:r>
    </w:p>
    <w:p>
      <w:pPr>
        <w:spacing w:after="0" w:line="160"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left="1"/>
              <w:spacing w:after="0"/>
              <w:rPr>
                <w:sz w:val="20"/>
                <w:szCs w:val="20"/>
                <w:color w:val="auto"/>
              </w:rPr>
            </w:pPr>
            <w:r>
              <w:rPr>
                <w:rFonts w:ascii="Arial" w:cs="Arial" w:eastAsia="Arial" w:hAnsi="Arial"/>
                <w:sz w:val="16"/>
                <w:szCs w:val="16"/>
                <w:b w:val="1"/>
                <w:bCs w:val="1"/>
                <w:color w:val="auto"/>
                <w:w w:val="96"/>
              </w:rPr>
              <w:t>Series 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Aggregate</w:t>
            </w: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left="1"/>
              <w:spacing w:after="0"/>
              <w:rPr>
                <w:sz w:val="20"/>
                <w:szCs w:val="20"/>
                <w:color w:val="auto"/>
              </w:rPr>
            </w:pPr>
            <w:r>
              <w:rPr>
                <w:rFonts w:ascii="Arial" w:cs="Arial" w:eastAsia="Arial" w:hAnsi="Arial"/>
                <w:sz w:val="16"/>
                <w:szCs w:val="16"/>
                <w:b w:val="1"/>
                <w:bCs w:val="1"/>
                <w:color w:val="auto"/>
                <w:w w:val="98"/>
              </w:rPr>
              <w:t>Preferred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Purchase</w:t>
            </w:r>
          </w:p>
        </w:tc>
      </w:tr>
      <w:tr>
        <w:trPr>
          <w:trHeight w:val="201"/>
        </w:trPr>
        <w:tc>
          <w:tcPr>
            <w:tcW w:w="5660" w:type="dxa"/>
            <w:vAlign w:val="bottom"/>
            <w:gridSpan w:val="3"/>
          </w:tcPr>
          <w:p>
            <w:pPr>
              <w:ind w:left="2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7"/>
                <w:szCs w:val="17"/>
                <w:color w:val="auto"/>
              </w:rPr>
            </w:pPr>
          </w:p>
        </w:tc>
        <w:tc>
          <w:tcPr>
            <w:tcW w:w="820" w:type="dxa"/>
            <w:vAlign w:val="bottom"/>
          </w:tcPr>
          <w:p>
            <w:pPr>
              <w:jc w:val="center"/>
              <w:ind w:left="1"/>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8"/>
              </w:rPr>
              <w:t>Price Paid</w:t>
            </w:r>
          </w:p>
        </w:tc>
      </w:tr>
      <w:tr>
        <w:trPr>
          <w:trHeight w:val="24"/>
        </w:trPr>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Sir Greg Winter</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40" w:type="dxa"/>
            <w:vAlign w:val="bottom"/>
            <w:shd w:val="clear" w:color="auto" w:fill="CCEEFF"/>
          </w:tcPr>
          <w:p>
            <w:pPr>
              <w:spacing w:after="0"/>
              <w:rPr>
                <w:sz w:val="19"/>
                <w:szCs w:val="19"/>
                <w:color w:val="auto"/>
              </w:rPr>
            </w:pPr>
          </w:p>
        </w:tc>
      </w:tr>
      <w:tr>
        <w:trPr>
          <w:trHeight w:val="220"/>
        </w:trPr>
        <w:tc>
          <w:tcPr>
            <w:tcW w:w="5660" w:type="dxa"/>
            <w:vAlign w:val="bottom"/>
            <w:gridSpan w:val="3"/>
          </w:tcPr>
          <w:p>
            <w:pPr>
              <w:ind w:left="20"/>
              <w:spacing w:after="0" w:line="220" w:lineRule="exact"/>
              <w:rPr>
                <w:sz w:val="20"/>
                <w:szCs w:val="20"/>
                <w:color w:val="auto"/>
              </w:rPr>
            </w:pPr>
            <w:r>
              <w:rPr>
                <w:rFonts w:ascii="Arial" w:cs="Arial" w:eastAsia="Arial" w:hAnsi="Arial"/>
                <w:sz w:val="15"/>
                <w:szCs w:val="15"/>
                <w:color w:val="auto"/>
              </w:rPr>
              <w:t>Atlas Venture Fund VII LP</w:t>
            </w:r>
            <w:r>
              <w:rPr>
                <w:rFonts w:ascii="Arial" w:cs="Arial" w:eastAsia="Arial" w:hAnsi="Arial"/>
                <w:sz w:val="25"/>
                <w:szCs w:val="25"/>
                <w:color w:val="auto"/>
                <w:vertAlign w:val="superscript"/>
              </w:rPr>
              <w:t>(2)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451,299</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4,512,990</w:t>
            </w: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Novartis Bioventures Ltd</w:t>
            </w:r>
            <w:r>
              <w:rPr>
                <w:rFonts w:ascii="Arial" w:cs="Arial" w:eastAsia="Arial" w:hAnsi="Arial"/>
                <w:sz w:val="25"/>
                <w:szCs w:val="25"/>
                <w:color w:val="auto"/>
                <w:vertAlign w:val="superscript"/>
              </w:rPr>
              <w:t>(2)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451,299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4,512,990</w:t>
            </w:r>
          </w:p>
        </w:tc>
        <w:tc>
          <w:tcPr>
            <w:tcW w:w="140" w:type="dxa"/>
            <w:vAlign w:val="bottom"/>
            <w:shd w:val="clear" w:color="auto" w:fill="CCEEFF"/>
          </w:tcPr>
          <w:p>
            <w:pPr>
              <w:spacing w:after="0"/>
              <w:rPr>
                <w:sz w:val="19"/>
                <w:szCs w:val="19"/>
                <w:color w:val="auto"/>
              </w:rPr>
            </w:pPr>
          </w:p>
        </w:tc>
      </w:tr>
      <w:tr>
        <w:trPr>
          <w:trHeight w:val="183"/>
        </w:trPr>
        <w:tc>
          <w:tcPr>
            <w:tcW w:w="5660" w:type="dxa"/>
            <w:vAlign w:val="bottom"/>
            <w:gridSpan w:val="3"/>
          </w:tcPr>
          <w:p>
            <w:pPr>
              <w:ind w:left="20"/>
              <w:spacing w:after="0"/>
              <w:rPr>
                <w:sz w:val="20"/>
                <w:szCs w:val="20"/>
                <w:color w:val="auto"/>
              </w:rPr>
            </w:pPr>
            <w:r>
              <w:rPr>
                <w:rFonts w:ascii="Arial" w:cs="Arial" w:eastAsia="Arial" w:hAnsi="Arial"/>
                <w:sz w:val="16"/>
                <w:szCs w:val="16"/>
                <w:color w:val="auto"/>
              </w:rPr>
              <w:t>S.R. One, Limited</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451,299</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4,512,990</w:t>
            </w:r>
          </w:p>
        </w:tc>
        <w:tc>
          <w:tcPr>
            <w:tcW w:w="140" w:type="dxa"/>
            <w:vAlign w:val="bottom"/>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SVLS</w:t>
            </w:r>
            <w:r>
              <w:rPr>
                <w:rFonts w:ascii="Arial" w:cs="Arial" w:eastAsia="Arial" w:hAnsi="Arial"/>
                <w:sz w:val="25"/>
                <w:szCs w:val="25"/>
                <w:color w:val="auto"/>
                <w:vertAlign w:val="superscript"/>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451,299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4,512,990</w:t>
            </w:r>
          </w:p>
        </w:tc>
        <w:tc>
          <w:tcPr>
            <w:tcW w:w="140" w:type="dxa"/>
            <w:vAlign w:val="bottom"/>
            <w:shd w:val="clear" w:color="auto" w:fill="CCEEFF"/>
          </w:tcPr>
          <w:p>
            <w:pPr>
              <w:spacing w:after="0"/>
              <w:rPr>
                <w:sz w:val="19"/>
                <w:szCs w:val="19"/>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26" w:lineRule="exact"/>
        <w:rPr>
          <w:sz w:val="20"/>
          <w:szCs w:val="20"/>
          <w:color w:val="auto"/>
        </w:rPr>
      </w:pPr>
    </w:p>
    <w:p>
      <w:pPr>
        <w:ind w:left="2200" w:hanging="487"/>
        <w:spacing w:after="0"/>
        <w:tabs>
          <w:tab w:leader="none" w:pos="2200" w:val="left"/>
        </w:tabs>
        <w:numPr>
          <w:ilvl w:val="0"/>
          <w:numId w:val="93"/>
        </w:numPr>
        <w:rPr>
          <w:rFonts w:ascii="Arial" w:cs="Arial" w:eastAsia="Arial" w:hAnsi="Arial"/>
          <w:sz w:val="20"/>
          <w:szCs w:val="20"/>
          <w:color w:val="auto"/>
          <w:vertAlign w:val="superscript"/>
        </w:rPr>
      </w:pPr>
      <w:r>
        <w:rPr>
          <w:rFonts w:ascii="Arial" w:cs="Arial" w:eastAsia="Arial" w:hAnsi="Arial"/>
          <w:sz w:val="13"/>
          <w:szCs w:val="13"/>
          <w:color w:val="auto"/>
        </w:rPr>
        <w:t>Sir Greg Winter is a member of our board of directors.</w:t>
      </w:r>
    </w:p>
    <w:p>
      <w:pPr>
        <w:spacing w:after="0" w:line="63" w:lineRule="exact"/>
        <w:rPr>
          <w:rFonts w:ascii="Arial" w:cs="Arial" w:eastAsia="Arial" w:hAnsi="Arial"/>
          <w:sz w:val="20"/>
          <w:szCs w:val="20"/>
          <w:color w:val="auto"/>
          <w:vertAlign w:val="superscript"/>
        </w:rPr>
      </w:pPr>
    </w:p>
    <w:p>
      <w:pPr>
        <w:ind w:left="2200" w:hanging="487"/>
        <w:spacing w:after="0"/>
        <w:tabs>
          <w:tab w:leader="none" w:pos="2200" w:val="left"/>
        </w:tabs>
        <w:numPr>
          <w:ilvl w:val="0"/>
          <w:numId w:val="93"/>
        </w:numPr>
        <w:rPr>
          <w:rFonts w:ascii="Arial" w:cs="Arial" w:eastAsia="Arial" w:hAnsi="Arial"/>
          <w:sz w:val="20"/>
          <w:szCs w:val="20"/>
          <w:color w:val="auto"/>
          <w:vertAlign w:val="superscript"/>
        </w:rPr>
      </w:pPr>
      <w:r>
        <w:rPr>
          <w:rFonts w:ascii="Arial" w:cs="Arial" w:eastAsia="Arial" w:hAnsi="Arial"/>
          <w:sz w:val="13"/>
          <w:szCs w:val="13"/>
          <w:color w:val="auto"/>
        </w:rPr>
        <w:t>This entity holds, in the aggregate, more than 5% of our share capital.</w:t>
      </w:r>
    </w:p>
    <w:p>
      <w:pPr>
        <w:spacing w:after="0" w:line="137" w:lineRule="exact"/>
        <w:rPr>
          <w:rFonts w:ascii="Arial" w:cs="Arial" w:eastAsia="Arial" w:hAnsi="Arial"/>
          <w:sz w:val="20"/>
          <w:szCs w:val="20"/>
          <w:color w:val="auto"/>
          <w:vertAlign w:val="superscript"/>
        </w:rPr>
      </w:pPr>
    </w:p>
    <w:p>
      <w:pPr>
        <w:ind w:left="2200" w:hanging="487"/>
        <w:spacing w:after="0" w:line="191" w:lineRule="auto"/>
        <w:tabs>
          <w:tab w:leader="none" w:pos="2200" w:val="left"/>
        </w:tabs>
        <w:numPr>
          <w:ilvl w:val="0"/>
          <w:numId w:val="93"/>
        </w:numPr>
        <w:rPr>
          <w:rFonts w:ascii="Arial" w:cs="Arial" w:eastAsia="Arial" w:hAnsi="Arial"/>
          <w:sz w:val="20"/>
          <w:szCs w:val="20"/>
          <w:color w:val="auto"/>
          <w:vertAlign w:val="superscript"/>
        </w:rPr>
      </w:pPr>
      <w:r>
        <w:rPr>
          <w:rFonts w:ascii="Arial" w:cs="Arial" w:eastAsia="Arial" w:hAnsi="Arial"/>
          <w:sz w:val="13"/>
          <w:szCs w:val="13"/>
          <w:color w:val="auto"/>
        </w:rPr>
        <w:t>Consists of (i) 441,959 Series A convertible preferred shares held by SVLS Fund V LP and (ii) 9,340 Series A convertible preferred shares held by SVLS Fund V Strategic Partners LP. These entities together hold, in the aggregate, more than 5% of our share capital.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1" w:name="page192"/>
    <w:bookmarkEnd w:id="1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20" w:firstLine="442"/>
        <w:spacing w:after="0" w:line="249" w:lineRule="auto"/>
        <w:rPr>
          <w:sz w:val="20"/>
          <w:szCs w:val="20"/>
          <w:color w:val="auto"/>
        </w:rPr>
      </w:pPr>
      <w:r>
        <w:rPr>
          <w:rFonts w:ascii="Arial" w:cs="Arial" w:eastAsia="Arial" w:hAnsi="Arial"/>
          <w:sz w:val="16"/>
          <w:szCs w:val="16"/>
          <w:color w:val="auto"/>
        </w:rPr>
        <w:t>On May 26, 2017, we issued warrants to subscribe for 200,000 Series A convertible preferred shares (or equivalent ordinary shares if exercised prior to the consummation of an initial public offering) to certain existing shareholders of BicycleRD Limited.</w:t>
      </w:r>
    </w:p>
    <w:p>
      <w:pPr>
        <w:spacing w:after="0" w:line="181" w:lineRule="exact"/>
        <w:rPr>
          <w:sz w:val="20"/>
          <w:szCs w:val="20"/>
          <w:color w:val="auto"/>
        </w:rPr>
      </w:pPr>
    </w:p>
    <w:p>
      <w:pPr>
        <w:ind w:right="280" w:firstLine="439"/>
        <w:spacing w:after="0" w:line="249" w:lineRule="auto"/>
        <w:rPr>
          <w:sz w:val="20"/>
          <w:szCs w:val="20"/>
          <w:color w:val="auto"/>
        </w:rPr>
      </w:pPr>
      <w:r>
        <w:rPr>
          <w:rFonts w:ascii="Arial" w:cs="Arial" w:eastAsia="Arial" w:hAnsi="Arial"/>
          <w:sz w:val="16"/>
          <w:szCs w:val="16"/>
          <w:color w:val="auto"/>
        </w:rPr>
        <w:t>The following table summarizes the issuance of warrants to subscribe for Series A convertible preferred shares to any of our directors, executive officers, holders of more than 5% of our share capital, or any member of the immediate family of the foregoing persons.</w:t>
      </w:r>
    </w:p>
    <w:p>
      <w:pPr>
        <w:spacing w:after="0" w:line="160"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left="1"/>
              <w:spacing w:after="0"/>
              <w:rPr>
                <w:sz w:val="20"/>
                <w:szCs w:val="20"/>
                <w:color w:val="auto"/>
              </w:rPr>
            </w:pPr>
            <w:r>
              <w:rPr>
                <w:rFonts w:ascii="Arial" w:cs="Arial" w:eastAsia="Arial" w:hAnsi="Arial"/>
                <w:sz w:val="16"/>
                <w:szCs w:val="16"/>
                <w:b w:val="1"/>
                <w:bCs w:val="1"/>
                <w:color w:val="auto"/>
                <w:w w:val="96"/>
              </w:rPr>
              <w:t>Series 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left="1"/>
              <w:spacing w:after="0"/>
              <w:rPr>
                <w:sz w:val="20"/>
                <w:szCs w:val="20"/>
                <w:color w:val="auto"/>
              </w:rPr>
            </w:pPr>
            <w:r>
              <w:rPr>
                <w:rFonts w:ascii="Arial" w:cs="Arial" w:eastAsia="Arial" w:hAnsi="Arial"/>
                <w:sz w:val="16"/>
                <w:szCs w:val="16"/>
                <w:b w:val="1"/>
                <w:bCs w:val="1"/>
                <w:color w:val="auto"/>
                <w:w w:val="98"/>
              </w:rPr>
              <w:t>Preferred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Aggregate</w:t>
            </w: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left="21"/>
              <w:spacing w:after="0"/>
              <w:rPr>
                <w:sz w:val="20"/>
                <w:szCs w:val="20"/>
                <w:color w:val="auto"/>
              </w:rPr>
            </w:pPr>
            <w:r>
              <w:rPr>
                <w:rFonts w:ascii="Arial" w:cs="Arial" w:eastAsia="Arial" w:hAnsi="Arial"/>
                <w:sz w:val="16"/>
                <w:szCs w:val="16"/>
                <w:b w:val="1"/>
                <w:bCs w:val="1"/>
                <w:color w:val="auto"/>
                <w:w w:val="98"/>
              </w:rPr>
              <w:t>Share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Exercise</w:t>
            </w:r>
          </w:p>
        </w:tc>
      </w:tr>
      <w:tr>
        <w:trPr>
          <w:trHeight w:val="201"/>
        </w:trPr>
        <w:tc>
          <w:tcPr>
            <w:tcW w:w="5660" w:type="dxa"/>
            <w:vAlign w:val="bottom"/>
            <w:gridSpan w:val="3"/>
          </w:tcPr>
          <w:p>
            <w:pPr>
              <w:ind w:left="2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7"/>
                <w:szCs w:val="17"/>
                <w:color w:val="auto"/>
              </w:rPr>
            </w:pPr>
          </w:p>
        </w:tc>
        <w:tc>
          <w:tcPr>
            <w:tcW w:w="820" w:type="dxa"/>
            <w:vAlign w:val="bottom"/>
          </w:tcPr>
          <w:p>
            <w:pPr>
              <w:jc w:val="center"/>
              <w:ind w:left="21"/>
              <w:spacing w:after="0"/>
              <w:rPr>
                <w:sz w:val="20"/>
                <w:szCs w:val="20"/>
                <w:color w:val="auto"/>
              </w:rPr>
            </w:pPr>
            <w:r>
              <w:rPr>
                <w:rFonts w:ascii="Arial" w:cs="Arial" w:eastAsia="Arial" w:hAnsi="Arial"/>
                <w:sz w:val="16"/>
                <w:szCs w:val="16"/>
                <w:b w:val="1"/>
                <w:bCs w:val="1"/>
                <w:color w:val="auto"/>
                <w:w w:val="97"/>
              </w:rPr>
              <w:t>Warrants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Price</w:t>
            </w:r>
          </w:p>
        </w:tc>
      </w:tr>
      <w:tr>
        <w:trPr>
          <w:trHeight w:val="24"/>
        </w:trPr>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Atlas Venture Fund VIII LP</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9"/>
                <w:szCs w:val="19"/>
                <w:color w:val="auto"/>
              </w:rPr>
            </w:pPr>
          </w:p>
        </w:tc>
      </w:tr>
      <w:tr>
        <w:trPr>
          <w:trHeight w:val="220"/>
        </w:trPr>
        <w:tc>
          <w:tcPr>
            <w:tcW w:w="5660" w:type="dxa"/>
            <w:vAlign w:val="bottom"/>
            <w:gridSpan w:val="3"/>
          </w:tcPr>
          <w:p>
            <w:pPr>
              <w:ind w:left="20"/>
              <w:spacing w:after="0" w:line="220" w:lineRule="exact"/>
              <w:rPr>
                <w:sz w:val="20"/>
                <w:szCs w:val="20"/>
                <w:color w:val="auto"/>
              </w:rPr>
            </w:pPr>
            <w:r>
              <w:rPr>
                <w:rFonts w:ascii="Arial" w:cs="Arial" w:eastAsia="Arial" w:hAnsi="Arial"/>
                <w:sz w:val="15"/>
                <w:szCs w:val="15"/>
                <w:color w:val="auto"/>
              </w:rPr>
              <w:t>Novartis Bioventures Ltd</w:t>
            </w:r>
            <w:r>
              <w:rPr>
                <w:rFonts w:ascii="Arial" w:cs="Arial" w:eastAsia="Arial" w:hAnsi="Arial"/>
                <w:sz w:val="25"/>
                <w:szCs w:val="25"/>
                <w:color w:val="auto"/>
                <w:vertAlign w:val="superscript"/>
              </w:rPr>
              <w:t>(1)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500</w:t>
            </w: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Sir Greg Winter</w:t>
            </w:r>
            <w:r>
              <w:rPr>
                <w:rFonts w:ascii="Arial" w:cs="Arial" w:eastAsia="Arial" w:hAnsi="Arial"/>
                <w:sz w:val="25"/>
                <w:szCs w:val="25"/>
                <w:color w:val="auto"/>
                <w:vertAlign w:val="superscript"/>
              </w:rPr>
              <w:t>(2)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9"/>
                <w:szCs w:val="19"/>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26" w:lineRule="exact"/>
        <w:rPr>
          <w:sz w:val="20"/>
          <w:szCs w:val="20"/>
          <w:color w:val="auto"/>
        </w:rPr>
      </w:pPr>
    </w:p>
    <w:p>
      <w:pPr>
        <w:ind w:left="2200" w:hanging="487"/>
        <w:spacing w:after="0"/>
        <w:tabs>
          <w:tab w:leader="none" w:pos="2200" w:val="left"/>
        </w:tabs>
        <w:numPr>
          <w:ilvl w:val="0"/>
          <w:numId w:val="94"/>
        </w:numPr>
        <w:rPr>
          <w:rFonts w:ascii="Arial" w:cs="Arial" w:eastAsia="Arial" w:hAnsi="Arial"/>
          <w:sz w:val="20"/>
          <w:szCs w:val="20"/>
          <w:color w:val="auto"/>
          <w:vertAlign w:val="superscript"/>
        </w:rPr>
      </w:pPr>
      <w:r>
        <w:rPr>
          <w:rFonts w:ascii="Arial" w:cs="Arial" w:eastAsia="Arial" w:hAnsi="Arial"/>
          <w:sz w:val="13"/>
          <w:szCs w:val="13"/>
          <w:color w:val="auto"/>
        </w:rPr>
        <w:t>This entity holds, in the aggregate, more than 5% of our share capital.</w:t>
      </w:r>
    </w:p>
    <w:p>
      <w:pPr>
        <w:spacing w:after="0" w:line="63" w:lineRule="exact"/>
        <w:rPr>
          <w:rFonts w:ascii="Arial" w:cs="Arial" w:eastAsia="Arial" w:hAnsi="Arial"/>
          <w:sz w:val="20"/>
          <w:szCs w:val="20"/>
          <w:color w:val="auto"/>
          <w:vertAlign w:val="superscript"/>
        </w:rPr>
      </w:pPr>
    </w:p>
    <w:p>
      <w:pPr>
        <w:ind w:left="2200" w:hanging="487"/>
        <w:spacing w:after="0"/>
        <w:tabs>
          <w:tab w:leader="none" w:pos="2200" w:val="left"/>
        </w:tabs>
        <w:numPr>
          <w:ilvl w:val="0"/>
          <w:numId w:val="94"/>
        </w:numPr>
        <w:rPr>
          <w:rFonts w:ascii="Arial" w:cs="Arial" w:eastAsia="Arial" w:hAnsi="Arial"/>
          <w:sz w:val="20"/>
          <w:szCs w:val="20"/>
          <w:color w:val="auto"/>
          <w:vertAlign w:val="superscript"/>
        </w:rPr>
      </w:pPr>
      <w:r>
        <w:rPr>
          <w:rFonts w:ascii="Arial" w:cs="Arial" w:eastAsia="Arial" w:hAnsi="Arial"/>
          <w:sz w:val="13"/>
          <w:szCs w:val="13"/>
          <w:color w:val="auto"/>
        </w:rPr>
        <w:t>Sir Greg Winter is a member of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B Financing</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May 26, 2017, we entered into a Series B Investment Agreement pursuant to which we agreed to issue, and the subscribers agreed to subscribe for</w:t>
      </w:r>
    </w:p>
    <w:p>
      <w:pPr>
        <w:spacing w:after="0"/>
        <w:rPr>
          <w:sz w:val="20"/>
          <w:szCs w:val="20"/>
          <w:color w:val="auto"/>
        </w:rPr>
      </w:pPr>
      <w:r>
        <w:rPr>
          <w:rFonts w:ascii="Arial" w:cs="Arial" w:eastAsia="Arial" w:hAnsi="Arial"/>
          <w:sz w:val="16"/>
          <w:szCs w:val="16"/>
          <w:color w:val="auto"/>
        </w:rPr>
        <w:t>3,562,583 Series B convertible preferred shares (then called Series B convertible preferred shares) at a price per Series B1 convertible preferred share of</w:t>
      </w:r>
    </w:p>
    <w:p>
      <w:pPr>
        <w:spacing w:after="0"/>
        <w:rPr>
          <w:sz w:val="20"/>
          <w:szCs w:val="20"/>
          <w:color w:val="auto"/>
        </w:rPr>
      </w:pPr>
      <w:r>
        <w:rPr>
          <w:rFonts w:ascii="Arial" w:cs="Arial" w:eastAsia="Arial" w:hAnsi="Arial"/>
          <w:sz w:val="16"/>
          <w:szCs w:val="16"/>
          <w:color w:val="auto"/>
        </w:rPr>
        <w:t>£11.2278 in a single tranche for an aggregate cash subscription price of $51.9 million. In conjunction with the issue of the Series B1 convertible preferred shares,</w:t>
      </w:r>
    </w:p>
    <w:p>
      <w:pPr>
        <w:spacing w:after="0"/>
        <w:rPr>
          <w:sz w:val="20"/>
          <w:szCs w:val="20"/>
          <w:color w:val="auto"/>
        </w:rPr>
      </w:pPr>
      <w:r>
        <w:rPr>
          <w:rFonts w:ascii="Arial" w:cs="Arial" w:eastAsia="Arial" w:hAnsi="Arial"/>
          <w:sz w:val="16"/>
          <w:szCs w:val="16"/>
          <w:color w:val="auto"/>
        </w:rPr>
        <w:t>we also issued warrants to subscribe for up to 627,903 Series B1 convertible preferred shares to the subscribers of the Series B1 convertible preferred shares.</w:t>
      </w:r>
    </w:p>
    <w:p>
      <w:pPr>
        <w:spacing w:after="0" w:line="195" w:lineRule="exact"/>
        <w:rPr>
          <w:sz w:val="20"/>
          <w:szCs w:val="20"/>
          <w:color w:val="auto"/>
        </w:rPr>
      </w:pPr>
    </w:p>
    <w:p>
      <w:pPr>
        <w:ind w:right="280" w:firstLine="442"/>
        <w:spacing w:after="0" w:line="242" w:lineRule="auto"/>
        <w:rPr>
          <w:sz w:val="20"/>
          <w:szCs w:val="20"/>
          <w:color w:val="auto"/>
        </w:rPr>
      </w:pPr>
      <w:r>
        <w:rPr>
          <w:rFonts w:ascii="Arial" w:cs="Arial" w:eastAsia="Arial" w:hAnsi="Arial"/>
          <w:sz w:val="16"/>
          <w:szCs w:val="16"/>
          <w:color w:val="auto"/>
        </w:rPr>
        <w:t>In addition, on October 27, 2017, we entered into an Amended and Restated Series B Investment Agreement relating to BicycleRD Limited, pursuant to which an unaffiliated investor subscribed for a further 384,615 Series B1 convertible preferred shares at a Series B1 convertible preferred shares per Series B1 convertible preferred shares of £13.00, in a single tranche for an aggregate cash subscription price of $6.6 million. In conjunction with this financing, we also issued warrants to subscribe for 115,384 Series B1 convertible preferred shares to the subscriber of the Series B1 convertible preferred shares.</w:t>
      </w:r>
    </w:p>
    <w:p>
      <w:pPr>
        <w:spacing w:after="0" w:line="187" w:lineRule="exact"/>
        <w:rPr>
          <w:sz w:val="20"/>
          <w:szCs w:val="20"/>
          <w:color w:val="auto"/>
        </w:rPr>
      </w:pPr>
    </w:p>
    <w:p>
      <w:pPr>
        <w:ind w:right="480" w:firstLine="439"/>
        <w:spacing w:after="0" w:line="249" w:lineRule="auto"/>
        <w:rPr>
          <w:sz w:val="20"/>
          <w:szCs w:val="20"/>
          <w:color w:val="auto"/>
        </w:rPr>
      </w:pPr>
      <w:r>
        <w:rPr>
          <w:rFonts w:ascii="Arial" w:cs="Arial" w:eastAsia="Arial" w:hAnsi="Arial"/>
          <w:sz w:val="16"/>
          <w:szCs w:val="16"/>
          <w:color w:val="auto"/>
        </w:rPr>
        <w:t>The following table summarizes the participation in the Series B1 financing (on May 26, 2017 and October 27, 2017) by any of our directors, executive officers, holders of more than 5% of our share capital or any member of the immediate family of the foregoing persons.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8"/>
              </w:rPr>
              <w:t>Series B1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3"/>
          </w:tcPr>
          <w:p>
            <w:pPr>
              <w:jc w:val="center"/>
              <w:ind w:right="1860"/>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left="1"/>
              <w:spacing w:after="0"/>
              <w:rPr>
                <w:sz w:val="20"/>
                <w:szCs w:val="20"/>
                <w:color w:val="auto"/>
              </w:rPr>
            </w:pPr>
            <w:r>
              <w:rPr>
                <w:rFonts w:ascii="Arial" w:cs="Arial" w:eastAsia="Arial" w:hAnsi="Arial"/>
                <w:sz w:val="16"/>
                <w:szCs w:val="16"/>
                <w:b w:val="1"/>
                <w:bCs w:val="1"/>
                <w:color w:val="auto"/>
                <w:w w:val="98"/>
              </w:rPr>
              <w:t>Preferred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gridSpan w:val="3"/>
          </w:tcPr>
          <w:p>
            <w:pPr>
              <w:jc w:val="center"/>
              <w:ind w:right="1840"/>
              <w:spacing w:after="0"/>
              <w:rPr>
                <w:sz w:val="20"/>
                <w:szCs w:val="20"/>
                <w:color w:val="auto"/>
              </w:rPr>
            </w:pPr>
            <w:r>
              <w:rPr>
                <w:rFonts w:ascii="Arial" w:cs="Arial" w:eastAsia="Arial" w:hAnsi="Arial"/>
                <w:sz w:val="16"/>
                <w:szCs w:val="16"/>
                <w:b w:val="1"/>
                <w:bCs w:val="1"/>
                <w:color w:val="auto"/>
                <w:w w:val="99"/>
              </w:rPr>
              <w:t>Purchase</w:t>
            </w:r>
          </w:p>
        </w:tc>
        <w:tc>
          <w:tcPr>
            <w:tcW w:w="0" w:type="dxa"/>
            <w:vAlign w:val="bottom"/>
          </w:tcPr>
          <w:p>
            <w:pPr>
              <w:spacing w:after="0"/>
              <w:rPr>
                <w:sz w:val="1"/>
                <w:szCs w:val="1"/>
                <w:color w:val="auto"/>
              </w:rPr>
            </w:pPr>
          </w:p>
        </w:tc>
      </w:tr>
      <w:tr>
        <w:trPr>
          <w:trHeight w:val="201"/>
        </w:trPr>
        <w:tc>
          <w:tcPr>
            <w:tcW w:w="1700" w:type="dxa"/>
            <w:vAlign w:val="bottom"/>
          </w:tcPr>
          <w:p>
            <w:pPr>
              <w:spacing w:after="0"/>
              <w:rPr>
                <w:sz w:val="17"/>
                <w:szCs w:val="17"/>
                <w:color w:val="auto"/>
              </w:rPr>
            </w:pPr>
          </w:p>
        </w:tc>
        <w:tc>
          <w:tcPr>
            <w:tcW w:w="48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36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left="1"/>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3"/>
          </w:tcPr>
          <w:p>
            <w:pPr>
              <w:jc w:val="center"/>
              <w:ind w:right="1840"/>
              <w:spacing w:after="0"/>
              <w:rPr>
                <w:sz w:val="20"/>
                <w:szCs w:val="20"/>
                <w:color w:val="auto"/>
              </w:rPr>
            </w:pPr>
            <w:r>
              <w:rPr>
                <w:rFonts w:ascii="Arial" w:cs="Arial" w:eastAsia="Arial" w:hAnsi="Arial"/>
                <w:sz w:val="16"/>
                <w:szCs w:val="16"/>
                <w:b w:val="1"/>
                <w:bCs w:val="1"/>
                <w:color w:val="auto"/>
                <w:w w:val="98"/>
              </w:rPr>
              <w:t>Price Paid</w:t>
            </w: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3"/>
            <w:shd w:val="clear" w:color="auto" w:fill="CCEEFF"/>
          </w:tcPr>
          <w:p>
            <w:pPr>
              <w:spacing w:after="0" w:line="220" w:lineRule="exact"/>
              <w:rPr>
                <w:sz w:val="20"/>
                <w:szCs w:val="20"/>
                <w:color w:val="auto"/>
              </w:rPr>
            </w:pPr>
            <w:r>
              <w:rPr>
                <w:rFonts w:ascii="Arial" w:cs="Arial" w:eastAsia="Arial" w:hAnsi="Arial"/>
                <w:sz w:val="15"/>
                <w:szCs w:val="15"/>
                <w:color w:val="auto"/>
              </w:rPr>
              <w:t>Atlas Venture Fund VIII LP</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133,596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1,499,989</w:t>
            </w:r>
          </w:p>
        </w:tc>
        <w:tc>
          <w:tcPr>
            <w:tcW w:w="14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5660" w:type="dxa"/>
            <w:vAlign w:val="bottom"/>
            <w:gridSpan w:val="4"/>
          </w:tcPr>
          <w:p>
            <w:pPr>
              <w:ind w:left="20"/>
              <w:spacing w:after="0" w:line="220" w:lineRule="exact"/>
              <w:rPr>
                <w:sz w:val="20"/>
                <w:szCs w:val="20"/>
                <w:color w:val="auto"/>
              </w:rPr>
            </w:pPr>
            <w:r>
              <w:rPr>
                <w:rFonts w:ascii="Arial" w:cs="Arial" w:eastAsia="Arial" w:hAnsi="Arial"/>
                <w:sz w:val="15"/>
                <w:szCs w:val="15"/>
                <w:color w:val="auto"/>
              </w:rPr>
              <w:t>Novartis Bioventures Ltd</w:t>
            </w:r>
            <w:r>
              <w:rPr>
                <w:rFonts w:ascii="Arial" w:cs="Arial" w:eastAsia="Arial" w:hAnsi="Arial"/>
                <w:sz w:val="25"/>
                <w:szCs w:val="25"/>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445,323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4,999,998</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3"/>
            <w:shd w:val="clear" w:color="auto" w:fill="CCEEFF"/>
          </w:tcPr>
          <w:p>
            <w:pPr>
              <w:spacing w:after="0" w:line="220" w:lineRule="exact"/>
              <w:rPr>
                <w:sz w:val="20"/>
                <w:szCs w:val="20"/>
                <w:color w:val="auto"/>
              </w:rPr>
            </w:pPr>
            <w:r>
              <w:rPr>
                <w:rFonts w:ascii="Arial" w:cs="Arial" w:eastAsia="Arial" w:hAnsi="Arial"/>
                <w:sz w:val="15"/>
                <w:szCs w:val="15"/>
                <w:color w:val="auto"/>
              </w:rPr>
              <w:t>S.R. One, Limited</w:t>
            </w:r>
            <w:r>
              <w:rPr>
                <w:rFonts w:ascii="Arial" w:cs="Arial" w:eastAsia="Arial" w:hAnsi="Arial"/>
                <w:sz w:val="25"/>
                <w:szCs w:val="25"/>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445,323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4,999,998</w:t>
            </w:r>
          </w:p>
        </w:tc>
        <w:tc>
          <w:tcPr>
            <w:tcW w:w="14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5660" w:type="dxa"/>
            <w:vAlign w:val="bottom"/>
            <w:gridSpan w:val="4"/>
          </w:tcPr>
          <w:p>
            <w:pPr>
              <w:ind w:left="20"/>
              <w:spacing w:after="0" w:line="220" w:lineRule="exact"/>
              <w:rPr>
                <w:sz w:val="20"/>
                <w:szCs w:val="20"/>
                <w:color w:val="auto"/>
              </w:rPr>
            </w:pPr>
            <w:r>
              <w:rPr>
                <w:rFonts w:ascii="Arial" w:cs="Arial" w:eastAsia="Arial" w:hAnsi="Arial"/>
                <w:sz w:val="15"/>
                <w:szCs w:val="15"/>
                <w:color w:val="auto"/>
              </w:rPr>
              <w:t>SVLS</w:t>
            </w:r>
            <w:r>
              <w:rPr>
                <w:rFonts w:ascii="Arial" w:cs="Arial" w:eastAsia="Arial" w:hAnsi="Arial"/>
                <w:sz w:val="25"/>
                <w:szCs w:val="25"/>
                <w:color w:val="auto"/>
                <w:vertAlign w:val="superscript"/>
              </w:rPr>
              <w:t>(2)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445,323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4,999,998</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3"/>
            <w:shd w:val="clear" w:color="auto" w:fill="CCEEFF"/>
          </w:tcPr>
          <w:p>
            <w:pPr>
              <w:spacing w:after="0" w:line="220" w:lineRule="exact"/>
              <w:rPr>
                <w:sz w:val="20"/>
                <w:szCs w:val="20"/>
                <w:color w:val="auto"/>
              </w:rPr>
            </w:pPr>
            <w:r>
              <w:rPr>
                <w:rFonts w:ascii="Arial" w:cs="Arial" w:eastAsia="Arial" w:hAnsi="Arial"/>
                <w:sz w:val="15"/>
                <w:szCs w:val="15"/>
                <w:color w:val="auto"/>
              </w:rPr>
              <w:t>Vertex Global Healthcare Fund I PTE. Ltd</w:t>
            </w:r>
            <w:r>
              <w:rPr>
                <w:rFonts w:ascii="Arial" w:cs="Arial" w:eastAsia="Arial" w:hAnsi="Arial"/>
                <w:sz w:val="25"/>
                <w:szCs w:val="25"/>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890,646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9,999,995</w:t>
            </w:r>
          </w:p>
        </w:tc>
        <w:tc>
          <w:tcPr>
            <w:tcW w:w="14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5660" w:type="dxa"/>
            <w:vAlign w:val="bottom"/>
            <w:gridSpan w:val="4"/>
          </w:tcPr>
          <w:p>
            <w:pPr>
              <w:ind w:left="20"/>
              <w:spacing w:after="0" w:line="220" w:lineRule="exact"/>
              <w:rPr>
                <w:sz w:val="20"/>
                <w:szCs w:val="20"/>
                <w:color w:val="auto"/>
              </w:rPr>
            </w:pPr>
            <w:r>
              <w:rPr>
                <w:rFonts w:ascii="Arial" w:cs="Arial" w:eastAsia="Arial" w:hAnsi="Arial"/>
                <w:sz w:val="15"/>
                <w:szCs w:val="15"/>
                <w:color w:val="auto"/>
              </w:rPr>
              <w:t>Cambridge Innovation Capital (Jersey) Limited</w:t>
            </w:r>
            <w:r>
              <w:rPr>
                <w:rFonts w:ascii="Arial" w:cs="Arial" w:eastAsia="Arial" w:hAnsi="Arial"/>
                <w:sz w:val="25"/>
                <w:szCs w:val="25"/>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757,049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8,499,995</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3"/>
            <w:shd w:val="clear" w:color="auto" w:fill="CCEEFF"/>
          </w:tcPr>
          <w:p>
            <w:pPr>
              <w:spacing w:after="0" w:line="220" w:lineRule="exact"/>
              <w:rPr>
                <w:sz w:val="20"/>
                <w:szCs w:val="20"/>
                <w:color w:val="auto"/>
              </w:rPr>
            </w:pPr>
            <w:r>
              <w:rPr>
                <w:rFonts w:ascii="Arial" w:cs="Arial" w:eastAsia="Arial" w:hAnsi="Arial"/>
                <w:sz w:val="15"/>
                <w:szCs w:val="15"/>
                <w:color w:val="auto"/>
              </w:rPr>
              <w:t>Longwood Fund IV, L.P.</w:t>
            </w:r>
            <w:r>
              <w:rPr>
                <w:rFonts w:ascii="Arial" w:cs="Arial" w:eastAsia="Arial" w:hAnsi="Arial"/>
                <w:sz w:val="25"/>
                <w:szCs w:val="25"/>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445,323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4,999,998</w:t>
            </w:r>
          </w:p>
        </w:tc>
        <w:tc>
          <w:tcPr>
            <w:tcW w:w="14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700" w:type="dxa"/>
            <w:vAlign w:val="bottom"/>
          </w:tcPr>
          <w:p>
            <w:pPr>
              <w:spacing w:after="0"/>
              <w:rPr>
                <w:sz w:val="24"/>
                <w:szCs w:val="24"/>
                <w:color w:val="auto"/>
              </w:rPr>
            </w:pPr>
          </w:p>
        </w:tc>
        <w:tc>
          <w:tcPr>
            <w:tcW w:w="5660" w:type="dxa"/>
            <w:vAlign w:val="bottom"/>
            <w:gridSpan w:val="4"/>
          </w:tcPr>
          <w:p>
            <w:pPr>
              <w:ind w:left="20"/>
              <w:spacing w:after="0"/>
              <w:rPr>
                <w:sz w:val="20"/>
                <w:szCs w:val="20"/>
                <w:color w:val="auto"/>
              </w:rPr>
            </w:pPr>
            <w:r>
              <w:rPr>
                <w:rFonts w:ascii="Arial" w:cs="Arial" w:eastAsia="Arial" w:hAnsi="Arial"/>
                <w:sz w:val="16"/>
                <w:szCs w:val="16"/>
                <w:color w:val="auto"/>
              </w:rPr>
              <w:t>Ahren Innovation Capital Holding Limited</w:t>
            </w:r>
            <w:r>
              <w:rPr>
                <w:rFonts w:ascii="Arial" w:cs="Arial" w:eastAsia="Arial" w:hAnsi="Arial"/>
                <w:sz w:val="26"/>
                <w:szCs w:val="26"/>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384,615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4,999,995</w:t>
            </w: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00" w:type="dxa"/>
            <w:vAlign w:val="bottom"/>
          </w:tcPr>
          <w:p>
            <w:pPr>
              <w:spacing w:after="0"/>
              <w:rPr>
                <w:sz w:val="24"/>
                <w:szCs w:val="24"/>
                <w:color w:val="auto"/>
              </w:rPr>
            </w:pPr>
          </w:p>
        </w:tc>
        <w:tc>
          <w:tcPr>
            <w:tcW w:w="480" w:type="dxa"/>
            <w:vAlign w:val="bottom"/>
            <w:gridSpan w:val="2"/>
          </w:tcPr>
          <w:p>
            <w:pPr>
              <w:ind w:left="20"/>
              <w:spacing w:after="0"/>
              <w:rPr>
                <w:sz w:val="20"/>
                <w:szCs w:val="20"/>
                <w:color w:val="auto"/>
              </w:rPr>
            </w:pPr>
            <w:r>
              <w:rPr>
                <w:rFonts w:ascii="Arial" w:cs="Arial" w:eastAsia="Arial" w:hAnsi="Arial"/>
                <w:sz w:val="10"/>
                <w:szCs w:val="10"/>
                <w:color w:val="auto"/>
              </w:rPr>
              <w:t>(1)</w:t>
            </w:r>
          </w:p>
        </w:tc>
        <w:tc>
          <w:tcPr>
            <w:tcW w:w="5180" w:type="dxa"/>
            <w:vAlign w:val="bottom"/>
            <w:gridSpan w:val="2"/>
            <w:vMerge w:val="restart"/>
          </w:tcPr>
          <w:p>
            <w:pPr>
              <w:jc w:val="right"/>
              <w:ind w:right="1140"/>
              <w:spacing w:after="0"/>
              <w:rPr>
                <w:sz w:val="20"/>
                <w:szCs w:val="20"/>
                <w:color w:val="auto"/>
              </w:rPr>
            </w:pPr>
            <w:r>
              <w:rPr>
                <w:rFonts w:ascii="Arial" w:cs="Arial" w:eastAsia="Arial" w:hAnsi="Arial"/>
                <w:sz w:val="13"/>
                <w:szCs w:val="13"/>
                <w:color w:val="auto"/>
              </w:rPr>
              <w:t>This entity holds, in the aggregate, more than 5% of our share capital.</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7"/>
        </w:trPr>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80" w:type="dxa"/>
            <w:vAlign w:val="bottom"/>
            <w:gridSpan w:val="2"/>
          </w:tcPr>
          <w:p>
            <w:pPr>
              <w:jc w:val="right"/>
              <w:ind w:right="1520"/>
              <w:spacing w:after="0"/>
              <w:rPr>
                <w:sz w:val="20"/>
                <w:szCs w:val="20"/>
                <w:color w:val="auto"/>
              </w:rPr>
            </w:pPr>
            <w:r>
              <w:rPr>
                <w:rFonts w:ascii="Arial" w:cs="Arial" w:eastAsia="Arial" w:hAnsi="Arial"/>
                <w:sz w:val="16"/>
                <w:szCs w:val="16"/>
                <w:color w:val="auto"/>
              </w:rPr>
              <w:t>186</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7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48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92" w:name="page193"/>
    <w:bookmarkEnd w:id="19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left="2200" w:right="220" w:hanging="487"/>
        <w:spacing w:after="0" w:line="191" w:lineRule="auto"/>
        <w:tabs>
          <w:tab w:leader="none" w:pos="2200" w:val="left"/>
        </w:tabs>
        <w:numPr>
          <w:ilvl w:val="0"/>
          <w:numId w:val="95"/>
        </w:numPr>
        <w:rPr>
          <w:rFonts w:ascii="Arial" w:cs="Arial" w:eastAsia="Arial" w:hAnsi="Arial"/>
          <w:sz w:val="20"/>
          <w:szCs w:val="20"/>
          <w:color w:val="auto"/>
          <w:vertAlign w:val="superscript"/>
        </w:rPr>
      </w:pPr>
      <w:r>
        <w:rPr>
          <w:rFonts w:ascii="Arial" w:cs="Arial" w:eastAsia="Arial" w:hAnsi="Arial"/>
          <w:sz w:val="13"/>
          <w:szCs w:val="13"/>
          <w:color w:val="auto"/>
        </w:rPr>
        <w:t>Consists of (i) 436,107 Series B1 convertible preferred shares held by SVLS Fund V LP and (ii) 9,216 Series B1 convertible preferred shares held by SVLS Fund V Strategic Partners LP. These entities together hold, in the aggregate, more than 5% of our share capital.</w:t>
      </w:r>
    </w:p>
    <w:p>
      <w:pPr>
        <w:spacing w:after="0" w:line="186" w:lineRule="exact"/>
        <w:rPr>
          <w:sz w:val="20"/>
          <w:szCs w:val="20"/>
          <w:color w:val="auto"/>
        </w:rPr>
      </w:pPr>
    </w:p>
    <w:p>
      <w:pPr>
        <w:ind w:right="20" w:firstLine="439"/>
        <w:spacing w:after="0" w:line="244" w:lineRule="auto"/>
        <w:rPr>
          <w:sz w:val="20"/>
          <w:szCs w:val="20"/>
          <w:color w:val="auto"/>
        </w:rPr>
      </w:pPr>
      <w:r>
        <w:rPr>
          <w:rFonts w:ascii="Arial" w:cs="Arial" w:eastAsia="Arial" w:hAnsi="Arial"/>
          <w:sz w:val="16"/>
          <w:szCs w:val="16"/>
          <w:color w:val="auto"/>
        </w:rPr>
        <w:t>The following table summarizes the issuance of warrants to subscribe for Series B1 convertible preferred shares (or equivalent ordinary shares if exercised prior to the consummation of an initial public offering) to any of our directors, executive officers, holders of more than 5% of our share capital, or any member of the immediate family of the foregoing persons.</w:t>
      </w:r>
    </w:p>
    <w:p>
      <w:pPr>
        <w:spacing w:after="0" w:line="164"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8"/>
              </w:rPr>
              <w:t>Series B1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left="1"/>
              <w:spacing w:after="0"/>
              <w:rPr>
                <w:sz w:val="20"/>
                <w:szCs w:val="20"/>
                <w:color w:val="auto"/>
              </w:rPr>
            </w:pPr>
            <w:r>
              <w:rPr>
                <w:rFonts w:ascii="Arial" w:cs="Arial" w:eastAsia="Arial" w:hAnsi="Arial"/>
                <w:sz w:val="16"/>
                <w:szCs w:val="16"/>
                <w:b w:val="1"/>
                <w:bCs w:val="1"/>
                <w:color w:val="auto"/>
                <w:w w:val="98"/>
              </w:rPr>
              <w:t>Preferred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Aggregate</w:t>
            </w: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8"/>
              </w:rPr>
              <w:t>Share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Exercise</w:t>
            </w:r>
          </w:p>
        </w:tc>
      </w:tr>
      <w:tr>
        <w:trPr>
          <w:trHeight w:val="201"/>
        </w:trPr>
        <w:tc>
          <w:tcPr>
            <w:tcW w:w="5660" w:type="dxa"/>
            <w:vAlign w:val="bottom"/>
            <w:gridSpan w:val="3"/>
          </w:tcPr>
          <w:p>
            <w:pPr>
              <w:ind w:left="2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7"/>
              </w:rPr>
              <w:t>Warrants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Price</w:t>
            </w:r>
          </w:p>
        </w:tc>
      </w:tr>
      <w:tr>
        <w:trPr>
          <w:trHeight w:val="24"/>
        </w:trPr>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Vertex Global Healthcare Fund I PTE. Ltd</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267,193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w:t>
            </w:r>
          </w:p>
        </w:tc>
        <w:tc>
          <w:tcPr>
            <w:tcW w:w="140" w:type="dxa"/>
            <w:vAlign w:val="bottom"/>
            <w:shd w:val="clear" w:color="auto" w:fill="CCEEFF"/>
          </w:tcPr>
          <w:p>
            <w:pPr>
              <w:spacing w:after="0"/>
              <w:rPr>
                <w:sz w:val="19"/>
                <w:szCs w:val="19"/>
                <w:color w:val="auto"/>
              </w:rPr>
            </w:pPr>
          </w:p>
        </w:tc>
      </w:tr>
      <w:tr>
        <w:trPr>
          <w:trHeight w:val="220"/>
        </w:trPr>
        <w:tc>
          <w:tcPr>
            <w:tcW w:w="5660" w:type="dxa"/>
            <w:vAlign w:val="bottom"/>
            <w:gridSpan w:val="3"/>
          </w:tcPr>
          <w:p>
            <w:pPr>
              <w:ind w:left="20"/>
              <w:spacing w:after="0" w:line="220" w:lineRule="exact"/>
              <w:rPr>
                <w:sz w:val="20"/>
                <w:szCs w:val="20"/>
                <w:color w:val="auto"/>
              </w:rPr>
            </w:pPr>
            <w:r>
              <w:rPr>
                <w:rFonts w:ascii="Arial" w:cs="Arial" w:eastAsia="Arial" w:hAnsi="Arial"/>
                <w:sz w:val="15"/>
                <w:szCs w:val="15"/>
                <w:color w:val="auto"/>
              </w:rPr>
              <w:t>Cambridge Innovation Capital (Jersey) Limited</w:t>
            </w:r>
            <w:r>
              <w:rPr>
                <w:rFonts w:ascii="Arial" w:cs="Arial" w:eastAsia="Arial" w:hAnsi="Arial"/>
                <w:sz w:val="25"/>
                <w:szCs w:val="25"/>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227,114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2,271</w:t>
            </w: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6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Longwood Fund IV, L.P.</w:t>
            </w:r>
            <w:r>
              <w:rPr>
                <w:rFonts w:ascii="Arial" w:cs="Arial" w:eastAsia="Arial" w:hAnsi="Arial"/>
                <w:sz w:val="25"/>
                <w:szCs w:val="25"/>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133,596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40" w:type="dxa"/>
            <w:vAlign w:val="bottom"/>
            <w:shd w:val="clear" w:color="auto" w:fill="CCEEFF"/>
          </w:tcPr>
          <w:p>
            <w:pPr>
              <w:spacing w:after="0"/>
              <w:rPr>
                <w:sz w:val="19"/>
                <w:szCs w:val="19"/>
                <w:color w:val="auto"/>
              </w:rPr>
            </w:pPr>
          </w:p>
        </w:tc>
      </w:tr>
      <w:tr>
        <w:trPr>
          <w:trHeight w:val="318"/>
        </w:trPr>
        <w:tc>
          <w:tcPr>
            <w:tcW w:w="5660" w:type="dxa"/>
            <w:vAlign w:val="bottom"/>
            <w:gridSpan w:val="3"/>
          </w:tcPr>
          <w:p>
            <w:pPr>
              <w:ind w:left="20"/>
              <w:spacing w:after="0"/>
              <w:rPr>
                <w:sz w:val="20"/>
                <w:szCs w:val="20"/>
                <w:color w:val="auto"/>
              </w:rPr>
            </w:pPr>
            <w:r>
              <w:rPr>
                <w:rFonts w:ascii="Arial" w:cs="Arial" w:eastAsia="Arial" w:hAnsi="Arial"/>
                <w:sz w:val="16"/>
                <w:szCs w:val="16"/>
                <w:color w:val="auto"/>
              </w:rPr>
              <w:t>Ahren Innovation Capital Holding Limited</w:t>
            </w:r>
            <w:r>
              <w:rPr>
                <w:rFonts w:ascii="Arial" w:cs="Arial" w:eastAsia="Arial" w:hAnsi="Arial"/>
                <w:sz w:val="26"/>
                <w:szCs w:val="26"/>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115,384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1,154</w:t>
            </w:r>
          </w:p>
        </w:tc>
        <w:tc>
          <w:tcPr>
            <w:tcW w:w="14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6" w:lineRule="exact"/>
        <w:rPr>
          <w:sz w:val="20"/>
          <w:szCs w:val="20"/>
          <w:color w:val="auto"/>
        </w:rPr>
      </w:pPr>
    </w:p>
    <w:p>
      <w:pPr>
        <w:ind w:left="2200" w:hanging="487"/>
        <w:spacing w:after="0"/>
        <w:tabs>
          <w:tab w:leader="none" w:pos="2200" w:val="left"/>
        </w:tabs>
        <w:numPr>
          <w:ilvl w:val="0"/>
          <w:numId w:val="96"/>
        </w:numPr>
        <w:rPr>
          <w:rFonts w:ascii="Arial" w:cs="Arial" w:eastAsia="Arial" w:hAnsi="Arial"/>
          <w:sz w:val="20"/>
          <w:szCs w:val="20"/>
          <w:color w:val="auto"/>
          <w:vertAlign w:val="superscript"/>
        </w:rPr>
      </w:pPr>
      <w:r>
        <w:rPr>
          <w:rFonts w:ascii="Arial" w:cs="Arial" w:eastAsia="Arial" w:hAnsi="Arial"/>
          <w:sz w:val="13"/>
          <w:szCs w:val="13"/>
          <w:color w:val="auto"/>
        </w:rPr>
        <w:t>This entity holds, in the aggregate, more than 5% of our share capital.</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B2 Financing</w:t>
      </w:r>
    </w:p>
    <w:p>
      <w:pPr>
        <w:spacing w:after="0" w:line="21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In December 2018, we entered into an investment agreement relating to Bicycle Therapeutics Limited pursuant to which we agreed to issue, and the subscribers agreed to subscribe for 1,403,633 Series B2 convertible preferred shares at a price per Series B2 preferred share of £15.55, for an aggregate cash subscription price of $27.9 million. In December 2018 (and in conjunction with the Series B2 financing), the existing holders of warrants to subscribe for Series B1 convertible preferred shares surrendered 194,911 warrants to subscribe for the same number of Series B1 convertible preferred shares (or equivalent ordinary shares if exercised prior to the consummation of an initial public offering) in the proportions set out below and the Company issued a further 194,911 warrants to subscribe for the same number of Series B1 convertible preferred shares (or equivalent ordinary shares if exercised prior to the consummation of an initial public offering) to Aquila Investments IV, an entity affiliated with Tybourne Capital Management (HK) Limited, at an aggregate exercise price of £1,949.</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No. of</w:t>
            </w: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Series B1</w:t>
            </w: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Warrants</w:t>
            </w:r>
          </w:p>
        </w:tc>
      </w:tr>
      <w:tr>
        <w:trPr>
          <w:trHeight w:val="205"/>
        </w:trPr>
        <w:tc>
          <w:tcPr>
            <w:tcW w:w="6680" w:type="dxa"/>
            <w:vAlign w:val="bottom"/>
            <w:gridSpan w:val="3"/>
          </w:tcPr>
          <w:p>
            <w:pPr>
              <w:ind w:left="2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7"/>
                <w:szCs w:val="17"/>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8"/>
              </w:rPr>
              <w:t>Surrendered</w:t>
            </w:r>
          </w:p>
        </w:tc>
      </w:tr>
      <w:tr>
        <w:trPr>
          <w:trHeight w:val="220"/>
        </w:trPr>
        <w:tc>
          <w:tcPr>
            <w:tcW w:w="20" w:type="dxa"/>
            <w:vAlign w:val="bottom"/>
          </w:tcPr>
          <w:p>
            <w:pPr>
              <w:spacing w:after="0"/>
              <w:rPr>
                <w:sz w:val="19"/>
                <w:szCs w:val="19"/>
                <w:color w:val="auto"/>
              </w:rPr>
            </w:pPr>
          </w:p>
        </w:tc>
        <w:tc>
          <w:tcPr>
            <w:tcW w:w="6660" w:type="dxa"/>
            <w:vAlign w:val="bottom"/>
            <w:tcBorders>
              <w:top w:val="single" w:sz="8" w:color="auto"/>
            </w:tcBorders>
            <w:gridSpan w:val="2"/>
            <w:shd w:val="clear" w:color="auto" w:fill="CCEEFF"/>
          </w:tcPr>
          <w:p>
            <w:pPr>
              <w:spacing w:after="0" w:line="220" w:lineRule="exact"/>
              <w:rPr>
                <w:sz w:val="20"/>
                <w:szCs w:val="20"/>
                <w:color w:val="auto"/>
              </w:rPr>
            </w:pPr>
            <w:r>
              <w:rPr>
                <w:rFonts w:ascii="Arial" w:cs="Arial" w:eastAsia="Arial" w:hAnsi="Arial"/>
                <w:sz w:val="15"/>
                <w:szCs w:val="15"/>
                <w:color w:val="auto"/>
              </w:rPr>
              <w:t>Vertex Global HC Fund I Pte. Ltd.</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68,918</w:t>
            </w:r>
          </w:p>
        </w:tc>
        <w:tc>
          <w:tcPr>
            <w:tcW w:w="140" w:type="dxa"/>
            <w:vAlign w:val="bottom"/>
            <w:shd w:val="clear" w:color="auto" w:fill="CCEEFF"/>
          </w:tcPr>
          <w:p>
            <w:pPr>
              <w:spacing w:after="0"/>
              <w:rPr>
                <w:sz w:val="19"/>
                <w:szCs w:val="19"/>
                <w:color w:val="auto"/>
              </w:rPr>
            </w:pPr>
          </w:p>
        </w:tc>
      </w:tr>
      <w:tr>
        <w:trPr>
          <w:trHeight w:val="220"/>
        </w:trPr>
        <w:tc>
          <w:tcPr>
            <w:tcW w:w="6680" w:type="dxa"/>
            <w:vAlign w:val="bottom"/>
            <w:gridSpan w:val="3"/>
          </w:tcPr>
          <w:p>
            <w:pPr>
              <w:ind w:left="20"/>
              <w:spacing w:after="0" w:line="220" w:lineRule="exact"/>
              <w:rPr>
                <w:sz w:val="20"/>
                <w:szCs w:val="20"/>
                <w:color w:val="auto"/>
              </w:rPr>
            </w:pPr>
            <w:r>
              <w:rPr>
                <w:rFonts w:ascii="Arial" w:cs="Arial" w:eastAsia="Arial" w:hAnsi="Arial"/>
                <w:sz w:val="15"/>
                <w:szCs w:val="15"/>
                <w:color w:val="auto"/>
              </w:rPr>
              <w:t>Cambridge Innovation Capital (Jersey) Limited</w:t>
            </w:r>
            <w:r>
              <w:rPr>
                <w:rFonts w:ascii="Arial" w:cs="Arial" w:eastAsia="Arial" w:hAnsi="Arial"/>
                <w:sz w:val="25"/>
                <w:szCs w:val="25"/>
                <w:color w:val="auto"/>
                <w:vertAlign w:val="superscript"/>
              </w:rPr>
              <w:t>(1)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51,345</w:t>
            </w: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66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Longwood Fund IV, LP</w:t>
            </w:r>
            <w:r>
              <w:rPr>
                <w:rFonts w:ascii="Arial" w:cs="Arial" w:eastAsia="Arial" w:hAnsi="Arial"/>
                <w:sz w:val="25"/>
                <w:szCs w:val="25"/>
                <w:color w:val="auto"/>
                <w:vertAlign w:val="superscript"/>
              </w:rPr>
              <w:t>(1)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48,314</w:t>
            </w:r>
          </w:p>
        </w:tc>
        <w:tc>
          <w:tcPr>
            <w:tcW w:w="140" w:type="dxa"/>
            <w:vAlign w:val="bottom"/>
            <w:shd w:val="clear" w:color="auto" w:fill="CCEEFF"/>
          </w:tcPr>
          <w:p>
            <w:pPr>
              <w:spacing w:after="0"/>
              <w:rPr>
                <w:sz w:val="19"/>
                <w:szCs w:val="19"/>
                <w:color w:val="auto"/>
              </w:rPr>
            </w:pPr>
          </w:p>
        </w:tc>
      </w:tr>
      <w:tr>
        <w:trPr>
          <w:trHeight w:val="318"/>
        </w:trPr>
        <w:tc>
          <w:tcPr>
            <w:tcW w:w="6680" w:type="dxa"/>
            <w:vAlign w:val="bottom"/>
            <w:gridSpan w:val="3"/>
          </w:tcPr>
          <w:p>
            <w:pPr>
              <w:ind w:left="20"/>
              <w:spacing w:after="0"/>
              <w:rPr>
                <w:sz w:val="20"/>
                <w:szCs w:val="20"/>
                <w:color w:val="auto"/>
              </w:rPr>
            </w:pPr>
            <w:r>
              <w:rPr>
                <w:rFonts w:ascii="Arial" w:cs="Arial" w:eastAsia="Arial" w:hAnsi="Arial"/>
                <w:sz w:val="16"/>
                <w:szCs w:val="16"/>
                <w:color w:val="auto"/>
              </w:rPr>
              <w:t>Entities associated with Ahren Innovation Capital Holding Limited</w:t>
            </w:r>
            <w:r>
              <w:rPr>
                <w:rFonts w:ascii="Arial" w:cs="Arial" w:eastAsia="Arial" w:hAnsi="Arial"/>
                <w:sz w:val="26"/>
                <w:szCs w:val="26"/>
                <w:color w:val="auto"/>
                <w:vertAlign w:val="superscript"/>
              </w:rPr>
              <w:t>(1)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26,334</w:t>
            </w:r>
          </w:p>
        </w:tc>
        <w:tc>
          <w:tcPr>
            <w:tcW w:w="14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6" w:lineRule="exact"/>
        <w:rPr>
          <w:sz w:val="20"/>
          <w:szCs w:val="20"/>
          <w:color w:val="auto"/>
        </w:rPr>
      </w:pPr>
    </w:p>
    <w:p>
      <w:pPr>
        <w:ind w:left="2200" w:hanging="487"/>
        <w:spacing w:after="0"/>
        <w:tabs>
          <w:tab w:leader="none" w:pos="2200" w:val="left"/>
        </w:tabs>
        <w:numPr>
          <w:ilvl w:val="0"/>
          <w:numId w:val="97"/>
        </w:numPr>
        <w:rPr>
          <w:rFonts w:ascii="Arial" w:cs="Arial" w:eastAsia="Arial" w:hAnsi="Arial"/>
          <w:sz w:val="20"/>
          <w:szCs w:val="20"/>
          <w:color w:val="auto"/>
          <w:vertAlign w:val="superscript"/>
        </w:rPr>
      </w:pPr>
      <w:r>
        <w:rPr>
          <w:rFonts w:ascii="Arial" w:cs="Arial" w:eastAsia="Arial" w:hAnsi="Arial"/>
          <w:sz w:val="13"/>
          <w:szCs w:val="13"/>
          <w:color w:val="auto"/>
        </w:rPr>
        <w:t>This entity holds or will hold, after giving effect to the Series B2 financing, in the aggregate, more than 5% of our share capital.</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93" w:name="page194"/>
    <w:bookmarkEnd w:id="1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80" w:firstLine="439"/>
        <w:spacing w:after="0" w:line="249" w:lineRule="auto"/>
        <w:rPr>
          <w:sz w:val="20"/>
          <w:szCs w:val="20"/>
          <w:color w:val="auto"/>
        </w:rPr>
      </w:pPr>
      <w:r>
        <w:rPr>
          <w:rFonts w:ascii="Arial" w:cs="Arial" w:eastAsia="Arial" w:hAnsi="Arial"/>
          <w:sz w:val="16"/>
          <w:szCs w:val="16"/>
          <w:color w:val="auto"/>
        </w:rPr>
        <w:t>The following table summarizes the participation in the Series B2 financing by any of our directors, executive officers, holders of more than 5% of our share capital, or any member of the immediate family of the foregoing persons.</w:t>
      </w:r>
    </w:p>
    <w:p>
      <w:pPr>
        <w:spacing w:after="0" w:line="160"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left="21"/>
              <w:spacing w:after="0"/>
              <w:rPr>
                <w:sz w:val="20"/>
                <w:szCs w:val="20"/>
                <w:color w:val="auto"/>
              </w:rPr>
            </w:pPr>
            <w:r>
              <w:rPr>
                <w:rFonts w:ascii="Arial" w:cs="Arial" w:eastAsia="Arial" w:hAnsi="Arial"/>
                <w:sz w:val="16"/>
                <w:szCs w:val="16"/>
                <w:b w:val="1"/>
                <w:bCs w:val="1"/>
                <w:color w:val="auto"/>
                <w:w w:val="99"/>
              </w:rPr>
              <w:t>Series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left="21"/>
              <w:spacing w:after="0"/>
              <w:rPr>
                <w:sz w:val="20"/>
                <w:szCs w:val="20"/>
                <w:color w:val="auto"/>
              </w:rPr>
            </w:pPr>
            <w:r>
              <w:rPr>
                <w:rFonts w:ascii="Arial" w:cs="Arial" w:eastAsia="Arial" w:hAnsi="Arial"/>
                <w:sz w:val="16"/>
                <w:szCs w:val="16"/>
                <w:b w:val="1"/>
                <w:bCs w:val="1"/>
                <w:color w:val="auto"/>
                <w:w w:val="97"/>
              </w:rPr>
              <w:t>B2</w:t>
            </w:r>
          </w:p>
        </w:tc>
        <w:tc>
          <w:tcPr>
            <w:tcW w:w="16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Aggregate</w:t>
            </w: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left="1"/>
              <w:spacing w:after="0"/>
              <w:rPr>
                <w:sz w:val="20"/>
                <w:szCs w:val="20"/>
                <w:color w:val="auto"/>
              </w:rPr>
            </w:pPr>
            <w:r>
              <w:rPr>
                <w:rFonts w:ascii="Arial" w:cs="Arial" w:eastAsia="Arial" w:hAnsi="Arial"/>
                <w:sz w:val="16"/>
                <w:szCs w:val="16"/>
                <w:b w:val="1"/>
                <w:bCs w:val="1"/>
                <w:color w:val="auto"/>
                <w:w w:val="98"/>
              </w:rPr>
              <w:t>Preferred</w:t>
            </w:r>
          </w:p>
        </w:tc>
        <w:tc>
          <w:tcPr>
            <w:tcW w:w="16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Purchase</w:t>
            </w:r>
          </w:p>
        </w:tc>
      </w:tr>
      <w:tr>
        <w:trPr>
          <w:trHeight w:val="205"/>
        </w:trPr>
        <w:tc>
          <w:tcPr>
            <w:tcW w:w="5780" w:type="dxa"/>
            <w:vAlign w:val="bottom"/>
            <w:gridSpan w:val="3"/>
          </w:tcPr>
          <w:p>
            <w:pPr>
              <w:ind w:left="2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7"/>
                <w:szCs w:val="17"/>
                <w:color w:val="auto"/>
              </w:rPr>
            </w:pPr>
          </w:p>
        </w:tc>
        <w:tc>
          <w:tcPr>
            <w:tcW w:w="820" w:type="dxa"/>
            <w:vAlign w:val="bottom"/>
          </w:tcPr>
          <w:p>
            <w:pPr>
              <w:jc w:val="center"/>
              <w:ind w:left="1"/>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Price Paid</w:t>
            </w:r>
          </w:p>
        </w:tc>
      </w:tr>
      <w:tr>
        <w:trPr>
          <w:trHeight w:val="220"/>
        </w:trPr>
        <w:tc>
          <w:tcPr>
            <w:tcW w:w="20" w:type="dxa"/>
            <w:vAlign w:val="bottom"/>
          </w:tcPr>
          <w:p>
            <w:pPr>
              <w:spacing w:after="0"/>
              <w:rPr>
                <w:sz w:val="19"/>
                <w:szCs w:val="19"/>
                <w:color w:val="auto"/>
              </w:rPr>
            </w:pPr>
          </w:p>
        </w:tc>
        <w:tc>
          <w:tcPr>
            <w:tcW w:w="5760" w:type="dxa"/>
            <w:vAlign w:val="bottom"/>
            <w:tcBorders>
              <w:top w:val="single" w:sz="8" w:color="auto"/>
            </w:tcBorders>
            <w:gridSpan w:val="2"/>
            <w:shd w:val="clear" w:color="auto" w:fill="CCEEFF"/>
          </w:tcPr>
          <w:p>
            <w:pPr>
              <w:spacing w:after="0" w:line="220" w:lineRule="exact"/>
              <w:rPr>
                <w:sz w:val="20"/>
                <w:szCs w:val="20"/>
                <w:color w:val="auto"/>
              </w:rPr>
            </w:pPr>
            <w:r>
              <w:rPr>
                <w:rFonts w:ascii="Arial" w:cs="Arial" w:eastAsia="Arial" w:hAnsi="Arial"/>
                <w:sz w:val="15"/>
                <w:szCs w:val="15"/>
                <w:color w:val="auto"/>
              </w:rPr>
              <w:t>An entity affiliated with Tybourne Capital Management (HK) Limited</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1,017,783</w:t>
            </w:r>
          </w:p>
        </w:tc>
        <w:tc>
          <w:tcPr>
            <w:tcW w:w="160" w:type="dxa"/>
            <w:vAlign w:val="bottom"/>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£15,826,526</w:t>
            </w:r>
          </w:p>
        </w:tc>
        <w:tc>
          <w:tcPr>
            <w:tcW w:w="140" w:type="dxa"/>
            <w:vAlign w:val="bottom"/>
            <w:shd w:val="clear" w:color="auto" w:fill="CCEEFF"/>
          </w:tcPr>
          <w:p>
            <w:pPr>
              <w:spacing w:after="0"/>
              <w:rPr>
                <w:sz w:val="19"/>
                <w:szCs w:val="19"/>
                <w:color w:val="auto"/>
              </w:rPr>
            </w:pPr>
          </w:p>
        </w:tc>
      </w:tr>
      <w:tr>
        <w:trPr>
          <w:trHeight w:val="220"/>
        </w:trPr>
        <w:tc>
          <w:tcPr>
            <w:tcW w:w="5780" w:type="dxa"/>
            <w:vAlign w:val="bottom"/>
            <w:gridSpan w:val="3"/>
          </w:tcPr>
          <w:p>
            <w:pPr>
              <w:ind w:left="20"/>
              <w:spacing w:after="0" w:line="220" w:lineRule="exact"/>
              <w:rPr>
                <w:sz w:val="20"/>
                <w:szCs w:val="20"/>
                <w:color w:val="auto"/>
              </w:rPr>
            </w:pPr>
            <w:r>
              <w:rPr>
                <w:rFonts w:ascii="Arial" w:cs="Arial" w:eastAsia="Arial" w:hAnsi="Arial"/>
                <w:sz w:val="15"/>
                <w:szCs w:val="15"/>
                <w:color w:val="auto"/>
              </w:rPr>
              <w:t>Cambridge Innovation Capital (Jersey) Limited</w:t>
            </w:r>
            <w:r>
              <w:rPr>
                <w:rFonts w:ascii="Arial" w:cs="Arial" w:eastAsia="Arial" w:hAnsi="Arial"/>
                <w:sz w:val="25"/>
                <w:szCs w:val="25"/>
                <w:color w:val="auto"/>
                <w:vertAlign w:val="superscript"/>
              </w:rPr>
              <w:t>(1)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160,771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£2,499,989</w:t>
            </w: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76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Vertex Global Healthcare Fund I PTE. Ltd</w:t>
            </w:r>
            <w:r>
              <w:rPr>
                <w:rFonts w:ascii="Arial" w:cs="Arial" w:eastAsia="Arial" w:hAnsi="Arial"/>
                <w:sz w:val="25"/>
                <w:szCs w:val="25"/>
                <w:color w:val="auto"/>
                <w:vertAlign w:val="superscript"/>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144,694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£2,249,992</w:t>
            </w:r>
          </w:p>
        </w:tc>
        <w:tc>
          <w:tcPr>
            <w:tcW w:w="140" w:type="dxa"/>
            <w:vAlign w:val="bottom"/>
            <w:shd w:val="clear" w:color="auto" w:fill="CCEEFF"/>
          </w:tcPr>
          <w:p>
            <w:pPr>
              <w:spacing w:after="0"/>
              <w:rPr>
                <w:sz w:val="19"/>
                <w:szCs w:val="19"/>
                <w:color w:val="auto"/>
              </w:rPr>
            </w:pPr>
          </w:p>
        </w:tc>
      </w:tr>
      <w:tr>
        <w:trPr>
          <w:trHeight w:val="318"/>
        </w:trPr>
        <w:tc>
          <w:tcPr>
            <w:tcW w:w="5780" w:type="dxa"/>
            <w:vAlign w:val="bottom"/>
            <w:gridSpan w:val="3"/>
          </w:tcPr>
          <w:p>
            <w:pPr>
              <w:ind w:left="20"/>
              <w:spacing w:after="0"/>
              <w:rPr>
                <w:sz w:val="20"/>
                <w:szCs w:val="20"/>
                <w:color w:val="auto"/>
              </w:rPr>
            </w:pPr>
            <w:r>
              <w:rPr>
                <w:rFonts w:ascii="Arial" w:cs="Arial" w:eastAsia="Arial" w:hAnsi="Arial"/>
                <w:sz w:val="16"/>
                <w:szCs w:val="16"/>
                <w:color w:val="auto"/>
              </w:rPr>
              <w:t>Entities associated with Ahren Innovation Capital Holdings Limited</w:t>
            </w:r>
            <w:r>
              <w:rPr>
                <w:rFonts w:ascii="Arial" w:cs="Arial" w:eastAsia="Arial" w:hAnsi="Arial"/>
                <w:sz w:val="26"/>
                <w:szCs w:val="26"/>
                <w:color w:val="auto"/>
                <w:vertAlign w:val="superscript"/>
              </w:rPr>
              <w:t>(1)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80,385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£1,249,987</w:t>
            </w:r>
          </w:p>
        </w:tc>
        <w:tc>
          <w:tcPr>
            <w:tcW w:w="14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6" w:lineRule="exact"/>
        <w:rPr>
          <w:sz w:val="20"/>
          <w:szCs w:val="20"/>
          <w:color w:val="auto"/>
        </w:rPr>
      </w:pPr>
    </w:p>
    <w:p>
      <w:pPr>
        <w:ind w:left="2200" w:hanging="487"/>
        <w:spacing w:after="0"/>
        <w:tabs>
          <w:tab w:leader="none" w:pos="2200" w:val="left"/>
        </w:tabs>
        <w:numPr>
          <w:ilvl w:val="0"/>
          <w:numId w:val="98"/>
        </w:numPr>
        <w:rPr>
          <w:rFonts w:ascii="Arial" w:cs="Arial" w:eastAsia="Arial" w:hAnsi="Arial"/>
          <w:sz w:val="20"/>
          <w:szCs w:val="20"/>
          <w:color w:val="auto"/>
          <w:vertAlign w:val="superscript"/>
        </w:rPr>
      </w:pPr>
      <w:r>
        <w:rPr>
          <w:rFonts w:ascii="Arial" w:cs="Arial" w:eastAsia="Arial" w:hAnsi="Arial"/>
          <w:sz w:val="13"/>
          <w:szCs w:val="13"/>
          <w:color w:val="auto"/>
        </w:rPr>
        <w:t>This entity holds or will hold, after giving effect to the Series B2 financing, in the aggregate, more than 5% of our share capital.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Consulting Agreement with Stone Sunny Isles, Inc.</w:t>
      </w:r>
    </w:p>
    <w:p>
      <w:pPr>
        <w:spacing w:after="0" w:line="215"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In March 2019, we entered into a consultancy agreement with Stone Sunny Isles, Inc., or Stone Sunny Isles, pursuant to which Stone Sunny Isles has agreed to make available Pierre Legault to provide advisory services to us as requested by our board of directors or our chief executive officer. In consideration for the provision of the advisory services, we pay Stone Sunny Isles a monthly retainer of £10,416, which is billed in U.S. Dollars. Pierre Legault is the President, Treasurer and Director of Stone Sunny Isles.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Consulting Agreement with 10X Capital, Inc.</w:t>
      </w:r>
    </w:p>
    <w:p>
      <w:pPr>
        <w:spacing w:after="0" w:line="215"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In April 2016, we entered into a consulting agreement with 10X Capital, Inc., or 10X Capital, pursuant to which 10X Capital agreed to make available Stephen Hoffman to provide advisory services to us as requested by the board of directors or by our chief executive officer. In consideration for the provision of the advisory services, we paid 10X Capital a monthly fee of $8,250. We have served notice to terminate this agreement in accordance with its terms in conjunction with Mr. Hoffman's departure from the board of directors in March 2019.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Founder Royalty Arrangements</w:t>
      </w:r>
    </w:p>
    <w:p>
      <w:pPr>
        <w:spacing w:after="0" w:line="215" w:lineRule="exact"/>
        <w:rPr>
          <w:sz w:val="20"/>
          <w:szCs w:val="20"/>
          <w:color w:val="auto"/>
        </w:rPr>
      </w:pPr>
    </w:p>
    <w:p>
      <w:pPr>
        <w:ind w:right="160" w:firstLine="442"/>
        <w:spacing w:after="0" w:line="242" w:lineRule="auto"/>
        <w:rPr>
          <w:sz w:val="20"/>
          <w:szCs w:val="20"/>
          <w:color w:val="auto"/>
        </w:rPr>
      </w:pPr>
      <w:r>
        <w:rPr>
          <w:rFonts w:ascii="Arial" w:cs="Arial" w:eastAsia="Arial" w:hAnsi="Arial"/>
          <w:sz w:val="16"/>
          <w:szCs w:val="16"/>
          <w:color w:val="auto"/>
        </w:rPr>
        <w:t>We have entered into two royalty agreements with our founders, Christian Heinis, John Tite, and Sir Greg Winter, and our initial investors, Atlas Venture Fund VIII LP, Novartis Bioventures LTD. Pursuant to the first royalty agreement, we are obligated to pay a royalty percentage in the low single digits on net sales arising from products licensed under the Oxurion collaboration agreement. Pursuant to the second royalty agreement, we are obligated to pay a royalty percentage in the low single digits on net sales arising from products licensed under the AstraZeneca collaboration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with Our Executive Officers and Directors</w:t>
      </w:r>
    </w:p>
    <w:p>
      <w:pPr>
        <w:spacing w:after="0" w:line="215" w:lineRule="exact"/>
        <w:rPr>
          <w:sz w:val="20"/>
          <w:szCs w:val="20"/>
          <w:color w:val="auto"/>
        </w:rPr>
      </w:pPr>
    </w:p>
    <w:p>
      <w:pPr>
        <w:ind w:right="60" w:firstLine="442"/>
        <w:spacing w:after="0" w:line="244" w:lineRule="auto"/>
        <w:rPr>
          <w:sz w:val="20"/>
          <w:szCs w:val="20"/>
          <w:color w:val="auto"/>
        </w:rPr>
      </w:pPr>
      <w:r>
        <w:rPr>
          <w:rFonts w:ascii="Arial" w:cs="Arial" w:eastAsia="Arial" w:hAnsi="Arial"/>
          <w:sz w:val="16"/>
          <w:szCs w:val="16"/>
          <w:color w:val="auto"/>
        </w:rPr>
        <w:t>We have entered into employment agreements with certain of our executive officers and service agreements with our non-executive directors. These agreements contain customary provisions and representations, including confidentiality, non-competition, non-solicitation and inventions assignment undertakings by the executive officers. However, the enforceability of the non-competition provisions may be limited under applicable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94" w:name="page195"/>
    <w:bookmarkEnd w:id="19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215" w:lineRule="exact"/>
        <w:rPr>
          <w:sz w:val="20"/>
          <w:szCs w:val="20"/>
          <w:color w:val="auto"/>
        </w:rPr>
      </w:pPr>
    </w:p>
    <w:p>
      <w:pPr>
        <w:ind w:right="180" w:firstLine="442"/>
        <w:spacing w:after="0" w:line="244" w:lineRule="auto"/>
        <w:rPr>
          <w:sz w:val="20"/>
          <w:szCs w:val="20"/>
          <w:color w:val="auto"/>
        </w:rPr>
      </w:pPr>
      <w:r>
        <w:rPr>
          <w:rFonts w:ascii="Arial" w:cs="Arial" w:eastAsia="Arial" w:hAnsi="Arial"/>
          <w:sz w:val="16"/>
          <w:szCs w:val="16"/>
          <w:color w:val="auto"/>
        </w:rPr>
        <w:t>We intend to enter into a deed of indemnity with each of our directors and executive officers prior to the completion of this offering. These agreements and our articles of association to be effective upon the completion of this offering require us to indemnify our directors and executive officers to the fullest extent permitted by law.</w:t>
      </w:r>
    </w:p>
    <w:p>
      <w:pPr>
        <w:spacing w:after="0" w:line="185" w:lineRule="exact"/>
        <w:rPr>
          <w:sz w:val="20"/>
          <w:szCs w:val="20"/>
          <w:color w:val="auto"/>
        </w:rPr>
      </w:pPr>
    </w:p>
    <w:p>
      <w:pPr>
        <w:ind w:right="100" w:firstLine="442"/>
        <w:spacing w:after="0" w:line="244" w:lineRule="auto"/>
        <w:rPr>
          <w:sz w:val="20"/>
          <w:szCs w:val="20"/>
          <w:color w:val="auto"/>
        </w:rPr>
      </w:pPr>
      <w:r>
        <w:rPr>
          <w:rFonts w:ascii="Arial" w:cs="Arial" w:eastAsia="Arial" w:hAnsi="Arial"/>
          <w:sz w:val="16"/>
          <w:szCs w:val="16"/>
          <w:color w:val="auto"/>
        </w:rPr>
        <w:t>In addition, we have previously entered into and intend to enter into new agreements to indemnify our directors and executive officers. These agreements will, among other things, indemnify our directors and executive officers against certain liabilities and expenses incurred by such persons in connection with claims made by reason of their being such a director or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With Our Shareholders</w:t>
      </w:r>
    </w:p>
    <w:p>
      <w:pPr>
        <w:spacing w:after="0" w:line="215" w:lineRule="exact"/>
        <w:rPr>
          <w:sz w:val="20"/>
          <w:szCs w:val="20"/>
          <w:color w:val="auto"/>
        </w:rPr>
      </w:pPr>
    </w:p>
    <w:p>
      <w:pPr>
        <w:ind w:right="60" w:firstLine="442"/>
        <w:spacing w:after="0" w:line="242" w:lineRule="auto"/>
        <w:rPr>
          <w:sz w:val="20"/>
          <w:szCs w:val="20"/>
          <w:color w:val="auto"/>
        </w:rPr>
      </w:pPr>
      <w:r>
        <w:rPr>
          <w:rFonts w:ascii="Arial" w:cs="Arial" w:eastAsia="Arial" w:hAnsi="Arial"/>
          <w:sz w:val="16"/>
          <w:szCs w:val="16"/>
          <w:color w:val="auto"/>
        </w:rPr>
        <w:t>In connection with the preferred share financings, we entered into subscription and shareholder agreements containing registration rights and information rights, among other things, with certain holders of our convertible preferred shares. These shareholder agreements will terminate upon the closing of this offering, except for the registration rights granted under our investors' rights agreement, as more fully described in "Description of Share Capital and Articles of Association —Registration Rights."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Person Transaction Policy</w:t>
      </w:r>
    </w:p>
    <w:p>
      <w:pPr>
        <w:spacing w:after="0" w:line="215" w:lineRule="exact"/>
        <w:rPr>
          <w:sz w:val="20"/>
          <w:szCs w:val="20"/>
          <w:color w:val="auto"/>
        </w:rPr>
      </w:pPr>
    </w:p>
    <w:p>
      <w:pPr>
        <w:ind w:firstLine="442"/>
        <w:spacing w:after="0" w:line="261" w:lineRule="auto"/>
        <w:rPr>
          <w:sz w:val="20"/>
          <w:szCs w:val="20"/>
          <w:color w:val="auto"/>
        </w:rPr>
      </w:pPr>
      <w:r>
        <w:rPr>
          <w:rFonts w:ascii="Arial" w:cs="Arial" w:eastAsia="Arial" w:hAnsi="Arial"/>
          <w:sz w:val="15"/>
          <w:szCs w:val="15"/>
          <w:color w:val="auto"/>
        </w:rPr>
        <w:t>In connection with this offering, we have adopted a written related party transactions policy that such transactions must be approved by our audit committee. This policy will become effective on the date on which the registration statement of which this prospectus is part is declared effective by the SEC. Pursuant to this policy, the audit committee has the primary responsibility for reviewing and approving or disapproving "related person transactions," which are transactions between us and related persons in which the related person has a direct or indirect material interest. For purposes of this policy, a related person will be defined as a director, executive officer, nominee for director, or greater than 5% beneficial owner of any class of our voting securities, and their immediate family members.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5" w:name="page196"/>
    <w:bookmarkEnd w:id="1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PRINCIPAL SHAREHOLDERS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certain information known to us regarding beneficial ownership of our share capital as of March 31, 2019 by:</w:t>
      </w:r>
    </w:p>
    <w:p>
      <w:pPr>
        <w:spacing w:after="0" w:line="195" w:lineRule="exact"/>
        <w:rPr>
          <w:sz w:val="20"/>
          <w:szCs w:val="20"/>
          <w:color w:val="auto"/>
        </w:rPr>
      </w:pPr>
    </w:p>
    <w:p>
      <w:pPr>
        <w:ind w:left="980" w:hanging="493"/>
        <w:spacing w:after="0"/>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 the beneficial owner of more than 5% of our voting securities;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of our named executive officers and other executive officers;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of our directors; and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195"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us that the persons and entities named in the table below have sole voting and investment power with respect to all securities shown as beneficially owned by them. The information is not necessarily indicative of beneficial ownership for any other purpose.</w:t>
      </w:r>
    </w:p>
    <w:p>
      <w:pPr>
        <w:spacing w:after="0" w:line="187"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that can be acquired within 60 days of March 31, 2019. Ordinary shares underlying convertible securities that can be acquired within 60 days of March 31, 2019 are deemed to be beneficially owned by the persons holding these securities for the purpose of computing percentage ownership of that person, but are not treated as outstanding for the purpose of computing any other person's ownership percentage.</w:t>
      </w:r>
    </w:p>
    <w:p>
      <w:pPr>
        <w:spacing w:after="0" w:line="189" w:lineRule="exact"/>
        <w:rPr>
          <w:sz w:val="20"/>
          <w:szCs w:val="20"/>
          <w:color w:val="auto"/>
        </w:rPr>
      </w:pPr>
    </w:p>
    <w:p>
      <w:pPr>
        <w:ind w:right="40" w:firstLine="442"/>
        <w:spacing w:after="0" w:line="255" w:lineRule="auto"/>
        <w:rPr>
          <w:sz w:val="20"/>
          <w:szCs w:val="20"/>
          <w:color w:val="auto"/>
        </w:rPr>
      </w:pPr>
      <w:r>
        <w:rPr>
          <w:rFonts w:ascii="Arial" w:cs="Arial" w:eastAsia="Arial" w:hAnsi="Arial"/>
          <w:sz w:val="15"/>
          <w:szCs w:val="15"/>
          <w:color w:val="auto"/>
        </w:rPr>
        <w:t>Percentage ownership calculations are based on 628,904 shares (which includes 39,639 of unvested restricted shares subject to repurchase by us) outstanding as of March 31, 2019, and gives effect to (i) the exercise of warrants to subscribe for 200,000 Series A convertible preferred shares immediately prior to the completion of this offering, (ii) the exercise of warrants to subscribe for 371,645 Series B1 convertible preferred shares, and (iii) the automatic conversion of all outstanding convertible preferred shares as of March 31, 2019 into an aggregate of 8,722,477 ordinary shares, upon the completion of this offering. The</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percentage of shares beneficially owned after completion of this offering is based on ordinary shares after this offering, including ordinary shares in the form of ADSs issued in connection with this offering.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96" w:name="page197"/>
    <w:bookmarkEnd w:id="1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900" w:firstLine="442"/>
        <w:spacing w:after="0" w:line="249" w:lineRule="auto"/>
        <w:rPr>
          <w:sz w:val="20"/>
          <w:szCs w:val="20"/>
          <w:color w:val="auto"/>
        </w:rPr>
      </w:pPr>
      <w:r>
        <w:rPr>
          <w:rFonts w:ascii="Arial" w:cs="Arial" w:eastAsia="Arial" w:hAnsi="Arial"/>
          <w:sz w:val="16"/>
          <w:szCs w:val="16"/>
          <w:color w:val="auto"/>
        </w:rPr>
        <w:t>Except as otherwise indicated in the table below, addresses of the directors, executive officers and named beneficial owners are care of Bicycle Therapeutics Limited, Building 900 Babraham Research Campus, Babraham, Cambridge CB22 3AT, United Kingdom.</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Number of</w:t>
            </w:r>
          </w:p>
        </w:tc>
        <w:tc>
          <w:tcPr>
            <w:tcW w:w="27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8"/>
              </w:rPr>
              <w:t>Percentage of</w:t>
            </w: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Ordinary Shares</w:t>
            </w:r>
          </w:p>
        </w:tc>
        <w:tc>
          <w:tcPr>
            <w:tcW w:w="27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9"/>
              </w:rPr>
              <w:t>Ordinary Shares</w:t>
            </w:r>
          </w:p>
        </w:tc>
      </w:tr>
      <w:tr>
        <w:trPr>
          <w:trHeight w:val="205"/>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8"/>
              </w:rPr>
              <w:t>Beneficially</w:t>
            </w:r>
          </w:p>
        </w:tc>
        <w:tc>
          <w:tcPr>
            <w:tcW w:w="27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8"/>
              </w:rPr>
              <w:t>Beneficially Owned</w:t>
            </w:r>
          </w:p>
        </w:tc>
      </w:tr>
      <w:tr>
        <w:trPr>
          <w:trHeight w:val="166"/>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80"/>
              <w:spacing w:after="0" w:line="166" w:lineRule="exact"/>
              <w:rPr>
                <w:sz w:val="20"/>
                <w:szCs w:val="20"/>
                <w:color w:val="auto"/>
              </w:rPr>
            </w:pPr>
            <w:r>
              <w:rPr>
                <w:rFonts w:ascii="Arial" w:cs="Arial" w:eastAsia="Arial" w:hAnsi="Arial"/>
                <w:sz w:val="16"/>
                <w:szCs w:val="16"/>
                <w:b w:val="1"/>
                <w:bCs w:val="1"/>
                <w:color w:val="auto"/>
                <w:w w:val="99"/>
              </w:rPr>
              <w:t>Owned Prior to</w:t>
            </w:r>
          </w:p>
        </w:tc>
        <w:tc>
          <w:tcPr>
            <w:tcW w:w="1140" w:type="dxa"/>
            <w:vAlign w:val="bottom"/>
            <w:tcBorders>
              <w:top w:val="single" w:sz="8" w:color="auto"/>
            </w:tcBorders>
            <w:gridSpan w:val="2"/>
          </w:tcPr>
          <w:p>
            <w:pPr>
              <w:jc w:val="right"/>
              <w:ind w:right="160"/>
              <w:spacing w:after="0" w:line="166" w:lineRule="exact"/>
              <w:rPr>
                <w:sz w:val="20"/>
                <w:szCs w:val="20"/>
                <w:color w:val="auto"/>
              </w:rPr>
            </w:pPr>
            <w:r>
              <w:rPr>
                <w:rFonts w:ascii="Arial" w:cs="Arial" w:eastAsia="Arial" w:hAnsi="Arial"/>
                <w:sz w:val="16"/>
                <w:szCs w:val="16"/>
                <w:b w:val="1"/>
                <w:bCs w:val="1"/>
                <w:color w:val="auto"/>
              </w:rPr>
              <w:t>Prior to this</w:t>
            </w:r>
          </w:p>
        </w:tc>
        <w:tc>
          <w:tcPr>
            <w:tcW w:w="1420" w:type="dxa"/>
            <w:vAlign w:val="bottom"/>
            <w:tcBorders>
              <w:top w:val="single" w:sz="8" w:color="auto"/>
            </w:tcBorders>
          </w:tcPr>
          <w:p>
            <w:pPr>
              <w:jc w:val="right"/>
              <w:ind w:right="241"/>
              <w:spacing w:after="0" w:line="166" w:lineRule="exact"/>
              <w:rPr>
                <w:sz w:val="20"/>
                <w:szCs w:val="20"/>
                <w:color w:val="auto"/>
              </w:rPr>
            </w:pPr>
            <w:r>
              <w:rPr>
                <w:rFonts w:ascii="Arial" w:cs="Arial" w:eastAsia="Arial" w:hAnsi="Arial"/>
                <w:sz w:val="16"/>
                <w:szCs w:val="16"/>
                <w:b w:val="1"/>
                <w:bCs w:val="1"/>
                <w:color w:val="auto"/>
              </w:rPr>
              <w:t>After this</w:t>
            </w:r>
          </w:p>
        </w:tc>
        <w:tc>
          <w:tcPr>
            <w:tcW w:w="160" w:type="dxa"/>
            <w:vAlign w:val="bottom"/>
          </w:tcPr>
          <w:p>
            <w:pPr>
              <w:spacing w:after="0"/>
              <w:rPr>
                <w:sz w:val="14"/>
                <w:szCs w:val="14"/>
                <w:color w:val="auto"/>
              </w:rPr>
            </w:pPr>
          </w:p>
        </w:tc>
      </w:tr>
      <w:tr>
        <w:trPr>
          <w:trHeight w:val="205"/>
        </w:trPr>
        <w:tc>
          <w:tcPr>
            <w:tcW w:w="4800" w:type="dxa"/>
            <w:vAlign w:val="bottom"/>
            <w:gridSpan w:val="3"/>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4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this Offering</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Offering</w:t>
            </w:r>
          </w:p>
        </w:tc>
        <w:tc>
          <w:tcPr>
            <w:tcW w:w="15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Offering</w:t>
            </w:r>
          </w:p>
        </w:tc>
      </w:tr>
      <w:tr>
        <w:trPr>
          <w:trHeight w:val="183"/>
        </w:trPr>
        <w:tc>
          <w:tcPr>
            <w:tcW w:w="20" w:type="dxa"/>
            <w:vAlign w:val="bottom"/>
          </w:tcPr>
          <w:p>
            <w:pPr>
              <w:spacing w:after="0"/>
              <w:rPr>
                <w:sz w:val="15"/>
                <w:szCs w:val="15"/>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5% or Greater Shareholders</w:t>
            </w:r>
          </w:p>
        </w:tc>
        <w:tc>
          <w:tcPr>
            <w:tcW w:w="140" w:type="dxa"/>
            <w:vAlign w:val="bottom"/>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20"/>
        </w:trPr>
        <w:tc>
          <w:tcPr>
            <w:tcW w:w="4800" w:type="dxa"/>
            <w:vAlign w:val="bottom"/>
            <w:gridSpan w:val="3"/>
          </w:tcPr>
          <w:p>
            <w:pPr>
              <w:spacing w:after="0" w:line="220" w:lineRule="exact"/>
              <w:rPr>
                <w:sz w:val="20"/>
                <w:szCs w:val="20"/>
                <w:color w:val="auto"/>
              </w:rPr>
            </w:pPr>
            <w:r>
              <w:rPr>
                <w:rFonts w:ascii="Arial" w:cs="Arial" w:eastAsia="Arial" w:hAnsi="Arial"/>
                <w:sz w:val="15"/>
                <w:szCs w:val="15"/>
                <w:color w:val="auto"/>
              </w:rPr>
              <w:t>Atlas Venture Fund VIII LP</w:t>
            </w:r>
            <w:r>
              <w:rPr>
                <w:rFonts w:ascii="Arial" w:cs="Arial" w:eastAsia="Arial" w:hAnsi="Arial"/>
                <w:sz w:val="25"/>
                <w:szCs w:val="25"/>
                <w:color w:val="auto"/>
                <w:vertAlign w:val="superscript"/>
              </w:rPr>
              <w:t>(1)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808,645</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9.16%</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47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Novartis Bioventures Ltd</w:t>
            </w:r>
            <w:r>
              <w:rPr>
                <w:rFonts w:ascii="Arial" w:cs="Arial" w:eastAsia="Arial" w:hAnsi="Arial"/>
                <w:sz w:val="25"/>
                <w:szCs w:val="25"/>
                <w:color w:val="auto"/>
                <w:vertAlign w:val="superscript"/>
              </w:rPr>
              <w:t>(2)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1,120,372</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4800" w:type="dxa"/>
            <w:vAlign w:val="bottom"/>
            <w:gridSpan w:val="3"/>
          </w:tcPr>
          <w:p>
            <w:pPr>
              <w:spacing w:after="0" w:line="220" w:lineRule="exact"/>
              <w:rPr>
                <w:sz w:val="20"/>
                <w:szCs w:val="20"/>
                <w:color w:val="auto"/>
              </w:rPr>
            </w:pPr>
            <w:r>
              <w:rPr>
                <w:rFonts w:ascii="Arial" w:cs="Arial" w:eastAsia="Arial" w:hAnsi="Arial"/>
                <w:sz w:val="15"/>
                <w:szCs w:val="15"/>
                <w:color w:val="auto"/>
              </w:rPr>
              <w:t>S.R. One, Limited</w:t>
            </w:r>
            <w:r>
              <w:rPr>
                <w:rFonts w:ascii="Arial" w:cs="Arial" w:eastAsia="Arial" w:hAnsi="Arial"/>
                <w:sz w:val="25"/>
                <w:szCs w:val="25"/>
                <w:color w:val="auto"/>
                <w:vertAlign w:val="superscript"/>
              </w:rPr>
              <w:t>(3)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1,070,372</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12.19%</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47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Entities affiliated with SVLS</w:t>
            </w:r>
            <w:r>
              <w:rPr>
                <w:rFonts w:ascii="Arial" w:cs="Arial" w:eastAsia="Arial" w:hAnsi="Arial"/>
                <w:sz w:val="25"/>
                <w:szCs w:val="25"/>
                <w:color w:val="auto"/>
                <w:vertAlign w:val="superscript"/>
              </w:rPr>
              <w:t>(4)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1,070,372</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4800" w:type="dxa"/>
            <w:vAlign w:val="bottom"/>
            <w:gridSpan w:val="3"/>
          </w:tcPr>
          <w:p>
            <w:pPr>
              <w:spacing w:after="0" w:line="220" w:lineRule="exact"/>
              <w:rPr>
                <w:sz w:val="20"/>
                <w:szCs w:val="20"/>
                <w:color w:val="auto"/>
              </w:rPr>
            </w:pPr>
            <w:r>
              <w:rPr>
                <w:rFonts w:ascii="Arial" w:cs="Arial" w:eastAsia="Arial" w:hAnsi="Arial"/>
                <w:sz w:val="15"/>
                <w:szCs w:val="15"/>
                <w:color w:val="auto"/>
              </w:rPr>
              <w:t>Vertex Global Healthcare Fund I PTE. Ltd</w:t>
            </w:r>
            <w:r>
              <w:rPr>
                <w:rFonts w:ascii="Arial" w:cs="Arial" w:eastAsia="Arial" w:hAnsi="Arial"/>
                <w:sz w:val="25"/>
                <w:szCs w:val="25"/>
                <w:color w:val="auto"/>
                <w:vertAlign w:val="superscript"/>
              </w:rPr>
              <w:t>(5)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1,134,478</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12.78%</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47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Cambridge Innovation Capital (Jersey) Limited</w:t>
            </w:r>
            <w:r>
              <w:rPr>
                <w:rFonts w:ascii="Arial" w:cs="Arial" w:eastAsia="Arial" w:hAnsi="Arial"/>
                <w:sz w:val="25"/>
                <w:szCs w:val="25"/>
                <w:color w:val="auto"/>
                <w:vertAlign w:val="superscript"/>
              </w:rPr>
              <w:t>(6)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1,005,705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4800" w:type="dxa"/>
            <w:vAlign w:val="bottom"/>
            <w:gridSpan w:val="3"/>
          </w:tcPr>
          <w:p>
            <w:pPr>
              <w:spacing w:after="0" w:line="220" w:lineRule="exact"/>
              <w:rPr>
                <w:sz w:val="20"/>
                <w:szCs w:val="20"/>
                <w:color w:val="auto"/>
              </w:rPr>
            </w:pPr>
            <w:r>
              <w:rPr>
                <w:rFonts w:ascii="Arial" w:cs="Arial" w:eastAsia="Arial" w:hAnsi="Arial"/>
                <w:sz w:val="15"/>
                <w:szCs w:val="15"/>
                <w:color w:val="auto"/>
              </w:rPr>
              <w:t>Longwood Fund IV, L.P.</w:t>
            </w:r>
            <w:r>
              <w:rPr>
                <w:rFonts w:ascii="Arial" w:cs="Arial" w:eastAsia="Arial" w:hAnsi="Arial"/>
                <w:sz w:val="25"/>
                <w:szCs w:val="25"/>
                <w:color w:val="auto"/>
                <w:vertAlign w:val="superscript"/>
              </w:rPr>
              <w:t>(7)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487,964</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5.53%</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47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Entities affiliated with Ahren Innovation Capital Holding Limited</w:t>
            </w:r>
            <w:r>
              <w:rPr>
                <w:rFonts w:ascii="Arial" w:cs="Arial" w:eastAsia="Arial" w:hAnsi="Arial"/>
                <w:sz w:val="25"/>
                <w:szCs w:val="25"/>
                <w:color w:val="auto"/>
                <w:vertAlign w:val="superscript"/>
              </w:rPr>
              <w:t>(8)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509,525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186"/>
        </w:trPr>
        <w:tc>
          <w:tcPr>
            <w:tcW w:w="4800" w:type="dxa"/>
            <w:vAlign w:val="bottom"/>
            <w:gridSpan w:val="3"/>
          </w:tcPr>
          <w:p>
            <w:pPr>
              <w:spacing w:after="0"/>
              <w:rPr>
                <w:sz w:val="20"/>
                <w:szCs w:val="20"/>
                <w:color w:val="auto"/>
              </w:rPr>
            </w:pPr>
            <w:r>
              <w:rPr>
                <w:rFonts w:ascii="Arial" w:cs="Arial" w:eastAsia="Arial" w:hAnsi="Arial"/>
                <w:sz w:val="16"/>
                <w:szCs w:val="16"/>
                <w:color w:val="auto"/>
              </w:rPr>
              <w:t>An entity affiliated with Tybourne Capital Management (HK)</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8"/>
        </w:trPr>
        <w:tc>
          <w:tcPr>
            <w:tcW w:w="20" w:type="dxa"/>
            <w:vAlign w:val="bottom"/>
          </w:tcPr>
          <w:p>
            <w:pPr>
              <w:spacing w:after="0"/>
              <w:rPr>
                <w:sz w:val="18"/>
                <w:szCs w:val="18"/>
                <w:color w:val="auto"/>
              </w:rPr>
            </w:pPr>
          </w:p>
        </w:tc>
        <w:tc>
          <w:tcPr>
            <w:tcW w:w="4780" w:type="dxa"/>
            <w:vAlign w:val="bottom"/>
            <w:gridSpan w:val="2"/>
          </w:tcPr>
          <w:p>
            <w:pPr>
              <w:ind w:left="140"/>
              <w:spacing w:after="0" w:line="217" w:lineRule="exact"/>
              <w:rPr>
                <w:sz w:val="20"/>
                <w:szCs w:val="20"/>
                <w:color w:val="auto"/>
              </w:rPr>
            </w:pPr>
            <w:r>
              <w:rPr>
                <w:rFonts w:ascii="Arial" w:cs="Arial" w:eastAsia="Arial" w:hAnsi="Arial"/>
                <w:sz w:val="15"/>
                <w:szCs w:val="15"/>
                <w:color w:val="auto"/>
              </w:rPr>
              <w:t>Limited</w:t>
            </w:r>
            <w:r>
              <w:rPr>
                <w:rFonts w:ascii="Arial" w:cs="Arial" w:eastAsia="Arial" w:hAnsi="Arial"/>
                <w:sz w:val="25"/>
                <w:szCs w:val="25"/>
                <w:color w:val="auto"/>
                <w:vertAlign w:val="superscript"/>
              </w:rPr>
              <w:t>(9)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1,115,239</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12.56%</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478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b w:val="1"/>
                <w:bCs w:val="1"/>
                <w:color w:val="auto"/>
              </w:rPr>
              <w:t>Directors, Named Executive Officers and Other Executive</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Officers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0"/>
        </w:trPr>
        <w:tc>
          <w:tcPr>
            <w:tcW w:w="4800" w:type="dxa"/>
            <w:vAlign w:val="bottom"/>
            <w:gridSpan w:val="3"/>
          </w:tcPr>
          <w:p>
            <w:pPr>
              <w:spacing w:after="0" w:line="220" w:lineRule="exact"/>
              <w:rPr>
                <w:sz w:val="20"/>
                <w:szCs w:val="20"/>
                <w:color w:val="auto"/>
              </w:rPr>
            </w:pPr>
            <w:r>
              <w:rPr>
                <w:rFonts w:ascii="Arial" w:cs="Arial" w:eastAsia="Arial" w:hAnsi="Arial"/>
                <w:sz w:val="15"/>
                <w:szCs w:val="15"/>
                <w:color w:val="auto"/>
              </w:rPr>
              <w:t>Kevin Lee, Ph.D., MBA</w:t>
            </w:r>
            <w:r>
              <w:rPr>
                <w:rFonts w:ascii="Arial" w:cs="Arial" w:eastAsia="Arial" w:hAnsi="Arial"/>
                <w:sz w:val="25"/>
                <w:szCs w:val="25"/>
                <w:color w:val="auto"/>
                <w:vertAlign w:val="superscript"/>
              </w:rPr>
              <w:t>(10)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209,240</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2.38%</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47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Lee Kalowski, MBA</w:t>
            </w:r>
            <w:r>
              <w:rPr>
                <w:rFonts w:ascii="Arial" w:cs="Arial" w:eastAsia="Arial" w:hAnsi="Arial"/>
                <w:sz w:val="25"/>
                <w:szCs w:val="25"/>
                <w:color w:val="auto"/>
                <w:vertAlign w:val="superscript"/>
              </w:rPr>
              <w:t>(11)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52,767</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183"/>
        </w:trPr>
        <w:tc>
          <w:tcPr>
            <w:tcW w:w="4800" w:type="dxa"/>
            <w:vAlign w:val="bottom"/>
            <w:gridSpan w:val="3"/>
          </w:tcPr>
          <w:p>
            <w:pPr>
              <w:spacing w:after="0"/>
              <w:rPr>
                <w:sz w:val="20"/>
                <w:szCs w:val="20"/>
                <w:color w:val="auto"/>
              </w:rPr>
            </w:pPr>
            <w:r>
              <w:rPr>
                <w:rFonts w:ascii="Arial" w:cs="Arial" w:eastAsia="Arial" w:hAnsi="Arial"/>
                <w:sz w:val="16"/>
                <w:szCs w:val="16"/>
                <w:color w:val="auto"/>
              </w:rPr>
              <w:t>Peter Leone, MBA</w:t>
            </w:r>
          </w:p>
        </w:tc>
        <w:tc>
          <w:tcPr>
            <w:tcW w:w="14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47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Michael Skynner, Ph.D.</w:t>
            </w:r>
            <w:r>
              <w:rPr>
                <w:rFonts w:ascii="Arial" w:cs="Arial" w:eastAsia="Arial" w:hAnsi="Arial"/>
                <w:sz w:val="25"/>
                <w:szCs w:val="25"/>
                <w:color w:val="auto"/>
                <w:vertAlign w:val="superscript"/>
              </w:rPr>
              <w:t>(12)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31,935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4800" w:type="dxa"/>
            <w:vAlign w:val="bottom"/>
            <w:gridSpan w:val="3"/>
          </w:tcPr>
          <w:p>
            <w:pPr>
              <w:spacing w:after="0" w:line="220" w:lineRule="exact"/>
              <w:rPr>
                <w:sz w:val="20"/>
                <w:szCs w:val="20"/>
                <w:color w:val="auto"/>
              </w:rPr>
            </w:pPr>
            <w:r>
              <w:rPr>
                <w:rFonts w:ascii="Arial" w:cs="Arial" w:eastAsia="Arial" w:hAnsi="Arial"/>
                <w:sz w:val="15"/>
                <w:szCs w:val="15"/>
                <w:color w:val="auto"/>
              </w:rPr>
              <w:t>Maria Koehler, M.D., Ph.D.</w:t>
            </w:r>
            <w:r>
              <w:rPr>
                <w:rFonts w:ascii="Arial" w:cs="Arial" w:eastAsia="Arial" w:hAnsi="Arial"/>
                <w:sz w:val="25"/>
                <w:szCs w:val="25"/>
                <w:color w:val="auto"/>
                <w:vertAlign w:val="superscript"/>
              </w:rPr>
              <w:t>(13)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37,621</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47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Nick Keen, Ph.D.</w:t>
            </w:r>
            <w:r>
              <w:rPr>
                <w:rFonts w:ascii="Arial" w:cs="Arial" w:eastAsia="Arial" w:hAnsi="Arial"/>
                <w:sz w:val="25"/>
                <w:szCs w:val="25"/>
                <w:color w:val="auto"/>
                <w:vertAlign w:val="superscript"/>
              </w:rPr>
              <w:t>(14)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57,289</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183"/>
        </w:trPr>
        <w:tc>
          <w:tcPr>
            <w:tcW w:w="4800" w:type="dxa"/>
            <w:vAlign w:val="bottom"/>
            <w:gridSpan w:val="3"/>
          </w:tcPr>
          <w:p>
            <w:pPr>
              <w:spacing w:after="0"/>
              <w:rPr>
                <w:sz w:val="20"/>
                <w:szCs w:val="20"/>
                <w:color w:val="auto"/>
              </w:rPr>
            </w:pPr>
            <w:r>
              <w:rPr>
                <w:rFonts w:ascii="Arial" w:cs="Arial" w:eastAsia="Arial" w:hAnsi="Arial"/>
                <w:sz w:val="16"/>
                <w:szCs w:val="16"/>
                <w:color w:val="auto"/>
              </w:rPr>
              <w:t>Pierre Legault, MBA, CPA</w:t>
            </w:r>
          </w:p>
        </w:tc>
        <w:tc>
          <w:tcPr>
            <w:tcW w:w="14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47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Michael Anstey, DPhil</w:t>
            </w:r>
            <w:r>
              <w:rPr>
                <w:rFonts w:ascii="Arial" w:cs="Arial" w:eastAsia="Arial" w:hAnsi="Arial"/>
                <w:sz w:val="25"/>
                <w:szCs w:val="25"/>
                <w:color w:val="auto"/>
                <w:vertAlign w:val="superscript"/>
              </w:rPr>
              <w:t>(15)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1,005,705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4800" w:type="dxa"/>
            <w:vAlign w:val="bottom"/>
            <w:gridSpan w:val="3"/>
          </w:tcPr>
          <w:p>
            <w:pPr>
              <w:spacing w:after="0" w:line="220" w:lineRule="exact"/>
              <w:rPr>
                <w:sz w:val="20"/>
                <w:szCs w:val="20"/>
                <w:color w:val="auto"/>
              </w:rPr>
            </w:pPr>
            <w:r>
              <w:rPr>
                <w:rFonts w:ascii="Arial" w:cs="Arial" w:eastAsia="Arial" w:hAnsi="Arial"/>
                <w:sz w:val="15"/>
                <w:szCs w:val="15"/>
                <w:color w:val="auto"/>
              </w:rPr>
              <w:t>Kate Bingham, MBA</w:t>
            </w:r>
            <w:r>
              <w:rPr>
                <w:rFonts w:ascii="Arial" w:cs="Arial" w:eastAsia="Arial" w:hAnsi="Arial"/>
                <w:sz w:val="25"/>
                <w:szCs w:val="25"/>
                <w:color w:val="auto"/>
                <w:vertAlign w:val="superscript"/>
              </w:rPr>
              <w:t>(16)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1,070,372</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12.19%</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47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Deborah Harland, Ph.D., MBA</w:t>
            </w:r>
            <w:r>
              <w:rPr>
                <w:rFonts w:ascii="Arial" w:cs="Arial" w:eastAsia="Arial" w:hAnsi="Arial"/>
                <w:sz w:val="25"/>
                <w:szCs w:val="25"/>
                <w:color w:val="auto"/>
                <w:vertAlign w:val="superscript"/>
              </w:rPr>
              <w:t>(17)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1,070,372</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4800" w:type="dxa"/>
            <w:vAlign w:val="bottom"/>
            <w:gridSpan w:val="3"/>
          </w:tcPr>
          <w:p>
            <w:pPr>
              <w:spacing w:after="0" w:line="220" w:lineRule="exact"/>
              <w:rPr>
                <w:sz w:val="20"/>
                <w:szCs w:val="20"/>
                <w:color w:val="auto"/>
              </w:rPr>
            </w:pPr>
            <w:r>
              <w:rPr>
                <w:rFonts w:ascii="Arial" w:cs="Arial" w:eastAsia="Arial" w:hAnsi="Arial"/>
                <w:sz w:val="15"/>
                <w:szCs w:val="15"/>
                <w:color w:val="auto"/>
              </w:rPr>
              <w:t>Eashwar Krishnan</w:t>
            </w:r>
            <w:r>
              <w:rPr>
                <w:rFonts w:ascii="Arial" w:cs="Arial" w:eastAsia="Arial" w:hAnsi="Arial"/>
                <w:sz w:val="25"/>
                <w:szCs w:val="25"/>
                <w:color w:val="auto"/>
                <w:vertAlign w:val="superscript"/>
              </w:rPr>
              <w:t>(18)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1,115,239</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12.56%</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Anja König, Ph.D.</w:t>
            </w:r>
            <w:r>
              <w:rPr>
                <w:rFonts w:ascii="Arial" w:cs="Arial" w:eastAsia="Arial" w:hAnsi="Arial"/>
                <w:sz w:val="25"/>
                <w:szCs w:val="25"/>
                <w:color w:val="auto"/>
                <w:vertAlign w:val="superscript"/>
              </w:rPr>
              <w:t>(19)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1,120,372</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4800" w:type="dxa"/>
            <w:vAlign w:val="bottom"/>
            <w:gridSpan w:val="3"/>
          </w:tcPr>
          <w:p>
            <w:pPr>
              <w:spacing w:after="0" w:line="220" w:lineRule="exact"/>
              <w:rPr>
                <w:sz w:val="20"/>
                <w:szCs w:val="20"/>
                <w:color w:val="auto"/>
              </w:rPr>
            </w:pPr>
            <w:r>
              <w:rPr>
                <w:rFonts w:ascii="Arial" w:cs="Arial" w:eastAsia="Arial" w:hAnsi="Arial"/>
                <w:sz w:val="15"/>
                <w:szCs w:val="15"/>
                <w:color w:val="auto"/>
              </w:rPr>
              <w:t>Carolyn Ng, Ph.D.</w:t>
            </w:r>
            <w:r>
              <w:rPr>
                <w:rFonts w:ascii="Arial" w:cs="Arial" w:eastAsia="Arial" w:hAnsi="Arial"/>
                <w:sz w:val="25"/>
                <w:szCs w:val="25"/>
                <w:color w:val="auto"/>
                <w:vertAlign w:val="superscript"/>
              </w:rPr>
              <w:t>(20)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1,134,478</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12.78%</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47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Jason Rhodes, MBA</w:t>
            </w:r>
            <w:r>
              <w:rPr>
                <w:rFonts w:ascii="Arial" w:cs="Arial" w:eastAsia="Arial" w:hAnsi="Arial"/>
                <w:sz w:val="25"/>
                <w:szCs w:val="25"/>
                <w:color w:val="auto"/>
                <w:vertAlign w:val="superscript"/>
              </w:rPr>
              <w:t>(21)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808,645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4800" w:type="dxa"/>
            <w:vAlign w:val="bottom"/>
            <w:gridSpan w:val="3"/>
          </w:tcPr>
          <w:p>
            <w:pPr>
              <w:spacing w:after="0" w:line="220" w:lineRule="exact"/>
              <w:rPr>
                <w:sz w:val="20"/>
                <w:szCs w:val="20"/>
                <w:color w:val="auto"/>
              </w:rPr>
            </w:pPr>
            <w:r>
              <w:rPr>
                <w:rFonts w:ascii="Arial" w:cs="Arial" w:eastAsia="Arial" w:hAnsi="Arial"/>
                <w:sz w:val="15"/>
                <w:szCs w:val="15"/>
                <w:color w:val="auto"/>
              </w:rPr>
              <w:t>Sir Greg Winter, FRS</w:t>
            </w:r>
            <w:r>
              <w:rPr>
                <w:rFonts w:ascii="Arial" w:cs="Arial" w:eastAsia="Arial" w:hAnsi="Arial"/>
                <w:sz w:val="25"/>
                <w:szCs w:val="25"/>
                <w:color w:val="auto"/>
                <w:vertAlign w:val="superscript"/>
              </w:rPr>
              <w:t>(22)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114,715</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1.30%</w:t>
            </w: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3"/>
        </w:trPr>
        <w:tc>
          <w:tcPr>
            <w:tcW w:w="20" w:type="dxa"/>
            <w:vAlign w:val="bottom"/>
          </w:tcPr>
          <w:p>
            <w:pPr>
              <w:spacing w:after="0"/>
              <w:rPr>
                <w:sz w:val="15"/>
                <w:szCs w:val="15"/>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All Directors and Executive Officers as a Group (16 people)</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88.63%</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98"/>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0" w:lineRule="exact"/>
        <w:rPr>
          <w:sz w:val="20"/>
          <w:szCs w:val="20"/>
          <w:color w:val="auto"/>
        </w:rPr>
      </w:pPr>
    </w:p>
    <w:p>
      <w:pPr>
        <w:ind w:left="1640" w:hanging="499"/>
        <w:spacing w:after="0"/>
        <w:tabs>
          <w:tab w:leader="none" w:pos="16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w:t>
      </w:r>
    </w:p>
    <w:p>
      <w:pPr>
        <w:spacing w:after="0" w:line="144" w:lineRule="exact"/>
        <w:rPr>
          <w:sz w:val="20"/>
          <w:szCs w:val="20"/>
          <w:color w:val="auto"/>
        </w:rPr>
      </w:pPr>
    </w:p>
    <w:p>
      <w:pPr>
        <w:ind w:left="1640" w:right="60" w:hanging="499"/>
        <w:spacing w:after="0" w:line="191" w:lineRule="auto"/>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50,000 Series A Preferred Share Warrants and 133,596 Series B1 Preferred Shares. Jason Rhodes, MBA is a partner at Atlas Venture LP and is a member of our board of directors. The address of Atlas Venture Fund VIII LP is 400 Technology Square, Cambridge, MA 02139.</w:t>
      </w:r>
    </w:p>
    <w:p>
      <w:pPr>
        <w:spacing w:after="0" w:line="138" w:lineRule="exact"/>
        <w:rPr>
          <w:rFonts w:ascii="Arial" w:cs="Arial" w:eastAsia="Arial" w:hAnsi="Arial"/>
          <w:sz w:val="20"/>
          <w:szCs w:val="20"/>
          <w:color w:val="auto"/>
          <w:vertAlign w:val="superscript"/>
        </w:rPr>
      </w:pPr>
    </w:p>
    <w:p>
      <w:pPr>
        <w:ind w:left="1640" w:hanging="499"/>
        <w:spacing w:after="0" w:line="191" w:lineRule="auto"/>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50,000 Series A Preferred Share Warrants and 445,323 Series B1 Preferred Shares. Anja König, Ph.D. is the global head of Novartis Venture Fund and is a member of our board of directors. The address of Novartis Bioventures Ltd is Lichtstrasse 35, 4056 Basel, Switzerland.</w:t>
      </w:r>
    </w:p>
    <w:p>
      <w:pPr>
        <w:spacing w:after="0" w:line="138" w:lineRule="exact"/>
        <w:rPr>
          <w:rFonts w:ascii="Arial" w:cs="Arial" w:eastAsia="Arial" w:hAnsi="Arial"/>
          <w:sz w:val="20"/>
          <w:szCs w:val="20"/>
          <w:color w:val="auto"/>
          <w:vertAlign w:val="superscript"/>
        </w:rPr>
      </w:pPr>
    </w:p>
    <w:p>
      <w:pPr>
        <w:ind w:left="1640" w:right="480" w:hanging="499"/>
        <w:spacing w:after="0" w:line="191" w:lineRule="auto"/>
        <w:tabs>
          <w:tab w:leader="none" w:pos="1640" w:val="left"/>
        </w:tabs>
        <w:numPr>
          <w:ilvl w:val="0"/>
          <w:numId w:val="101"/>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and 445,323 Series B1 Preferred Shares. Deborah Harland, Ph.D., MBA is a partner at S.R. One, Limited and is a member of our board of directors. The address of S.R. One, Limited is 161 Washington Street, Conshohocken, PA 19428.</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7" w:name="page198"/>
    <w:bookmarkEnd w:id="1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left="1640" w:right="40" w:hanging="499"/>
        <w:spacing w:after="0" w:line="203" w:lineRule="auto"/>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(i) 612,113 Series A Preferred Shares and 436,107 Series B1 Preferred Shares held by SVLS Fund V LP and (ii) 12,936 Series A Preferred Shares and 9,216 Series B1 Preferred Shares held by SVLS Fund V Strategic Partners LP. Kate Bingham, MBA is the managing partner of SV Health Investors LLP and a member of our board of directors. The address for both SVLS Fund V LP and SVLS Fund V Strategic Partners LP is One Boston Place, Boston, MA 02118.</w:t>
      </w:r>
    </w:p>
    <w:p>
      <w:pPr>
        <w:spacing w:after="0" w:line="139" w:lineRule="exact"/>
        <w:rPr>
          <w:rFonts w:ascii="Arial" w:cs="Arial" w:eastAsia="Arial" w:hAnsi="Arial"/>
          <w:sz w:val="20"/>
          <w:szCs w:val="20"/>
          <w:color w:val="auto"/>
          <w:vertAlign w:val="superscript"/>
        </w:rPr>
      </w:pPr>
    </w:p>
    <w:p>
      <w:pPr>
        <w:ind w:left="1640" w:hanging="499"/>
        <w:spacing w:after="0" w:line="191" w:lineRule="auto"/>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1,035,340 Series B1 Preferred Shares and 99,138 Series B1 Preferred Share Warrants. Carolyn Ng, Ph.D. is a principal of Vertex Ventures HC and a member of our board of directors. The address of Vertex Global Healthcare Fund I PTE. Ltd is 250 North Bridge Road, #11-01 Raffles City Tower, Singapore 179101.</w:t>
      </w:r>
    </w:p>
    <w:p>
      <w:pPr>
        <w:spacing w:after="0" w:line="138" w:lineRule="exact"/>
        <w:rPr>
          <w:rFonts w:ascii="Arial" w:cs="Arial" w:eastAsia="Arial" w:hAnsi="Arial"/>
          <w:sz w:val="20"/>
          <w:szCs w:val="20"/>
          <w:color w:val="auto"/>
          <w:vertAlign w:val="superscript"/>
        </w:rPr>
      </w:pPr>
    </w:p>
    <w:p>
      <w:pPr>
        <w:ind w:left="1640" w:right="340" w:hanging="499"/>
        <w:spacing w:after="0" w:line="203" w:lineRule="auto"/>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917,820 Series B1 Preferred Shares and 87,885 Series B1 Preferred Share Warrants. Michael Anstey, DPhil is an investment director at Cambridge Innovation Captial plc and a member of our board of directors. The address of Cambridge Innovation Capital (Jersey) Limited is Gaspe House, 66-72 Esplanade, St. Helier, Jersey, Channel Islands, JE2 3QT.</w:t>
      </w:r>
    </w:p>
    <w:p>
      <w:pPr>
        <w:spacing w:after="0" w:line="139" w:lineRule="exact"/>
        <w:rPr>
          <w:rFonts w:ascii="Arial" w:cs="Arial" w:eastAsia="Arial" w:hAnsi="Arial"/>
          <w:sz w:val="20"/>
          <w:szCs w:val="20"/>
          <w:color w:val="auto"/>
          <w:vertAlign w:val="superscript"/>
        </w:rPr>
      </w:pPr>
    </w:p>
    <w:p>
      <w:pPr>
        <w:ind w:left="1640" w:right="420" w:hanging="499"/>
        <w:spacing w:after="0" w:line="191" w:lineRule="auto"/>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445,323 Series B1 Preferred Shares and 42,641 Series B1 Preferred Share Warrants. The address of Longwood Fund IV, L.P. is 800 Bolyston, Boston, Massachusetts, 02199, USA.</w:t>
      </w:r>
    </w:p>
    <w:p>
      <w:pPr>
        <w:spacing w:after="0" w:line="138" w:lineRule="exact"/>
        <w:rPr>
          <w:rFonts w:ascii="Arial" w:cs="Arial" w:eastAsia="Arial" w:hAnsi="Arial"/>
          <w:sz w:val="20"/>
          <w:szCs w:val="20"/>
          <w:color w:val="auto"/>
          <w:vertAlign w:val="superscript"/>
        </w:rPr>
      </w:pPr>
    </w:p>
    <w:p>
      <w:pPr>
        <w:ind w:left="1640" w:right="200" w:hanging="499"/>
        <w:spacing w:after="0" w:line="203" w:lineRule="auto"/>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(i) 260,671 Series B1 Preferred Shares, 30,176 Series B1 Preferred Share Warrants and 80,385 Series B2 Preferred Shares held by Ahren LP, (ii) 113,366 Series B1 Preferred Shares and 13,124 Series B1 Preferred Share Warrants held by BAIV LP and (iii) 10,578 Series B1 Shares and 1,250 Series B1 Preferred Share Warrants held by SAIV LP. The address for Ahren LP, BAIV LP and SAIV LP is 15 Queens Grove, London, United Kingdom, NW8 6EL.</w:t>
      </w:r>
    </w:p>
    <w:p>
      <w:pPr>
        <w:spacing w:after="0" w:line="139" w:lineRule="exact"/>
        <w:rPr>
          <w:rFonts w:ascii="Arial" w:cs="Arial" w:eastAsia="Arial" w:hAnsi="Arial"/>
          <w:sz w:val="20"/>
          <w:szCs w:val="20"/>
          <w:color w:val="auto"/>
          <w:vertAlign w:val="superscript"/>
        </w:rPr>
      </w:pPr>
    </w:p>
    <w:p>
      <w:pPr>
        <w:ind w:left="1640" w:right="140" w:hanging="499"/>
        <w:spacing w:after="0" w:line="203" w:lineRule="auto"/>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1,017,783 Series B1 Preferred Shares and 97,456 Series B1 Preferred Share Warrants held by Aquila Investments IV, an affiliate of Tybourne Capital Management. Eashwar Krishnan is the managing partner of Tybourne Capital Management and is a member of our board of directors. The address of Tybourne Capital Management is 30/F, AIA Central, 1 Connaught Road Central, Hong Kong.</w:t>
      </w:r>
    </w:p>
    <w:p>
      <w:pPr>
        <w:spacing w:after="0" w:line="65"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209,240 options to purchase ordinary shares exercisable within 60 days of March 31, 2019.</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52,767 options to purchase ordinary shares exercisable within 60 days of March 31, 2019.</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31,935 options to purchase ordinary shares exercisable within 60 days of March 31, 2019.</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37,621 options to purchase ordinary shares exercisable within 60 days of March 31, 2019.</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57,289 options to purchase ordinary shares exercisable within 60 days of March 31, 2019.</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917,820 Series B1 Preferred Shares and 87,885 Series B1 Preferred Share Warrants.</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and 445,323 Series B1 Preferred Shares.</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and 445,323 Series B1 Preferred Shares.</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1,017,783 Series B1 Preferred Shares and 97,456 Series B1 Preferred Share Warrants.</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50,000 Series A Preferred Share Warrants and 445,323 Series B1 Preferred Shares.</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1,035,340 Series B1 Preferred Shares and 99,138 Series B1 Preferred Share Warrants.</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625,049 Series A Preferred Shares, 50,000 Series A Preferred Share Warrants and 133,596 Series B1 Preferred Shares.</w:t>
      </w:r>
    </w:p>
    <w:p>
      <w:pPr>
        <w:spacing w:after="0" w:line="63" w:lineRule="exact"/>
        <w:rPr>
          <w:rFonts w:ascii="Arial" w:cs="Arial" w:eastAsia="Arial" w:hAnsi="Arial"/>
          <w:sz w:val="20"/>
          <w:szCs w:val="20"/>
          <w:color w:val="auto"/>
          <w:vertAlign w:val="superscript"/>
        </w:rPr>
      </w:pPr>
    </w:p>
    <w:p>
      <w:pPr>
        <w:ind w:left="1640" w:hanging="499"/>
        <w:spacing w:after="0"/>
        <w:tabs>
          <w:tab w:leader="none" w:pos="1640" w:val="left"/>
        </w:tabs>
        <w:numPr>
          <w:ilvl w:val="0"/>
          <w:numId w:val="102"/>
        </w:numPr>
        <w:rPr>
          <w:rFonts w:ascii="Arial" w:cs="Arial" w:eastAsia="Arial" w:hAnsi="Arial"/>
          <w:sz w:val="20"/>
          <w:szCs w:val="20"/>
          <w:color w:val="auto"/>
          <w:vertAlign w:val="superscript"/>
        </w:rPr>
      </w:pPr>
      <w:r>
        <w:rPr>
          <w:rFonts w:ascii="Arial" w:cs="Arial" w:eastAsia="Arial" w:hAnsi="Arial"/>
          <w:sz w:val="13"/>
          <w:szCs w:val="13"/>
          <w:color w:val="auto"/>
        </w:rPr>
        <w:t>Consists of 30,000 Series A Preferred Shares, 14,127 options to purchase ordinary shares, 20,588 ordinary shares and 50,000 Series A Preferred Share Warrants.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8" w:name="page199"/>
    <w:bookmarkEnd w:id="19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DESCRIPTION OF SHARE CAPITAL AND ARTICLES OF ASSOCIATION</w:t>
      </w:r>
    </w:p>
    <w:p>
      <w:pPr>
        <w:spacing w:after="0" w:line="199" w:lineRule="exact"/>
        <w:rPr>
          <w:sz w:val="20"/>
          <w:szCs w:val="20"/>
          <w:color w:val="auto"/>
        </w:rPr>
      </w:pPr>
    </w:p>
    <w:p>
      <w:pPr>
        <w:ind w:right="20" w:firstLine="442"/>
        <w:spacing w:after="0" w:line="254" w:lineRule="auto"/>
        <w:rPr>
          <w:sz w:val="20"/>
          <w:szCs w:val="20"/>
          <w:color w:val="auto"/>
        </w:rPr>
      </w:pPr>
      <w:r>
        <w:rPr>
          <w:rFonts w:ascii="Arial" w:cs="Arial" w:eastAsia="Arial" w:hAnsi="Arial"/>
          <w:sz w:val="16"/>
          <w:szCs w:val="16"/>
          <w:i w:val="1"/>
          <w:iCs w:val="1"/>
          <w:color w:val="auto"/>
        </w:rPr>
        <w:t>The following describes our issued share capital, summarizes the material provisions of our articles of association and highlights certain differences in corporate law in the United Kingdom and the United States. Please note that this summary is not intended to be exhaustive. For further information, please refer to the full version of our articles of association, which are included as an exhibit to the registration statement of which this prospectus is a part.</w:t>
      </w:r>
    </w:p>
    <w:p>
      <w:pPr>
        <w:spacing w:after="0" w:line="178" w:lineRule="exact"/>
        <w:rPr>
          <w:sz w:val="20"/>
          <w:szCs w:val="20"/>
          <w:color w:val="auto"/>
        </w:rPr>
      </w:pPr>
    </w:p>
    <w:p>
      <w:pPr>
        <w:ind w:right="20" w:firstLine="442"/>
        <w:spacing w:after="0" w:line="244" w:lineRule="auto"/>
        <w:rPr>
          <w:sz w:val="20"/>
          <w:szCs w:val="20"/>
          <w:color w:val="auto"/>
        </w:rPr>
      </w:pPr>
      <w:r>
        <w:rPr>
          <w:rFonts w:ascii="Arial" w:cs="Arial" w:eastAsia="Arial" w:hAnsi="Arial"/>
          <w:sz w:val="16"/>
          <w:szCs w:val="16"/>
          <w:color w:val="auto"/>
        </w:rPr>
        <w:t>We were incorporated pursuant to the laws of England and Wales as Bicycle Therapeutics Limited on October 27, 2017.We are registered with the Registrar of Companies in England and Wales under number 11036004, and our registered office is at Building 900 Babraham Research Campus, Babraham, Cambridge CB22 3AT, United Kingdom.</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resolutions will be required to be passed by our shareholders prior to the completion of this offering. These will include resolutions for the:</w:t>
      </w:r>
    </w:p>
    <w:p>
      <w:pPr>
        <w:spacing w:after="0" w:line="195" w:lineRule="exact"/>
        <w:rPr>
          <w:sz w:val="20"/>
          <w:szCs w:val="20"/>
          <w:color w:val="auto"/>
        </w:rPr>
      </w:pPr>
    </w:p>
    <w:p>
      <w:pPr>
        <w:ind w:left="980" w:hanging="493"/>
        <w:spacing w:after="0"/>
        <w:tabs>
          <w:tab w:leader="none" w:pos="9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adoption of new articles of association that will become effective upon the completion of this offering. See "—Post-IPO Articles of Association" below;</w:t>
      </w:r>
    </w:p>
    <w:p>
      <w:pPr>
        <w:spacing w:after="0" w:line="206" w:lineRule="exact"/>
        <w:rPr>
          <w:rFonts w:ascii="Arial" w:cs="Arial" w:eastAsia="Arial" w:hAnsi="Arial"/>
          <w:sz w:val="15"/>
          <w:szCs w:val="15"/>
          <w:color w:val="auto"/>
        </w:rPr>
      </w:pPr>
    </w:p>
    <w:p>
      <w:pPr>
        <w:ind w:left="980" w:hanging="493"/>
        <w:spacing w:after="0"/>
        <w:tabs>
          <w:tab w:leader="none" w:pos="9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general authorization of our directors for purposes of Section 551 of the Companies Act to issue shares in the company and grant rights to subscribe</w:t>
      </w:r>
    </w:p>
    <w:p>
      <w:pPr>
        <w:spacing w:after="0" w:line="11" w:lineRule="exact"/>
        <w:rPr>
          <w:sz w:val="20"/>
          <w:szCs w:val="20"/>
          <w:color w:val="auto"/>
        </w:rPr>
      </w:pPr>
    </w:p>
    <w:p>
      <w:pPr>
        <w:ind w:left="980"/>
        <w:spacing w:after="0"/>
        <w:tabs>
          <w:tab w:leader="none" w:pos="8760" w:val="left"/>
          <w:tab w:leader="none" w:pos="10320" w:val="left"/>
        </w:tabs>
        <w:rPr>
          <w:sz w:val="20"/>
          <w:szCs w:val="20"/>
          <w:color w:val="auto"/>
        </w:rPr>
      </w:pPr>
      <w:r>
        <w:rPr>
          <w:rFonts w:ascii="Arial" w:cs="Arial" w:eastAsia="Arial" w:hAnsi="Arial"/>
          <w:sz w:val="16"/>
          <w:szCs w:val="16"/>
          <w:color w:val="auto"/>
        </w:rPr>
        <w:t>for or convert any securities into shares in the company up to a maximum aggregate nominal amount of £</w:t>
      </w:r>
      <w:r>
        <w:rPr>
          <w:sz w:val="20"/>
          <w:szCs w:val="20"/>
          <w:color w:val="auto"/>
        </w:rPr>
        <w:tab/>
      </w:r>
      <w:r>
        <w:rPr>
          <w:rFonts w:ascii="Arial" w:cs="Arial" w:eastAsia="Arial" w:hAnsi="Arial"/>
          <w:sz w:val="16"/>
          <w:szCs w:val="16"/>
          <w:color w:val="auto"/>
        </w:rPr>
        <w:t>for a period of</w:t>
      </w:r>
      <w:r>
        <w:rPr>
          <w:sz w:val="20"/>
          <w:szCs w:val="20"/>
          <w:color w:val="auto"/>
        </w:rPr>
        <w:tab/>
      </w:r>
      <w:r>
        <w:rPr>
          <w:rFonts w:ascii="Arial" w:cs="Arial" w:eastAsia="Arial" w:hAnsi="Arial"/>
          <w:sz w:val="15"/>
          <w:szCs w:val="15"/>
          <w:color w:val="auto"/>
        </w:rPr>
        <w:t>years; and</w:t>
      </w:r>
    </w:p>
    <w:p>
      <w:pPr>
        <w:spacing w:after="0" w:line="183" w:lineRule="exact"/>
        <w:rPr>
          <w:sz w:val="20"/>
          <w:szCs w:val="20"/>
          <w:color w:val="auto"/>
        </w:rPr>
      </w:pPr>
    </w:p>
    <w:p>
      <w:pPr>
        <w:ind w:left="980" w:right="420" w:hanging="493"/>
        <w:spacing w:after="0" w:line="249" w:lineRule="auto"/>
        <w:tabs>
          <w:tab w:leader="none" w:pos="9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empowering of our directors pursuant to Section 570 of Companies Act to issue equity securities for cash pursuant to the Section 551 authority referred to above as if the statutory preemption rights under Section 561(1) of the Companies Act did not apply to such allotments.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Issued Share Capital</w:t>
      </w:r>
    </w:p>
    <w:p>
      <w:pPr>
        <w:spacing w:after="0" w:line="215" w:lineRule="exact"/>
        <w:rPr>
          <w:sz w:val="20"/>
          <w:szCs w:val="20"/>
          <w:color w:val="auto"/>
        </w:rPr>
      </w:pPr>
    </w:p>
    <w:p>
      <w:pPr>
        <w:ind w:right="120" w:firstLine="433"/>
        <w:spacing w:after="0" w:line="241" w:lineRule="auto"/>
        <w:rPr>
          <w:sz w:val="20"/>
          <w:szCs w:val="20"/>
          <w:color w:val="auto"/>
        </w:rPr>
      </w:pPr>
      <w:r>
        <w:rPr>
          <w:rFonts w:ascii="Arial" w:cs="Arial" w:eastAsia="Arial" w:hAnsi="Arial"/>
          <w:sz w:val="16"/>
          <w:szCs w:val="16"/>
          <w:color w:val="auto"/>
        </w:rPr>
        <w:t>As of December 31, 2018, the issued share capital of Bicycle Therapeutics Limited was 628,902 ordinary shares which includes 58,746 of unvested restricted shares subject to repurchase, 2,800,001 Series A convertible preferred shares, 3,947,198 Series B1 convertible preferred shares and 1,323,248 Series B2 convertible preferred shares. The nominal value of our ordinary shares, Series A convertible preferred shares, Series B1 convertible preferred shares and Series B2 convertible preferred shares is £0.01 per share and each issued ordinary share, Series A convertible preferred share, Series B1 convertible preferred share and Series B2 convertible preferred share is fully paid (or deemed paid up).</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Ordinary Shares</w:t>
      </w:r>
    </w:p>
    <w:p>
      <w:pPr>
        <w:spacing w:after="0" w:line="215" w:lineRule="exact"/>
        <w:rPr>
          <w:sz w:val="20"/>
          <w:szCs w:val="20"/>
          <w:color w:val="auto"/>
        </w:rPr>
      </w:pPr>
    </w:p>
    <w:p>
      <w:pPr>
        <w:ind w:right="540" w:firstLine="442"/>
        <w:spacing w:after="0" w:line="249" w:lineRule="auto"/>
        <w:rPr>
          <w:sz w:val="20"/>
          <w:szCs w:val="20"/>
          <w:color w:val="auto"/>
        </w:rPr>
      </w:pPr>
      <w:r>
        <w:rPr>
          <w:rFonts w:ascii="Arial" w:cs="Arial" w:eastAsia="Arial" w:hAnsi="Arial"/>
          <w:sz w:val="16"/>
          <w:szCs w:val="16"/>
          <w:color w:val="auto"/>
        </w:rPr>
        <w:t>In accordance with our articles of association to be in effect upon the completion of this offering, the following summarizes the rights of holders of our ordinary shares:</w:t>
      </w:r>
    </w:p>
    <w:p>
      <w:pPr>
        <w:spacing w:after="0" w:line="181" w:lineRule="exact"/>
        <w:rPr>
          <w:sz w:val="20"/>
          <w:szCs w:val="20"/>
          <w:color w:val="auto"/>
        </w:rPr>
      </w:pPr>
    </w:p>
    <w:p>
      <w:pPr>
        <w:ind w:left="980" w:hanging="493"/>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holder of our ordinary shares is entitled to one vote per ordinary share on all matters to be voted on by shareholders generally;</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holders of the ordinary shares shall be entitled to receive notice of, attend, speak and vote at our general meetings; and</w:t>
      </w:r>
    </w:p>
    <w:p>
      <w:pPr>
        <w:spacing w:after="0" w:line="182" w:lineRule="exact"/>
        <w:rPr>
          <w:rFonts w:ascii="Arial" w:cs="Arial" w:eastAsia="Arial" w:hAnsi="Arial"/>
          <w:sz w:val="16"/>
          <w:szCs w:val="16"/>
          <w:color w:val="auto"/>
        </w:rPr>
      </w:pPr>
    </w:p>
    <w:p>
      <w:pPr>
        <w:jc w:val="center"/>
        <w:ind w:left="5580" w:right="540" w:hanging="5093"/>
        <w:spacing w:after="0" w:line="504" w:lineRule="auto"/>
        <w:tabs>
          <w:tab w:leader="none" w:pos="97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holders of our ordinary shares are entitled to receive such dividends as are recommended by our directors and declared by our shareholders. 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64400" cy="20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9" w:name="page200"/>
    <w:bookmarkEnd w:id="1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Registered Shares</w:t>
      </w:r>
    </w:p>
    <w:p>
      <w:pPr>
        <w:spacing w:after="0" w:line="215" w:lineRule="exact"/>
        <w:rPr>
          <w:sz w:val="20"/>
          <w:szCs w:val="20"/>
          <w:color w:val="auto"/>
        </w:rPr>
      </w:pPr>
    </w:p>
    <w:p>
      <w:pPr>
        <w:ind w:right="80" w:firstLine="442"/>
        <w:spacing w:after="0" w:line="242" w:lineRule="auto"/>
        <w:rPr>
          <w:sz w:val="20"/>
          <w:szCs w:val="20"/>
          <w:color w:val="auto"/>
        </w:rPr>
      </w:pPr>
      <w:r>
        <w:rPr>
          <w:rFonts w:ascii="Arial" w:cs="Arial" w:eastAsia="Arial" w:hAnsi="Arial"/>
          <w:sz w:val="16"/>
          <w:szCs w:val="16"/>
          <w:color w:val="auto"/>
        </w:rPr>
        <w:t>We are required by the Companies Act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w:t>
      </w:r>
    </w:p>
    <w:p>
      <w:pPr>
        <w:spacing w:after="0" w:line="187" w:lineRule="exact"/>
        <w:rPr>
          <w:sz w:val="20"/>
          <w:szCs w:val="20"/>
          <w:color w:val="auto"/>
        </w:rPr>
      </w:pPr>
    </w:p>
    <w:p>
      <w:pPr>
        <w:ind w:right="40" w:firstLine="442"/>
        <w:spacing w:after="0" w:line="244" w:lineRule="auto"/>
        <w:rPr>
          <w:sz w:val="20"/>
          <w:szCs w:val="20"/>
          <w:color w:val="auto"/>
        </w:rPr>
      </w:pPr>
      <w:r>
        <w:rPr>
          <w:rFonts w:ascii="Arial" w:cs="Arial" w:eastAsia="Arial" w:hAnsi="Arial"/>
          <w:sz w:val="16"/>
          <w:szCs w:val="16"/>
          <w:color w:val="auto"/>
        </w:rPr>
        <w:t>Holders of our ADSs will not be treated as one of our shareholders and their names will therefore not be entered in our share register. The depositary, the custodian or their nominees will be the holder of the shares underlying our ADSs. Holders of our ADSs have a right to receive the ordinary shares underlying their ADSs. For discussion on our ADSs and ADS holder rights, see "Description of American Depositary Shares" in this prospectus.</w:t>
      </w:r>
    </w:p>
    <w:p>
      <w:pPr>
        <w:spacing w:after="0" w:line="185" w:lineRule="exact"/>
        <w:rPr>
          <w:sz w:val="20"/>
          <w:szCs w:val="20"/>
          <w:color w:val="auto"/>
        </w:rPr>
      </w:pPr>
    </w:p>
    <w:p>
      <w:pPr>
        <w:ind w:right="100" w:firstLine="442"/>
        <w:spacing w:after="0" w:line="241" w:lineRule="auto"/>
        <w:rPr>
          <w:sz w:val="20"/>
          <w:szCs w:val="20"/>
          <w:color w:val="auto"/>
        </w:rPr>
      </w:pPr>
      <w:r>
        <w:rPr>
          <w:rFonts w:ascii="Arial" w:cs="Arial" w:eastAsia="Arial" w:hAnsi="Arial"/>
          <w:sz w:val="16"/>
          <w:szCs w:val="16"/>
          <w:color w:val="auto"/>
        </w:rPr>
        <w:t>Under the Companies Act, we must enter an allotment of shares in our share register as soon as practicable and in any event within two months of the allotment. We will perform all procedures necessary to update the share register to reflect the ordinary shares being sold in this offering, including updating the share register with the number of ordinary shares to be issued to the depositary upon the closing of this offering. We also are required by the Companies Act to register a transfer of shares (or give the transferee notice of and reasons for refusal as the transferee may reasonably request) as soon as practicable and in any event within two months of receiving notice of the transfer.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any of our shareholders or any other affected person may apply to the court for rectification of the share register if:</w:t>
      </w:r>
    </w:p>
    <w:p>
      <w:pPr>
        <w:spacing w:after="0" w:line="195" w:lineRule="exact"/>
        <w:rPr>
          <w:sz w:val="20"/>
          <w:szCs w:val="20"/>
          <w:color w:val="auto"/>
        </w:rPr>
      </w:pPr>
    </w:p>
    <w:p>
      <w:pPr>
        <w:ind w:left="980" w:hanging="493"/>
        <w:spacing w:after="0"/>
        <w:tabs>
          <w:tab w:leader="none" w:pos="9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name of any person, without sufficient cause, is wrongly entered in or omitted from our register of members; or</w:t>
      </w:r>
    </w:p>
    <w:p>
      <w:pPr>
        <w:spacing w:after="0" w:line="195" w:lineRule="exact"/>
        <w:rPr>
          <w:rFonts w:ascii="Arial" w:cs="Arial" w:eastAsia="Arial" w:hAnsi="Arial"/>
          <w:sz w:val="16"/>
          <w:szCs w:val="16"/>
          <w:color w:val="auto"/>
        </w:rPr>
      </w:pPr>
    </w:p>
    <w:p>
      <w:pPr>
        <w:ind w:left="980" w:right="60" w:hanging="493"/>
        <w:spacing w:after="0" w:line="249" w:lineRule="auto"/>
        <w:tabs>
          <w:tab w:leader="none" w:pos="9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there is a default or unnecessary delay in entering on the register the fact of any person having ceased to be a member or on which we have a lien, provided that such delay does not prevent dealings in the shares taking place on an open and proper basis.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Preemptive Rights</w:t>
      </w:r>
    </w:p>
    <w:p>
      <w:pPr>
        <w:spacing w:after="0" w:line="215" w:lineRule="exact"/>
        <w:rPr>
          <w:sz w:val="20"/>
          <w:szCs w:val="20"/>
          <w:color w:val="auto"/>
        </w:rPr>
      </w:pPr>
    </w:p>
    <w:p>
      <w:pPr>
        <w:ind w:right="140" w:firstLine="442"/>
        <w:spacing w:after="0" w:line="239" w:lineRule="auto"/>
        <w:rPr>
          <w:sz w:val="20"/>
          <w:szCs w:val="20"/>
          <w:color w:val="auto"/>
        </w:rPr>
      </w:pPr>
      <w:r>
        <w:rPr>
          <w:rFonts w:ascii="Arial" w:cs="Arial" w:eastAsia="Arial" w:hAnsi="Arial"/>
          <w:sz w:val="16"/>
          <w:szCs w:val="16"/>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5"/>
          <w:szCs w:val="15"/>
          <w:color w:val="auto"/>
        </w:rPr>
        <w:t>least every five years). On , our shareholders approved the exclusion of preemptive rights for a period of five years from the date of approval, which exclusion will need to be renewed upon expiration (i.e., at least every five years) to remain effective, but may be sought more frequently for additional five-year</w:t>
      </w:r>
    </w:p>
    <w:p>
      <w:pPr>
        <w:spacing w:after="0" w:line="249" w:lineRule="auto"/>
        <w:rPr>
          <w:sz w:val="20"/>
          <w:szCs w:val="20"/>
          <w:color w:val="auto"/>
        </w:rPr>
      </w:pPr>
      <w:r>
        <w:rPr>
          <w:rFonts w:ascii="Arial" w:cs="Arial" w:eastAsia="Arial" w:hAnsi="Arial"/>
          <w:sz w:val="16"/>
          <w:szCs w:val="16"/>
          <w:color w:val="auto"/>
        </w:rPr>
        <w:t>terms (or any shorter period). On , our shareholders approved the exclusion of preemptive rights for the allotment of ordinary shares in connection with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Distributions and Dividends</w:t>
      </w:r>
    </w:p>
    <w:p>
      <w:pPr>
        <w:spacing w:after="0" w:line="215" w:lineRule="exact"/>
        <w:rPr>
          <w:sz w:val="20"/>
          <w:szCs w:val="20"/>
          <w:color w:val="auto"/>
        </w:rPr>
      </w:pPr>
    </w:p>
    <w:p>
      <w:pPr>
        <w:ind w:right="60" w:firstLine="442"/>
        <w:spacing w:after="0" w:line="244" w:lineRule="auto"/>
        <w:rPr>
          <w:sz w:val="20"/>
          <w:szCs w:val="20"/>
          <w:color w:val="auto"/>
        </w:rPr>
      </w:pPr>
      <w:r>
        <w:rPr>
          <w:rFonts w:ascii="Arial" w:cs="Arial" w:eastAsia="Arial" w:hAnsi="Arial"/>
          <w:sz w:val="16"/>
          <w:szCs w:val="16"/>
          <w:color w:val="auto"/>
        </w:rPr>
        <w:t>Under the Companies Act, before a company can lawfully make a distribution or dividend, it must ensure that it has sufficient distributable reserves, as determined on a non-consolidated basis. The basic rule is that a company's profits available for the purpose of making a distribution are its accumulated, realized profits, so far as not previously utilized by distribution or capitalization, less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0" w:name="page201"/>
    <w:bookmarkEnd w:id="20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57" w:lineRule="exact"/>
        <w:rPr>
          <w:sz w:val="20"/>
          <w:szCs w:val="20"/>
          <w:color w:val="auto"/>
        </w:rPr>
      </w:pPr>
    </w:p>
    <w:p>
      <w:pPr>
        <w:ind w:right="100" w:firstLine="442"/>
        <w:spacing w:after="0" w:line="244" w:lineRule="auto"/>
        <w:rPr>
          <w:sz w:val="20"/>
          <w:szCs w:val="20"/>
          <w:color w:val="auto"/>
        </w:rPr>
      </w:pPr>
      <w:r>
        <w:rPr>
          <w:rFonts w:ascii="Arial" w:cs="Arial" w:eastAsia="Arial" w:hAnsi="Arial"/>
          <w:sz w:val="16"/>
          <w:szCs w:val="16"/>
          <w:color w:val="auto"/>
        </w:rPr>
        <w:t>Once we are a public company, it will not be sufficient that we have made a distributable profit for the purpose of making a distribution. An additional capital maintenance requirement will be imposed on us to ensure that the net worth of the company is at least equal to the amount of its capital. A public company can only make a distribution:</w:t>
      </w:r>
    </w:p>
    <w:p>
      <w:pPr>
        <w:spacing w:after="0" w:line="185" w:lineRule="exact"/>
        <w:rPr>
          <w:sz w:val="20"/>
          <w:szCs w:val="20"/>
          <w:color w:val="auto"/>
        </w:rPr>
      </w:pPr>
    </w:p>
    <w:p>
      <w:pPr>
        <w:ind w:left="980" w:right="180" w:hanging="493"/>
        <w:spacing w:after="0" w:line="249" w:lineRule="auto"/>
        <w:tabs>
          <w:tab w:leader="none" w:pos="9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at the time that the distribution is made, the amount of its net assets (that is, the total excess of assets over liabilities) is not less than the total of its called up share capital and undistributable reserves; and</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and to the extent that, the distribution itself, at the time that it is made, does not reduce the amount of its net assets to less than that total.</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Interest in Shares</w:t>
      </w:r>
    </w:p>
    <w:p>
      <w:pPr>
        <w:spacing w:after="0" w:line="215" w:lineRule="exact"/>
        <w:rPr>
          <w:sz w:val="20"/>
          <w:szCs w:val="20"/>
          <w:color w:val="auto"/>
        </w:rPr>
      </w:pPr>
    </w:p>
    <w:p>
      <w:pPr>
        <w:ind w:right="100" w:firstLine="442"/>
        <w:spacing w:after="0" w:line="242" w:lineRule="auto"/>
        <w:rPr>
          <w:sz w:val="20"/>
          <w:szCs w:val="20"/>
          <w:color w:val="auto"/>
        </w:rPr>
      </w:pPr>
      <w:r>
        <w:rPr>
          <w:rFonts w:ascii="Arial" w:cs="Arial" w:eastAsia="Arial" w:hAnsi="Arial"/>
          <w:sz w:val="16"/>
          <w:szCs w:val="16"/>
          <w:color w:val="auto"/>
        </w:rPr>
        <w:t>Pursuant to Part 22 of the Companies Act, a company is empowered by notice in writing to require any person whom the company knows to be, or has reasonable cause to believe to be, interested in the company's shares or at any time during the three years immediately preceding the date on which the notice is issued to have been so interested, within a reasonable time to disclose to the company details of that person's interest and (so far as is within such person's knowledge) details of any other interest that subsists or subsisted in those shares.</w:t>
      </w:r>
    </w:p>
    <w:p>
      <w:pPr>
        <w:spacing w:after="0" w:line="187" w:lineRule="exact"/>
        <w:rPr>
          <w:sz w:val="20"/>
          <w:szCs w:val="20"/>
          <w:color w:val="auto"/>
        </w:rPr>
      </w:pPr>
    </w:p>
    <w:p>
      <w:pPr>
        <w:jc w:val="both"/>
        <w:ind w:right="60" w:firstLine="442"/>
        <w:spacing w:after="0" w:line="244" w:lineRule="auto"/>
        <w:rPr>
          <w:sz w:val="20"/>
          <w:szCs w:val="20"/>
          <w:color w:val="auto"/>
        </w:rPr>
      </w:pPr>
      <w:r>
        <w:rPr>
          <w:rFonts w:ascii="Arial" w:cs="Arial" w:eastAsia="Arial" w:hAnsi="Arial"/>
          <w:sz w:val="16"/>
          <w:szCs w:val="16"/>
          <w:color w:val="auto"/>
        </w:rPr>
        <w:t>If a shareholder defaults in supplying the company with the required details in relation to the shares in question, or the Default Shares, the shareholder shall not be entitled to vote or exercise any other right conferred by membership in relation to general meetings. Where the Default Shares represent 0.25% or more of the issued shares of the class in question, the directors may direct that:</w:t>
      </w:r>
    </w:p>
    <w:p>
      <w:pPr>
        <w:spacing w:after="0" w:line="185" w:lineRule="exact"/>
        <w:rPr>
          <w:sz w:val="20"/>
          <w:szCs w:val="20"/>
          <w:color w:val="auto"/>
        </w:rPr>
      </w:pPr>
    </w:p>
    <w:p>
      <w:pPr>
        <w:ind w:left="980" w:hanging="493"/>
        <w:spacing w:after="0" w:line="249" w:lineRule="auto"/>
        <w:tabs>
          <w:tab w:leader="none" w:pos="9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dividend or other money payable in respect of the Default Shares shall be retained by the company without any liability to pay interest on it when such dividend or other money is finally paid to the shareholder; and/or</w:t>
      </w:r>
    </w:p>
    <w:p>
      <w:pPr>
        <w:spacing w:after="0" w:line="168" w:lineRule="exact"/>
        <w:rPr>
          <w:rFonts w:ascii="Arial" w:cs="Arial" w:eastAsia="Arial" w:hAnsi="Arial"/>
          <w:sz w:val="16"/>
          <w:szCs w:val="16"/>
          <w:color w:val="auto"/>
        </w:rPr>
      </w:pPr>
    </w:p>
    <w:p>
      <w:pPr>
        <w:ind w:left="980" w:right="440" w:hanging="493"/>
        <w:spacing w:after="0" w:line="249" w:lineRule="auto"/>
        <w:tabs>
          <w:tab w:leader="none" w:pos="9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 transfer by the relevant shareholder of shares (other than a transfer approved in accordance with the provisions of the company's articles of association) may be registered (unless such shareholder is not in default and the transfer does not relate to default shares).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of Own Shares</w:t>
      </w:r>
    </w:p>
    <w:p>
      <w:pPr>
        <w:spacing w:after="0" w:line="215"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English law permits a public limited company to purchase its own shares out of the distributable profits of the company or the proceeds of a fresh issue of shares made for the purpose of financing the purchase, subject to complying with procedural requirements under the Companies Act and provided that its articles of association do not prohibit it from doing so. Our articles of association, a summary of which is provided above, do not prohibit us from purchasing our own shares. A public limited company must not purchase its own shares if, as a result of the purchase, there would no longer be any issued shares of the company other than redeemable shares or shares held as treasury shares.</w:t>
      </w:r>
    </w:p>
    <w:p>
      <w:pPr>
        <w:spacing w:after="0" w:line="189" w:lineRule="exact"/>
        <w:rPr>
          <w:sz w:val="20"/>
          <w:szCs w:val="20"/>
          <w:color w:val="auto"/>
        </w:rPr>
      </w:pPr>
    </w:p>
    <w:p>
      <w:pPr>
        <w:ind w:right="60" w:firstLine="433"/>
        <w:spacing w:after="0" w:line="244" w:lineRule="auto"/>
        <w:rPr>
          <w:sz w:val="20"/>
          <w:szCs w:val="20"/>
          <w:color w:val="auto"/>
        </w:rPr>
      </w:pPr>
      <w:r>
        <w:rPr>
          <w:rFonts w:ascii="Arial" w:cs="Arial" w:eastAsia="Arial" w:hAnsi="Arial"/>
          <w:sz w:val="16"/>
          <w:szCs w:val="16"/>
          <w:color w:val="auto"/>
        </w:rPr>
        <w:t>Any such purchase will be either a "market purchase" or "off market purchase," each as defined in the Companies Act. A "market purchase" is a purchase made on a "recognized investment exchange (other than an overseas exchange) as defined in the UK Financial Services and Markets Act 2000, or FSMA. An "off market purchase" is a purchase that is not made on a "recognized investment exchange." Both "market purchases" and "off market purchases" require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1" w:name="page202"/>
    <w:bookmarkEnd w:id="20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prior shareholder approval by way of an ordinary resolution. In the case of an "off market purchase," a company's shareholders, other than the shareholders from whom the company is purchasing shares, must approve the terms of the contract to purchase shares and in the case of a "market purchase," the shareholders must approve the maximum number of shares that can be purchased and the maximum and minimum prices to be paid by the company.</w:t>
      </w:r>
    </w:p>
    <w:p>
      <w:pPr>
        <w:spacing w:after="0" w:line="185" w:lineRule="exact"/>
        <w:rPr>
          <w:sz w:val="20"/>
          <w:szCs w:val="20"/>
          <w:color w:val="auto"/>
        </w:rPr>
      </w:pPr>
    </w:p>
    <w:p>
      <w:pPr>
        <w:jc w:val="both"/>
        <w:ind w:right="140" w:firstLine="442"/>
        <w:spacing w:after="0" w:line="244" w:lineRule="auto"/>
        <w:rPr>
          <w:sz w:val="20"/>
          <w:szCs w:val="20"/>
          <w:color w:val="auto"/>
        </w:rPr>
      </w:pPr>
      <w:r>
        <w:rPr>
          <w:rFonts w:ascii="Arial" w:cs="Arial" w:eastAsia="Arial" w:hAnsi="Arial"/>
          <w:sz w:val="16"/>
          <w:szCs w:val="16"/>
          <w:color w:val="auto"/>
        </w:rPr>
        <w:t>Nasdaq is an "overseas exchange" for the purposes of the Companies Act and does not fall within the definition of a "recognized investment exchange" for the purposes of FSMA and any purchase made by us would need to comply with the procedural requirements under the Companies Act that regulate "off market purchases."</w:t>
      </w:r>
    </w:p>
    <w:p>
      <w:pPr>
        <w:spacing w:after="0" w:line="185" w:lineRule="exact"/>
        <w:rPr>
          <w:sz w:val="20"/>
          <w:szCs w:val="20"/>
          <w:color w:val="auto"/>
        </w:rPr>
      </w:pPr>
    </w:p>
    <w:p>
      <w:pPr>
        <w:ind w:firstLine="433"/>
        <w:spacing w:after="0" w:line="264" w:lineRule="auto"/>
        <w:rPr>
          <w:sz w:val="20"/>
          <w:szCs w:val="20"/>
          <w:color w:val="auto"/>
        </w:rPr>
      </w:pPr>
      <w:r>
        <w:rPr>
          <w:rFonts w:ascii="Arial" w:cs="Arial" w:eastAsia="Arial" w:hAnsi="Arial"/>
          <w:sz w:val="15"/>
          <w:szCs w:val="15"/>
          <w:color w:val="auto"/>
        </w:rPr>
        <w:t>A share buy back by a company of its shares will give rise to U.K. stamp duty reserve tax and stamp duty at the rate of 0.5% of the amount or value of the consideration payable by the company (rounded up to the next £5.00), and such stamp duty reserve tax or duty will be paid by the company. The charge to stamp duty reserve tax will be canceled or, if already paid, repaid (generally with interest), where a transfer instrument for stamp duty purposes has been duly stamped within six years of the charge arising (either by paying the stamp duty or by claiming an appropriate relief) or if the instrument is otherwise exempt from stamp duty.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articles of association do not have conditions governing changes to our capital which are more stringent that those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Rights</w:t>
      </w:r>
    </w:p>
    <w:p>
      <w:pPr>
        <w:spacing w:after="0" w:line="215" w:lineRule="exact"/>
        <w:rPr>
          <w:sz w:val="20"/>
          <w:szCs w:val="20"/>
          <w:color w:val="auto"/>
        </w:rPr>
      </w:pPr>
    </w:p>
    <w:p>
      <w:pPr>
        <w:ind w:right="20" w:firstLine="442"/>
        <w:spacing w:after="0" w:line="259" w:lineRule="auto"/>
        <w:rPr>
          <w:sz w:val="20"/>
          <w:szCs w:val="20"/>
          <w:color w:val="auto"/>
        </w:rPr>
      </w:pPr>
      <w:r>
        <w:rPr>
          <w:rFonts w:ascii="Arial" w:cs="Arial" w:eastAsia="Arial" w:hAnsi="Arial"/>
          <w:sz w:val="15"/>
          <w:szCs w:val="15"/>
          <w:color w:val="auto"/>
        </w:rPr>
        <w:t>Certain rights granted under the Companies Act, including the right to requisition a general meeting or require a resolution to be put to shareholders at the annual general meeting, are only available to our members. For English law purposes, our members are the persons who are registered as the owners of the legal title to the shares and whose names are recorded in our register of members. In the case of shares held in a settlement system operated by the Depository Trust Company, or DTC, the registered member will be DTC's nominee, Cede &amp; Co. If a person who holds their ADSs in DTC wishes to exercise certain of the rights granted under the Companies Act, they may be required to first take steps to withdraw their ADSs from the settlement system operated by DTC and become the registered holder of the shares in our register of members. A withdrawal of shares from DTC may have tax implications, for additional information on the potential tax implications of withdrawing your shares from the settlement system operated by DTC, see "Material Tax Considerations—United Kingdom Taxation."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215"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Upon the completion of this offering, the holders of shares of our ordinary shares issuable upon the conversion of our convertible preferred shares plus the ordinary shares issued as bonus shares to holders of convertible preferred shares and the ordinary shares issued on exercise of the warrants held by the holders of convertible preferred shares, will be entitled to rights with respect to the registration of these securities under the Securities Act. These rights are provided under the terms of a registration rights agreement between us and holders of the holders of the convertible preferred shares. The registration rights agreement includes demand registration rights, short-form registration rights and piggyback registration rights.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Registration Rights</w:t>
      </w:r>
    </w:p>
    <w:p>
      <w:pPr>
        <w:spacing w:after="0" w:line="212" w:lineRule="exact"/>
        <w:rPr>
          <w:sz w:val="20"/>
          <w:szCs w:val="20"/>
          <w:color w:val="auto"/>
        </w:rPr>
      </w:pPr>
    </w:p>
    <w:p>
      <w:pPr>
        <w:ind w:left="440"/>
        <w:spacing w:after="0"/>
        <w:tabs>
          <w:tab w:leader="none" w:pos="9740" w:val="left"/>
        </w:tabs>
        <w:rPr>
          <w:sz w:val="20"/>
          <w:szCs w:val="20"/>
          <w:color w:val="auto"/>
        </w:rPr>
      </w:pPr>
      <w:r>
        <w:rPr>
          <w:rFonts w:ascii="Arial" w:cs="Arial" w:eastAsia="Arial" w:hAnsi="Arial"/>
          <w:sz w:val="16"/>
          <w:szCs w:val="16"/>
          <w:color w:val="auto"/>
        </w:rPr>
        <w:t>Beginning 180 days after the effective date of the registration statement of which this prospectus forms a part, the holders of</w:t>
      </w:r>
      <w:r>
        <w:rPr>
          <w:sz w:val="20"/>
          <w:szCs w:val="20"/>
          <w:color w:val="auto"/>
        </w:rPr>
        <w:tab/>
      </w:r>
      <w:r>
        <w:rPr>
          <w:rFonts w:ascii="Arial" w:cs="Arial" w:eastAsia="Arial" w:hAnsi="Arial"/>
          <w:sz w:val="16"/>
          <w:szCs w:val="16"/>
          <w:color w:val="auto"/>
        </w:rPr>
        <w:t>shares of our ordinary</w:t>
      </w:r>
    </w:p>
    <w:p>
      <w:pPr>
        <w:ind w:right="100"/>
        <w:spacing w:after="0" w:line="249" w:lineRule="auto"/>
        <w:rPr>
          <w:sz w:val="20"/>
          <w:szCs w:val="20"/>
          <w:color w:val="auto"/>
        </w:rPr>
      </w:pPr>
      <w:r>
        <w:rPr>
          <w:rFonts w:ascii="Arial" w:cs="Arial" w:eastAsia="Arial" w:hAnsi="Arial"/>
          <w:sz w:val="16"/>
          <w:szCs w:val="16"/>
          <w:color w:val="auto"/>
        </w:rPr>
        <w:t>shares issuable upon the conversion of convertible preferred shares upon closing of this offering are entitled to demand registration rights. Under the terms of the registration rights agreement, we will be required, upon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2" w:name="page203"/>
    <w:bookmarkEnd w:id="2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written request of holders of a majority of these securities to file a registration statement and use best efforts to effect the registration of all or a portion of these shares for public resale. We are required to effect only two registrations pursuant to this provision of the investment and shareholders' agreement.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Short-Form Registration Rights</w:t>
      </w:r>
    </w:p>
    <w:p>
      <w:pPr>
        <w:spacing w:after="0" w:line="213" w:lineRule="exact"/>
        <w:rPr>
          <w:sz w:val="20"/>
          <w:szCs w:val="20"/>
          <w:color w:val="auto"/>
        </w:rPr>
      </w:pPr>
    </w:p>
    <w:p>
      <w:pPr>
        <w:ind w:right="80" w:firstLine="442"/>
        <w:spacing w:after="0" w:line="242" w:lineRule="auto"/>
        <w:rPr>
          <w:sz w:val="20"/>
          <w:szCs w:val="20"/>
          <w:color w:val="auto"/>
        </w:rPr>
      </w:pPr>
      <w:r>
        <w:rPr>
          <w:rFonts w:ascii="Arial" w:cs="Arial" w:eastAsia="Arial" w:hAnsi="Arial"/>
          <w:sz w:val="16"/>
          <w:szCs w:val="16"/>
          <w:color w:val="auto"/>
        </w:rPr>
        <w:t>Pursuant to the registration rights agreement, if we are eligible to file a registration statement on Form F-3 or Form S-3, upon the written request a holder of securities at an aggregate offer price of at least $10 million, we will be required to effect a registration of such shares. We are required to effect only two registrations in any twelve month period pursuant to this provision of the registration rights agreement. The right to have such shares registered on Form F-3 or Form S-3 is further subject to other specified conditions and limitations.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213"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Pursuant to the registration rights agreement, if we register any of our securities either for our own account or for the account of other security holders, other than in connection with our initial public offering or a registration for any employee benefit plan, corporate reorganization, or the offer or sale of debt securities, the holders of the relevant shares (for so long as they are a party to the registration rights agreement) are entitled to include their shares in the registration. Subject to certain exceptions contained in the registration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Indemnification</w:t>
      </w:r>
    </w:p>
    <w:p>
      <w:pPr>
        <w:spacing w:after="0" w:line="213" w:lineRule="exact"/>
        <w:rPr>
          <w:sz w:val="20"/>
          <w:szCs w:val="20"/>
          <w:color w:val="auto"/>
        </w:rPr>
      </w:pPr>
    </w:p>
    <w:p>
      <w:pPr>
        <w:ind w:right="260" w:firstLine="442"/>
        <w:spacing w:after="0" w:line="244" w:lineRule="auto"/>
        <w:rPr>
          <w:sz w:val="20"/>
          <w:szCs w:val="20"/>
          <w:color w:val="auto"/>
        </w:rPr>
      </w:pPr>
      <w:r>
        <w:rPr>
          <w:rFonts w:ascii="Arial" w:cs="Arial" w:eastAsia="Arial" w:hAnsi="Arial"/>
          <w:sz w:val="16"/>
          <w:szCs w:val="16"/>
          <w:color w:val="auto"/>
        </w:rPr>
        <w:t>Our registration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Expiration of Registration Rights</w:t>
      </w:r>
    </w:p>
    <w:p>
      <w:pPr>
        <w:spacing w:after="0" w:line="213" w:lineRule="exact"/>
        <w:rPr>
          <w:sz w:val="20"/>
          <w:szCs w:val="20"/>
          <w:color w:val="auto"/>
        </w:rPr>
      </w:pPr>
    </w:p>
    <w:p>
      <w:pPr>
        <w:ind w:right="100" w:firstLine="439"/>
        <w:spacing w:after="0" w:line="244" w:lineRule="auto"/>
        <w:rPr>
          <w:sz w:val="20"/>
          <w:szCs w:val="20"/>
          <w:color w:val="auto"/>
        </w:rPr>
      </w:pPr>
      <w:r>
        <w:rPr>
          <w:rFonts w:ascii="Arial" w:cs="Arial" w:eastAsia="Arial" w:hAnsi="Arial"/>
          <w:sz w:val="16"/>
          <w:szCs w:val="16"/>
          <w:color w:val="auto"/>
        </w:rPr>
        <w:t>The registration rights granted under the registration rights agreement will terminate on the earliest of (i) in respect of any holder, at such time as the holder holds less than 1% of the Company's outstanding ordinary shares; (ii) the three anniversary of the completion of this offering and (iii) such time as the Company has completion the offering and all relevant ordinary shares may be sold pursuant to rule 144 during a 90 day period without registration.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Post-IPO Articles of Association</w:t>
      </w:r>
    </w:p>
    <w:p>
      <w:pPr>
        <w:spacing w:after="0" w:line="215"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Our Articles of Association, or the Articles, were approved by our shareholders on and were adopted with effect from the completion of the offering. A summary of the terms of the Articles is set out below. The summary below is not a complete copy of the terms of the Articles.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Articles contain no specific restrictions on our purpose and therefore, by virtue of section 31(1) of the Companies Act, our purpose is unrestricted.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3" w:name="page204"/>
    <w:bookmarkEnd w:id="20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Articles contain, among other things, provisions to the following effect: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Capital</w:t>
      </w:r>
    </w:p>
    <w:p>
      <w:pPr>
        <w:spacing w:after="0" w:line="213" w:lineRule="exact"/>
        <w:rPr>
          <w:sz w:val="20"/>
          <w:szCs w:val="20"/>
          <w:color w:val="auto"/>
        </w:rPr>
      </w:pPr>
    </w:p>
    <w:p>
      <w:pPr>
        <w:ind w:right="20" w:firstLine="442"/>
        <w:spacing w:after="0" w:line="249" w:lineRule="auto"/>
        <w:rPr>
          <w:sz w:val="20"/>
          <w:szCs w:val="20"/>
          <w:color w:val="auto"/>
        </w:rPr>
      </w:pPr>
      <w:r>
        <w:rPr>
          <w:rFonts w:ascii="Arial" w:cs="Arial" w:eastAsia="Arial" w:hAnsi="Arial"/>
          <w:sz w:val="16"/>
          <w:szCs w:val="16"/>
          <w:color w:val="auto"/>
        </w:rPr>
        <w:t>Our share capital will consist of ordinary shares. We may issue shares with such rights or restrictions as may be determined by ordinary resolution, including shares which are to be redeemed, or are liable to be redeemed at our option or the holder of such shares.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w:t>
      </w:r>
    </w:p>
    <w:p>
      <w:pPr>
        <w:spacing w:after="0" w:line="213" w:lineRule="exact"/>
        <w:rPr>
          <w:sz w:val="20"/>
          <w:szCs w:val="20"/>
          <w:color w:val="auto"/>
        </w:rPr>
      </w:pPr>
    </w:p>
    <w:p>
      <w:pPr>
        <w:ind w:right="440" w:firstLine="439"/>
        <w:spacing w:after="0" w:line="244" w:lineRule="auto"/>
        <w:rPr>
          <w:sz w:val="20"/>
          <w:szCs w:val="20"/>
          <w:color w:val="auto"/>
        </w:rPr>
      </w:pPr>
      <w:r>
        <w:rPr>
          <w:rFonts w:ascii="Arial" w:cs="Arial" w:eastAsia="Arial" w:hAnsi="Arial"/>
          <w:sz w:val="16"/>
          <w:szCs w:val="16"/>
          <w:color w:val="auto"/>
        </w:rPr>
        <w:t>The shareholders have the right to receive notice of, and to vote at, our general meetings. Each shareholder who is present in person (or, being a corporation, by representative) at a general meeting on a show of hands has one vote and, on a poll, every such holder who is present in person (or, being a corporation, by representative) or by proxy has one vote in respect of every share held by him.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Variation of Rights</w:t>
      </w:r>
    </w:p>
    <w:p>
      <w:pPr>
        <w:spacing w:after="0" w:line="213" w:lineRule="exact"/>
        <w:rPr>
          <w:sz w:val="20"/>
          <w:szCs w:val="20"/>
          <w:color w:val="auto"/>
        </w:rPr>
      </w:pPr>
    </w:p>
    <w:p>
      <w:pPr>
        <w:ind w:right="80" w:firstLine="442"/>
        <w:spacing w:after="0" w:line="244" w:lineRule="auto"/>
        <w:rPr>
          <w:sz w:val="20"/>
          <w:szCs w:val="20"/>
          <w:color w:val="auto"/>
        </w:rPr>
      </w:pPr>
      <w:r>
        <w:rPr>
          <w:rFonts w:ascii="Arial" w:cs="Arial" w:eastAsia="Arial" w:hAnsi="Arial"/>
          <w:sz w:val="16"/>
          <w:szCs w:val="16"/>
          <w:color w:val="auto"/>
        </w:rPr>
        <w:t>Whenever our share capital is divided into different classes of shares, the special rights attached to any class may be varied or abrogated either with the consent in writing of the holders of three-fourths in nominal value of the issued shares of that class or with the sanction of a special resolution passed at a general meeting of the holders of the shares of that class and may be so varied and abrogated whilst the company is a going concern.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213" w:lineRule="exact"/>
        <w:rPr>
          <w:sz w:val="20"/>
          <w:szCs w:val="20"/>
          <w:color w:val="auto"/>
        </w:rPr>
      </w:pPr>
    </w:p>
    <w:p>
      <w:pPr>
        <w:ind w:right="440" w:firstLine="442"/>
        <w:spacing w:after="0" w:line="244" w:lineRule="auto"/>
        <w:rPr>
          <w:sz w:val="20"/>
          <w:szCs w:val="20"/>
          <w:color w:val="auto"/>
        </w:rPr>
      </w:pPr>
      <w:r>
        <w:rPr>
          <w:rFonts w:ascii="Arial" w:cs="Arial" w:eastAsia="Arial" w:hAnsi="Arial"/>
          <w:sz w:val="16"/>
          <w:szCs w:val="16"/>
          <w:color w:val="auto"/>
        </w:rPr>
        <w:t>We may, subject to the provisions of the Companies Act and the Articles, by ordinary resolution from time to time declare dividends to be paid to shareholders not exceeding the amount recommended by our board of directors. Subject to the provisions of the Companies Act, in so far as, in the board of directors' opinions, our profits justify such payments, the board of directors may pay interim dividends on any class of our shares.</w:t>
      </w:r>
    </w:p>
    <w:p>
      <w:pPr>
        <w:spacing w:after="0" w:line="185" w:lineRule="exact"/>
        <w:rPr>
          <w:sz w:val="20"/>
          <w:szCs w:val="20"/>
          <w:color w:val="auto"/>
        </w:rPr>
      </w:pPr>
    </w:p>
    <w:p>
      <w:pPr>
        <w:ind w:right="220" w:firstLine="433"/>
        <w:spacing w:after="0" w:line="249" w:lineRule="auto"/>
        <w:rPr>
          <w:sz w:val="20"/>
          <w:szCs w:val="20"/>
          <w:color w:val="auto"/>
        </w:rPr>
      </w:pPr>
      <w:r>
        <w:rPr>
          <w:rFonts w:ascii="Arial" w:cs="Arial" w:eastAsia="Arial" w:hAnsi="Arial"/>
          <w:sz w:val="16"/>
          <w:szCs w:val="16"/>
          <w:color w:val="auto"/>
        </w:rPr>
        <w:t>Any dividend unclaimed after a period of 12 years from the date such dividend was declared or became payable shall, if the board of directors resolve, be forfeited and shall revert to us. No dividend or other moneys payable on or in respect of a share shall bear interest as against us.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 Preference</w:t>
      </w:r>
    </w:p>
    <w:p>
      <w:pPr>
        <w:spacing w:after="0" w:line="213" w:lineRule="exact"/>
        <w:rPr>
          <w:sz w:val="20"/>
          <w:szCs w:val="20"/>
          <w:color w:val="auto"/>
        </w:rPr>
      </w:pPr>
    </w:p>
    <w:p>
      <w:pPr>
        <w:ind w:right="40" w:firstLine="442"/>
        <w:spacing w:after="0" w:line="249" w:lineRule="auto"/>
        <w:rPr>
          <w:sz w:val="20"/>
          <w:szCs w:val="20"/>
          <w:color w:val="auto"/>
        </w:rPr>
      </w:pPr>
      <w:r>
        <w:rPr>
          <w:rFonts w:ascii="Arial" w:cs="Arial" w:eastAsia="Arial" w:hAnsi="Arial"/>
          <w:sz w:val="16"/>
          <w:szCs w:val="16"/>
          <w:color w:val="auto"/>
        </w:rPr>
        <w:t>On a distribution of assets on a liquidation, the surplus assets remaining after payment of liabilities shall be distributed among the holders of ordinary shares pro rata to the number of ordinary shares held.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Transfer of Ordinary Shares</w:t>
      </w:r>
    </w:p>
    <w:p>
      <w:pPr>
        <w:spacing w:after="0" w:line="213"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Each member may transfer all or any of his shares which are in certificated form by means of an instrument of transfer in any usual form or in any other form which the board of directors may approve. Each member may transfer all or any of his shares which are in uncertificated form by means of a "relevant system" (i.e., the CREST System) in such manner provided for, and subject as provided in, the CREST Regulations.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Board may, in its absolute discretion, refuse to register a transfer of certificated shares unless:</w:t>
      </w:r>
    </w:p>
    <w:p>
      <w:pPr>
        <w:spacing w:after="0" w:line="195" w:lineRule="exact"/>
        <w:rPr>
          <w:sz w:val="20"/>
          <w:szCs w:val="20"/>
          <w:color w:val="auto"/>
        </w:rPr>
      </w:pPr>
    </w:p>
    <w:p>
      <w:pPr>
        <w:ind w:left="980" w:hanging="493"/>
        <w:spacing w:after="0"/>
        <w:tabs>
          <w:tab w:leader="none" w:pos="9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it is for a share which is fully paid up;</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it is for a share upon which the company has no lien;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4" w:name="page205"/>
    <w:bookmarkEnd w:id="20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hanging="493"/>
        <w:spacing w:after="0"/>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it is only for one class of share;</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it is in favor of a single transferee or no more than four joint transferees;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it is duly stamped or is duly certificated or otherwise shown to the satisfaction of the board of directors to be exempt from stamp duty; and</w:t>
      </w:r>
    </w:p>
    <w:p>
      <w:pPr>
        <w:spacing w:after="0" w:line="182" w:lineRule="exact"/>
        <w:rPr>
          <w:rFonts w:ascii="Arial" w:cs="Arial" w:eastAsia="Arial" w:hAnsi="Arial"/>
          <w:sz w:val="16"/>
          <w:szCs w:val="16"/>
          <w:color w:val="auto"/>
        </w:rPr>
      </w:pPr>
    </w:p>
    <w:p>
      <w:pPr>
        <w:ind w:left="980" w:right="200" w:hanging="493"/>
        <w:spacing w:after="0" w:line="241" w:lineRule="auto"/>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it is delivered for registration to the registered office of the company (or such other place as the board of directors may determine), accompanied (except in the case of a transfer by a person to whom the company is not required by law to issue a certificate and to whom a certificate has not been issued or in the case of a renunciation) by the certificate for the shares to which it relates and such other evidence as the board of directors may reasonably require to prove the title of the transferor (or person renouncing) and the due execution of the transfer or renunciation by him or, if the transfer or renunciation is executed by some other person on his behalf, the authority of that person to do so.</w:t>
      </w:r>
    </w:p>
    <w:p>
      <w:pPr>
        <w:spacing w:after="0" w:line="189" w:lineRule="exact"/>
        <w:rPr>
          <w:sz w:val="20"/>
          <w:szCs w:val="20"/>
          <w:color w:val="auto"/>
        </w:rPr>
      </w:pPr>
    </w:p>
    <w:p>
      <w:pPr>
        <w:ind w:firstLine="439"/>
        <w:spacing w:after="0" w:line="249" w:lineRule="auto"/>
        <w:rPr>
          <w:sz w:val="20"/>
          <w:szCs w:val="20"/>
          <w:color w:val="auto"/>
        </w:rPr>
      </w:pPr>
      <w:r>
        <w:rPr>
          <w:rFonts w:ascii="Arial" w:cs="Arial" w:eastAsia="Arial" w:hAnsi="Arial"/>
          <w:sz w:val="16"/>
          <w:szCs w:val="16"/>
          <w:color w:val="auto"/>
        </w:rPr>
        <w:t>The board of directors may refuse to register a transfer of uncertificated shares in any circumstances that are allowed or required by the CREST Regulations and the CREST System.</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Allotment of Shares and Preemption Rights</w:t>
      </w:r>
    </w:p>
    <w:p>
      <w:pPr>
        <w:spacing w:after="0" w:line="213" w:lineRule="exact"/>
        <w:rPr>
          <w:sz w:val="20"/>
          <w:szCs w:val="20"/>
          <w:color w:val="auto"/>
        </w:rPr>
      </w:pPr>
    </w:p>
    <w:p>
      <w:pPr>
        <w:jc w:val="both"/>
        <w:ind w:right="20" w:firstLine="442"/>
        <w:spacing w:after="0" w:line="242" w:lineRule="auto"/>
        <w:rPr>
          <w:sz w:val="20"/>
          <w:szCs w:val="20"/>
          <w:color w:val="auto"/>
        </w:rPr>
      </w:pPr>
      <w:r>
        <w:rPr>
          <w:rFonts w:ascii="Arial" w:cs="Arial" w:eastAsia="Arial" w:hAnsi="Arial"/>
          <w:sz w:val="16"/>
          <w:szCs w:val="16"/>
          <w:color w:val="auto"/>
        </w:rPr>
        <w:t>Subject to the Companies Act and to any rights attached to existing shares, any share may be issued with or have attached to it such rights and restrictions as the company may by ordinary resolution determine, or if no ordinary resolution has been passed or so far as the resolution does not make specific provision, as the board of directors may determine (including shares which are to be redeemed, or are liable to be redeemed at the option of the company or the holder of such shares).</w:t>
      </w:r>
    </w:p>
    <w:p>
      <w:pPr>
        <w:spacing w:after="0" w:line="187" w:lineRule="exact"/>
        <w:rPr>
          <w:sz w:val="20"/>
          <w:szCs w:val="20"/>
          <w:color w:val="auto"/>
        </w:rPr>
      </w:pPr>
    </w:p>
    <w:p>
      <w:pPr>
        <w:ind w:right="180" w:firstLine="442"/>
        <w:spacing w:after="0" w:line="255" w:lineRule="auto"/>
        <w:rPr>
          <w:sz w:val="20"/>
          <w:szCs w:val="20"/>
          <w:color w:val="auto"/>
        </w:rPr>
      </w:pPr>
      <w:r>
        <w:rPr>
          <w:rFonts w:ascii="Arial" w:cs="Arial" w:eastAsia="Arial" w:hAnsi="Arial"/>
          <w:sz w:val="15"/>
          <w:szCs w:val="15"/>
          <w:color w:val="auto"/>
        </w:rPr>
        <w:t>In accordance with section 551 of the Companies Act, the board of directors may be generally and unconditionally authorized to exercise all the powers of the company to allot shares up to an aggregate nominal amount equal to the amount stated in the relevant ordinary resolution authorizing such allotment. The</w:t>
      </w:r>
    </w:p>
    <w:p>
      <w:pPr>
        <w:spacing w:after="0"/>
        <w:tabs>
          <w:tab w:leader="none" w:pos="2060" w:val="left"/>
        </w:tabs>
        <w:rPr>
          <w:sz w:val="20"/>
          <w:szCs w:val="20"/>
          <w:color w:val="auto"/>
        </w:rPr>
      </w:pPr>
      <w:r>
        <w:rPr>
          <w:rFonts w:ascii="Arial" w:cs="Arial" w:eastAsia="Arial" w:hAnsi="Arial"/>
          <w:sz w:val="16"/>
          <w:szCs w:val="16"/>
          <w:color w:val="auto"/>
        </w:rPr>
        <w:t>authorities passed on</w:t>
      </w:r>
      <w:r>
        <w:rPr>
          <w:sz w:val="20"/>
          <w:szCs w:val="20"/>
          <w:color w:val="auto"/>
        </w:rPr>
        <w:tab/>
      </w:r>
      <w:r>
        <w:rPr>
          <w:rFonts w:ascii="Arial" w:cs="Arial" w:eastAsia="Arial" w:hAnsi="Arial"/>
          <w:sz w:val="15"/>
          <w:szCs w:val="15"/>
          <w:color w:val="auto"/>
        </w:rPr>
        <w:t>2019 and remains in force at the date of this prospectus.</w:t>
      </w:r>
    </w:p>
    <w:p>
      <w:pPr>
        <w:spacing w:after="0" w:line="195" w:lineRule="exact"/>
        <w:rPr>
          <w:sz w:val="20"/>
          <w:szCs w:val="20"/>
          <w:color w:val="auto"/>
        </w:rPr>
      </w:pPr>
    </w:p>
    <w:p>
      <w:pPr>
        <w:ind w:right="60" w:firstLine="439"/>
        <w:spacing w:after="0" w:line="255" w:lineRule="auto"/>
        <w:rPr>
          <w:sz w:val="20"/>
          <w:szCs w:val="20"/>
          <w:color w:val="auto"/>
        </w:rPr>
      </w:pPr>
      <w:r>
        <w:rPr>
          <w:rFonts w:ascii="Arial" w:cs="Arial" w:eastAsia="Arial" w:hAnsi="Arial"/>
          <w:sz w:val="15"/>
          <w:szCs w:val="15"/>
          <w:color w:val="auto"/>
        </w:rPr>
        <w:t>The provisions of section 561 of the Companies Act (which confer on shareholders rights of preemption in respect of the allotment of equity securities which are paid up in cash) apply to the company except to the extent disapplied by special resolution of the company. Such preemption rights have been disapplied</w:t>
      </w: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20"/>
                <w:szCs w:val="20"/>
                <w:color w:val="auto"/>
              </w:rPr>
            </w:pPr>
            <w:r>
              <w:rPr>
                <w:rFonts w:ascii="Arial" w:cs="Arial" w:eastAsia="Arial" w:hAnsi="Arial"/>
                <w:sz w:val="16"/>
                <w:szCs w:val="16"/>
                <w:color w:val="auto"/>
              </w:rPr>
              <w:t>pursuant to the special resolution passed on</w:t>
            </w:r>
          </w:p>
        </w:tc>
        <w:tc>
          <w:tcPr>
            <w:tcW w:w="700" w:type="dxa"/>
            <w:vAlign w:val="bottom"/>
          </w:tcPr>
          <w:p>
            <w:pPr>
              <w:jc w:val="right"/>
              <w:spacing w:after="0"/>
              <w:rPr>
                <w:sz w:val="20"/>
                <w:szCs w:val="20"/>
                <w:color w:val="auto"/>
              </w:rPr>
            </w:pPr>
            <w:r>
              <w:rPr>
                <w:rFonts w:ascii="Arial" w:cs="Arial" w:eastAsia="Arial" w:hAnsi="Arial"/>
                <w:sz w:val="16"/>
                <w:szCs w:val="16"/>
                <w:color w:val="auto"/>
              </w:rPr>
              <w:t>2019.</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Alteration of Share Capital</w:t>
      </w:r>
    </w:p>
    <w:p>
      <w:pPr>
        <w:spacing w:after="0" w:line="213" w:lineRule="exact"/>
        <w:rPr>
          <w:sz w:val="20"/>
          <w:szCs w:val="20"/>
          <w:color w:val="auto"/>
        </w:rPr>
      </w:pPr>
    </w:p>
    <w:p>
      <w:pPr>
        <w:ind w:right="120" w:firstLine="439"/>
        <w:spacing w:after="0" w:line="244" w:lineRule="auto"/>
        <w:rPr>
          <w:sz w:val="20"/>
          <w:szCs w:val="20"/>
          <w:color w:val="auto"/>
        </w:rPr>
      </w:pPr>
      <w:r>
        <w:rPr>
          <w:rFonts w:ascii="Arial" w:cs="Arial" w:eastAsia="Arial" w:hAnsi="Arial"/>
          <w:sz w:val="16"/>
          <w:szCs w:val="16"/>
          <w:color w:val="auto"/>
        </w:rPr>
        <w:t>The company may by ordinary resolution consolidate or divide all of its share capital into shares of larger nominal value than its existing shares, or cancel any shares which, at the date of the ordinary resolution, have not been taken or agreed to be taken by any person and diminish the amount of its share capital by the nominal amount of shares so cancelled or sub-divide its shares, or any of them, into shares of smaller nominal value.</w:t>
      </w:r>
    </w:p>
    <w:p>
      <w:pPr>
        <w:spacing w:after="0" w:line="185" w:lineRule="exact"/>
        <w:rPr>
          <w:sz w:val="20"/>
          <w:szCs w:val="20"/>
          <w:color w:val="auto"/>
        </w:rPr>
      </w:pPr>
    </w:p>
    <w:p>
      <w:pPr>
        <w:ind w:right="20" w:firstLine="439"/>
        <w:spacing w:after="0" w:line="249" w:lineRule="auto"/>
        <w:rPr>
          <w:sz w:val="20"/>
          <w:szCs w:val="20"/>
          <w:color w:val="auto"/>
        </w:rPr>
      </w:pPr>
      <w:r>
        <w:rPr>
          <w:rFonts w:ascii="Arial" w:cs="Arial" w:eastAsia="Arial" w:hAnsi="Arial"/>
          <w:sz w:val="16"/>
          <w:szCs w:val="16"/>
          <w:color w:val="auto"/>
        </w:rPr>
        <w:t>The company may, in accordance with the Companies Act, reduce or cancel its share capital or any capital redemption reserve or share premium account in any manner and with and subject to any conditions, authorities and consents required by law.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213" w:lineRule="exact"/>
        <w:rPr>
          <w:sz w:val="20"/>
          <w:szCs w:val="20"/>
          <w:color w:val="auto"/>
        </w:rPr>
      </w:pPr>
    </w:p>
    <w:p>
      <w:pPr>
        <w:ind w:right="120" w:firstLine="442"/>
        <w:spacing w:after="0" w:line="249" w:lineRule="auto"/>
        <w:rPr>
          <w:sz w:val="20"/>
          <w:szCs w:val="20"/>
          <w:color w:val="auto"/>
        </w:rPr>
      </w:pPr>
      <w:r>
        <w:rPr>
          <w:rFonts w:ascii="Arial" w:cs="Arial" w:eastAsia="Arial" w:hAnsi="Arial"/>
          <w:sz w:val="16"/>
          <w:szCs w:val="16"/>
          <w:color w:val="auto"/>
        </w:rPr>
        <w:t>Unless otherwise determined by the company by ordinary resolution, the number of directors (other than any alternate directors) shall not be less than two, but there shall be no maximum number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5" w:name="page206"/>
    <w:bookmarkEnd w:id="20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both"/>
        <w:ind w:right="20" w:firstLine="442"/>
        <w:spacing w:after="0" w:line="244" w:lineRule="auto"/>
        <w:rPr>
          <w:sz w:val="20"/>
          <w:szCs w:val="20"/>
          <w:color w:val="auto"/>
        </w:rPr>
      </w:pPr>
      <w:r>
        <w:rPr>
          <w:rFonts w:ascii="Arial" w:cs="Arial" w:eastAsia="Arial" w:hAnsi="Arial"/>
          <w:sz w:val="16"/>
          <w:szCs w:val="16"/>
          <w:color w:val="auto"/>
        </w:rPr>
        <w:t>Subject to the Articles and the Companies Act, the company may by ordinary resolution appoint a person who is willing to act as a director and the board of directors shall have power at any time to appoint any person who is willing to act as a director, in both cases either to fill a vacancy or as an addition to the existing board of directors.</w:t>
      </w:r>
    </w:p>
    <w:p>
      <w:pPr>
        <w:spacing w:after="0" w:line="185" w:lineRule="exact"/>
        <w:rPr>
          <w:sz w:val="20"/>
          <w:szCs w:val="20"/>
          <w:color w:val="auto"/>
        </w:rPr>
      </w:pPr>
    </w:p>
    <w:p>
      <w:pPr>
        <w:ind w:right="180" w:firstLine="439"/>
        <w:spacing w:after="0" w:line="242" w:lineRule="auto"/>
        <w:rPr>
          <w:sz w:val="20"/>
          <w:szCs w:val="20"/>
          <w:color w:val="auto"/>
        </w:rPr>
      </w:pPr>
      <w:r>
        <w:rPr>
          <w:rFonts w:ascii="Arial" w:cs="Arial" w:eastAsia="Arial" w:hAnsi="Arial"/>
          <w:sz w:val="16"/>
          <w:szCs w:val="16"/>
          <w:color w:val="auto"/>
        </w:rPr>
        <w:t>The Articles of Association provide that upon completion of this offering, our board of directors will be divided into three classes, each of which will consist, as nearly as possible, of one-third of the total number of directors constituting our entire board and which will serve staggered three-year terms. At each annual general meeting, the successors of directors whose terms then expire will be elected to serve from the time of election and qualification until the third annual meeting following election.</w:t>
      </w:r>
    </w:p>
    <w:p>
      <w:pPr>
        <w:spacing w:after="0" w:line="187" w:lineRule="exact"/>
        <w:rPr>
          <w:sz w:val="20"/>
          <w:szCs w:val="20"/>
          <w:color w:val="auto"/>
        </w:rPr>
      </w:pPr>
    </w:p>
    <w:p>
      <w:pPr>
        <w:jc w:val="both"/>
        <w:ind w:right="120" w:firstLine="433"/>
        <w:spacing w:after="0" w:line="244" w:lineRule="auto"/>
        <w:rPr>
          <w:sz w:val="20"/>
          <w:szCs w:val="20"/>
          <w:color w:val="auto"/>
        </w:rPr>
      </w:pPr>
      <w:r>
        <w:rPr>
          <w:rFonts w:ascii="Arial" w:cs="Arial" w:eastAsia="Arial" w:hAnsi="Arial"/>
          <w:sz w:val="16"/>
          <w:szCs w:val="16"/>
          <w:color w:val="auto"/>
        </w:rPr>
        <w:t>At every subsequent annual general meeting any director who either (i) has been appointed by the board of directors since the last annual general meeting or (ii) was not appointed or reappointed at one of the preceding two annual general meetings, must retire from office and may offer themselves for reappointment by the shareholders by ordinary resolution.</w:t>
      </w:r>
    </w:p>
    <w:p>
      <w:pPr>
        <w:spacing w:after="0" w:line="185" w:lineRule="exact"/>
        <w:rPr>
          <w:sz w:val="20"/>
          <w:szCs w:val="20"/>
          <w:color w:val="auto"/>
        </w:rPr>
      </w:pPr>
    </w:p>
    <w:p>
      <w:pPr>
        <w:ind w:right="160" w:firstLine="442"/>
        <w:spacing w:after="0" w:line="249" w:lineRule="auto"/>
        <w:rPr>
          <w:sz w:val="20"/>
          <w:szCs w:val="20"/>
          <w:color w:val="auto"/>
        </w:rPr>
      </w:pPr>
      <w:r>
        <w:rPr>
          <w:rFonts w:ascii="Arial" w:cs="Arial" w:eastAsia="Arial" w:hAnsi="Arial"/>
          <w:sz w:val="16"/>
          <w:szCs w:val="16"/>
          <w:color w:val="auto"/>
        </w:rPr>
        <w:t>Subject to the provisions of the Articles, the board of directors may regulate their proceedings as they deem appropriate. A director may, and the secretary at the request of a director shall, call a meeting of the directors.</w:t>
      </w:r>
    </w:p>
    <w:p>
      <w:pPr>
        <w:spacing w:after="0" w:line="181" w:lineRule="exact"/>
        <w:rPr>
          <w:sz w:val="20"/>
          <w:szCs w:val="20"/>
          <w:color w:val="auto"/>
        </w:rPr>
      </w:pPr>
    </w:p>
    <w:p>
      <w:pPr>
        <w:ind w:right="80" w:firstLine="439"/>
        <w:spacing w:after="0" w:line="249" w:lineRule="auto"/>
        <w:rPr>
          <w:sz w:val="20"/>
          <w:szCs w:val="20"/>
          <w:color w:val="auto"/>
        </w:rPr>
      </w:pPr>
      <w:r>
        <w:rPr>
          <w:rFonts w:ascii="Arial" w:cs="Arial" w:eastAsia="Arial" w:hAnsi="Arial"/>
          <w:sz w:val="16"/>
          <w:szCs w:val="16"/>
          <w:color w:val="auto"/>
        </w:rPr>
        <w:t>The quorum for a meeting of the board of directors shall be fixed from time to time by a decision of the board of directors, but it must never be less than two and unless otherwise fixed, it is two.</w:t>
      </w:r>
    </w:p>
    <w:p>
      <w:pPr>
        <w:spacing w:after="0" w:line="181" w:lineRule="exact"/>
        <w:rPr>
          <w:sz w:val="20"/>
          <w:szCs w:val="20"/>
          <w:color w:val="auto"/>
        </w:rPr>
      </w:pPr>
    </w:p>
    <w:p>
      <w:pPr>
        <w:ind w:right="480" w:firstLine="442"/>
        <w:spacing w:after="0" w:line="282" w:lineRule="auto"/>
        <w:rPr>
          <w:sz w:val="20"/>
          <w:szCs w:val="20"/>
          <w:color w:val="auto"/>
        </w:rPr>
      </w:pPr>
      <w:r>
        <w:rPr>
          <w:rFonts w:ascii="Arial" w:cs="Arial" w:eastAsia="Arial" w:hAnsi="Arial"/>
          <w:sz w:val="15"/>
          <w:szCs w:val="15"/>
          <w:color w:val="auto"/>
        </w:rPr>
        <w:t>Questions and matters requiring resolution arising at a meeting shall be decided by a majority of votes of the participating directors, with each director having one vote. In the case of an equality of votes, the chairman will only have a casting vote or second vote when an acquisition has been completed.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Directors shall be entitled to receive such remuneration as the board shall determine for their services to the company as directors, and for any other service</w:t>
      </w:r>
    </w:p>
    <w:p>
      <w:pPr>
        <w:spacing w:after="0" w:line="11"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which they undertake for the company provided that the aggregate fees payable to the directors must not exceed £ per annum. The directors shall also be entitled to be paid all reasonable expenses properly incurred by them in connection with their attendance at meetings of shareholders or class meetings, board of director or committee meetings or otherwise in connection with the exercise of their powers and the discharge of their responsibilities in relation to the company.</w:t>
      </w:r>
    </w:p>
    <w:p>
      <w:pPr>
        <w:spacing w:after="0" w:line="168" w:lineRule="exact"/>
        <w:rPr>
          <w:sz w:val="20"/>
          <w:szCs w:val="20"/>
          <w:color w:val="auto"/>
        </w:rPr>
      </w:pPr>
    </w:p>
    <w:p>
      <w:pPr>
        <w:ind w:right="200" w:firstLine="439"/>
        <w:spacing w:after="0" w:line="249" w:lineRule="auto"/>
        <w:rPr>
          <w:sz w:val="20"/>
          <w:szCs w:val="20"/>
          <w:color w:val="auto"/>
        </w:rPr>
      </w:pPr>
      <w:r>
        <w:rPr>
          <w:rFonts w:ascii="Arial" w:cs="Arial" w:eastAsia="Arial" w:hAnsi="Arial"/>
          <w:sz w:val="16"/>
          <w:szCs w:val="16"/>
          <w:color w:val="auto"/>
        </w:rPr>
        <w:t>The board of directors may, in accordance with the requirements in the Articles, authorize any matter proposed to them by any director which would, if not authorized, involve a director breaching his duty under the Companies Act, to avoid conflicts of interests.</w:t>
      </w:r>
    </w:p>
    <w:p>
      <w:pPr>
        <w:spacing w:after="0" w:line="181" w:lineRule="exact"/>
        <w:rPr>
          <w:sz w:val="20"/>
          <w:szCs w:val="20"/>
          <w:color w:val="auto"/>
        </w:rPr>
      </w:pPr>
    </w:p>
    <w:p>
      <w:pPr>
        <w:jc w:val="both"/>
        <w:ind w:right="100" w:firstLine="433"/>
        <w:spacing w:after="0" w:line="244" w:lineRule="auto"/>
        <w:rPr>
          <w:sz w:val="20"/>
          <w:szCs w:val="20"/>
          <w:color w:val="auto"/>
        </w:rPr>
      </w:pPr>
      <w:r>
        <w:rPr>
          <w:rFonts w:ascii="Arial" w:cs="Arial" w:eastAsia="Arial" w:hAnsi="Arial"/>
          <w:sz w:val="16"/>
          <w:szCs w:val="16"/>
          <w:color w:val="auto"/>
        </w:rPr>
        <w:t>A director seeking authorization in respect of such conflict shall declare to the board of directors the nature and extent of his interest in a conflict as soon as is reasonably practicable. The director shall provide the board with such details of the matter as are necessary for the board to decide how to address the conflict together with such additional information as may be requested by the board.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Any authorization by the board of directors will be effective only if:</w:t>
      </w:r>
    </w:p>
    <w:p>
      <w:pPr>
        <w:spacing w:after="0" w:line="195" w:lineRule="exact"/>
        <w:rPr>
          <w:sz w:val="20"/>
          <w:szCs w:val="20"/>
          <w:color w:val="auto"/>
        </w:rPr>
      </w:pPr>
    </w:p>
    <w:p>
      <w:pPr>
        <w:ind w:left="980" w:right="280" w:hanging="493"/>
        <w:spacing w:after="0" w:line="249" w:lineRule="auto"/>
        <w:tabs>
          <w:tab w:leader="none" w:pos="9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the extent permitted by the Companies Act, the matter in question shall have been proposed by any director for consideration in the same way that any other matter may be proposed to the directors under the provisions of the Articles;</w:t>
      </w:r>
    </w:p>
    <w:p>
      <w:pPr>
        <w:spacing w:after="0" w:line="180" w:lineRule="exact"/>
        <w:rPr>
          <w:rFonts w:ascii="Arial" w:cs="Arial" w:eastAsia="Arial" w:hAnsi="Arial"/>
          <w:sz w:val="16"/>
          <w:szCs w:val="16"/>
          <w:color w:val="auto"/>
        </w:rPr>
      </w:pPr>
    </w:p>
    <w:p>
      <w:pPr>
        <w:ind w:left="980" w:right="340" w:hanging="493"/>
        <w:spacing w:after="0" w:line="249" w:lineRule="auto"/>
        <w:tabs>
          <w:tab w:leader="none" w:pos="9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requirement as to the quorum for consideration of the relevant matter is met without counting the conflicted director and any other conflicted director;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6" w:name="page207"/>
    <w:bookmarkEnd w:id="20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right="100" w:hanging="493"/>
        <w:spacing w:after="0" w:line="249" w:lineRule="auto"/>
        <w:tabs>
          <w:tab w:leader="none" w:pos="9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matter is agreed to without the conflicted director voting or would be agreed to if the conflicted director's and any other interested director's vote is not counted.</w:t>
      </w:r>
    </w:p>
    <w:p>
      <w:pPr>
        <w:spacing w:after="0" w:line="181" w:lineRule="exact"/>
        <w:rPr>
          <w:sz w:val="20"/>
          <w:szCs w:val="20"/>
          <w:color w:val="auto"/>
        </w:rPr>
      </w:pPr>
    </w:p>
    <w:p>
      <w:pPr>
        <w:ind w:right="100" w:firstLine="442"/>
        <w:spacing w:after="0" w:line="244" w:lineRule="auto"/>
        <w:rPr>
          <w:sz w:val="20"/>
          <w:szCs w:val="20"/>
          <w:color w:val="auto"/>
        </w:rPr>
      </w:pPr>
      <w:r>
        <w:rPr>
          <w:rFonts w:ascii="Arial" w:cs="Arial" w:eastAsia="Arial" w:hAnsi="Arial"/>
          <w:sz w:val="16"/>
          <w:szCs w:val="16"/>
          <w:color w:val="auto"/>
        </w:rPr>
        <w:t>Subject to the provisions of the Companies Act, every director, secretary or other officer of the company (other than an auditor) is entitled to be indemnified against all costs, charges, losses, damages and liabilities incurred by him in the actual purported exercise or discharge of his duties or exercise of his powers or otherwise in relation to them.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Meetings</w:t>
      </w:r>
    </w:p>
    <w:p>
      <w:pPr>
        <w:spacing w:after="0" w:line="213" w:lineRule="exact"/>
        <w:rPr>
          <w:sz w:val="20"/>
          <w:szCs w:val="20"/>
          <w:color w:val="auto"/>
        </w:rPr>
      </w:pPr>
    </w:p>
    <w:p>
      <w:pPr>
        <w:ind w:right="40" w:firstLine="439"/>
        <w:spacing w:after="0" w:line="249" w:lineRule="auto"/>
        <w:rPr>
          <w:sz w:val="20"/>
          <w:szCs w:val="20"/>
          <w:color w:val="auto"/>
        </w:rPr>
      </w:pPr>
      <w:r>
        <w:rPr>
          <w:rFonts w:ascii="Arial" w:cs="Arial" w:eastAsia="Arial" w:hAnsi="Arial"/>
          <w:sz w:val="16"/>
          <w:szCs w:val="16"/>
          <w:color w:val="auto"/>
        </w:rPr>
        <w:t>The company must convene and hold general meetings in accordance with the Companies Act. Under the Companies Act, an annual general meeting must be called by notice of at least 21 days and a general meeting must be called by notice of at least 14 days.</w:t>
      </w:r>
    </w:p>
    <w:p>
      <w:pPr>
        <w:spacing w:after="0" w:line="181" w:lineRule="exact"/>
        <w:rPr>
          <w:sz w:val="20"/>
          <w:szCs w:val="20"/>
          <w:color w:val="auto"/>
        </w:rPr>
      </w:pPr>
    </w:p>
    <w:p>
      <w:pPr>
        <w:ind w:right="140" w:firstLine="442"/>
        <w:spacing w:after="0" w:line="244" w:lineRule="auto"/>
        <w:rPr>
          <w:sz w:val="20"/>
          <w:szCs w:val="20"/>
          <w:color w:val="auto"/>
        </w:rPr>
      </w:pPr>
      <w:r>
        <w:rPr>
          <w:rFonts w:ascii="Arial" w:cs="Arial" w:eastAsia="Arial" w:hAnsi="Arial"/>
          <w:sz w:val="16"/>
          <w:szCs w:val="16"/>
          <w:color w:val="auto"/>
        </w:rPr>
        <w:t>No business shall be transacted at any general meeting unless a quorum is present when the meeting proceeds to business, but the absence of a quorum shall not preclude the choice or appointment of a chairman of the meeting which shall not be treated as part of the business of the meeting. Save as otherwise provided by the Articles, two shareholders present in person or by proxy and entitled to vote shall be a quorum for all purposes.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 Powers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Subject to the Articles and the Companies Act, the board of directors may exercise all of the powers of the company to:</w:t>
      </w:r>
    </w:p>
    <w:p>
      <w:pPr>
        <w:spacing w:after="0" w:line="207" w:lineRule="exact"/>
        <w:rPr>
          <w:sz w:val="20"/>
          <w:szCs w:val="20"/>
          <w:color w:val="auto"/>
        </w:rPr>
      </w:pPr>
    </w:p>
    <w:p>
      <w:pPr>
        <w:ind w:left="980" w:hanging="493"/>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borrow money;</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indemnify and guarantee;</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mortgage or charge;</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create and issue debentures and other securities; and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give security either outright or as collateral security for any debt, liability or obligation of the company or of any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Capitalization of Profits</w:t>
      </w:r>
    </w:p>
    <w:p>
      <w:pPr>
        <w:spacing w:after="0" w:line="213" w:lineRule="exact"/>
        <w:rPr>
          <w:sz w:val="20"/>
          <w:szCs w:val="20"/>
          <w:color w:val="auto"/>
        </w:rPr>
      </w:pPr>
    </w:p>
    <w:p>
      <w:pPr>
        <w:ind w:firstLine="439"/>
        <w:spacing w:after="0" w:line="242" w:lineRule="auto"/>
        <w:rPr>
          <w:sz w:val="20"/>
          <w:szCs w:val="20"/>
          <w:color w:val="auto"/>
        </w:rPr>
      </w:pPr>
      <w:r>
        <w:rPr>
          <w:rFonts w:ascii="Arial" w:cs="Arial" w:eastAsia="Arial" w:hAnsi="Arial"/>
          <w:sz w:val="16"/>
          <w:szCs w:val="16"/>
          <w:color w:val="auto"/>
        </w:rPr>
        <w:t>The directors may, if they are so authorized by an ordinary resolution of the shareholders, decide to capitalize any undivided profits of the company (whether or not they are available for distribution), or any sum standing to the credit of the company's share premium account or capital redemption reserve. The directors may also, subject to the aforementioned ordinary resolution, appropriate any sum which they so decide to capitalize to the persons who would have been entitled to it if it were distributed by way of dividend and in the same proportions.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 on Owning Securities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articles of association do not restrict in any way the ownership or voting of our shares by non-residents.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Uncertificated Shares</w:t>
      </w:r>
    </w:p>
    <w:p>
      <w:pPr>
        <w:spacing w:after="0" w:line="213" w:lineRule="exact"/>
        <w:rPr>
          <w:sz w:val="20"/>
          <w:szCs w:val="20"/>
          <w:color w:val="auto"/>
        </w:rPr>
      </w:pPr>
    </w:p>
    <w:p>
      <w:pPr>
        <w:ind w:right="280" w:firstLine="442"/>
        <w:spacing w:after="0" w:line="249" w:lineRule="auto"/>
        <w:rPr>
          <w:sz w:val="20"/>
          <w:szCs w:val="20"/>
          <w:color w:val="auto"/>
        </w:rPr>
      </w:pPr>
      <w:r>
        <w:rPr>
          <w:rFonts w:ascii="Arial" w:cs="Arial" w:eastAsia="Arial" w:hAnsi="Arial"/>
          <w:sz w:val="16"/>
          <w:szCs w:val="16"/>
          <w:color w:val="auto"/>
        </w:rPr>
        <w:t>Subject to the Companies Act, the board of directors may permit title to shares of any class to be issued or held otherwise than by a certificate and to be transferred by means of a "relevant system" (i.e., the CREST System) without a certificate.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7" w:name="page208"/>
    <w:bookmarkEnd w:id="207"/>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2" w:right="180" w:firstLine="439"/>
        <w:spacing w:after="0" w:line="249" w:lineRule="auto"/>
        <w:rPr>
          <w:sz w:val="20"/>
          <w:szCs w:val="20"/>
          <w:color w:val="auto"/>
        </w:rPr>
      </w:pPr>
      <w:r>
        <w:rPr>
          <w:rFonts w:ascii="Arial" w:cs="Arial" w:eastAsia="Arial" w:hAnsi="Arial"/>
          <w:sz w:val="16"/>
          <w:szCs w:val="16"/>
          <w:color w:val="auto"/>
        </w:rPr>
        <w:t>The board of directors may take such steps as it sees fit in relation to the evidencing of and transfer of title to uncertificated shares, any records relating to the holding of uncertificated shares and the conversion of uncertificated shares to certificated shares, or vice-versa.</w:t>
      </w:r>
    </w:p>
    <w:p>
      <w:pPr>
        <w:spacing w:after="0" w:line="181" w:lineRule="exact"/>
        <w:rPr>
          <w:sz w:val="20"/>
          <w:szCs w:val="20"/>
          <w:color w:val="auto"/>
        </w:rPr>
      </w:pPr>
    </w:p>
    <w:p>
      <w:pPr>
        <w:ind w:left="442"/>
        <w:spacing w:after="0"/>
        <w:rPr>
          <w:sz w:val="20"/>
          <w:szCs w:val="20"/>
          <w:color w:val="auto"/>
        </w:rPr>
      </w:pPr>
      <w:r>
        <w:rPr>
          <w:rFonts w:ascii="Arial" w:cs="Arial" w:eastAsia="Arial" w:hAnsi="Arial"/>
          <w:sz w:val="16"/>
          <w:szCs w:val="16"/>
          <w:color w:val="auto"/>
        </w:rPr>
        <w:t>The company may by notice to the holder of an uncertificated share, require that share to be converted into certificated form.</w:t>
      </w:r>
    </w:p>
    <w:p>
      <w:pPr>
        <w:spacing w:after="0" w:line="195" w:lineRule="exact"/>
        <w:rPr>
          <w:sz w:val="20"/>
          <w:szCs w:val="20"/>
          <w:color w:val="auto"/>
        </w:rPr>
      </w:pPr>
    </w:p>
    <w:p>
      <w:pPr>
        <w:ind w:left="2" w:right="400" w:firstLine="439"/>
        <w:spacing w:after="0" w:line="249" w:lineRule="auto"/>
        <w:rPr>
          <w:sz w:val="20"/>
          <w:szCs w:val="20"/>
          <w:color w:val="auto"/>
        </w:rPr>
      </w:pPr>
      <w:r>
        <w:rPr>
          <w:rFonts w:ascii="Arial" w:cs="Arial" w:eastAsia="Arial" w:hAnsi="Arial"/>
          <w:sz w:val="16"/>
          <w:szCs w:val="16"/>
          <w:color w:val="auto"/>
        </w:rPr>
        <w:t>The board of directors may take such other action that the board considers appropriate to achieve the sale, transfer, disposal, forfeiture, re-allotment or surrender of an uncertified share or otherwise to enforce a lien in respect of it.</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Other Relevant Laws and Regulations</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Mandatory Bid</w:t>
      </w:r>
    </w:p>
    <w:p>
      <w:pPr>
        <w:spacing w:after="0" w:line="213" w:lineRule="exact"/>
        <w:rPr>
          <w:sz w:val="20"/>
          <w:szCs w:val="20"/>
          <w:color w:val="auto"/>
        </w:rPr>
      </w:pPr>
    </w:p>
    <w:p>
      <w:pPr>
        <w:ind w:left="482" w:right="440" w:hanging="482"/>
        <w:spacing w:after="0" w:line="249" w:lineRule="auto"/>
        <w:tabs>
          <w:tab w:leader="none" w:pos="48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Takeover Code will apply to the company for so long as its central management and control is considered to be in the United Kingdom. Under the Takeover Code, where:</w:t>
      </w:r>
    </w:p>
    <w:p>
      <w:pPr>
        <w:spacing w:after="0" w:line="376" w:lineRule="exact"/>
        <w:rPr>
          <w:rFonts w:ascii="Arial" w:cs="Arial" w:eastAsia="Arial" w:hAnsi="Arial"/>
          <w:sz w:val="16"/>
          <w:szCs w:val="16"/>
          <w:color w:val="auto"/>
        </w:rPr>
      </w:pPr>
    </w:p>
    <w:p>
      <w:pPr>
        <w:jc w:val="both"/>
        <w:ind w:left="982" w:right="20" w:hanging="493"/>
        <w:spacing w:after="0" w:line="244" w:lineRule="auto"/>
        <w:tabs>
          <w:tab w:leader="none" w:pos="982"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any person, together with persons acting in concert with him, acquires, whether by a series of transactions over a period of time or not, an interest in shares which (taken together with shares in which he is already interested, and in which persons acting in concert with him are interested) carry 30% or more of the voting rights of a company; or</w:t>
      </w:r>
    </w:p>
    <w:p>
      <w:pPr>
        <w:spacing w:after="0" w:line="172" w:lineRule="exact"/>
        <w:rPr>
          <w:rFonts w:ascii="Arial" w:cs="Arial" w:eastAsia="Arial" w:hAnsi="Arial"/>
          <w:sz w:val="16"/>
          <w:szCs w:val="16"/>
          <w:color w:val="auto"/>
        </w:rPr>
      </w:pPr>
    </w:p>
    <w:p>
      <w:pPr>
        <w:ind w:left="982" w:hanging="493"/>
        <w:spacing w:after="0" w:line="244" w:lineRule="auto"/>
        <w:tabs>
          <w:tab w:leader="none" w:pos="982"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any person who, together with persons acting in concert with him, is interested in shares which in the aggregate carry not less than 30% of the voting rights of a company but does not hold shares carrying more than 50% of such voting rights and such person, or any person acting in concert with him, acquires an interest in any other shares which increases the percentage of shares carrying voting rights in which he is interested;</w:t>
      </w:r>
    </w:p>
    <w:p>
      <w:pPr>
        <w:spacing w:after="0" w:line="185" w:lineRule="exact"/>
        <w:rPr>
          <w:sz w:val="20"/>
          <w:szCs w:val="20"/>
          <w:color w:val="auto"/>
        </w:rPr>
      </w:pPr>
    </w:p>
    <w:p>
      <w:pPr>
        <w:jc w:val="both"/>
        <w:ind w:left="2" w:right="100"/>
        <w:spacing w:after="0" w:line="244" w:lineRule="auto"/>
        <w:rPr>
          <w:sz w:val="20"/>
          <w:szCs w:val="20"/>
          <w:color w:val="auto"/>
        </w:rPr>
      </w:pPr>
      <w:r>
        <w:rPr>
          <w:rFonts w:ascii="Arial" w:cs="Arial" w:eastAsia="Arial" w:hAnsi="Arial"/>
          <w:sz w:val="16"/>
          <w:szCs w:val="16"/>
          <w:color w:val="auto"/>
        </w:rPr>
        <w:t>such person shall, except in limited circumstances, be obliged to extend offers, on the basis set out in Rules 9.3, 9.4 and 9.5 of the Takeover Code, to the holders of any class of equity share capital, whether voting or non-voting, and also to the holders of any other class of transferable securities carrying voting rights. Offers for different classes of equity share capital must be comparable; the Takeover Panel should be consulted in advance in such cases.</w:t>
      </w:r>
    </w:p>
    <w:p>
      <w:pPr>
        <w:spacing w:after="0" w:line="185" w:lineRule="exact"/>
        <w:rPr>
          <w:sz w:val="20"/>
          <w:szCs w:val="20"/>
          <w:color w:val="auto"/>
        </w:rPr>
      </w:pPr>
    </w:p>
    <w:p>
      <w:pPr>
        <w:ind w:left="482" w:right="160" w:hanging="482"/>
        <w:spacing w:after="0" w:line="249" w:lineRule="auto"/>
        <w:tabs>
          <w:tab w:leader="none" w:pos="48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 offer under Rule 9 of the Takeover Code must be in cash and at the highest price paid for any interest in the shares by the person required to make an offer or any person acting in concert with him during the 12 months prior to the announcement of the offer.</w:t>
      </w:r>
    </w:p>
    <w:p>
      <w:pPr>
        <w:spacing w:after="0" w:line="180" w:lineRule="exact"/>
        <w:rPr>
          <w:rFonts w:ascii="Arial" w:cs="Arial" w:eastAsia="Arial" w:hAnsi="Arial"/>
          <w:sz w:val="16"/>
          <w:szCs w:val="16"/>
          <w:color w:val="auto"/>
        </w:rPr>
      </w:pPr>
    </w:p>
    <w:p>
      <w:pPr>
        <w:ind w:left="482" w:hanging="482"/>
        <w:spacing w:after="0" w:line="242" w:lineRule="auto"/>
        <w:tabs>
          <w:tab w:leader="none" w:pos="48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Under the Takeover Code, a "concert party" arises where persons acting together pursuant to an agreement or understanding (whether formal or informal and whether or not in writing) actively cooperate, through the acquisition by them of an interest in shares in a company, to obtain or consolidate control of the company. "Control" means holding, or aggregate holdings, of an interest in shares carrying 30% or more of the voting rights of the company, irrespective of whether the holding or holdings give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control.</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Squeeze-Out</w:t>
      </w:r>
    </w:p>
    <w:p>
      <w:pPr>
        <w:spacing w:after="0" w:line="213" w:lineRule="exact"/>
        <w:rPr>
          <w:sz w:val="20"/>
          <w:szCs w:val="20"/>
          <w:color w:val="auto"/>
        </w:rPr>
      </w:pPr>
    </w:p>
    <w:p>
      <w:pPr>
        <w:ind w:left="482" w:right="80" w:hanging="482"/>
        <w:spacing w:after="0" w:line="241" w:lineRule="auto"/>
        <w:tabs>
          <w:tab w:leader="none" w:pos="48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Under sections 979 to 982 of the Companies Act, if an offeror were to acquire, or unconditionally contract to acquire, not less than 90% of the ordinary shares of the company, it could then compulsorily acquire the remaining 10%. It would do so by sending a notice to outstanding shareholders telling them that it will compulsorily acquire their shares, provided that no such notice may be served after the end of: (a) the period of three months beginning with the day after the last day on which the offer can be accepted; or (b) if earlier, and the offer is not one to which section 943(1) of the Companies Act applies, the period of six months beginning with the date of the offer.</w:t>
      </w:r>
    </w:p>
    <w:p>
      <w:pPr>
        <w:spacing w:after="0" w:line="18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42" w:right="239" w:bottom="1440" w:gutter="0" w:footer="0" w:header="0"/>
        </w:sectPr>
      </w:pPr>
    </w:p>
    <w:bookmarkStart w:id="208" w:name="page209"/>
    <w:bookmarkEnd w:id="208"/>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82" w:right="100" w:hanging="482"/>
        <w:spacing w:after="0" w:line="249" w:lineRule="auto"/>
        <w:tabs>
          <w:tab w:leader="none" w:pos="48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Six weeks following service of the notice, the offeror must send a copy of it to the company together with the consideration for the ordinary shares to which the notice relates, and an instrument of transfer executed on behalf of the outstanding shareholder(s) by a person appointed by the offeror.</w:t>
      </w:r>
    </w:p>
    <w:p>
      <w:pPr>
        <w:spacing w:after="0" w:line="180" w:lineRule="exact"/>
        <w:rPr>
          <w:rFonts w:ascii="Arial" w:cs="Arial" w:eastAsia="Arial" w:hAnsi="Arial"/>
          <w:sz w:val="16"/>
          <w:szCs w:val="16"/>
          <w:color w:val="auto"/>
        </w:rPr>
      </w:pPr>
    </w:p>
    <w:p>
      <w:pPr>
        <w:ind w:left="482" w:hanging="482"/>
        <w:spacing w:after="0"/>
        <w:tabs>
          <w:tab w:leader="none" w:pos="48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will hold the consideration on trust for the outstanding shareholders.</w:t>
      </w:r>
    </w:p>
    <w:p>
      <w:pPr>
        <w:spacing w:after="0" w:line="17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Sell-out</w:t>
      </w:r>
    </w:p>
    <w:p>
      <w:pPr>
        <w:spacing w:after="0" w:line="213" w:lineRule="exact"/>
        <w:rPr>
          <w:sz w:val="20"/>
          <w:szCs w:val="20"/>
          <w:color w:val="auto"/>
        </w:rPr>
      </w:pPr>
    </w:p>
    <w:p>
      <w:pPr>
        <w:ind w:left="482" w:hanging="482"/>
        <w:spacing w:after="0"/>
        <w:tabs>
          <w:tab w:leader="none" w:pos="48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Sections 983 to 985 of the Companies Act also give minority shareholders in the company a right to be bought out in certain circumstances by an offeror who has made a takeover offer. If a takeover offer relating to all the ordinary shares of the company is made at any time before the end of the period within which the offer could be accepted and the offeror held or had agreed to acquire not less than 90% of the ordinary shares, any holder of shares to which the offer related who had not accepted the offer could by a written communication to the offeror require it to acquire those shares. The offeror is required to give any shareholder notice of his right to be bought out within one month of that right arising. The offeror may impose a time limit on the rights of minority shareholders to be bought out, but that period cannot end less than three months after the end of the acceptance period, or, if longer a period of three months from the date of the notice.</w:t>
      </w:r>
    </w:p>
    <w:p>
      <w:pPr>
        <w:spacing w:after="0" w:line="179" w:lineRule="exact"/>
        <w:rPr>
          <w:rFonts w:ascii="Arial" w:cs="Arial" w:eastAsia="Arial" w:hAnsi="Arial"/>
          <w:sz w:val="16"/>
          <w:szCs w:val="16"/>
          <w:color w:val="auto"/>
        </w:rPr>
      </w:pPr>
    </w:p>
    <w:p>
      <w:pPr>
        <w:ind w:left="482" w:hanging="482"/>
        <w:spacing w:after="0"/>
        <w:tabs>
          <w:tab w:leader="none" w:pos="48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a shareholder exercises his rights, the offeror is bound to acquire those shares on the terms of the offer or on such other terms as may be agreed.</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Differences in Corporate Law</w:t>
      </w:r>
    </w:p>
    <w:p>
      <w:pPr>
        <w:spacing w:after="0" w:line="215" w:lineRule="exact"/>
        <w:rPr>
          <w:sz w:val="20"/>
          <w:szCs w:val="20"/>
          <w:color w:val="auto"/>
        </w:rPr>
      </w:pPr>
    </w:p>
    <w:p>
      <w:pPr>
        <w:ind w:left="2" w:firstLine="439"/>
        <w:spacing w:after="0" w:line="242" w:lineRule="auto"/>
        <w:rPr>
          <w:sz w:val="20"/>
          <w:szCs w:val="20"/>
          <w:color w:val="auto"/>
        </w:rPr>
      </w:pPr>
      <w:r>
        <w:rPr>
          <w:rFonts w:ascii="Arial" w:cs="Arial" w:eastAsia="Arial" w:hAnsi="Arial"/>
          <w:sz w:val="16"/>
          <w:szCs w:val="16"/>
          <w:color w:val="auto"/>
        </w:rPr>
        <w:t>The applicable provisions of the Companies Act differ from laws applicable to U.S. corporations and their shareholders. Set forth below is a summary of certain differences between the provisions of the Companies Act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422"/>
          </w:cols>
          <w:pgMar w:left="238" w:top="142" w:right="239" w:bottom="1440" w:gutter="0" w:footer="0" w:header="0"/>
        </w:sectPr>
      </w:pPr>
    </w:p>
    <w:p>
      <w:pPr>
        <w:spacing w:after="0" w:line="167" w:lineRule="exact"/>
        <w:rPr>
          <w:sz w:val="20"/>
          <w:szCs w:val="20"/>
          <w:color w:val="auto"/>
        </w:rPr>
      </w:pPr>
    </w:p>
    <w:tbl>
      <w:tblPr>
        <w:tblLayout w:type="fixed"/>
        <w:tblInd w:w="1142" w:type="dxa"/>
        <w:tblCellMar>
          <w:top w:w="0" w:type="dxa"/>
          <w:left w:w="0" w:type="dxa"/>
          <w:bottom w:w="0" w:type="dxa"/>
          <w:right w:w="0" w:type="dxa"/>
        </w:tblCellMar>
      </w:tblPr>
      <w:tr>
        <w:trPr>
          <w:trHeight w:val="205"/>
        </w:trPr>
        <w:tc>
          <w:tcPr>
            <w:tcW w:w="2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86"/>
        </w:trPr>
        <w:tc>
          <w:tcPr>
            <w:tcW w:w="2280" w:type="dxa"/>
            <w:vAlign w:val="bottom"/>
          </w:tcPr>
          <w:p>
            <w:pPr>
              <w:spacing w:after="0"/>
              <w:rPr>
                <w:sz w:val="20"/>
                <w:szCs w:val="20"/>
                <w:color w:val="auto"/>
              </w:rPr>
            </w:pPr>
            <w:r>
              <w:rPr>
                <w:rFonts w:ascii="Arial" w:cs="Arial" w:eastAsia="Arial" w:hAnsi="Arial"/>
                <w:sz w:val="16"/>
                <w:szCs w:val="16"/>
                <w:color w:val="auto"/>
              </w:rPr>
              <w:t>Number of Directors</w:t>
            </w:r>
          </w:p>
        </w:tc>
        <w:tc>
          <w:tcPr>
            <w:tcW w:w="3700" w:type="dxa"/>
            <w:vAlign w:val="bottom"/>
            <w:gridSpan w:val="2"/>
          </w:tcPr>
          <w:p>
            <w:pPr>
              <w:ind w:left="880"/>
              <w:spacing w:after="0"/>
              <w:rPr>
                <w:sz w:val="20"/>
                <w:szCs w:val="20"/>
                <w:color w:val="auto"/>
              </w:rPr>
            </w:pPr>
            <w:r>
              <w:rPr>
                <w:rFonts w:ascii="Arial" w:cs="Arial" w:eastAsia="Arial" w:hAnsi="Arial"/>
                <w:sz w:val="16"/>
                <w:szCs w:val="16"/>
                <w:color w:val="auto"/>
              </w:rPr>
              <w:t>Under the Companies Act, a public</w:t>
            </w:r>
          </w:p>
        </w:tc>
      </w:tr>
      <w:tr>
        <w:trPr>
          <w:trHeight w:val="183"/>
        </w:trPr>
        <w:tc>
          <w:tcPr>
            <w:tcW w:w="2280" w:type="dxa"/>
            <w:vAlign w:val="bottom"/>
          </w:tcPr>
          <w:p>
            <w:pPr>
              <w:spacing w:after="0"/>
              <w:rPr>
                <w:sz w:val="15"/>
                <w:szCs w:val="15"/>
                <w:color w:val="auto"/>
              </w:rPr>
            </w:pPr>
          </w:p>
        </w:tc>
        <w:tc>
          <w:tcPr>
            <w:tcW w:w="3700" w:type="dxa"/>
            <w:vAlign w:val="bottom"/>
            <w:gridSpan w:val="2"/>
          </w:tcPr>
          <w:p>
            <w:pPr>
              <w:ind w:left="880"/>
              <w:spacing w:after="0"/>
              <w:rPr>
                <w:sz w:val="20"/>
                <w:szCs w:val="20"/>
                <w:color w:val="auto"/>
              </w:rPr>
            </w:pPr>
            <w:r>
              <w:rPr>
                <w:rFonts w:ascii="Arial" w:cs="Arial" w:eastAsia="Arial" w:hAnsi="Arial"/>
                <w:sz w:val="16"/>
                <w:szCs w:val="16"/>
                <w:color w:val="auto"/>
              </w:rPr>
              <w:t>limited company must have at least two</w:t>
            </w:r>
          </w:p>
        </w:tc>
      </w:tr>
      <w:tr>
        <w:trPr>
          <w:trHeight w:val="183"/>
        </w:trPr>
        <w:tc>
          <w:tcPr>
            <w:tcW w:w="2280" w:type="dxa"/>
            <w:vAlign w:val="bottom"/>
          </w:tcPr>
          <w:p>
            <w:pPr>
              <w:spacing w:after="0"/>
              <w:rPr>
                <w:sz w:val="15"/>
                <w:szCs w:val="15"/>
                <w:color w:val="auto"/>
              </w:rPr>
            </w:pPr>
          </w:p>
        </w:tc>
        <w:tc>
          <w:tcPr>
            <w:tcW w:w="3700" w:type="dxa"/>
            <w:vAlign w:val="bottom"/>
            <w:gridSpan w:val="2"/>
          </w:tcPr>
          <w:p>
            <w:pPr>
              <w:ind w:left="880"/>
              <w:spacing w:after="0"/>
              <w:rPr>
                <w:sz w:val="20"/>
                <w:szCs w:val="20"/>
                <w:color w:val="auto"/>
              </w:rPr>
            </w:pPr>
            <w:r>
              <w:rPr>
                <w:rFonts w:ascii="Arial" w:cs="Arial" w:eastAsia="Arial" w:hAnsi="Arial"/>
                <w:sz w:val="16"/>
                <w:szCs w:val="16"/>
                <w:color w:val="auto"/>
              </w:rPr>
              <w:t>directors and the number of directors</w:t>
            </w:r>
          </w:p>
        </w:tc>
      </w:tr>
      <w:tr>
        <w:trPr>
          <w:trHeight w:val="183"/>
        </w:trPr>
        <w:tc>
          <w:tcPr>
            <w:tcW w:w="2280" w:type="dxa"/>
            <w:vAlign w:val="bottom"/>
          </w:tcPr>
          <w:p>
            <w:pPr>
              <w:spacing w:after="0"/>
              <w:rPr>
                <w:sz w:val="15"/>
                <w:szCs w:val="15"/>
                <w:color w:val="auto"/>
              </w:rPr>
            </w:pPr>
          </w:p>
        </w:tc>
        <w:tc>
          <w:tcPr>
            <w:tcW w:w="3700" w:type="dxa"/>
            <w:vAlign w:val="bottom"/>
            <w:gridSpan w:val="2"/>
          </w:tcPr>
          <w:p>
            <w:pPr>
              <w:ind w:left="880"/>
              <w:spacing w:after="0"/>
              <w:rPr>
                <w:sz w:val="20"/>
                <w:szCs w:val="20"/>
                <w:color w:val="auto"/>
              </w:rPr>
            </w:pPr>
            <w:r>
              <w:rPr>
                <w:rFonts w:ascii="Arial" w:cs="Arial" w:eastAsia="Arial" w:hAnsi="Arial"/>
                <w:sz w:val="16"/>
                <w:szCs w:val="16"/>
                <w:color w:val="auto"/>
              </w:rPr>
              <w:t>may be fixed by or in the manner</w:t>
            </w:r>
          </w:p>
        </w:tc>
      </w:tr>
      <w:tr>
        <w:trPr>
          <w:trHeight w:val="183"/>
        </w:trPr>
        <w:tc>
          <w:tcPr>
            <w:tcW w:w="2280" w:type="dxa"/>
            <w:vAlign w:val="bottom"/>
          </w:tcPr>
          <w:p>
            <w:pPr>
              <w:spacing w:after="0"/>
              <w:rPr>
                <w:sz w:val="15"/>
                <w:szCs w:val="15"/>
                <w:color w:val="auto"/>
              </w:rPr>
            </w:pPr>
          </w:p>
        </w:tc>
        <w:tc>
          <w:tcPr>
            <w:tcW w:w="3700" w:type="dxa"/>
            <w:vAlign w:val="bottom"/>
            <w:gridSpan w:val="2"/>
          </w:tcPr>
          <w:p>
            <w:pPr>
              <w:ind w:left="880"/>
              <w:spacing w:after="0"/>
              <w:rPr>
                <w:sz w:val="20"/>
                <w:szCs w:val="20"/>
                <w:color w:val="auto"/>
              </w:rPr>
            </w:pPr>
            <w:r>
              <w:rPr>
                <w:rFonts w:ascii="Arial" w:cs="Arial" w:eastAsia="Arial" w:hAnsi="Arial"/>
                <w:sz w:val="16"/>
                <w:szCs w:val="16"/>
                <w:color w:val="auto"/>
              </w:rPr>
              <w:t>provided in a company's articles of</w:t>
            </w:r>
          </w:p>
        </w:tc>
      </w:tr>
      <w:tr>
        <w:trPr>
          <w:trHeight w:val="192"/>
        </w:trPr>
        <w:tc>
          <w:tcPr>
            <w:tcW w:w="2280" w:type="dxa"/>
            <w:vAlign w:val="bottom"/>
          </w:tcPr>
          <w:p>
            <w:pPr>
              <w:spacing w:after="0"/>
              <w:rPr>
                <w:sz w:val="16"/>
                <w:szCs w:val="16"/>
                <w:color w:val="auto"/>
              </w:rPr>
            </w:pPr>
          </w:p>
        </w:tc>
        <w:tc>
          <w:tcPr>
            <w:tcW w:w="3700" w:type="dxa"/>
            <w:vAlign w:val="bottom"/>
            <w:gridSpan w:val="2"/>
          </w:tcPr>
          <w:p>
            <w:pPr>
              <w:ind w:left="880"/>
              <w:spacing w:after="0"/>
              <w:rPr>
                <w:sz w:val="20"/>
                <w:szCs w:val="20"/>
                <w:color w:val="auto"/>
              </w:rPr>
            </w:pPr>
            <w:r>
              <w:rPr>
                <w:rFonts w:ascii="Arial" w:cs="Arial" w:eastAsia="Arial" w:hAnsi="Arial"/>
                <w:sz w:val="16"/>
                <w:szCs w:val="16"/>
                <w:color w:val="auto"/>
              </w:rPr>
              <w:t>association.</w:t>
            </w:r>
          </w:p>
        </w:tc>
      </w:tr>
      <w:tr>
        <w:trPr>
          <w:trHeight w:val="379"/>
        </w:trPr>
        <w:tc>
          <w:tcPr>
            <w:tcW w:w="2280" w:type="dxa"/>
            <w:vAlign w:val="bottom"/>
          </w:tcPr>
          <w:p>
            <w:pPr>
              <w:spacing w:after="0"/>
              <w:rPr>
                <w:sz w:val="24"/>
                <w:szCs w:val="24"/>
                <w:color w:val="auto"/>
              </w:rPr>
            </w:pPr>
          </w:p>
        </w:tc>
        <w:tc>
          <w:tcPr>
            <w:tcW w:w="3700" w:type="dxa"/>
            <w:vAlign w:val="bottom"/>
            <w:gridSpan w:val="2"/>
          </w:tcPr>
          <w:p>
            <w:pPr>
              <w:ind w:left="2160"/>
              <w:spacing w:after="0"/>
              <w:rPr>
                <w:sz w:val="20"/>
                <w:szCs w:val="20"/>
                <w:color w:val="auto"/>
              </w:rPr>
            </w:pPr>
            <w:r>
              <w:rPr>
                <w:rFonts w:ascii="Arial" w:cs="Arial" w:eastAsia="Arial" w:hAnsi="Arial"/>
                <w:sz w:val="16"/>
                <w:szCs w:val="16"/>
                <w:color w:val="auto"/>
              </w:rPr>
              <w:t>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264400"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793240"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24" w:lineRule="exact"/>
        <w:rPr>
          <w:sz w:val="20"/>
          <w:szCs w:val="20"/>
          <w:color w:val="auto"/>
        </w:rPr>
      </w:pPr>
    </w:p>
    <w:p>
      <w:pPr>
        <w:ind w:right="1200"/>
        <w:spacing w:after="0" w:line="264" w:lineRule="auto"/>
        <w:rPr>
          <w:sz w:val="20"/>
          <w:szCs w:val="20"/>
          <w:color w:val="auto"/>
        </w:rPr>
      </w:pPr>
      <w:r>
        <w:rPr>
          <w:rFonts w:ascii="Arial" w:cs="Arial" w:eastAsia="Arial" w:hAnsi="Arial"/>
          <w:sz w:val="15"/>
          <w:szCs w:val="15"/>
          <w:color w:val="auto"/>
        </w:rPr>
        <w:t>Under Delaware law, a corporation must have at least one director and the number of directors shall be fixed by or in the manner provided in the bylaws.</w:t>
      </w:r>
    </w:p>
    <w:p>
      <w:pPr>
        <w:sectPr>
          <w:pgSz w:w="11900" w:h="16838" w:orient="portrait"/>
          <w:cols w:equalWidth="0" w:num="2">
            <w:col w:w="7122" w:space="340"/>
            <w:col w:w="3960"/>
          </w:cols>
          <w:pgMar w:left="238" w:top="142" w:right="239" w:bottom="1440" w:gutter="0" w:footer="0" w:header="0"/>
          <w:type w:val="continuous"/>
        </w:sectPr>
      </w:pPr>
    </w:p>
    <w:bookmarkStart w:id="209" w:name="page210"/>
    <w:bookmarkEnd w:id="209"/>
    <w:tbl>
      <w:tblPr>
        <w:tblLayout w:type="fixed"/>
        <w:tblInd w:w="0" w:type="dxa"/>
        <w:tblCellMar>
          <w:top w:w="0" w:type="dxa"/>
          <w:left w:w="0" w:type="dxa"/>
          <w:bottom w:w="0" w:type="dxa"/>
          <w:right w:w="0" w:type="dxa"/>
        </w:tblCellMar>
      </w:tblPr>
      <w:tr>
        <w:trPr>
          <w:trHeight w:val="184"/>
        </w:trPr>
        <w:tc>
          <w:tcPr>
            <w:tcW w:w="398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32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388"/>
        </w:trPr>
        <w:tc>
          <w:tcPr>
            <w:tcW w:w="124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86"/>
        </w:trPr>
        <w:tc>
          <w:tcPr>
            <w:tcW w:w="3980" w:type="dxa"/>
            <w:vAlign w:val="bottom"/>
            <w:gridSpan w:val="2"/>
          </w:tcPr>
          <w:p>
            <w:pPr>
              <w:ind w:left="1140"/>
              <w:spacing w:after="0"/>
              <w:rPr>
                <w:sz w:val="20"/>
                <w:szCs w:val="20"/>
                <w:color w:val="auto"/>
              </w:rPr>
            </w:pPr>
            <w:r>
              <w:rPr>
                <w:rFonts w:ascii="Arial" w:cs="Arial" w:eastAsia="Arial" w:hAnsi="Arial"/>
                <w:sz w:val="16"/>
                <w:szCs w:val="16"/>
                <w:color w:val="auto"/>
              </w:rPr>
              <w:t>Removal of Directors</w:t>
            </w: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Under the Companies Act,</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shareholders may remove a director</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without cause by an ordinary resolution</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w w:val="99"/>
              </w:rPr>
              <w:t>(which is passed by a simple majority of</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those voting in person or by proxy at a</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general meeting) irrespective of any</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provisions of any service contract the</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w w:val="98"/>
              </w:rPr>
              <w:t>director has with the company, provided</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28 clear days' notice of the resolution</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has been given to the company and its</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w w:val="99"/>
              </w:rPr>
              <w:t>shareholders. On receipt of notice of an</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intended resolution to remove a</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director, the company must forthwith</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w w:val="99"/>
              </w:rPr>
              <w:t>send a copy of the notice to the director</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concerned. Certain other procedural</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requirements under the Companies Act</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w w:val="99"/>
              </w:rPr>
              <w:t>must also be followed, such as allowing</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the director to make representations</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against his or her removal either at the</w:t>
            </w:r>
          </w:p>
        </w:tc>
      </w:tr>
      <w:tr>
        <w:trPr>
          <w:trHeight w:val="192"/>
        </w:trPr>
        <w:tc>
          <w:tcPr>
            <w:tcW w:w="1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meeting or in writing.</w:t>
            </w:r>
          </w:p>
        </w:tc>
      </w:tr>
      <w:tr>
        <w:trPr>
          <w:trHeight w:val="578"/>
        </w:trPr>
        <w:tc>
          <w:tcPr>
            <w:tcW w:w="3980" w:type="dxa"/>
            <w:vAlign w:val="bottom"/>
            <w:gridSpan w:val="2"/>
          </w:tcPr>
          <w:p>
            <w:pPr>
              <w:ind w:left="1140"/>
              <w:spacing w:after="0"/>
              <w:rPr>
                <w:sz w:val="20"/>
                <w:szCs w:val="20"/>
                <w:color w:val="auto"/>
              </w:rPr>
            </w:pPr>
            <w:r>
              <w:rPr>
                <w:rFonts w:ascii="Arial" w:cs="Arial" w:eastAsia="Arial" w:hAnsi="Arial"/>
                <w:sz w:val="16"/>
                <w:szCs w:val="16"/>
                <w:color w:val="auto"/>
              </w:rPr>
              <w:t>Vacancies on the Board of Directors</w:t>
            </w: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Under English law, the procedure by</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w w:val="99"/>
              </w:rPr>
              <w:t>which directors, other than a company's</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initial directors, are appointed is</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w w:val="98"/>
              </w:rPr>
              <w:t>generally set out in a company's articles</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of association, provided that where two</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or more persons are appointed as</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w w:val="99"/>
              </w:rPr>
              <w:t>directors of a public limited company by</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resolution of the shareholders,</w:t>
            </w:r>
          </w:p>
        </w:tc>
      </w:tr>
      <w:tr>
        <w:trPr>
          <w:trHeight w:val="183"/>
        </w:trPr>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resolutions appointing each director</w:t>
            </w:r>
          </w:p>
        </w:tc>
      </w:tr>
      <w:tr>
        <w:trPr>
          <w:trHeight w:val="192"/>
        </w:trPr>
        <w:tc>
          <w:tcPr>
            <w:tcW w:w="12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140" w:type="dxa"/>
            <w:vAlign w:val="bottom"/>
            <w:gridSpan w:val="2"/>
          </w:tcPr>
          <w:p>
            <w:pPr>
              <w:ind w:left="320"/>
              <w:spacing w:after="0"/>
              <w:rPr>
                <w:sz w:val="20"/>
                <w:szCs w:val="20"/>
                <w:color w:val="auto"/>
              </w:rPr>
            </w:pPr>
            <w:r>
              <w:rPr>
                <w:rFonts w:ascii="Arial" w:cs="Arial" w:eastAsia="Arial" w:hAnsi="Arial"/>
                <w:sz w:val="16"/>
                <w:szCs w:val="16"/>
                <w:color w:val="auto"/>
              </w:rPr>
              <w:t>must be voted on individually.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40"/>
        <w:spacing w:after="0"/>
        <w:tabs>
          <w:tab w:leader="none" w:pos="4280" w:val="left"/>
        </w:tabs>
        <w:rPr>
          <w:sz w:val="20"/>
          <w:szCs w:val="20"/>
          <w:color w:val="auto"/>
        </w:rPr>
      </w:pPr>
      <w:r>
        <w:rPr>
          <w:rFonts w:ascii="Arial" w:cs="Arial" w:eastAsia="Arial" w:hAnsi="Arial"/>
          <w:sz w:val="16"/>
          <w:szCs w:val="16"/>
          <w:color w:val="auto"/>
        </w:rPr>
        <w:t>Annual General Meeting</w:t>
      </w:r>
      <w:r>
        <w:rPr>
          <w:sz w:val="20"/>
          <w:szCs w:val="20"/>
          <w:color w:val="auto"/>
        </w:rPr>
        <w:tab/>
      </w:r>
      <w:r>
        <w:rPr>
          <w:rFonts w:ascii="Arial" w:cs="Arial" w:eastAsia="Arial" w:hAnsi="Arial"/>
          <w:sz w:val="15"/>
          <w:szCs w:val="15"/>
          <w:color w:val="auto"/>
        </w:rPr>
        <w:t>Under the Companies Act, a public</w:t>
      </w:r>
    </w:p>
    <w:p>
      <w:pPr>
        <w:ind w:left="4300"/>
        <w:spacing w:after="0"/>
        <w:rPr>
          <w:sz w:val="20"/>
          <w:szCs w:val="20"/>
          <w:color w:val="auto"/>
        </w:rPr>
      </w:pPr>
      <w:r>
        <w:rPr>
          <w:rFonts w:ascii="Arial" w:cs="Arial" w:eastAsia="Arial" w:hAnsi="Arial"/>
          <w:sz w:val="16"/>
          <w:szCs w:val="16"/>
          <w:color w:val="auto"/>
        </w:rPr>
        <w:t>limited company must hold an annual</w:t>
      </w:r>
    </w:p>
    <w:p>
      <w:pPr>
        <w:ind w:left="4300"/>
        <w:spacing w:after="0"/>
        <w:rPr>
          <w:sz w:val="20"/>
          <w:szCs w:val="20"/>
          <w:color w:val="auto"/>
        </w:rPr>
      </w:pPr>
      <w:r>
        <w:rPr>
          <w:rFonts w:ascii="Arial" w:cs="Arial" w:eastAsia="Arial" w:hAnsi="Arial"/>
          <w:sz w:val="16"/>
          <w:szCs w:val="16"/>
          <w:color w:val="auto"/>
        </w:rPr>
        <w:t>general meeting in each six-month</w:t>
      </w:r>
    </w:p>
    <w:p>
      <w:pPr>
        <w:ind w:left="4300"/>
        <w:spacing w:after="0"/>
        <w:rPr>
          <w:sz w:val="20"/>
          <w:szCs w:val="20"/>
          <w:color w:val="auto"/>
        </w:rPr>
      </w:pPr>
      <w:r>
        <w:rPr>
          <w:rFonts w:ascii="Arial" w:cs="Arial" w:eastAsia="Arial" w:hAnsi="Arial"/>
          <w:sz w:val="16"/>
          <w:szCs w:val="16"/>
          <w:color w:val="auto"/>
        </w:rPr>
        <w:t>period following the company's annual</w:t>
      </w:r>
    </w:p>
    <w:p>
      <w:pPr>
        <w:ind w:left="4300"/>
        <w:spacing w:after="0"/>
        <w:rPr>
          <w:sz w:val="20"/>
          <w:szCs w:val="20"/>
          <w:color w:val="auto"/>
        </w:rPr>
      </w:pPr>
      <w:r>
        <w:rPr>
          <w:rFonts w:ascii="Arial" w:cs="Arial" w:eastAsia="Arial" w:hAnsi="Arial"/>
          <w:sz w:val="16"/>
          <w:szCs w:val="16"/>
          <w:color w:val="auto"/>
        </w:rPr>
        <w:t>accounting reference date.</w:t>
      </w:r>
    </w:p>
    <w:p>
      <w:pPr>
        <w:spacing w:after="0" w:line="200" w:lineRule="exact"/>
        <w:rPr>
          <w:sz w:val="20"/>
          <w:szCs w:val="20"/>
          <w:color w:val="auto"/>
        </w:rPr>
      </w:pPr>
    </w:p>
    <w:p>
      <w:pPr>
        <w:spacing w:after="0" w:line="36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793240"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24"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24"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202" w:lineRule="exact"/>
        <w:rPr>
          <w:sz w:val="20"/>
          <w:szCs w:val="20"/>
          <w:color w:val="auto"/>
        </w:rPr>
      </w:pPr>
    </w:p>
    <w:p>
      <w:pPr>
        <w:ind w:right="20"/>
        <w:spacing w:after="0"/>
        <w:rPr>
          <w:sz w:val="20"/>
          <w:szCs w:val="20"/>
          <w:color w:val="auto"/>
        </w:rPr>
      </w:pPr>
      <w:r>
        <w:rPr>
          <w:rFonts w:ascii="Arial" w:cs="Arial" w:eastAsia="Arial" w:hAnsi="Arial"/>
          <w:sz w:val="16"/>
          <w:szCs w:val="16"/>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ectPr>
          <w:pgSz w:w="11900" w:h="16838" w:orient="portrait"/>
          <w:cols w:equalWidth="0" w:num="2">
            <w:col w:w="7120" w:space="340"/>
            <w:col w:w="2820"/>
          </w:cols>
          <w:pgMar w:left="240" w:top="114" w:right="137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184"/>
        </w:trPr>
        <w:tc>
          <w:tcPr>
            <w:tcW w:w="368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62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388"/>
        </w:trPr>
        <w:tc>
          <w:tcPr>
            <w:tcW w:w="124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86"/>
        </w:trPr>
        <w:tc>
          <w:tcPr>
            <w:tcW w:w="3680" w:type="dxa"/>
            <w:vAlign w:val="bottom"/>
            <w:gridSpan w:val="2"/>
          </w:tcPr>
          <w:p>
            <w:pPr>
              <w:ind w:left="1140"/>
              <w:spacing w:after="0"/>
              <w:rPr>
                <w:sz w:val="20"/>
                <w:szCs w:val="20"/>
                <w:color w:val="auto"/>
              </w:rPr>
            </w:pPr>
            <w:r>
              <w:rPr>
                <w:rFonts w:ascii="Arial" w:cs="Arial" w:eastAsia="Arial" w:hAnsi="Arial"/>
                <w:sz w:val="16"/>
                <w:szCs w:val="16"/>
                <w:color w:val="auto"/>
              </w:rPr>
              <w:t>General Meeting</w:t>
            </w: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Under the Companies Act, a general</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meeting of the shareholders of a public</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limited company may be called by the</w:t>
            </w:r>
          </w:p>
        </w:tc>
      </w:tr>
      <w:tr>
        <w:trPr>
          <w:trHeight w:val="192"/>
        </w:trPr>
        <w:tc>
          <w:tcPr>
            <w:tcW w:w="1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directors.</w:t>
            </w:r>
          </w:p>
        </w:tc>
      </w:tr>
      <w:tr>
        <w:trPr>
          <w:trHeight w:val="334"/>
        </w:trPr>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Shareholders holding at least 5% of the</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paid-up capital of the company carrying</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voting rights at general meetings</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(excluding any paid up capital held as</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treasury shares) can require the</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directors to call a general meeting and,</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if the directors fail to do so within a</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certain period, may themselves</w:t>
            </w:r>
          </w:p>
        </w:tc>
      </w:tr>
      <w:tr>
        <w:trPr>
          <w:trHeight w:val="192"/>
        </w:trPr>
        <w:tc>
          <w:tcPr>
            <w:tcW w:w="1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convene a general meeting.</w:t>
            </w:r>
          </w:p>
        </w:tc>
      </w:tr>
      <w:tr>
        <w:trPr>
          <w:trHeight w:val="395"/>
        </w:trPr>
        <w:tc>
          <w:tcPr>
            <w:tcW w:w="3680" w:type="dxa"/>
            <w:vAlign w:val="bottom"/>
            <w:gridSpan w:val="2"/>
          </w:tcPr>
          <w:p>
            <w:pPr>
              <w:ind w:left="1140"/>
              <w:spacing w:after="0"/>
              <w:rPr>
                <w:sz w:val="20"/>
                <w:szCs w:val="20"/>
                <w:color w:val="auto"/>
              </w:rPr>
            </w:pPr>
            <w:r>
              <w:rPr>
                <w:rFonts w:ascii="Arial" w:cs="Arial" w:eastAsia="Arial" w:hAnsi="Arial"/>
                <w:sz w:val="16"/>
                <w:szCs w:val="16"/>
                <w:color w:val="auto"/>
              </w:rPr>
              <w:t>Notice of General Meetings</w:t>
            </w: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Under the Companies Act, at least</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21 days' notice must be given for an</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annual general meeting and any</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resolutions to be proposed at the</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meeting. Subject to a company's</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articles of association providing for a</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w w:val="99"/>
              </w:rPr>
              <w:t>longer period, at least 14 days' notice is</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required for any other general meeting</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w w:val="99"/>
              </w:rPr>
              <w:t>of a public limited company. In addition,</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certain matters, such as the removal of</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directors or auditors, require special</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notice, which is 28 days' notice. The</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shareholders of a company may in all</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cases consent to a shorter notice</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period, the proportion of shareholders'</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consent required being 100% of those</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w w:val="98"/>
              </w:rPr>
              <w:t>entitled to attend and vote in the case of</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an annual general meeting and, in the</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case of any other general meeting, a</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majority in number of the members</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having a right to attend and vote at the</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meeting, being a majority who together</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w w:val="99"/>
              </w:rPr>
              <w:t>hold not less than 95% in nominal value</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of the shares giving a right to attend</w:t>
            </w:r>
          </w:p>
        </w:tc>
      </w:tr>
      <w:tr>
        <w:trPr>
          <w:trHeight w:val="192"/>
        </w:trPr>
        <w:tc>
          <w:tcPr>
            <w:tcW w:w="1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and vote at the meeting.</w:t>
            </w:r>
          </w:p>
        </w:tc>
      </w:tr>
      <w:tr>
        <w:trPr>
          <w:trHeight w:val="395"/>
        </w:trPr>
        <w:tc>
          <w:tcPr>
            <w:tcW w:w="3680" w:type="dxa"/>
            <w:vAlign w:val="bottom"/>
            <w:gridSpan w:val="2"/>
          </w:tcPr>
          <w:p>
            <w:pPr>
              <w:ind w:left="1140"/>
              <w:spacing w:after="0"/>
              <w:rPr>
                <w:sz w:val="20"/>
                <w:szCs w:val="20"/>
                <w:color w:val="auto"/>
              </w:rPr>
            </w:pPr>
            <w:r>
              <w:rPr>
                <w:rFonts w:ascii="Arial" w:cs="Arial" w:eastAsia="Arial" w:hAnsi="Arial"/>
                <w:sz w:val="16"/>
                <w:szCs w:val="16"/>
                <w:color w:val="auto"/>
              </w:rPr>
              <w:t>Quorum</w:t>
            </w: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Subject to the provisions of a</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company's articles of association, the</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Companies Act provides that two</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shareholders present at a meeting (in</w:t>
            </w:r>
          </w:p>
        </w:tc>
      </w:tr>
      <w:tr>
        <w:trPr>
          <w:trHeight w:val="183"/>
        </w:trPr>
        <w:tc>
          <w:tcPr>
            <w:tcW w:w="1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person or by proxy) shall constitute a</w:t>
            </w:r>
          </w:p>
        </w:tc>
      </w:tr>
      <w:tr>
        <w:trPr>
          <w:trHeight w:val="192"/>
        </w:trPr>
        <w:tc>
          <w:tcPr>
            <w:tcW w:w="1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440" w:type="dxa"/>
            <w:vAlign w:val="bottom"/>
            <w:gridSpan w:val="2"/>
          </w:tcPr>
          <w:p>
            <w:pPr>
              <w:ind w:left="620"/>
              <w:spacing w:after="0"/>
              <w:rPr>
                <w:sz w:val="20"/>
                <w:szCs w:val="20"/>
                <w:color w:val="auto"/>
              </w:rPr>
            </w:pPr>
            <w:r>
              <w:rPr>
                <w:rFonts w:ascii="Arial" w:cs="Arial" w:eastAsia="Arial" w:hAnsi="Arial"/>
                <w:sz w:val="16"/>
                <w:szCs w:val="16"/>
                <w:color w:val="auto"/>
              </w:rPr>
              <w:t>quorum.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793240"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2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ectPr>
          <w:pgSz w:w="11900" w:h="16838" w:orient="portrait"/>
          <w:cols w:equalWidth="0" w:num="2">
            <w:col w:w="7120" w:space="340"/>
            <w:col w:w="2820"/>
          </w:cols>
          <w:pgMar w:left="240" w:top="114" w:right="137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84"/>
        </w:trPr>
        <w:tc>
          <w:tcPr>
            <w:tcW w:w="292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38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388"/>
        </w:trPr>
        <w:tc>
          <w:tcPr>
            <w:tcW w:w="124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86"/>
        </w:trPr>
        <w:tc>
          <w:tcPr>
            <w:tcW w:w="2920" w:type="dxa"/>
            <w:vAlign w:val="bottom"/>
            <w:gridSpan w:val="2"/>
          </w:tcPr>
          <w:p>
            <w:pPr>
              <w:ind w:left="1140"/>
              <w:spacing w:after="0"/>
              <w:rPr>
                <w:sz w:val="20"/>
                <w:szCs w:val="20"/>
                <w:color w:val="auto"/>
              </w:rPr>
            </w:pPr>
            <w:r>
              <w:rPr>
                <w:rFonts w:ascii="Arial" w:cs="Arial" w:eastAsia="Arial" w:hAnsi="Arial"/>
                <w:sz w:val="16"/>
                <w:szCs w:val="16"/>
                <w:color w:val="auto"/>
              </w:rPr>
              <w:t>Proxy</w:t>
            </w:r>
          </w:p>
        </w:tc>
        <w:tc>
          <w:tcPr>
            <w:tcW w:w="4200" w:type="dxa"/>
            <w:vAlign w:val="bottom"/>
            <w:gridSpan w:val="2"/>
          </w:tcPr>
          <w:p>
            <w:pPr>
              <w:ind w:left="1380"/>
              <w:spacing w:after="0"/>
              <w:rPr>
                <w:sz w:val="20"/>
                <w:szCs w:val="20"/>
                <w:color w:val="auto"/>
              </w:rPr>
            </w:pPr>
            <w:r>
              <w:rPr>
                <w:rFonts w:ascii="Arial" w:cs="Arial" w:eastAsia="Arial" w:hAnsi="Arial"/>
                <w:sz w:val="16"/>
                <w:szCs w:val="16"/>
                <w:color w:val="auto"/>
              </w:rPr>
              <w:t>Under the Companies Act, at any</w:t>
            </w:r>
          </w:p>
        </w:tc>
      </w:tr>
      <w:tr>
        <w:trPr>
          <w:trHeight w:val="183"/>
        </w:trPr>
        <w:tc>
          <w:tcPr>
            <w:tcW w:w="1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200" w:type="dxa"/>
            <w:vAlign w:val="bottom"/>
            <w:gridSpan w:val="2"/>
          </w:tcPr>
          <w:p>
            <w:pPr>
              <w:ind w:left="1380"/>
              <w:spacing w:after="0"/>
              <w:rPr>
                <w:sz w:val="20"/>
                <w:szCs w:val="20"/>
                <w:color w:val="auto"/>
              </w:rPr>
            </w:pPr>
            <w:r>
              <w:rPr>
                <w:rFonts w:ascii="Arial" w:cs="Arial" w:eastAsia="Arial" w:hAnsi="Arial"/>
                <w:sz w:val="16"/>
                <w:szCs w:val="16"/>
                <w:color w:val="auto"/>
              </w:rPr>
              <w:t>meeting of shareholders, a shareholder</w:t>
            </w:r>
          </w:p>
        </w:tc>
      </w:tr>
      <w:tr>
        <w:trPr>
          <w:trHeight w:val="183"/>
        </w:trPr>
        <w:tc>
          <w:tcPr>
            <w:tcW w:w="1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200" w:type="dxa"/>
            <w:vAlign w:val="bottom"/>
            <w:gridSpan w:val="2"/>
          </w:tcPr>
          <w:p>
            <w:pPr>
              <w:ind w:left="1380"/>
              <w:spacing w:after="0"/>
              <w:rPr>
                <w:sz w:val="20"/>
                <w:szCs w:val="20"/>
                <w:color w:val="auto"/>
              </w:rPr>
            </w:pPr>
            <w:r>
              <w:rPr>
                <w:rFonts w:ascii="Arial" w:cs="Arial" w:eastAsia="Arial" w:hAnsi="Arial"/>
                <w:sz w:val="16"/>
                <w:szCs w:val="16"/>
                <w:color w:val="auto"/>
              </w:rPr>
              <w:t>may designate another person to</w:t>
            </w:r>
          </w:p>
        </w:tc>
      </w:tr>
      <w:tr>
        <w:trPr>
          <w:trHeight w:val="183"/>
        </w:trPr>
        <w:tc>
          <w:tcPr>
            <w:tcW w:w="1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200" w:type="dxa"/>
            <w:vAlign w:val="bottom"/>
            <w:gridSpan w:val="2"/>
          </w:tcPr>
          <w:p>
            <w:pPr>
              <w:ind w:left="1380"/>
              <w:spacing w:after="0"/>
              <w:rPr>
                <w:sz w:val="20"/>
                <w:szCs w:val="20"/>
                <w:color w:val="auto"/>
              </w:rPr>
            </w:pPr>
            <w:r>
              <w:rPr>
                <w:rFonts w:ascii="Arial" w:cs="Arial" w:eastAsia="Arial" w:hAnsi="Arial"/>
                <w:sz w:val="16"/>
                <w:szCs w:val="16"/>
                <w:color w:val="auto"/>
              </w:rPr>
              <w:t>attend, speak and vote at the meeting</w:t>
            </w:r>
          </w:p>
        </w:tc>
      </w:tr>
      <w:tr>
        <w:trPr>
          <w:trHeight w:val="192"/>
        </w:trPr>
        <w:tc>
          <w:tcPr>
            <w:tcW w:w="1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200" w:type="dxa"/>
            <w:vAlign w:val="bottom"/>
            <w:gridSpan w:val="2"/>
          </w:tcPr>
          <w:p>
            <w:pPr>
              <w:ind w:left="1380"/>
              <w:spacing w:after="0"/>
              <w:rPr>
                <w:sz w:val="20"/>
                <w:szCs w:val="20"/>
                <w:color w:val="auto"/>
              </w:rPr>
            </w:pPr>
            <w:r>
              <w:rPr>
                <w:rFonts w:ascii="Arial" w:cs="Arial" w:eastAsia="Arial" w:hAnsi="Arial"/>
                <w:sz w:val="16"/>
                <w:szCs w:val="16"/>
                <w:color w:val="auto"/>
              </w:rPr>
              <w:t>on their behalf by 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40"/>
        <w:spacing w:after="0"/>
        <w:tabs>
          <w:tab w:leader="none" w:pos="4280" w:val="left"/>
        </w:tabs>
        <w:rPr>
          <w:sz w:val="20"/>
          <w:szCs w:val="20"/>
          <w:color w:val="auto"/>
        </w:rPr>
      </w:pPr>
      <w:r>
        <w:rPr>
          <w:rFonts w:ascii="Arial" w:cs="Arial" w:eastAsia="Arial" w:hAnsi="Arial"/>
          <w:sz w:val="16"/>
          <w:szCs w:val="16"/>
          <w:color w:val="auto"/>
        </w:rPr>
        <w:t>Issue of New Shares</w:t>
      </w:r>
      <w:r>
        <w:rPr>
          <w:sz w:val="20"/>
          <w:szCs w:val="20"/>
          <w:color w:val="auto"/>
        </w:rPr>
        <w:tab/>
      </w:r>
      <w:r>
        <w:rPr>
          <w:rFonts w:ascii="Arial" w:cs="Arial" w:eastAsia="Arial" w:hAnsi="Arial"/>
          <w:sz w:val="15"/>
          <w:szCs w:val="15"/>
          <w:color w:val="auto"/>
        </w:rPr>
        <w:t>Under the Companies Act, the directors</w:t>
      </w:r>
    </w:p>
    <w:p>
      <w:pPr>
        <w:ind w:left="4300"/>
        <w:spacing w:after="0"/>
        <w:rPr>
          <w:sz w:val="20"/>
          <w:szCs w:val="20"/>
          <w:color w:val="auto"/>
        </w:rPr>
      </w:pPr>
      <w:r>
        <w:rPr>
          <w:rFonts w:ascii="Arial" w:cs="Arial" w:eastAsia="Arial" w:hAnsi="Arial"/>
          <w:sz w:val="16"/>
          <w:szCs w:val="16"/>
          <w:color w:val="auto"/>
        </w:rPr>
        <w:t>of a company must not exercise any</w:t>
      </w:r>
    </w:p>
    <w:p>
      <w:pPr>
        <w:ind w:left="4300"/>
        <w:spacing w:after="0"/>
        <w:rPr>
          <w:sz w:val="20"/>
          <w:szCs w:val="20"/>
          <w:color w:val="auto"/>
        </w:rPr>
      </w:pPr>
      <w:r>
        <w:rPr>
          <w:rFonts w:ascii="Arial" w:cs="Arial" w:eastAsia="Arial" w:hAnsi="Arial"/>
          <w:sz w:val="16"/>
          <w:szCs w:val="16"/>
          <w:color w:val="auto"/>
        </w:rPr>
        <w:t>power to allot shares or grant rights to</w:t>
      </w:r>
    </w:p>
    <w:p>
      <w:pPr>
        <w:ind w:left="4300"/>
        <w:spacing w:after="0"/>
        <w:rPr>
          <w:sz w:val="20"/>
          <w:szCs w:val="20"/>
          <w:color w:val="auto"/>
        </w:rPr>
      </w:pPr>
      <w:r>
        <w:rPr>
          <w:rFonts w:ascii="Arial" w:cs="Arial" w:eastAsia="Arial" w:hAnsi="Arial"/>
          <w:sz w:val="16"/>
          <w:szCs w:val="16"/>
          <w:color w:val="auto"/>
        </w:rPr>
        <w:t>subscribe for, or to convert any security</w:t>
      </w:r>
    </w:p>
    <w:p>
      <w:pPr>
        <w:ind w:left="4300"/>
        <w:spacing w:after="0"/>
        <w:rPr>
          <w:sz w:val="20"/>
          <w:szCs w:val="20"/>
          <w:color w:val="auto"/>
        </w:rPr>
      </w:pPr>
      <w:r>
        <w:rPr>
          <w:rFonts w:ascii="Arial" w:cs="Arial" w:eastAsia="Arial" w:hAnsi="Arial"/>
          <w:sz w:val="16"/>
          <w:szCs w:val="16"/>
          <w:color w:val="auto"/>
        </w:rPr>
        <w:t>into, shares unless they are authorized</w:t>
      </w:r>
    </w:p>
    <w:p>
      <w:pPr>
        <w:ind w:left="4300"/>
        <w:spacing w:after="0"/>
        <w:rPr>
          <w:sz w:val="20"/>
          <w:szCs w:val="20"/>
          <w:color w:val="auto"/>
        </w:rPr>
      </w:pPr>
      <w:r>
        <w:rPr>
          <w:rFonts w:ascii="Arial" w:cs="Arial" w:eastAsia="Arial" w:hAnsi="Arial"/>
          <w:sz w:val="16"/>
          <w:szCs w:val="16"/>
          <w:color w:val="auto"/>
        </w:rPr>
        <w:t>to do so by the company's articles of</w:t>
      </w:r>
    </w:p>
    <w:p>
      <w:pPr>
        <w:ind w:left="4300"/>
        <w:spacing w:after="0"/>
        <w:rPr>
          <w:sz w:val="20"/>
          <w:szCs w:val="20"/>
          <w:color w:val="auto"/>
        </w:rPr>
      </w:pPr>
      <w:r>
        <w:rPr>
          <w:rFonts w:ascii="Arial" w:cs="Arial" w:eastAsia="Arial" w:hAnsi="Arial"/>
          <w:sz w:val="16"/>
          <w:szCs w:val="16"/>
          <w:color w:val="auto"/>
        </w:rPr>
        <w:t>association or by an ordinary resolution</w:t>
      </w:r>
    </w:p>
    <w:p>
      <w:pPr>
        <w:ind w:left="4300"/>
        <w:spacing w:after="0"/>
        <w:rPr>
          <w:sz w:val="20"/>
          <w:szCs w:val="20"/>
          <w:color w:val="auto"/>
        </w:rPr>
      </w:pPr>
      <w:r>
        <w:rPr>
          <w:rFonts w:ascii="Arial" w:cs="Arial" w:eastAsia="Arial" w:hAnsi="Arial"/>
          <w:sz w:val="16"/>
          <w:szCs w:val="16"/>
          <w:color w:val="auto"/>
        </w:rPr>
        <w:t>of the shareholders. Any authorization</w:t>
      </w:r>
    </w:p>
    <w:p>
      <w:pPr>
        <w:ind w:left="4300"/>
        <w:spacing w:after="0"/>
        <w:rPr>
          <w:sz w:val="20"/>
          <w:szCs w:val="20"/>
          <w:color w:val="auto"/>
        </w:rPr>
      </w:pPr>
      <w:r>
        <w:rPr>
          <w:rFonts w:ascii="Arial" w:cs="Arial" w:eastAsia="Arial" w:hAnsi="Arial"/>
          <w:sz w:val="16"/>
          <w:szCs w:val="16"/>
          <w:color w:val="auto"/>
        </w:rPr>
        <w:t>given must state the maximum amount</w:t>
      </w:r>
    </w:p>
    <w:p>
      <w:pPr>
        <w:ind w:left="4300"/>
        <w:spacing w:after="0"/>
        <w:rPr>
          <w:sz w:val="20"/>
          <w:szCs w:val="20"/>
          <w:color w:val="auto"/>
        </w:rPr>
      </w:pPr>
      <w:r>
        <w:rPr>
          <w:rFonts w:ascii="Arial" w:cs="Arial" w:eastAsia="Arial" w:hAnsi="Arial"/>
          <w:sz w:val="16"/>
          <w:szCs w:val="16"/>
          <w:color w:val="auto"/>
        </w:rPr>
        <w:t>of shares that may be allotted under it</w:t>
      </w:r>
    </w:p>
    <w:p>
      <w:pPr>
        <w:ind w:left="4300"/>
        <w:spacing w:after="0"/>
        <w:rPr>
          <w:sz w:val="20"/>
          <w:szCs w:val="20"/>
          <w:color w:val="auto"/>
        </w:rPr>
      </w:pPr>
      <w:r>
        <w:rPr>
          <w:rFonts w:ascii="Arial" w:cs="Arial" w:eastAsia="Arial" w:hAnsi="Arial"/>
          <w:sz w:val="16"/>
          <w:szCs w:val="16"/>
          <w:color w:val="auto"/>
        </w:rPr>
        <w:t>and specify the date on which it will</w:t>
      </w:r>
    </w:p>
    <w:p>
      <w:pPr>
        <w:ind w:left="4300"/>
        <w:spacing w:after="0"/>
        <w:rPr>
          <w:sz w:val="20"/>
          <w:szCs w:val="20"/>
          <w:color w:val="auto"/>
        </w:rPr>
      </w:pPr>
      <w:r>
        <w:rPr>
          <w:rFonts w:ascii="Arial" w:cs="Arial" w:eastAsia="Arial" w:hAnsi="Arial"/>
          <w:sz w:val="16"/>
          <w:szCs w:val="16"/>
          <w:color w:val="auto"/>
        </w:rPr>
        <w:t>expire, which must be not more than</w:t>
      </w:r>
    </w:p>
    <w:p>
      <w:pPr>
        <w:ind w:left="4300"/>
        <w:spacing w:after="0"/>
        <w:rPr>
          <w:sz w:val="20"/>
          <w:szCs w:val="20"/>
          <w:color w:val="auto"/>
        </w:rPr>
      </w:pPr>
      <w:r>
        <w:rPr>
          <w:rFonts w:ascii="Arial" w:cs="Arial" w:eastAsia="Arial" w:hAnsi="Arial"/>
          <w:sz w:val="16"/>
          <w:szCs w:val="16"/>
          <w:color w:val="auto"/>
        </w:rPr>
        <w:t>five years from the date the</w:t>
      </w:r>
    </w:p>
    <w:p>
      <w:pPr>
        <w:ind w:left="4300"/>
        <w:spacing w:after="0"/>
        <w:rPr>
          <w:sz w:val="20"/>
          <w:szCs w:val="20"/>
          <w:color w:val="auto"/>
        </w:rPr>
      </w:pPr>
      <w:r>
        <w:rPr>
          <w:rFonts w:ascii="Arial" w:cs="Arial" w:eastAsia="Arial" w:hAnsi="Arial"/>
          <w:sz w:val="16"/>
          <w:szCs w:val="16"/>
          <w:color w:val="auto"/>
        </w:rPr>
        <w:t>authorization was given. The authority</w:t>
      </w:r>
    </w:p>
    <w:p>
      <w:pPr>
        <w:ind w:left="4300"/>
        <w:spacing w:after="0"/>
        <w:rPr>
          <w:sz w:val="20"/>
          <w:szCs w:val="20"/>
          <w:color w:val="auto"/>
        </w:rPr>
      </w:pPr>
      <w:r>
        <w:rPr>
          <w:rFonts w:ascii="Arial" w:cs="Arial" w:eastAsia="Arial" w:hAnsi="Arial"/>
          <w:sz w:val="16"/>
          <w:szCs w:val="16"/>
          <w:color w:val="auto"/>
        </w:rPr>
        <w:t>can be renewed by a further resolution</w:t>
      </w:r>
    </w:p>
    <w:p>
      <w:pPr>
        <w:ind w:left="4300"/>
        <w:spacing w:after="0"/>
        <w:rPr>
          <w:sz w:val="20"/>
          <w:szCs w:val="20"/>
          <w:color w:val="auto"/>
        </w:rPr>
      </w:pPr>
      <w:r>
        <w:rPr>
          <w:rFonts w:ascii="Arial" w:cs="Arial" w:eastAsia="Arial" w:hAnsi="Arial"/>
          <w:sz w:val="16"/>
          <w:szCs w:val="16"/>
          <w:color w:val="auto"/>
        </w:rPr>
        <w:t>of the shareholders.</w:t>
      </w:r>
    </w:p>
    <w:p>
      <w:pPr>
        <w:spacing w:after="0" w:line="219" w:lineRule="exact"/>
        <w:rPr>
          <w:sz w:val="20"/>
          <w:szCs w:val="20"/>
          <w:color w:val="auto"/>
        </w:rPr>
      </w:pPr>
    </w:p>
    <w:p>
      <w:pPr>
        <w:ind w:left="1140"/>
        <w:spacing w:after="0"/>
        <w:tabs>
          <w:tab w:leader="none" w:pos="4280" w:val="left"/>
        </w:tabs>
        <w:rPr>
          <w:sz w:val="20"/>
          <w:szCs w:val="20"/>
          <w:color w:val="auto"/>
        </w:rPr>
      </w:pPr>
      <w:r>
        <w:rPr>
          <w:rFonts w:ascii="Arial" w:cs="Arial" w:eastAsia="Arial" w:hAnsi="Arial"/>
          <w:sz w:val="16"/>
          <w:szCs w:val="16"/>
          <w:color w:val="auto"/>
        </w:rPr>
        <w:t>Preemptive Rights</w:t>
      </w:r>
      <w:r>
        <w:rPr>
          <w:sz w:val="20"/>
          <w:szCs w:val="20"/>
          <w:color w:val="auto"/>
        </w:rPr>
        <w:tab/>
      </w:r>
      <w:r>
        <w:rPr>
          <w:rFonts w:ascii="Arial" w:cs="Arial" w:eastAsia="Arial" w:hAnsi="Arial"/>
          <w:sz w:val="15"/>
          <w:szCs w:val="15"/>
          <w:color w:val="auto"/>
        </w:rPr>
        <w:t>Under the Companies Act, "equity</w:t>
      </w:r>
    </w:p>
    <w:p>
      <w:pPr>
        <w:ind w:left="4300"/>
        <w:spacing w:after="0"/>
        <w:rPr>
          <w:sz w:val="20"/>
          <w:szCs w:val="20"/>
          <w:color w:val="auto"/>
        </w:rPr>
      </w:pPr>
      <w:r>
        <w:rPr>
          <w:rFonts w:ascii="Arial" w:cs="Arial" w:eastAsia="Arial" w:hAnsi="Arial"/>
          <w:sz w:val="16"/>
          <w:szCs w:val="16"/>
          <w:color w:val="auto"/>
        </w:rPr>
        <w:t>securities," being (i) shares in the</w:t>
      </w:r>
    </w:p>
    <w:p>
      <w:pPr>
        <w:ind w:left="4300"/>
        <w:spacing w:after="0"/>
        <w:rPr>
          <w:sz w:val="20"/>
          <w:szCs w:val="20"/>
          <w:color w:val="auto"/>
        </w:rPr>
      </w:pPr>
      <w:r>
        <w:rPr>
          <w:rFonts w:ascii="Arial" w:cs="Arial" w:eastAsia="Arial" w:hAnsi="Arial"/>
          <w:sz w:val="16"/>
          <w:szCs w:val="16"/>
          <w:color w:val="auto"/>
        </w:rPr>
        <w:t>company other than shares that, with</w:t>
      </w:r>
    </w:p>
    <w:p>
      <w:pPr>
        <w:ind w:left="4300"/>
        <w:spacing w:after="0"/>
        <w:rPr>
          <w:sz w:val="20"/>
          <w:szCs w:val="20"/>
          <w:color w:val="auto"/>
        </w:rPr>
      </w:pPr>
      <w:r>
        <w:rPr>
          <w:rFonts w:ascii="Arial" w:cs="Arial" w:eastAsia="Arial" w:hAnsi="Arial"/>
          <w:sz w:val="16"/>
          <w:szCs w:val="16"/>
          <w:color w:val="auto"/>
        </w:rPr>
        <w:t>respect to dividends and capital, carry a</w:t>
      </w:r>
    </w:p>
    <w:p>
      <w:pPr>
        <w:ind w:left="4300"/>
        <w:spacing w:after="0"/>
        <w:rPr>
          <w:sz w:val="20"/>
          <w:szCs w:val="20"/>
          <w:color w:val="auto"/>
        </w:rPr>
      </w:pPr>
      <w:r>
        <w:rPr>
          <w:rFonts w:ascii="Arial" w:cs="Arial" w:eastAsia="Arial" w:hAnsi="Arial"/>
          <w:sz w:val="16"/>
          <w:szCs w:val="16"/>
          <w:color w:val="auto"/>
        </w:rPr>
        <w:t>right to participate only up to a specified</w:t>
      </w:r>
    </w:p>
    <w:p>
      <w:pPr>
        <w:ind w:left="4300"/>
        <w:spacing w:after="0"/>
        <w:rPr>
          <w:sz w:val="20"/>
          <w:szCs w:val="20"/>
          <w:color w:val="auto"/>
        </w:rPr>
      </w:pPr>
      <w:r>
        <w:rPr>
          <w:rFonts w:ascii="Arial" w:cs="Arial" w:eastAsia="Arial" w:hAnsi="Arial"/>
          <w:sz w:val="16"/>
          <w:szCs w:val="16"/>
          <w:color w:val="auto"/>
        </w:rPr>
        <w:t>amount in a distribution, referred to as</w:t>
      </w:r>
    </w:p>
    <w:p>
      <w:pPr>
        <w:ind w:left="4300"/>
        <w:spacing w:after="0"/>
        <w:rPr>
          <w:sz w:val="20"/>
          <w:szCs w:val="20"/>
          <w:color w:val="auto"/>
        </w:rPr>
      </w:pPr>
      <w:r>
        <w:rPr>
          <w:rFonts w:ascii="Arial" w:cs="Arial" w:eastAsia="Arial" w:hAnsi="Arial"/>
          <w:sz w:val="16"/>
          <w:szCs w:val="16"/>
          <w:color w:val="auto"/>
        </w:rPr>
        <w:t>"ordinary shares," or (ii) rights to</w:t>
      </w:r>
    </w:p>
    <w:p>
      <w:pPr>
        <w:ind w:left="4300"/>
        <w:spacing w:after="0"/>
        <w:rPr>
          <w:sz w:val="20"/>
          <w:szCs w:val="20"/>
          <w:color w:val="auto"/>
        </w:rPr>
      </w:pPr>
      <w:r>
        <w:rPr>
          <w:rFonts w:ascii="Arial" w:cs="Arial" w:eastAsia="Arial" w:hAnsi="Arial"/>
          <w:sz w:val="16"/>
          <w:szCs w:val="16"/>
          <w:color w:val="auto"/>
        </w:rPr>
        <w:t>subscribe for, or to convert securities</w:t>
      </w:r>
    </w:p>
    <w:p>
      <w:pPr>
        <w:ind w:left="4300"/>
        <w:spacing w:after="0"/>
        <w:rPr>
          <w:sz w:val="20"/>
          <w:szCs w:val="20"/>
          <w:color w:val="auto"/>
        </w:rPr>
      </w:pPr>
      <w:r>
        <w:rPr>
          <w:rFonts w:ascii="Arial" w:cs="Arial" w:eastAsia="Arial" w:hAnsi="Arial"/>
          <w:sz w:val="16"/>
          <w:szCs w:val="16"/>
          <w:color w:val="auto"/>
        </w:rPr>
        <w:t>into, ordinary shares, proposed to be</w:t>
      </w:r>
    </w:p>
    <w:p>
      <w:pPr>
        <w:ind w:left="4300"/>
        <w:spacing w:after="0"/>
        <w:rPr>
          <w:sz w:val="20"/>
          <w:szCs w:val="20"/>
          <w:color w:val="auto"/>
        </w:rPr>
      </w:pPr>
      <w:r>
        <w:rPr>
          <w:rFonts w:ascii="Arial" w:cs="Arial" w:eastAsia="Arial" w:hAnsi="Arial"/>
          <w:sz w:val="16"/>
          <w:szCs w:val="16"/>
          <w:color w:val="auto"/>
        </w:rPr>
        <w:t>allotted for cash must be offered first to</w:t>
      </w:r>
    </w:p>
    <w:p>
      <w:pPr>
        <w:ind w:left="4300"/>
        <w:spacing w:after="0"/>
        <w:rPr>
          <w:sz w:val="20"/>
          <w:szCs w:val="20"/>
          <w:color w:val="auto"/>
        </w:rPr>
      </w:pPr>
      <w:r>
        <w:rPr>
          <w:rFonts w:ascii="Arial" w:cs="Arial" w:eastAsia="Arial" w:hAnsi="Arial"/>
          <w:sz w:val="16"/>
          <w:szCs w:val="16"/>
          <w:color w:val="auto"/>
        </w:rPr>
        <w:t>the existing equity shareholders in the</w:t>
      </w:r>
    </w:p>
    <w:p>
      <w:pPr>
        <w:ind w:left="4300"/>
        <w:spacing w:after="0"/>
        <w:rPr>
          <w:sz w:val="20"/>
          <w:szCs w:val="20"/>
          <w:color w:val="auto"/>
        </w:rPr>
      </w:pPr>
      <w:r>
        <w:rPr>
          <w:rFonts w:ascii="Arial" w:cs="Arial" w:eastAsia="Arial" w:hAnsi="Arial"/>
          <w:sz w:val="16"/>
          <w:szCs w:val="16"/>
          <w:color w:val="auto"/>
        </w:rPr>
        <w:t>company in proportion to the respective</w:t>
      </w:r>
    </w:p>
    <w:p>
      <w:pPr>
        <w:ind w:left="4300"/>
        <w:spacing w:after="0"/>
        <w:rPr>
          <w:sz w:val="20"/>
          <w:szCs w:val="20"/>
          <w:color w:val="auto"/>
        </w:rPr>
      </w:pPr>
      <w:r>
        <w:rPr>
          <w:rFonts w:ascii="Arial" w:cs="Arial" w:eastAsia="Arial" w:hAnsi="Arial"/>
          <w:sz w:val="16"/>
          <w:szCs w:val="16"/>
          <w:color w:val="auto"/>
        </w:rPr>
        <w:t>nominal value of their holdings, unless</w:t>
      </w:r>
    </w:p>
    <w:p>
      <w:pPr>
        <w:ind w:left="4300"/>
        <w:spacing w:after="0"/>
        <w:rPr>
          <w:sz w:val="20"/>
          <w:szCs w:val="20"/>
          <w:color w:val="auto"/>
        </w:rPr>
      </w:pPr>
      <w:r>
        <w:rPr>
          <w:rFonts w:ascii="Arial" w:cs="Arial" w:eastAsia="Arial" w:hAnsi="Arial"/>
          <w:sz w:val="16"/>
          <w:szCs w:val="16"/>
          <w:color w:val="auto"/>
        </w:rPr>
        <w:t>an exception applies or a special</w:t>
      </w:r>
    </w:p>
    <w:p>
      <w:pPr>
        <w:ind w:left="4300"/>
        <w:spacing w:after="0"/>
        <w:rPr>
          <w:sz w:val="20"/>
          <w:szCs w:val="20"/>
          <w:color w:val="auto"/>
        </w:rPr>
      </w:pPr>
      <w:r>
        <w:rPr>
          <w:rFonts w:ascii="Arial" w:cs="Arial" w:eastAsia="Arial" w:hAnsi="Arial"/>
          <w:sz w:val="16"/>
          <w:szCs w:val="16"/>
          <w:color w:val="auto"/>
        </w:rPr>
        <w:t>resolution to the contrary has been</w:t>
      </w:r>
    </w:p>
    <w:p>
      <w:pPr>
        <w:ind w:left="4300"/>
        <w:spacing w:after="0"/>
        <w:rPr>
          <w:sz w:val="20"/>
          <w:szCs w:val="20"/>
          <w:color w:val="auto"/>
        </w:rPr>
      </w:pPr>
      <w:r>
        <w:rPr>
          <w:rFonts w:ascii="Arial" w:cs="Arial" w:eastAsia="Arial" w:hAnsi="Arial"/>
          <w:sz w:val="16"/>
          <w:szCs w:val="16"/>
          <w:color w:val="auto"/>
        </w:rPr>
        <w:t>passed by shareholders in a general</w:t>
      </w:r>
    </w:p>
    <w:p>
      <w:pPr>
        <w:ind w:left="4300"/>
        <w:spacing w:after="0"/>
        <w:rPr>
          <w:sz w:val="20"/>
          <w:szCs w:val="20"/>
          <w:color w:val="auto"/>
        </w:rPr>
      </w:pPr>
      <w:r>
        <w:rPr>
          <w:rFonts w:ascii="Arial" w:cs="Arial" w:eastAsia="Arial" w:hAnsi="Arial"/>
          <w:sz w:val="16"/>
          <w:szCs w:val="16"/>
          <w:color w:val="auto"/>
        </w:rPr>
        <w:t>meeting or the articles of association</w:t>
      </w:r>
    </w:p>
    <w:p>
      <w:pPr>
        <w:ind w:left="4300"/>
        <w:spacing w:after="0"/>
        <w:rPr>
          <w:sz w:val="20"/>
          <w:szCs w:val="20"/>
          <w:color w:val="auto"/>
        </w:rPr>
      </w:pPr>
      <w:r>
        <w:rPr>
          <w:rFonts w:ascii="Arial" w:cs="Arial" w:eastAsia="Arial" w:hAnsi="Arial"/>
          <w:sz w:val="16"/>
          <w:szCs w:val="16"/>
          <w:color w:val="auto"/>
        </w:rPr>
        <w:t>provide otherwise in each case in</w:t>
      </w:r>
    </w:p>
    <w:p>
      <w:pPr>
        <w:ind w:left="4300"/>
        <w:spacing w:after="0"/>
        <w:rPr>
          <w:sz w:val="20"/>
          <w:szCs w:val="20"/>
          <w:color w:val="auto"/>
        </w:rPr>
      </w:pPr>
      <w:r>
        <w:rPr>
          <w:rFonts w:ascii="Arial" w:cs="Arial" w:eastAsia="Arial" w:hAnsi="Arial"/>
          <w:sz w:val="16"/>
          <w:szCs w:val="16"/>
          <w:color w:val="auto"/>
        </w:rPr>
        <w:t>accordance with the provisions of the</w:t>
      </w:r>
    </w:p>
    <w:p>
      <w:pPr>
        <w:ind w:left="4300"/>
        <w:spacing w:after="0"/>
        <w:rPr>
          <w:sz w:val="20"/>
          <w:szCs w:val="20"/>
          <w:color w:val="auto"/>
        </w:rPr>
      </w:pPr>
      <w:r>
        <w:rPr>
          <w:rFonts w:ascii="Arial" w:cs="Arial" w:eastAsia="Arial" w:hAnsi="Arial"/>
          <w:sz w:val="16"/>
          <w:szCs w:val="16"/>
          <w:color w:val="auto"/>
        </w:rPr>
        <w:t>Companies Act.</w:t>
      </w:r>
    </w:p>
    <w:p>
      <w:pPr>
        <w:spacing w:after="0" w:line="19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793240"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2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14"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Under Delaware law, if the company's certificate of incorporation so provides, the directors have the power to authorize the issuance of additional stock. The directors 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120" w:space="340"/>
            <w:col w:w="2820"/>
          </w:cols>
          <w:pgMar w:left="240" w:top="115" w:right="137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84"/>
        </w:trPr>
        <w:tc>
          <w:tcPr>
            <w:tcW w:w="330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00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388"/>
        </w:trPr>
        <w:tc>
          <w:tcPr>
            <w:tcW w:w="124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86"/>
        </w:trPr>
        <w:tc>
          <w:tcPr>
            <w:tcW w:w="3300" w:type="dxa"/>
            <w:vAlign w:val="bottom"/>
            <w:gridSpan w:val="2"/>
          </w:tcPr>
          <w:p>
            <w:pPr>
              <w:ind w:left="1140"/>
              <w:spacing w:after="0"/>
              <w:rPr>
                <w:sz w:val="20"/>
                <w:szCs w:val="20"/>
                <w:color w:val="auto"/>
              </w:rPr>
            </w:pPr>
            <w:r>
              <w:rPr>
                <w:rFonts w:ascii="Arial" w:cs="Arial" w:eastAsia="Arial" w:hAnsi="Arial"/>
                <w:sz w:val="16"/>
                <w:szCs w:val="16"/>
                <w:color w:val="auto"/>
              </w:rPr>
              <w:t>Authority to Allot</w:t>
            </w:r>
          </w:p>
        </w:tc>
        <w:tc>
          <w:tcPr>
            <w:tcW w:w="3820" w:type="dxa"/>
            <w:vAlign w:val="bottom"/>
            <w:gridSpan w:val="2"/>
          </w:tcPr>
          <w:p>
            <w:pPr>
              <w:ind w:left="1000"/>
              <w:spacing w:after="0"/>
              <w:rPr>
                <w:sz w:val="20"/>
                <w:szCs w:val="20"/>
                <w:color w:val="auto"/>
              </w:rPr>
            </w:pPr>
            <w:r>
              <w:rPr>
                <w:rFonts w:ascii="Arial" w:cs="Arial" w:eastAsia="Arial" w:hAnsi="Arial"/>
                <w:sz w:val="16"/>
                <w:szCs w:val="16"/>
                <w:color w:val="auto"/>
                <w:w w:val="99"/>
              </w:rPr>
              <w:t>Under the Companies Act, the directors</w:t>
            </w:r>
          </w:p>
        </w:tc>
      </w:tr>
      <w:tr>
        <w:trPr>
          <w:trHeight w:val="183"/>
        </w:trPr>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20" w:type="dxa"/>
            <w:vAlign w:val="bottom"/>
            <w:gridSpan w:val="2"/>
          </w:tcPr>
          <w:p>
            <w:pPr>
              <w:ind w:left="1000"/>
              <w:spacing w:after="0"/>
              <w:rPr>
                <w:sz w:val="20"/>
                <w:szCs w:val="20"/>
                <w:color w:val="auto"/>
              </w:rPr>
            </w:pPr>
            <w:r>
              <w:rPr>
                <w:rFonts w:ascii="Arial" w:cs="Arial" w:eastAsia="Arial" w:hAnsi="Arial"/>
                <w:sz w:val="16"/>
                <w:szCs w:val="16"/>
                <w:color w:val="auto"/>
              </w:rPr>
              <w:t>of a company must not allot shares or</w:t>
            </w:r>
          </w:p>
        </w:tc>
      </w:tr>
      <w:tr>
        <w:trPr>
          <w:trHeight w:val="183"/>
        </w:trPr>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20" w:type="dxa"/>
            <w:vAlign w:val="bottom"/>
            <w:gridSpan w:val="2"/>
          </w:tcPr>
          <w:p>
            <w:pPr>
              <w:ind w:left="1000"/>
              <w:spacing w:after="0"/>
              <w:rPr>
                <w:sz w:val="20"/>
                <w:szCs w:val="20"/>
                <w:color w:val="auto"/>
              </w:rPr>
            </w:pPr>
            <w:r>
              <w:rPr>
                <w:rFonts w:ascii="Arial" w:cs="Arial" w:eastAsia="Arial" w:hAnsi="Arial"/>
                <w:sz w:val="16"/>
                <w:szCs w:val="16"/>
                <w:color w:val="auto"/>
              </w:rPr>
              <w:t>grant rights to subscribe for or convert</w:t>
            </w:r>
          </w:p>
        </w:tc>
      </w:tr>
      <w:tr>
        <w:trPr>
          <w:trHeight w:val="183"/>
        </w:trPr>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20" w:type="dxa"/>
            <w:vAlign w:val="bottom"/>
            <w:gridSpan w:val="2"/>
          </w:tcPr>
          <w:p>
            <w:pPr>
              <w:ind w:left="1000"/>
              <w:spacing w:after="0"/>
              <w:rPr>
                <w:sz w:val="20"/>
                <w:szCs w:val="20"/>
                <w:color w:val="auto"/>
              </w:rPr>
            </w:pPr>
            <w:r>
              <w:rPr>
                <w:rFonts w:ascii="Arial" w:cs="Arial" w:eastAsia="Arial" w:hAnsi="Arial"/>
                <w:sz w:val="16"/>
                <w:szCs w:val="16"/>
                <w:color w:val="auto"/>
              </w:rPr>
              <w:t>any security into shares unless an</w:t>
            </w:r>
          </w:p>
        </w:tc>
      </w:tr>
      <w:tr>
        <w:trPr>
          <w:trHeight w:val="183"/>
        </w:trPr>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20" w:type="dxa"/>
            <w:vAlign w:val="bottom"/>
            <w:gridSpan w:val="2"/>
          </w:tcPr>
          <w:p>
            <w:pPr>
              <w:ind w:left="1000"/>
              <w:spacing w:after="0"/>
              <w:rPr>
                <w:sz w:val="20"/>
                <w:szCs w:val="20"/>
                <w:color w:val="auto"/>
              </w:rPr>
            </w:pPr>
            <w:r>
              <w:rPr>
                <w:rFonts w:ascii="Arial" w:cs="Arial" w:eastAsia="Arial" w:hAnsi="Arial"/>
                <w:sz w:val="16"/>
                <w:szCs w:val="16"/>
                <w:color w:val="auto"/>
              </w:rPr>
              <w:t>exception applies or an ordinary</w:t>
            </w:r>
          </w:p>
        </w:tc>
      </w:tr>
      <w:tr>
        <w:trPr>
          <w:trHeight w:val="183"/>
        </w:trPr>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20" w:type="dxa"/>
            <w:vAlign w:val="bottom"/>
            <w:gridSpan w:val="2"/>
          </w:tcPr>
          <w:p>
            <w:pPr>
              <w:ind w:left="1000"/>
              <w:spacing w:after="0"/>
              <w:rPr>
                <w:sz w:val="20"/>
                <w:szCs w:val="20"/>
                <w:color w:val="auto"/>
              </w:rPr>
            </w:pPr>
            <w:r>
              <w:rPr>
                <w:rFonts w:ascii="Arial" w:cs="Arial" w:eastAsia="Arial" w:hAnsi="Arial"/>
                <w:sz w:val="16"/>
                <w:szCs w:val="16"/>
                <w:color w:val="auto"/>
              </w:rPr>
              <w:t>resolution to the contrary has been</w:t>
            </w:r>
          </w:p>
        </w:tc>
      </w:tr>
      <w:tr>
        <w:trPr>
          <w:trHeight w:val="183"/>
        </w:trPr>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20" w:type="dxa"/>
            <w:vAlign w:val="bottom"/>
            <w:gridSpan w:val="2"/>
          </w:tcPr>
          <w:p>
            <w:pPr>
              <w:ind w:left="1000"/>
              <w:spacing w:after="0"/>
              <w:rPr>
                <w:sz w:val="20"/>
                <w:szCs w:val="20"/>
                <w:color w:val="auto"/>
              </w:rPr>
            </w:pPr>
            <w:r>
              <w:rPr>
                <w:rFonts w:ascii="Arial" w:cs="Arial" w:eastAsia="Arial" w:hAnsi="Arial"/>
                <w:sz w:val="16"/>
                <w:szCs w:val="16"/>
                <w:color w:val="auto"/>
              </w:rPr>
              <w:t>passed by shareholders in a general</w:t>
            </w:r>
          </w:p>
        </w:tc>
      </w:tr>
      <w:tr>
        <w:trPr>
          <w:trHeight w:val="183"/>
        </w:trPr>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20" w:type="dxa"/>
            <w:vAlign w:val="bottom"/>
            <w:gridSpan w:val="2"/>
          </w:tcPr>
          <w:p>
            <w:pPr>
              <w:ind w:left="1000"/>
              <w:spacing w:after="0"/>
              <w:rPr>
                <w:sz w:val="20"/>
                <w:szCs w:val="20"/>
                <w:color w:val="auto"/>
              </w:rPr>
            </w:pPr>
            <w:r>
              <w:rPr>
                <w:rFonts w:ascii="Arial" w:cs="Arial" w:eastAsia="Arial" w:hAnsi="Arial"/>
                <w:sz w:val="16"/>
                <w:szCs w:val="16"/>
                <w:color w:val="auto"/>
              </w:rPr>
              <w:t>meeting or the articles of association</w:t>
            </w:r>
          </w:p>
        </w:tc>
      </w:tr>
      <w:tr>
        <w:trPr>
          <w:trHeight w:val="183"/>
        </w:trPr>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20" w:type="dxa"/>
            <w:vAlign w:val="bottom"/>
            <w:gridSpan w:val="2"/>
          </w:tcPr>
          <w:p>
            <w:pPr>
              <w:ind w:left="1000"/>
              <w:spacing w:after="0"/>
              <w:rPr>
                <w:sz w:val="20"/>
                <w:szCs w:val="20"/>
                <w:color w:val="auto"/>
              </w:rPr>
            </w:pPr>
            <w:r>
              <w:rPr>
                <w:rFonts w:ascii="Arial" w:cs="Arial" w:eastAsia="Arial" w:hAnsi="Arial"/>
                <w:sz w:val="16"/>
                <w:szCs w:val="16"/>
                <w:color w:val="auto"/>
              </w:rPr>
              <w:t>provide otherwise, in each case in</w:t>
            </w:r>
          </w:p>
        </w:tc>
      </w:tr>
      <w:tr>
        <w:trPr>
          <w:trHeight w:val="183"/>
        </w:trPr>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20" w:type="dxa"/>
            <w:vAlign w:val="bottom"/>
            <w:gridSpan w:val="2"/>
          </w:tcPr>
          <w:p>
            <w:pPr>
              <w:ind w:left="1000"/>
              <w:spacing w:after="0"/>
              <w:rPr>
                <w:sz w:val="20"/>
                <w:szCs w:val="20"/>
                <w:color w:val="auto"/>
              </w:rPr>
            </w:pPr>
            <w:r>
              <w:rPr>
                <w:rFonts w:ascii="Arial" w:cs="Arial" w:eastAsia="Arial" w:hAnsi="Arial"/>
                <w:sz w:val="16"/>
                <w:szCs w:val="16"/>
                <w:color w:val="auto"/>
              </w:rPr>
              <w:t>accordance with the provisions of the</w:t>
            </w:r>
          </w:p>
        </w:tc>
      </w:tr>
      <w:tr>
        <w:trPr>
          <w:trHeight w:val="192"/>
        </w:trPr>
        <w:tc>
          <w:tcPr>
            <w:tcW w:w="1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20" w:type="dxa"/>
            <w:vAlign w:val="bottom"/>
            <w:gridSpan w:val="2"/>
          </w:tcPr>
          <w:p>
            <w:pPr>
              <w:ind w:left="1000"/>
              <w:spacing w:after="0"/>
              <w:rPr>
                <w:sz w:val="20"/>
                <w:szCs w:val="20"/>
                <w:color w:val="auto"/>
              </w:rPr>
            </w:pPr>
            <w:r>
              <w:rPr>
                <w:rFonts w:ascii="Arial" w:cs="Arial" w:eastAsia="Arial" w:hAnsi="Arial"/>
                <w:sz w:val="16"/>
                <w:szCs w:val="16"/>
                <w:color w:val="auto"/>
              </w:rPr>
              <w:t>Companies 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40"/>
        <w:spacing w:after="0"/>
        <w:tabs>
          <w:tab w:leader="none" w:pos="4280" w:val="left"/>
        </w:tabs>
        <w:rPr>
          <w:sz w:val="20"/>
          <w:szCs w:val="20"/>
          <w:color w:val="auto"/>
        </w:rPr>
      </w:pPr>
      <w:r>
        <w:rPr>
          <w:rFonts w:ascii="Arial" w:cs="Arial" w:eastAsia="Arial" w:hAnsi="Arial"/>
          <w:sz w:val="16"/>
          <w:szCs w:val="16"/>
          <w:color w:val="auto"/>
        </w:rPr>
        <w:t>Liability of Directors and Officers</w:t>
      </w:r>
      <w:r>
        <w:rPr>
          <w:sz w:val="20"/>
          <w:szCs w:val="20"/>
          <w:color w:val="auto"/>
        </w:rPr>
        <w:tab/>
      </w:r>
      <w:r>
        <w:rPr>
          <w:rFonts w:ascii="Arial" w:cs="Arial" w:eastAsia="Arial" w:hAnsi="Arial"/>
          <w:sz w:val="15"/>
          <w:szCs w:val="15"/>
          <w:color w:val="auto"/>
        </w:rPr>
        <w:t>Under the Companies Act, any</w:t>
      </w:r>
    </w:p>
    <w:p>
      <w:pPr>
        <w:ind w:left="4300"/>
        <w:spacing w:after="0"/>
        <w:rPr>
          <w:sz w:val="20"/>
          <w:szCs w:val="20"/>
          <w:color w:val="auto"/>
        </w:rPr>
      </w:pPr>
      <w:r>
        <w:rPr>
          <w:rFonts w:ascii="Arial" w:cs="Arial" w:eastAsia="Arial" w:hAnsi="Arial"/>
          <w:sz w:val="16"/>
          <w:szCs w:val="16"/>
          <w:color w:val="auto"/>
        </w:rPr>
        <w:t>provision, whether contained in a</w:t>
      </w:r>
    </w:p>
    <w:p>
      <w:pPr>
        <w:ind w:left="4300"/>
        <w:spacing w:after="0"/>
        <w:rPr>
          <w:sz w:val="20"/>
          <w:szCs w:val="20"/>
          <w:color w:val="auto"/>
        </w:rPr>
      </w:pPr>
      <w:r>
        <w:rPr>
          <w:rFonts w:ascii="Arial" w:cs="Arial" w:eastAsia="Arial" w:hAnsi="Arial"/>
          <w:sz w:val="15"/>
          <w:szCs w:val="15"/>
          <w:color w:val="auto"/>
        </w:rPr>
        <w:t>company's articles of association or any</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contract or otherwise, that purports to</w:t>
      </w:r>
    </w:p>
    <w:p>
      <w:pPr>
        <w:ind w:left="4300"/>
        <w:spacing w:after="0"/>
        <w:rPr>
          <w:sz w:val="20"/>
          <w:szCs w:val="20"/>
          <w:color w:val="auto"/>
        </w:rPr>
      </w:pPr>
      <w:r>
        <w:rPr>
          <w:rFonts w:ascii="Arial" w:cs="Arial" w:eastAsia="Arial" w:hAnsi="Arial"/>
          <w:sz w:val="16"/>
          <w:szCs w:val="16"/>
          <w:color w:val="auto"/>
        </w:rPr>
        <w:t>exempt a director of a company, to any</w:t>
      </w:r>
    </w:p>
    <w:p>
      <w:pPr>
        <w:ind w:left="4300"/>
        <w:spacing w:after="0"/>
        <w:rPr>
          <w:sz w:val="20"/>
          <w:szCs w:val="20"/>
          <w:color w:val="auto"/>
        </w:rPr>
      </w:pPr>
      <w:r>
        <w:rPr>
          <w:rFonts w:ascii="Arial" w:cs="Arial" w:eastAsia="Arial" w:hAnsi="Arial"/>
          <w:sz w:val="16"/>
          <w:szCs w:val="16"/>
          <w:color w:val="auto"/>
        </w:rPr>
        <w:t>extent, from any liability that would</w:t>
      </w:r>
    </w:p>
    <w:p>
      <w:pPr>
        <w:ind w:left="4300"/>
        <w:spacing w:after="0"/>
        <w:rPr>
          <w:sz w:val="20"/>
          <w:szCs w:val="20"/>
          <w:color w:val="auto"/>
        </w:rPr>
      </w:pPr>
      <w:r>
        <w:rPr>
          <w:rFonts w:ascii="Arial" w:cs="Arial" w:eastAsia="Arial" w:hAnsi="Arial"/>
          <w:sz w:val="16"/>
          <w:szCs w:val="16"/>
          <w:color w:val="auto"/>
        </w:rPr>
        <w:t>otherwise attach to him in connection</w:t>
      </w:r>
    </w:p>
    <w:p>
      <w:pPr>
        <w:ind w:left="4300"/>
        <w:spacing w:after="0"/>
        <w:rPr>
          <w:sz w:val="20"/>
          <w:szCs w:val="20"/>
          <w:color w:val="auto"/>
        </w:rPr>
      </w:pPr>
      <w:r>
        <w:rPr>
          <w:rFonts w:ascii="Arial" w:cs="Arial" w:eastAsia="Arial" w:hAnsi="Arial"/>
          <w:sz w:val="16"/>
          <w:szCs w:val="16"/>
          <w:color w:val="auto"/>
        </w:rPr>
        <w:t>with any negligence, default, breach of</w:t>
      </w:r>
    </w:p>
    <w:p>
      <w:pPr>
        <w:ind w:left="4300"/>
        <w:spacing w:after="0"/>
        <w:rPr>
          <w:sz w:val="20"/>
          <w:szCs w:val="20"/>
          <w:color w:val="auto"/>
        </w:rPr>
      </w:pPr>
      <w:r>
        <w:rPr>
          <w:rFonts w:ascii="Arial" w:cs="Arial" w:eastAsia="Arial" w:hAnsi="Arial"/>
          <w:sz w:val="16"/>
          <w:szCs w:val="16"/>
          <w:color w:val="auto"/>
        </w:rPr>
        <w:t>duty or breach of trust in relation to the</w:t>
      </w:r>
    </w:p>
    <w:p>
      <w:pPr>
        <w:ind w:left="4300"/>
        <w:spacing w:after="0"/>
        <w:rPr>
          <w:sz w:val="20"/>
          <w:szCs w:val="20"/>
          <w:color w:val="auto"/>
        </w:rPr>
      </w:pPr>
      <w:r>
        <w:rPr>
          <w:rFonts w:ascii="Arial" w:cs="Arial" w:eastAsia="Arial" w:hAnsi="Arial"/>
          <w:sz w:val="16"/>
          <w:szCs w:val="16"/>
          <w:color w:val="auto"/>
        </w:rPr>
        <w:t>company, is void. Any provision by</w:t>
      </w:r>
    </w:p>
    <w:p>
      <w:pPr>
        <w:ind w:left="4300"/>
        <w:spacing w:after="0"/>
        <w:rPr>
          <w:sz w:val="20"/>
          <w:szCs w:val="20"/>
          <w:color w:val="auto"/>
        </w:rPr>
      </w:pPr>
      <w:r>
        <w:rPr>
          <w:rFonts w:ascii="Arial" w:cs="Arial" w:eastAsia="Arial" w:hAnsi="Arial"/>
          <w:sz w:val="16"/>
          <w:szCs w:val="16"/>
          <w:color w:val="auto"/>
        </w:rPr>
        <w:t>which a company directly or indirectly</w:t>
      </w:r>
    </w:p>
    <w:p>
      <w:pPr>
        <w:ind w:left="4300"/>
        <w:spacing w:after="0"/>
        <w:rPr>
          <w:sz w:val="20"/>
          <w:szCs w:val="20"/>
          <w:color w:val="auto"/>
        </w:rPr>
      </w:pPr>
      <w:r>
        <w:rPr>
          <w:rFonts w:ascii="Arial" w:cs="Arial" w:eastAsia="Arial" w:hAnsi="Arial"/>
          <w:sz w:val="15"/>
          <w:szCs w:val="15"/>
          <w:color w:val="auto"/>
        </w:rPr>
        <w:t>provides an indemnity, to any extent, for</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 director of the company or of an</w:t>
      </w:r>
    </w:p>
    <w:p>
      <w:pPr>
        <w:ind w:left="4300"/>
        <w:spacing w:after="0"/>
        <w:rPr>
          <w:sz w:val="20"/>
          <w:szCs w:val="20"/>
          <w:color w:val="auto"/>
        </w:rPr>
      </w:pPr>
      <w:r>
        <w:rPr>
          <w:rFonts w:ascii="Arial" w:cs="Arial" w:eastAsia="Arial" w:hAnsi="Arial"/>
          <w:sz w:val="16"/>
          <w:szCs w:val="16"/>
          <w:color w:val="auto"/>
        </w:rPr>
        <w:t>associated company against any</w:t>
      </w:r>
    </w:p>
    <w:p>
      <w:pPr>
        <w:ind w:left="4300"/>
        <w:spacing w:after="0"/>
        <w:rPr>
          <w:sz w:val="20"/>
          <w:szCs w:val="20"/>
          <w:color w:val="auto"/>
        </w:rPr>
      </w:pPr>
      <w:r>
        <w:rPr>
          <w:rFonts w:ascii="Arial" w:cs="Arial" w:eastAsia="Arial" w:hAnsi="Arial"/>
          <w:sz w:val="16"/>
          <w:szCs w:val="16"/>
          <w:color w:val="auto"/>
        </w:rPr>
        <w:t>liability attaching to him in connection</w:t>
      </w:r>
    </w:p>
    <w:p>
      <w:pPr>
        <w:ind w:left="4300"/>
        <w:spacing w:after="0"/>
        <w:rPr>
          <w:sz w:val="20"/>
          <w:szCs w:val="20"/>
          <w:color w:val="auto"/>
        </w:rPr>
      </w:pPr>
      <w:r>
        <w:rPr>
          <w:rFonts w:ascii="Arial" w:cs="Arial" w:eastAsia="Arial" w:hAnsi="Arial"/>
          <w:sz w:val="16"/>
          <w:szCs w:val="16"/>
          <w:color w:val="auto"/>
        </w:rPr>
        <w:t>with any negligence, default, breach of</w:t>
      </w:r>
    </w:p>
    <w:p>
      <w:pPr>
        <w:ind w:left="4300"/>
        <w:spacing w:after="0"/>
        <w:rPr>
          <w:sz w:val="20"/>
          <w:szCs w:val="20"/>
          <w:color w:val="auto"/>
        </w:rPr>
      </w:pPr>
      <w:r>
        <w:rPr>
          <w:rFonts w:ascii="Arial" w:cs="Arial" w:eastAsia="Arial" w:hAnsi="Arial"/>
          <w:sz w:val="16"/>
          <w:szCs w:val="16"/>
          <w:color w:val="auto"/>
        </w:rPr>
        <w:t>duty or breach of trust in relation to the</w:t>
      </w:r>
    </w:p>
    <w:p>
      <w:pPr>
        <w:ind w:left="4300"/>
        <w:spacing w:after="0"/>
        <w:rPr>
          <w:sz w:val="20"/>
          <w:szCs w:val="20"/>
          <w:color w:val="auto"/>
        </w:rPr>
      </w:pPr>
      <w:r>
        <w:rPr>
          <w:rFonts w:ascii="Arial" w:cs="Arial" w:eastAsia="Arial" w:hAnsi="Arial"/>
          <w:sz w:val="16"/>
          <w:szCs w:val="16"/>
          <w:color w:val="auto"/>
        </w:rPr>
        <w:t>company of which he is a director is</w:t>
      </w:r>
    </w:p>
    <w:p>
      <w:pPr>
        <w:ind w:left="4300"/>
        <w:spacing w:after="0"/>
        <w:rPr>
          <w:sz w:val="20"/>
          <w:szCs w:val="20"/>
          <w:color w:val="auto"/>
        </w:rPr>
      </w:pPr>
      <w:r>
        <w:rPr>
          <w:rFonts w:ascii="Arial" w:cs="Arial" w:eastAsia="Arial" w:hAnsi="Arial"/>
          <w:sz w:val="16"/>
          <w:szCs w:val="16"/>
          <w:color w:val="auto"/>
        </w:rPr>
        <w:t>also void except as permitted by the</w:t>
      </w:r>
    </w:p>
    <w:p>
      <w:pPr>
        <w:ind w:left="4300"/>
        <w:spacing w:after="0"/>
        <w:rPr>
          <w:sz w:val="20"/>
          <w:szCs w:val="20"/>
          <w:color w:val="auto"/>
        </w:rPr>
      </w:pPr>
      <w:r>
        <w:rPr>
          <w:rFonts w:ascii="Arial" w:cs="Arial" w:eastAsia="Arial" w:hAnsi="Arial"/>
          <w:sz w:val="16"/>
          <w:szCs w:val="16"/>
          <w:color w:val="auto"/>
        </w:rPr>
        <w:t>Companies Act, which provides</w:t>
      </w:r>
    </w:p>
    <w:p>
      <w:pPr>
        <w:ind w:left="4300"/>
        <w:spacing w:after="0"/>
        <w:rPr>
          <w:sz w:val="20"/>
          <w:szCs w:val="20"/>
          <w:color w:val="auto"/>
        </w:rPr>
      </w:pPr>
      <w:r>
        <w:rPr>
          <w:rFonts w:ascii="Arial" w:cs="Arial" w:eastAsia="Arial" w:hAnsi="Arial"/>
          <w:sz w:val="15"/>
          <w:szCs w:val="15"/>
          <w:color w:val="auto"/>
        </w:rPr>
        <w:t>exceptions for the company to company</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against any liability attaching to him in</w:t>
      </w:r>
    </w:p>
    <w:p>
      <w:pPr>
        <w:ind w:left="4300"/>
        <w:spacing w:after="0"/>
        <w:rPr>
          <w:sz w:val="20"/>
          <w:szCs w:val="20"/>
          <w:color w:val="auto"/>
        </w:rPr>
      </w:pPr>
      <w:r>
        <w:rPr>
          <w:rFonts w:ascii="Arial" w:cs="Arial" w:eastAsia="Arial" w:hAnsi="Arial"/>
          <w:sz w:val="15"/>
          <w:szCs w:val="15"/>
          <w:color w:val="auto"/>
        </w:rPr>
        <w:t>connection with any negligence, default,</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breach of duty or breach of trust in</w:t>
      </w:r>
    </w:p>
    <w:p>
      <w:pPr>
        <w:ind w:left="4300"/>
        <w:spacing w:after="0"/>
        <w:rPr>
          <w:sz w:val="20"/>
          <w:szCs w:val="20"/>
          <w:color w:val="auto"/>
        </w:rPr>
      </w:pPr>
      <w:r>
        <w:rPr>
          <w:rFonts w:ascii="Arial" w:cs="Arial" w:eastAsia="Arial" w:hAnsi="Arial"/>
          <w:sz w:val="16"/>
          <w:szCs w:val="16"/>
          <w:color w:val="auto"/>
        </w:rPr>
        <w:t>relation to the company of which he is a</w:t>
      </w:r>
    </w:p>
    <w:p>
      <w:pPr>
        <w:ind w:left="4300"/>
        <w:spacing w:after="0"/>
        <w:rPr>
          <w:sz w:val="20"/>
          <w:szCs w:val="20"/>
          <w:color w:val="auto"/>
        </w:rPr>
      </w:pPr>
      <w:r>
        <w:rPr>
          <w:rFonts w:ascii="Arial" w:cs="Arial" w:eastAsia="Arial" w:hAnsi="Arial"/>
          <w:sz w:val="16"/>
          <w:szCs w:val="16"/>
          <w:color w:val="auto"/>
        </w:rPr>
        <w:t>director is also void except as permitted</w:t>
      </w:r>
    </w:p>
    <w:p>
      <w:pPr>
        <w:ind w:left="4300"/>
        <w:spacing w:after="0"/>
        <w:rPr>
          <w:sz w:val="20"/>
          <w:szCs w:val="20"/>
          <w:color w:val="auto"/>
        </w:rPr>
      </w:pPr>
      <w:r>
        <w:rPr>
          <w:rFonts w:ascii="Arial" w:cs="Arial" w:eastAsia="Arial" w:hAnsi="Arial"/>
          <w:sz w:val="16"/>
          <w:szCs w:val="16"/>
          <w:color w:val="auto"/>
        </w:rPr>
        <w:t>by the Companies Act, which provides</w:t>
      </w:r>
    </w:p>
    <w:p>
      <w:pPr>
        <w:ind w:left="4300"/>
        <w:spacing w:after="0"/>
        <w:rPr>
          <w:sz w:val="20"/>
          <w:szCs w:val="20"/>
          <w:color w:val="auto"/>
        </w:rPr>
      </w:pPr>
      <w:r>
        <w:rPr>
          <w:rFonts w:ascii="Arial" w:cs="Arial" w:eastAsia="Arial" w:hAnsi="Arial"/>
          <w:sz w:val="16"/>
          <w:szCs w:val="16"/>
          <w:color w:val="auto"/>
        </w:rPr>
        <w:t>exceptions for the company to</w:t>
      </w:r>
    </w:p>
    <w:p>
      <w:pPr>
        <w:ind w:left="4300"/>
        <w:spacing w:after="0"/>
        <w:rPr>
          <w:sz w:val="20"/>
          <w:szCs w:val="20"/>
          <w:color w:val="auto"/>
        </w:rPr>
      </w:pPr>
      <w:r>
        <w:rPr>
          <w:rFonts w:ascii="Arial" w:cs="Arial" w:eastAsia="Arial" w:hAnsi="Arial"/>
          <w:sz w:val="16"/>
          <w:szCs w:val="16"/>
          <w:color w:val="auto"/>
        </w:rPr>
        <w:t>(i) purchase and maintain insurance</w:t>
      </w:r>
    </w:p>
    <w:p>
      <w:pPr>
        <w:ind w:left="4300"/>
        <w:spacing w:after="0"/>
        <w:rPr>
          <w:sz w:val="20"/>
          <w:szCs w:val="20"/>
          <w:color w:val="auto"/>
        </w:rPr>
      </w:pPr>
      <w:r>
        <w:rPr>
          <w:rFonts w:ascii="Arial" w:cs="Arial" w:eastAsia="Arial" w:hAnsi="Arial"/>
          <w:sz w:val="16"/>
          <w:szCs w:val="16"/>
          <w:color w:val="auto"/>
        </w:rPr>
        <w:t>against such liability; (ii) provide a</w:t>
      </w:r>
    </w:p>
    <w:p>
      <w:pPr>
        <w:ind w:left="4300"/>
        <w:spacing w:after="0"/>
        <w:rPr>
          <w:sz w:val="20"/>
          <w:szCs w:val="20"/>
          <w:color w:val="auto"/>
        </w:rPr>
      </w:pPr>
      <w:r>
        <w:rPr>
          <w:rFonts w:ascii="Arial" w:cs="Arial" w:eastAsia="Arial" w:hAnsi="Arial"/>
          <w:sz w:val="16"/>
          <w:szCs w:val="16"/>
          <w:color w:val="auto"/>
        </w:rPr>
        <w:t>"qualifying third party indemnity," or an</w:t>
      </w:r>
    </w:p>
    <w:p>
      <w:pPr>
        <w:ind w:left="4300"/>
        <w:spacing w:after="0"/>
        <w:rPr>
          <w:sz w:val="20"/>
          <w:szCs w:val="20"/>
          <w:color w:val="auto"/>
        </w:rPr>
      </w:pPr>
      <w:r>
        <w:rPr>
          <w:rFonts w:ascii="Arial" w:cs="Arial" w:eastAsia="Arial" w:hAnsi="Arial"/>
          <w:sz w:val="16"/>
          <w:szCs w:val="16"/>
          <w:color w:val="auto"/>
        </w:rPr>
        <w:t>indemnity against liability incurred by</w:t>
      </w:r>
    </w:p>
    <w:p>
      <w:pPr>
        <w:ind w:left="4300"/>
        <w:spacing w:after="0"/>
        <w:rPr>
          <w:sz w:val="20"/>
          <w:szCs w:val="20"/>
          <w:color w:val="auto"/>
        </w:rPr>
      </w:pPr>
      <w:r>
        <w:rPr>
          <w:rFonts w:ascii="Arial" w:cs="Arial" w:eastAsia="Arial" w:hAnsi="Arial"/>
          <w:sz w:val="16"/>
          <w:szCs w:val="16"/>
          <w:color w:val="auto"/>
        </w:rPr>
        <w:t>the director to a person other than the</w:t>
      </w:r>
    </w:p>
    <w:p>
      <w:pPr>
        <w:ind w:left="4300"/>
        <w:spacing w:after="0"/>
        <w:rPr>
          <w:sz w:val="20"/>
          <w:szCs w:val="20"/>
          <w:color w:val="auto"/>
        </w:rPr>
      </w:pPr>
      <w:r>
        <w:rPr>
          <w:rFonts w:ascii="Arial" w:cs="Arial" w:eastAsia="Arial" w:hAnsi="Arial"/>
          <w:sz w:val="16"/>
          <w:szCs w:val="16"/>
          <w:color w:val="auto"/>
        </w:rPr>
        <w:t>company or an associated company or</w:t>
      </w:r>
    </w:p>
    <w:p>
      <w:pPr>
        <w:ind w:left="4300"/>
        <w:spacing w:after="0"/>
        <w:rPr>
          <w:sz w:val="20"/>
          <w:szCs w:val="20"/>
          <w:color w:val="auto"/>
        </w:rPr>
      </w:pPr>
      <w:r>
        <w:rPr>
          <w:rFonts w:ascii="Arial" w:cs="Arial" w:eastAsia="Arial" w:hAnsi="Arial"/>
          <w:sz w:val="16"/>
          <w:szCs w:val="16"/>
          <w:color w:val="auto"/>
        </w:rPr>
        <w:t>criminal proceedings in which he is</w:t>
      </w:r>
    </w:p>
    <w:p>
      <w:pPr>
        <w:ind w:left="4300"/>
        <w:spacing w:after="0"/>
        <w:rPr>
          <w:sz w:val="20"/>
          <w:szCs w:val="20"/>
          <w:color w:val="auto"/>
        </w:rPr>
      </w:pPr>
      <w:r>
        <w:rPr>
          <w:rFonts w:ascii="Arial" w:cs="Arial" w:eastAsia="Arial" w:hAnsi="Arial"/>
          <w:sz w:val="16"/>
          <w:szCs w:val="16"/>
          <w:color w:val="auto"/>
        </w:rPr>
        <w:t>convicted; and (iii) provide a "qualifying</w:t>
      </w:r>
    </w:p>
    <w:p>
      <w:pPr>
        <w:ind w:left="4300"/>
        <w:spacing w:after="0"/>
        <w:rPr>
          <w:sz w:val="20"/>
          <w:szCs w:val="20"/>
          <w:color w:val="auto"/>
        </w:rPr>
      </w:pPr>
      <w:r>
        <w:rPr>
          <w:rFonts w:ascii="Arial" w:cs="Arial" w:eastAsia="Arial" w:hAnsi="Arial"/>
          <w:sz w:val="16"/>
          <w:szCs w:val="16"/>
          <w:color w:val="auto"/>
        </w:rPr>
        <w:t>pension scheme indemnity," or an</w:t>
      </w:r>
    </w:p>
    <w:p>
      <w:pPr>
        <w:ind w:left="4300"/>
        <w:spacing w:after="0"/>
        <w:rPr>
          <w:sz w:val="20"/>
          <w:szCs w:val="20"/>
          <w:color w:val="auto"/>
        </w:rPr>
      </w:pPr>
      <w:r>
        <w:rPr>
          <w:rFonts w:ascii="Arial" w:cs="Arial" w:eastAsia="Arial" w:hAnsi="Arial"/>
          <w:sz w:val="16"/>
          <w:szCs w:val="16"/>
          <w:color w:val="auto"/>
        </w:rPr>
        <w:t>indemnity against liability incurred in</w:t>
      </w:r>
    </w:p>
    <w:p>
      <w:pPr>
        <w:ind w:left="4300"/>
        <w:spacing w:after="0"/>
        <w:rPr>
          <w:sz w:val="20"/>
          <w:szCs w:val="20"/>
          <w:color w:val="auto"/>
        </w:rPr>
      </w:pPr>
      <w:r>
        <w:rPr>
          <w:rFonts w:ascii="Arial" w:cs="Arial" w:eastAsia="Arial" w:hAnsi="Arial"/>
          <w:sz w:val="15"/>
          <w:szCs w:val="15"/>
          <w:color w:val="auto"/>
        </w:rPr>
        <w:t>connection with the company's activities</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as trustee of an occupational pension</w:t>
      </w:r>
    </w:p>
    <w:p>
      <w:pPr>
        <w:ind w:left="4300"/>
        <w:spacing w:after="0"/>
        <w:rPr>
          <w:sz w:val="20"/>
          <w:szCs w:val="20"/>
          <w:color w:val="auto"/>
        </w:rPr>
      </w:pPr>
      <w:r>
        <w:rPr>
          <w:rFonts w:ascii="Arial" w:cs="Arial" w:eastAsia="Arial" w:hAnsi="Arial"/>
          <w:sz w:val="16"/>
          <w:szCs w:val="16"/>
          <w:color w:val="auto"/>
        </w:rPr>
        <w:t>plan.</w:t>
      </w:r>
    </w:p>
    <w:p>
      <w:pPr>
        <w:spacing w:after="0" w:line="19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793240"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24"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Under Delaware law, if the corporation's charter or certificate of incorporation so provides, the board of directors has the power to authorize the issuance of stock. The board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178" w:lineRule="exact"/>
        <w:rPr>
          <w:sz w:val="20"/>
          <w:szCs w:val="20"/>
          <w:color w:val="auto"/>
        </w:rPr>
      </w:pPr>
    </w:p>
    <w:p>
      <w:pPr>
        <w:ind w:left="140" w:right="260" w:hanging="138"/>
        <w:spacing w:after="0" w:line="244" w:lineRule="auto"/>
        <w:tabs>
          <w:tab w:leader="none" w:pos="1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breach of the director's duty of loyalty to the corporation or its stockholders;</w:t>
      </w:r>
    </w:p>
    <w:p>
      <w:pPr>
        <w:spacing w:after="0" w:line="172" w:lineRule="exact"/>
        <w:rPr>
          <w:rFonts w:ascii="Arial" w:cs="Arial" w:eastAsia="Arial" w:hAnsi="Arial"/>
          <w:sz w:val="16"/>
          <w:szCs w:val="16"/>
          <w:color w:val="auto"/>
        </w:rPr>
      </w:pPr>
    </w:p>
    <w:p>
      <w:pPr>
        <w:jc w:val="both"/>
        <w:ind w:left="140" w:right="80" w:hanging="138"/>
        <w:spacing w:after="0" w:line="268" w:lineRule="auto"/>
        <w:tabs>
          <w:tab w:leader="none" w:pos="14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acts or omissions not in good faith or that involve intentional misconduct or a knowing violation of law;</w:t>
      </w:r>
    </w:p>
    <w:p>
      <w:pPr>
        <w:spacing w:after="0" w:line="155" w:lineRule="exact"/>
        <w:rPr>
          <w:rFonts w:ascii="Arial" w:cs="Arial" w:eastAsia="Arial" w:hAnsi="Arial"/>
          <w:sz w:val="15"/>
          <w:szCs w:val="15"/>
          <w:color w:val="auto"/>
        </w:rPr>
      </w:pPr>
    </w:p>
    <w:p>
      <w:pPr>
        <w:ind w:left="140" w:right="20" w:hanging="138"/>
        <w:spacing w:after="0" w:line="244" w:lineRule="auto"/>
        <w:tabs>
          <w:tab w:leader="none" w:pos="1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172" w:lineRule="exact"/>
        <w:rPr>
          <w:rFonts w:ascii="Arial" w:cs="Arial" w:eastAsia="Arial" w:hAnsi="Arial"/>
          <w:sz w:val="16"/>
          <w:szCs w:val="16"/>
          <w:color w:val="auto"/>
        </w:rPr>
      </w:pPr>
    </w:p>
    <w:p>
      <w:pPr>
        <w:ind w:left="140" w:right="60" w:hanging="138"/>
        <w:spacing w:after="0" w:line="244" w:lineRule="auto"/>
        <w:tabs>
          <w:tab w:leader="none" w:pos="1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transaction from which the director derives an improper personal benefit.</w:t>
      </w:r>
    </w:p>
    <w:p>
      <w:pPr>
        <w:sectPr>
          <w:pgSz w:w="11900" w:h="16838" w:orient="portrait"/>
          <w:cols w:equalWidth="0" w:num="2">
            <w:col w:w="7120" w:space="340"/>
            <w:col w:w="2820"/>
          </w:cols>
          <w:pgMar w:left="240" w:top="114" w:right="137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184"/>
        </w:trPr>
        <w:tc>
          <w:tcPr>
            <w:tcW w:w="318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12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388"/>
        </w:trPr>
        <w:tc>
          <w:tcPr>
            <w:tcW w:w="124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86"/>
        </w:trPr>
        <w:tc>
          <w:tcPr>
            <w:tcW w:w="3180" w:type="dxa"/>
            <w:vAlign w:val="bottom"/>
            <w:gridSpan w:val="2"/>
          </w:tcPr>
          <w:p>
            <w:pPr>
              <w:ind w:left="1140"/>
              <w:spacing w:after="0"/>
              <w:rPr>
                <w:sz w:val="20"/>
                <w:szCs w:val="20"/>
                <w:color w:val="auto"/>
              </w:rPr>
            </w:pPr>
            <w:r>
              <w:rPr>
                <w:rFonts w:ascii="Arial" w:cs="Arial" w:eastAsia="Arial" w:hAnsi="Arial"/>
                <w:sz w:val="16"/>
                <w:szCs w:val="16"/>
                <w:color w:val="auto"/>
              </w:rPr>
              <w:t>Voting Rights</w:t>
            </w: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Under English law, unless a poll is</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demanded by the shareholders of a</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w w:val="99"/>
              </w:rPr>
              <w:t>company or is required by the chairman</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w w:val="99"/>
              </w:rPr>
              <w:t>of the meeting or the company's articles</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of association, shareholders shall vote</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on all resolutions on a show of hands.</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Under the Companies Act, a poll may</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be demanded by (i) not fewer than five</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w w:val="99"/>
              </w:rPr>
              <w:t>shareholders having the right to vote on</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the resolution; (ii) any shareholder(s)</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representing not less than 10% of the</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w w:val="98"/>
              </w:rPr>
              <w:t>total voting rights of all the shareholders</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having the right to vote on the</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resolution (excluding any voting rights</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w w:val="99"/>
              </w:rPr>
              <w:t>attaching to treasury shares); or (iii) any</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shareholder(s) holding shares in the</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company conferring a right to vote on</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the resolution (excluding any voting</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rights attaching to treasury shares)</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being shares on which an aggregate</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sum has been paid up equal to not less</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w w:val="99"/>
              </w:rPr>
              <w:t>than 10% of the total sum paid up on all</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the shares conferring that right. A</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company's articles of association may</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provide more extensive rights for</w:t>
            </w:r>
          </w:p>
        </w:tc>
      </w:tr>
      <w:tr>
        <w:trPr>
          <w:trHeight w:val="192"/>
        </w:trPr>
        <w:tc>
          <w:tcPr>
            <w:tcW w:w="1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shareholders to call a poll.</w:t>
            </w:r>
          </w:p>
        </w:tc>
      </w:tr>
      <w:tr>
        <w:trPr>
          <w:trHeight w:val="395"/>
        </w:trPr>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Under English law, an ordinary</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resolution is passed on a show of</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hands if it is approved by a simple</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majority (more than 50%) of the votes</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w w:val="99"/>
              </w:rPr>
              <w:t>cast by shareholders present (in person</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or by proxy) and entitled to vote. If a</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w w:val="98"/>
              </w:rPr>
              <w:t>poll is demanded, an ordinary resolution</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is passed if it is approved by holders</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representing a simple majority of the</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total voting rights of shareholders</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present, in person or by proxy, who,</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being entitled to vote, vote on the</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resolution. Special resolutions require</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w w:val="98"/>
              </w:rPr>
              <w:t>the affirmative vote of not less than 75%</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of the votes cast by shareholders</w:t>
            </w:r>
          </w:p>
        </w:tc>
      </w:tr>
      <w:tr>
        <w:trPr>
          <w:trHeight w:val="183"/>
        </w:trPr>
        <w:tc>
          <w:tcPr>
            <w:tcW w:w="1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present, in person or by proxy, at the</w:t>
            </w:r>
          </w:p>
        </w:tc>
      </w:tr>
      <w:tr>
        <w:trPr>
          <w:trHeight w:val="192"/>
        </w:trPr>
        <w:tc>
          <w:tcPr>
            <w:tcW w:w="1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940" w:type="dxa"/>
            <w:vAlign w:val="bottom"/>
            <w:gridSpan w:val="2"/>
          </w:tcPr>
          <w:p>
            <w:pPr>
              <w:ind w:left="1120"/>
              <w:spacing w:after="0"/>
              <w:rPr>
                <w:sz w:val="20"/>
                <w:szCs w:val="20"/>
                <w:color w:val="auto"/>
              </w:rPr>
            </w:pPr>
            <w:r>
              <w:rPr>
                <w:rFonts w:ascii="Arial" w:cs="Arial" w:eastAsia="Arial" w:hAnsi="Arial"/>
                <w:sz w:val="16"/>
                <w:szCs w:val="16"/>
                <w:color w:val="auto"/>
              </w:rPr>
              <w:t>meeting.</w:t>
            </w:r>
          </w:p>
        </w:tc>
      </w:tr>
      <w:tr>
        <w:trPr>
          <w:trHeight w:val="379"/>
        </w:trPr>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940" w:type="dxa"/>
            <w:vAlign w:val="bottom"/>
            <w:gridSpan w:val="2"/>
          </w:tcPr>
          <w:p>
            <w:pPr>
              <w:ind w:left="2400"/>
              <w:spacing w:after="0"/>
              <w:rPr>
                <w:sz w:val="20"/>
                <w:szCs w:val="20"/>
                <w:color w:val="auto"/>
              </w:rPr>
            </w:pPr>
            <w:r>
              <w:rPr>
                <w:rFonts w:ascii="Arial" w:cs="Arial" w:eastAsia="Arial" w:hAnsi="Arial"/>
                <w:sz w:val="16"/>
                <w:szCs w:val="16"/>
                <w:color w:val="auto"/>
              </w:rPr>
              <w:t>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64400" cy="20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793240"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24" w:lineRule="exact"/>
        <w:rPr>
          <w:sz w:val="20"/>
          <w:szCs w:val="20"/>
          <w:color w:val="auto"/>
        </w:rPr>
      </w:pPr>
    </w:p>
    <w:p>
      <w:pPr>
        <w:ind w:right="59"/>
        <w:spacing w:after="0" w:line="261" w:lineRule="auto"/>
        <w:rPr>
          <w:sz w:val="20"/>
          <w:szCs w:val="20"/>
          <w:color w:val="auto"/>
        </w:rPr>
      </w:pPr>
      <w:r>
        <w:rPr>
          <w:rFonts w:ascii="Arial" w:cs="Arial" w:eastAsia="Arial" w:hAnsi="Arial"/>
          <w:sz w:val="15"/>
          <w:szCs w:val="15"/>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7120" w:space="340"/>
            <w:col w:w="2759"/>
          </w:cols>
          <w:pgMar w:left="240" w:top="114" w:right="1440"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184"/>
        </w:trPr>
        <w:tc>
          <w:tcPr>
            <w:tcW w:w="372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388"/>
        </w:trPr>
        <w:tc>
          <w:tcPr>
            <w:tcW w:w="1240" w:type="dxa"/>
            <w:vAlign w:val="bottom"/>
            <w:tcBorders>
              <w:top w:val="single" w:sz="8" w:color="0000EE"/>
            </w:tcBorders>
          </w:tcPr>
          <w:p>
            <w:pPr>
              <w:spacing w:after="0"/>
              <w:rPr>
                <w:sz w:val="24"/>
                <w:szCs w:val="24"/>
                <w:color w:val="auto"/>
              </w:rPr>
            </w:pPr>
          </w:p>
        </w:tc>
        <w:tc>
          <w:tcPr>
            <w:tcW w:w="2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86"/>
        </w:trPr>
        <w:tc>
          <w:tcPr>
            <w:tcW w:w="3720" w:type="dxa"/>
            <w:vAlign w:val="bottom"/>
            <w:gridSpan w:val="2"/>
          </w:tcPr>
          <w:p>
            <w:pPr>
              <w:ind w:left="1140"/>
              <w:spacing w:after="0"/>
              <w:rPr>
                <w:sz w:val="20"/>
                <w:szCs w:val="20"/>
                <w:color w:val="auto"/>
              </w:rPr>
            </w:pPr>
            <w:r>
              <w:rPr>
                <w:rFonts w:ascii="Arial" w:cs="Arial" w:eastAsia="Arial" w:hAnsi="Arial"/>
                <w:sz w:val="16"/>
                <w:szCs w:val="16"/>
                <w:color w:val="auto"/>
              </w:rPr>
              <w:t>Shareholder Vote on Certain</w:t>
            </w:r>
          </w:p>
        </w:tc>
        <w:tc>
          <w:tcPr>
            <w:tcW w:w="3400" w:type="dxa"/>
            <w:vAlign w:val="bottom"/>
            <w:gridSpan w:val="2"/>
          </w:tcPr>
          <w:p>
            <w:pPr>
              <w:ind w:left="580"/>
              <w:spacing w:after="0"/>
              <w:rPr>
                <w:sz w:val="20"/>
                <w:szCs w:val="20"/>
                <w:color w:val="auto"/>
              </w:rPr>
            </w:pPr>
            <w:r>
              <w:rPr>
                <w:rFonts w:ascii="Arial" w:cs="Arial" w:eastAsia="Arial" w:hAnsi="Arial"/>
                <w:sz w:val="16"/>
                <w:szCs w:val="16"/>
                <w:color w:val="auto"/>
              </w:rPr>
              <w:t>The Companies Act provides for</w:t>
            </w:r>
          </w:p>
        </w:tc>
      </w:tr>
      <w:tr>
        <w:trPr>
          <w:trHeight w:val="183"/>
        </w:trPr>
        <w:tc>
          <w:tcPr>
            <w:tcW w:w="3720" w:type="dxa"/>
            <w:vAlign w:val="bottom"/>
            <w:gridSpan w:val="2"/>
          </w:tcPr>
          <w:p>
            <w:pPr>
              <w:ind w:left="1140"/>
              <w:spacing w:after="0"/>
              <w:rPr>
                <w:sz w:val="20"/>
                <w:szCs w:val="20"/>
                <w:color w:val="auto"/>
              </w:rPr>
            </w:pPr>
            <w:r>
              <w:rPr>
                <w:rFonts w:ascii="Arial" w:cs="Arial" w:eastAsia="Arial" w:hAnsi="Arial"/>
                <w:sz w:val="16"/>
                <w:szCs w:val="16"/>
                <w:color w:val="auto"/>
              </w:rPr>
              <w:t>Transactions</w:t>
            </w:r>
          </w:p>
        </w:tc>
        <w:tc>
          <w:tcPr>
            <w:tcW w:w="3400" w:type="dxa"/>
            <w:vAlign w:val="bottom"/>
            <w:gridSpan w:val="2"/>
          </w:tcPr>
          <w:p>
            <w:pPr>
              <w:ind w:left="580"/>
              <w:spacing w:after="0"/>
              <w:rPr>
                <w:sz w:val="20"/>
                <w:szCs w:val="20"/>
                <w:color w:val="auto"/>
              </w:rPr>
            </w:pPr>
            <w:r>
              <w:rPr>
                <w:rFonts w:ascii="Arial" w:cs="Arial" w:eastAsia="Arial" w:hAnsi="Arial"/>
                <w:sz w:val="16"/>
                <w:szCs w:val="16"/>
                <w:color w:val="auto"/>
              </w:rPr>
              <w:t>schemes of arrangement, which are</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400" w:type="dxa"/>
            <w:vAlign w:val="bottom"/>
            <w:gridSpan w:val="2"/>
          </w:tcPr>
          <w:p>
            <w:pPr>
              <w:ind w:left="580"/>
              <w:spacing w:after="0"/>
              <w:rPr>
                <w:sz w:val="20"/>
                <w:szCs w:val="20"/>
                <w:color w:val="auto"/>
              </w:rPr>
            </w:pPr>
            <w:r>
              <w:rPr>
                <w:rFonts w:ascii="Arial" w:cs="Arial" w:eastAsia="Arial" w:hAnsi="Arial"/>
                <w:sz w:val="16"/>
                <w:szCs w:val="16"/>
                <w:color w:val="auto"/>
                <w:w w:val="99"/>
              </w:rPr>
              <w:t>arrangements or compromises between</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400" w:type="dxa"/>
            <w:vAlign w:val="bottom"/>
            <w:gridSpan w:val="2"/>
          </w:tcPr>
          <w:p>
            <w:pPr>
              <w:ind w:left="580"/>
              <w:spacing w:after="0"/>
              <w:rPr>
                <w:sz w:val="20"/>
                <w:szCs w:val="20"/>
                <w:color w:val="auto"/>
              </w:rPr>
            </w:pPr>
            <w:r>
              <w:rPr>
                <w:rFonts w:ascii="Arial" w:cs="Arial" w:eastAsia="Arial" w:hAnsi="Arial"/>
                <w:sz w:val="16"/>
                <w:szCs w:val="16"/>
                <w:color w:val="auto"/>
              </w:rPr>
              <w:t>a company and any class of</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400" w:type="dxa"/>
            <w:vAlign w:val="bottom"/>
            <w:gridSpan w:val="2"/>
          </w:tcPr>
          <w:p>
            <w:pPr>
              <w:ind w:left="580"/>
              <w:spacing w:after="0"/>
              <w:rPr>
                <w:sz w:val="20"/>
                <w:szCs w:val="20"/>
                <w:color w:val="auto"/>
              </w:rPr>
            </w:pPr>
            <w:r>
              <w:rPr>
                <w:rFonts w:ascii="Arial" w:cs="Arial" w:eastAsia="Arial" w:hAnsi="Arial"/>
                <w:sz w:val="16"/>
                <w:szCs w:val="16"/>
                <w:color w:val="auto"/>
              </w:rPr>
              <w:t>shareholders or creditors and used in</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400" w:type="dxa"/>
            <w:vAlign w:val="bottom"/>
            <w:gridSpan w:val="2"/>
          </w:tcPr>
          <w:p>
            <w:pPr>
              <w:ind w:left="580"/>
              <w:spacing w:after="0"/>
              <w:rPr>
                <w:sz w:val="20"/>
                <w:szCs w:val="20"/>
                <w:color w:val="auto"/>
              </w:rPr>
            </w:pPr>
            <w:r>
              <w:rPr>
                <w:rFonts w:ascii="Arial" w:cs="Arial" w:eastAsia="Arial" w:hAnsi="Arial"/>
                <w:sz w:val="16"/>
                <w:szCs w:val="16"/>
                <w:color w:val="auto"/>
              </w:rPr>
              <w:t>certain types of reconstructions,</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400" w:type="dxa"/>
            <w:vAlign w:val="bottom"/>
            <w:gridSpan w:val="2"/>
          </w:tcPr>
          <w:p>
            <w:pPr>
              <w:ind w:left="580"/>
              <w:spacing w:after="0"/>
              <w:rPr>
                <w:sz w:val="20"/>
                <w:szCs w:val="20"/>
                <w:color w:val="auto"/>
              </w:rPr>
            </w:pPr>
            <w:r>
              <w:rPr>
                <w:rFonts w:ascii="Arial" w:cs="Arial" w:eastAsia="Arial" w:hAnsi="Arial"/>
                <w:sz w:val="16"/>
                <w:szCs w:val="16"/>
                <w:color w:val="auto"/>
              </w:rPr>
              <w:t>amalgamations, capital reorganizations</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400" w:type="dxa"/>
            <w:vAlign w:val="bottom"/>
            <w:gridSpan w:val="2"/>
          </w:tcPr>
          <w:p>
            <w:pPr>
              <w:ind w:left="580"/>
              <w:spacing w:after="0"/>
              <w:rPr>
                <w:sz w:val="20"/>
                <w:szCs w:val="20"/>
                <w:color w:val="auto"/>
              </w:rPr>
            </w:pPr>
            <w:r>
              <w:rPr>
                <w:rFonts w:ascii="Arial" w:cs="Arial" w:eastAsia="Arial" w:hAnsi="Arial"/>
                <w:sz w:val="16"/>
                <w:szCs w:val="16"/>
                <w:color w:val="auto"/>
              </w:rPr>
              <w:t>or takeovers. These arrangements</w:t>
            </w:r>
          </w:p>
        </w:tc>
      </w:tr>
      <w:tr>
        <w:trPr>
          <w:trHeight w:val="192"/>
        </w:trPr>
        <w:tc>
          <w:tcPr>
            <w:tcW w:w="1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0" w:type="dxa"/>
            <w:vAlign w:val="bottom"/>
            <w:gridSpan w:val="2"/>
          </w:tcPr>
          <w:p>
            <w:pPr>
              <w:ind w:left="580"/>
              <w:spacing w:after="0"/>
              <w:rPr>
                <w:sz w:val="20"/>
                <w:szCs w:val="20"/>
                <w:color w:val="auto"/>
              </w:rPr>
            </w:pPr>
            <w:r>
              <w:rPr>
                <w:rFonts w:ascii="Arial" w:cs="Arial" w:eastAsia="Arial" w:hAnsi="Arial"/>
                <w:sz w:val="16"/>
                <w:szCs w:val="16"/>
                <w:color w:val="auto"/>
              </w:rPr>
              <w:t>require:</w:t>
            </w:r>
          </w:p>
        </w:tc>
      </w:tr>
      <w:tr>
        <w:trPr>
          <w:trHeight w:val="358"/>
        </w:trPr>
        <w:tc>
          <w:tcPr>
            <w:tcW w:w="1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0" w:type="dxa"/>
            <w:vAlign w:val="bottom"/>
            <w:gridSpan w:val="2"/>
          </w:tcPr>
          <w:p>
            <w:pPr>
              <w:ind w:left="580"/>
              <w:spacing w:after="0"/>
              <w:rPr>
                <w:sz w:val="20"/>
                <w:szCs w:val="20"/>
                <w:color w:val="auto"/>
              </w:rPr>
            </w:pPr>
            <w:r>
              <w:rPr>
                <w:rFonts w:ascii="Arial" w:cs="Arial" w:eastAsia="Arial" w:hAnsi="Arial"/>
                <w:sz w:val="16"/>
                <w:szCs w:val="16"/>
                <w:color w:val="auto"/>
              </w:rPr>
              <w:t>• the approval at a shareholders' or</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creditors' meeting convened by order</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w w:val="99"/>
              </w:rPr>
              <w:t>of the court, of a majority in number of</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w w:val="99"/>
              </w:rPr>
              <w:t>shareholders or creditors representing</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75% in value of the capital held by, or</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debt owed to, the shareholders or</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creditors or class thereof present and</w:t>
            </w:r>
          </w:p>
        </w:tc>
      </w:tr>
      <w:tr>
        <w:trPr>
          <w:trHeight w:val="183"/>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voting, either in person or by proxy;</w:t>
            </w:r>
          </w:p>
        </w:tc>
      </w:tr>
      <w:tr>
        <w:trPr>
          <w:trHeight w:val="192"/>
        </w:trPr>
        <w:tc>
          <w:tcPr>
            <w:tcW w:w="1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and</w:t>
            </w:r>
          </w:p>
        </w:tc>
      </w:tr>
      <w:tr>
        <w:trPr>
          <w:trHeight w:val="379"/>
        </w:trPr>
        <w:tc>
          <w:tcPr>
            <w:tcW w:w="1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0" w:type="dxa"/>
            <w:vAlign w:val="bottom"/>
            <w:gridSpan w:val="2"/>
          </w:tcPr>
          <w:p>
            <w:pPr>
              <w:ind w:left="580"/>
              <w:spacing w:after="0"/>
              <w:rPr>
                <w:sz w:val="20"/>
                <w:szCs w:val="20"/>
                <w:color w:val="auto"/>
              </w:rPr>
            </w:pPr>
            <w:r>
              <w:rPr>
                <w:rFonts w:ascii="Arial" w:cs="Arial" w:eastAsia="Arial" w:hAnsi="Arial"/>
                <w:sz w:val="16"/>
                <w:szCs w:val="16"/>
                <w:color w:val="auto"/>
              </w:rPr>
              <w:t>• the approval of the court.</w:t>
            </w:r>
          </w:p>
        </w:tc>
      </w:tr>
      <w:tr>
        <w:trPr>
          <w:trHeight w:val="367"/>
        </w:trPr>
        <w:tc>
          <w:tcPr>
            <w:tcW w:w="1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0" w:type="dxa"/>
            <w:vAlign w:val="bottom"/>
            <w:gridSpan w:val="2"/>
          </w:tcPr>
          <w:p>
            <w:pPr>
              <w:ind w:left="1860"/>
              <w:spacing w:after="0"/>
              <w:rPr>
                <w:sz w:val="20"/>
                <w:szCs w:val="20"/>
                <w:color w:val="auto"/>
              </w:rPr>
            </w:pPr>
            <w:r>
              <w:rPr>
                <w:rFonts w:ascii="Arial" w:cs="Arial" w:eastAsia="Arial" w:hAnsi="Arial"/>
                <w:sz w:val="16"/>
                <w:szCs w:val="16"/>
                <w:color w:val="auto"/>
              </w:rPr>
              <w:t>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64400"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793240"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24" w:lineRule="exact"/>
        <w:rPr>
          <w:sz w:val="20"/>
          <w:szCs w:val="20"/>
          <w:color w:val="auto"/>
        </w:rPr>
      </w:pPr>
    </w:p>
    <w:p>
      <w:pPr>
        <w:ind w:right="40"/>
        <w:spacing w:after="0"/>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79" w:lineRule="exact"/>
        <w:rPr>
          <w:sz w:val="20"/>
          <w:szCs w:val="20"/>
          <w:color w:val="auto"/>
        </w:rPr>
      </w:pPr>
    </w:p>
    <w:p>
      <w:pPr>
        <w:ind w:left="140" w:hanging="138"/>
        <w:spacing w:after="0" w:line="249" w:lineRule="auto"/>
        <w:tabs>
          <w:tab w:leader="none" w:pos="1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approval of the board of directors; and</w:t>
      </w:r>
    </w:p>
    <w:p>
      <w:pPr>
        <w:spacing w:after="0" w:line="168" w:lineRule="exact"/>
        <w:rPr>
          <w:rFonts w:ascii="Arial" w:cs="Arial" w:eastAsia="Arial" w:hAnsi="Arial"/>
          <w:sz w:val="16"/>
          <w:szCs w:val="16"/>
          <w:color w:val="auto"/>
        </w:rPr>
      </w:pPr>
    </w:p>
    <w:p>
      <w:pPr>
        <w:ind w:left="140" w:right="80" w:hanging="138"/>
        <w:spacing w:after="0"/>
        <w:tabs>
          <w:tab w:leader="none" w:pos="1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approval by the vote of the holders of a majority of the outstanding stock or, if the certificate of incorporation provides for more or less than one vote per share, a majority of the votes of the outstanding stock of the corporation entitled to vote on the matter.</w:t>
      </w:r>
    </w:p>
    <w:p>
      <w:pPr>
        <w:sectPr>
          <w:pgSz w:w="11900" w:h="16838" w:orient="portrait"/>
          <w:cols w:equalWidth="0" w:num="2">
            <w:col w:w="7120" w:space="340"/>
            <w:col w:w="2780"/>
          </w:cols>
          <w:pgMar w:left="240" w:top="115" w:right="141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184"/>
        </w:trPr>
        <w:tc>
          <w:tcPr>
            <w:tcW w:w="390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40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388"/>
        </w:trPr>
        <w:tc>
          <w:tcPr>
            <w:tcW w:w="124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86"/>
        </w:trPr>
        <w:tc>
          <w:tcPr>
            <w:tcW w:w="3900" w:type="dxa"/>
            <w:vAlign w:val="bottom"/>
            <w:gridSpan w:val="2"/>
          </w:tcPr>
          <w:p>
            <w:pPr>
              <w:ind w:left="1140"/>
              <w:spacing w:after="0"/>
              <w:rPr>
                <w:sz w:val="20"/>
                <w:szCs w:val="20"/>
                <w:color w:val="auto"/>
              </w:rPr>
            </w:pPr>
            <w:r>
              <w:rPr>
                <w:rFonts w:ascii="Arial" w:cs="Arial" w:eastAsia="Arial" w:hAnsi="Arial"/>
                <w:sz w:val="16"/>
                <w:szCs w:val="16"/>
                <w:color w:val="auto"/>
              </w:rPr>
              <w:t>Standard of Conduct for Directors</w:t>
            </w:r>
          </w:p>
        </w:tc>
        <w:tc>
          <w:tcPr>
            <w:tcW w:w="3220" w:type="dxa"/>
            <w:vAlign w:val="bottom"/>
            <w:gridSpan w:val="2"/>
          </w:tcPr>
          <w:p>
            <w:pPr>
              <w:ind w:left="400"/>
              <w:spacing w:after="0"/>
              <w:rPr>
                <w:sz w:val="20"/>
                <w:szCs w:val="20"/>
                <w:color w:val="auto"/>
              </w:rPr>
            </w:pPr>
            <w:r>
              <w:rPr>
                <w:rFonts w:ascii="Arial" w:cs="Arial" w:eastAsia="Arial" w:hAnsi="Arial"/>
                <w:sz w:val="16"/>
                <w:szCs w:val="16"/>
                <w:color w:val="auto"/>
              </w:rPr>
              <w:t>Under English law, a director owes</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220" w:type="dxa"/>
            <w:vAlign w:val="bottom"/>
            <w:gridSpan w:val="2"/>
          </w:tcPr>
          <w:p>
            <w:pPr>
              <w:ind w:left="400"/>
              <w:spacing w:after="0"/>
              <w:rPr>
                <w:sz w:val="20"/>
                <w:szCs w:val="20"/>
                <w:color w:val="auto"/>
              </w:rPr>
            </w:pPr>
            <w:r>
              <w:rPr>
                <w:rFonts w:ascii="Arial" w:cs="Arial" w:eastAsia="Arial" w:hAnsi="Arial"/>
                <w:sz w:val="16"/>
                <w:szCs w:val="16"/>
                <w:color w:val="auto"/>
              </w:rPr>
              <w:t>various statutory and fiduciary duties to</w:t>
            </w:r>
          </w:p>
        </w:tc>
      </w:tr>
      <w:tr>
        <w:trPr>
          <w:trHeight w:val="192"/>
        </w:trPr>
        <w:tc>
          <w:tcPr>
            <w:tcW w:w="12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220" w:type="dxa"/>
            <w:vAlign w:val="bottom"/>
            <w:gridSpan w:val="2"/>
          </w:tcPr>
          <w:p>
            <w:pPr>
              <w:ind w:left="400"/>
              <w:spacing w:after="0"/>
              <w:rPr>
                <w:sz w:val="20"/>
                <w:szCs w:val="20"/>
                <w:color w:val="auto"/>
              </w:rPr>
            </w:pPr>
            <w:r>
              <w:rPr>
                <w:rFonts w:ascii="Arial" w:cs="Arial" w:eastAsia="Arial" w:hAnsi="Arial"/>
                <w:sz w:val="16"/>
                <w:szCs w:val="16"/>
                <w:color w:val="auto"/>
              </w:rPr>
              <w:t>the company, including:</w:t>
            </w:r>
          </w:p>
        </w:tc>
      </w:tr>
      <w:tr>
        <w:trPr>
          <w:trHeight w:val="358"/>
        </w:trPr>
        <w:tc>
          <w:tcPr>
            <w:tcW w:w="1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20" w:type="dxa"/>
            <w:vAlign w:val="bottom"/>
            <w:gridSpan w:val="2"/>
          </w:tcPr>
          <w:p>
            <w:pPr>
              <w:ind w:left="400"/>
              <w:spacing w:after="0"/>
              <w:rPr>
                <w:sz w:val="20"/>
                <w:szCs w:val="20"/>
                <w:color w:val="auto"/>
              </w:rPr>
            </w:pPr>
            <w:r>
              <w:rPr>
                <w:rFonts w:ascii="Arial" w:cs="Arial" w:eastAsia="Arial" w:hAnsi="Arial"/>
                <w:sz w:val="16"/>
                <w:szCs w:val="16"/>
                <w:color w:val="auto"/>
              </w:rPr>
              <w:t>• to act in the way he considers, in</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good faith, would be most likely to</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promote the success of the company</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for the benefit of its members as a</w:t>
            </w:r>
          </w:p>
        </w:tc>
      </w:tr>
      <w:tr>
        <w:trPr>
          <w:trHeight w:val="192"/>
        </w:trPr>
        <w:tc>
          <w:tcPr>
            <w:tcW w:w="12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whole;</w:t>
            </w:r>
          </w:p>
        </w:tc>
      </w:tr>
      <w:tr>
        <w:trPr>
          <w:trHeight w:val="358"/>
        </w:trPr>
        <w:tc>
          <w:tcPr>
            <w:tcW w:w="1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20" w:type="dxa"/>
            <w:vAlign w:val="bottom"/>
            <w:gridSpan w:val="2"/>
          </w:tcPr>
          <w:p>
            <w:pPr>
              <w:ind w:left="400"/>
              <w:spacing w:after="0"/>
              <w:rPr>
                <w:sz w:val="20"/>
                <w:szCs w:val="20"/>
                <w:color w:val="auto"/>
              </w:rPr>
            </w:pPr>
            <w:r>
              <w:rPr>
                <w:rFonts w:ascii="Arial" w:cs="Arial" w:eastAsia="Arial" w:hAnsi="Arial"/>
                <w:sz w:val="16"/>
                <w:szCs w:val="16"/>
                <w:color w:val="auto"/>
              </w:rPr>
              <w:t>• to avoid a situation in which he has,</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or can have, a direct or indirect</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interest that conflicts, or possibly</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conflicts, with the interests of the</w:t>
            </w:r>
          </w:p>
        </w:tc>
      </w:tr>
      <w:tr>
        <w:trPr>
          <w:trHeight w:val="192"/>
        </w:trPr>
        <w:tc>
          <w:tcPr>
            <w:tcW w:w="12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company;</w:t>
            </w:r>
          </w:p>
        </w:tc>
      </w:tr>
      <w:tr>
        <w:trPr>
          <w:trHeight w:val="358"/>
        </w:trPr>
        <w:tc>
          <w:tcPr>
            <w:tcW w:w="1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20" w:type="dxa"/>
            <w:vAlign w:val="bottom"/>
            <w:gridSpan w:val="2"/>
          </w:tcPr>
          <w:p>
            <w:pPr>
              <w:ind w:left="400"/>
              <w:spacing w:after="0"/>
              <w:rPr>
                <w:sz w:val="20"/>
                <w:szCs w:val="20"/>
                <w:color w:val="auto"/>
              </w:rPr>
            </w:pPr>
            <w:r>
              <w:rPr>
                <w:rFonts w:ascii="Arial" w:cs="Arial" w:eastAsia="Arial" w:hAnsi="Arial"/>
                <w:sz w:val="16"/>
                <w:szCs w:val="16"/>
                <w:color w:val="auto"/>
              </w:rPr>
              <w:t>• to act in accordance with the</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company's constitution and only</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exercise his powers for the purposes</w:t>
            </w:r>
          </w:p>
        </w:tc>
      </w:tr>
      <w:tr>
        <w:trPr>
          <w:trHeight w:val="192"/>
        </w:trPr>
        <w:tc>
          <w:tcPr>
            <w:tcW w:w="12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for which they are conferred;</w:t>
            </w:r>
          </w:p>
        </w:tc>
      </w:tr>
      <w:tr>
        <w:trPr>
          <w:trHeight w:val="379"/>
        </w:trPr>
        <w:tc>
          <w:tcPr>
            <w:tcW w:w="1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20" w:type="dxa"/>
            <w:vAlign w:val="bottom"/>
            <w:gridSpan w:val="2"/>
          </w:tcPr>
          <w:p>
            <w:pPr>
              <w:ind w:left="400"/>
              <w:spacing w:after="0"/>
              <w:rPr>
                <w:sz w:val="20"/>
                <w:szCs w:val="20"/>
                <w:color w:val="auto"/>
              </w:rPr>
            </w:pPr>
            <w:r>
              <w:rPr>
                <w:rFonts w:ascii="Arial" w:cs="Arial" w:eastAsia="Arial" w:hAnsi="Arial"/>
                <w:sz w:val="16"/>
                <w:szCs w:val="16"/>
                <w:color w:val="auto"/>
              </w:rPr>
              <w:t>• to exercise independent judgment;</w:t>
            </w:r>
          </w:p>
        </w:tc>
      </w:tr>
      <w:tr>
        <w:trPr>
          <w:trHeight w:val="346"/>
        </w:trPr>
        <w:tc>
          <w:tcPr>
            <w:tcW w:w="1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20" w:type="dxa"/>
            <w:vAlign w:val="bottom"/>
            <w:gridSpan w:val="2"/>
          </w:tcPr>
          <w:p>
            <w:pPr>
              <w:ind w:left="400"/>
              <w:spacing w:after="0"/>
              <w:rPr>
                <w:sz w:val="20"/>
                <w:szCs w:val="20"/>
                <w:color w:val="auto"/>
              </w:rPr>
            </w:pPr>
            <w:r>
              <w:rPr>
                <w:rFonts w:ascii="Arial" w:cs="Arial" w:eastAsia="Arial" w:hAnsi="Arial"/>
                <w:sz w:val="16"/>
                <w:szCs w:val="16"/>
                <w:color w:val="auto"/>
              </w:rPr>
              <w:t>• to exercise reasonable care, skill and</w:t>
            </w:r>
          </w:p>
        </w:tc>
      </w:tr>
      <w:tr>
        <w:trPr>
          <w:trHeight w:val="192"/>
        </w:trPr>
        <w:tc>
          <w:tcPr>
            <w:tcW w:w="12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diligence;</w:t>
            </w:r>
          </w:p>
        </w:tc>
      </w:tr>
      <w:tr>
        <w:trPr>
          <w:trHeight w:val="358"/>
        </w:trPr>
        <w:tc>
          <w:tcPr>
            <w:tcW w:w="1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20" w:type="dxa"/>
            <w:vAlign w:val="bottom"/>
            <w:gridSpan w:val="2"/>
          </w:tcPr>
          <w:p>
            <w:pPr>
              <w:ind w:left="400"/>
              <w:spacing w:after="0"/>
              <w:rPr>
                <w:sz w:val="20"/>
                <w:szCs w:val="20"/>
                <w:color w:val="auto"/>
              </w:rPr>
            </w:pPr>
            <w:r>
              <w:rPr>
                <w:rFonts w:ascii="Arial" w:cs="Arial" w:eastAsia="Arial" w:hAnsi="Arial"/>
                <w:sz w:val="16"/>
                <w:szCs w:val="16"/>
                <w:color w:val="auto"/>
              </w:rPr>
              <w:t>• not to accept benefits from a third</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w w:val="99"/>
              </w:rPr>
              <w:t>party conferred by reason of his being</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a director or doing, or not doing,</w:t>
            </w:r>
          </w:p>
        </w:tc>
      </w:tr>
      <w:tr>
        <w:trPr>
          <w:trHeight w:val="192"/>
        </w:trPr>
        <w:tc>
          <w:tcPr>
            <w:tcW w:w="12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anything as a director; and</w:t>
            </w:r>
          </w:p>
        </w:tc>
      </w:tr>
      <w:tr>
        <w:trPr>
          <w:trHeight w:val="358"/>
        </w:trPr>
        <w:tc>
          <w:tcPr>
            <w:tcW w:w="1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20" w:type="dxa"/>
            <w:vAlign w:val="bottom"/>
            <w:gridSpan w:val="2"/>
          </w:tcPr>
          <w:p>
            <w:pPr>
              <w:ind w:left="400"/>
              <w:spacing w:after="0"/>
              <w:rPr>
                <w:sz w:val="20"/>
                <w:szCs w:val="20"/>
                <w:color w:val="auto"/>
              </w:rPr>
            </w:pPr>
            <w:r>
              <w:rPr>
                <w:rFonts w:ascii="Arial" w:cs="Arial" w:eastAsia="Arial" w:hAnsi="Arial"/>
                <w:sz w:val="16"/>
                <w:szCs w:val="16"/>
                <w:color w:val="auto"/>
              </w:rPr>
              <w:t>• to declare any interest that he has,</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whether directly or indirectly, in a</w:t>
            </w:r>
          </w:p>
        </w:tc>
      </w:tr>
      <w:tr>
        <w:trPr>
          <w:trHeight w:val="183"/>
        </w:trPr>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proposed or existing transaction or</w:t>
            </w:r>
          </w:p>
        </w:tc>
      </w:tr>
      <w:tr>
        <w:trPr>
          <w:trHeight w:val="192"/>
        </w:trPr>
        <w:tc>
          <w:tcPr>
            <w:tcW w:w="12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arrangement with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793240"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24" w:lineRule="exact"/>
        <w:rPr>
          <w:sz w:val="20"/>
          <w:szCs w:val="20"/>
          <w:color w:val="auto"/>
        </w:rPr>
      </w:pPr>
    </w:p>
    <w:p>
      <w:pPr>
        <w:ind w:right="40"/>
        <w:spacing w:after="0"/>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201" w:lineRule="exact"/>
        <w:rPr>
          <w:sz w:val="20"/>
          <w:szCs w:val="20"/>
          <w:color w:val="auto"/>
        </w:rPr>
      </w:pPr>
    </w:p>
    <w:p>
      <w:pPr>
        <w:ind w:right="40"/>
        <w:spacing w:after="0"/>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7120" w:space="340"/>
            <w:col w:w="2820"/>
          </w:cols>
          <w:pgMar w:left="240" w:top="115" w:right="137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84"/>
        </w:trPr>
        <w:tc>
          <w:tcPr>
            <w:tcW w:w="334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9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388"/>
        </w:trPr>
        <w:tc>
          <w:tcPr>
            <w:tcW w:w="124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England and Wales</w:t>
            </w:r>
          </w:p>
        </w:tc>
      </w:tr>
      <w:tr>
        <w:trPr>
          <w:trHeight w:val="186"/>
        </w:trPr>
        <w:tc>
          <w:tcPr>
            <w:tcW w:w="3340" w:type="dxa"/>
            <w:vAlign w:val="bottom"/>
            <w:gridSpan w:val="2"/>
          </w:tcPr>
          <w:p>
            <w:pPr>
              <w:ind w:left="1140"/>
              <w:spacing w:after="0"/>
              <w:rPr>
                <w:sz w:val="20"/>
                <w:szCs w:val="20"/>
                <w:color w:val="auto"/>
              </w:rPr>
            </w:pPr>
            <w:r>
              <w:rPr>
                <w:rFonts w:ascii="Arial" w:cs="Arial" w:eastAsia="Arial" w:hAnsi="Arial"/>
                <w:sz w:val="16"/>
                <w:szCs w:val="16"/>
                <w:color w:val="auto"/>
              </w:rPr>
              <w:t>Stockholder Suits</w:t>
            </w: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Under English law, generally, the</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company, rather than its shareholders,</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is the proper claimant in an action in</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respect of a wrong done to the</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company or where there is an</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irregularity in the company's internal</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management. Notwithstanding this</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general position, the Companies Act</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provides that (i) a court may allow a</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shareholder to bring a derivative claim</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(that is, an action in respect of and on</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behalf of the company) in respect of a</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cause of action arising from a director's</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negligence, default, breach of duty or</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breach of trust and (ii) a shareholder</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may bring a claim for a court order</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where the company's affairs have been</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w w:val="98"/>
              </w:rPr>
              <w:t>or are being conducted in a manner that</w:t>
            </w:r>
          </w:p>
        </w:tc>
      </w:tr>
      <w:tr>
        <w:trPr>
          <w:trHeight w:val="183"/>
        </w:trPr>
        <w:tc>
          <w:tcPr>
            <w:tcW w:w="1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is unfairly prejudicial to some of its</w:t>
            </w:r>
          </w:p>
        </w:tc>
      </w:tr>
      <w:tr>
        <w:trPr>
          <w:trHeight w:val="192"/>
        </w:trPr>
        <w:tc>
          <w:tcPr>
            <w:tcW w:w="1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780" w:type="dxa"/>
            <w:vAlign w:val="bottom"/>
            <w:gridSpan w:val="2"/>
          </w:tcPr>
          <w:p>
            <w:pPr>
              <w:ind w:left="960"/>
              <w:spacing w:after="0"/>
              <w:rPr>
                <w:sz w:val="20"/>
                <w:szCs w:val="20"/>
                <w:color w:val="auto"/>
              </w:rPr>
            </w:pPr>
            <w:r>
              <w:rPr>
                <w:rFonts w:ascii="Arial" w:cs="Arial" w:eastAsia="Arial" w:hAnsi="Arial"/>
                <w:sz w:val="16"/>
                <w:szCs w:val="16"/>
                <w:color w:val="auto"/>
              </w:rPr>
              <w:t>shareholders.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Exchange Listing</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applied to list our ADSs on the Nasdaq Global Market under the symbol "BCYC."</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 of Shares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793240"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93240" cy="15240"/>
                    </a:xfrm>
                    <a:prstGeom prst="rect">
                      <a:avLst/>
                    </a:prstGeom>
                    <a:noFill/>
                  </pic:spPr>
                </pic:pic>
              </a:graphicData>
            </a:graphic>
          </wp:anchor>
        </w:drawing>
      </w:r>
    </w:p>
    <w:p>
      <w:pPr>
        <w:spacing w:after="0" w:line="24" w:lineRule="exact"/>
        <w:rPr>
          <w:sz w:val="20"/>
          <w:szCs w:val="20"/>
          <w:color w:val="auto"/>
        </w:rPr>
      </w:pPr>
    </w:p>
    <w:p>
      <w:pPr>
        <w:ind w:right="920"/>
        <w:spacing w:after="0" w:line="241" w:lineRule="auto"/>
        <w:rPr>
          <w:sz w:val="20"/>
          <w:szCs w:val="20"/>
          <w:color w:val="auto"/>
        </w:rPr>
      </w:pPr>
      <w:r>
        <w:rPr>
          <w:rFonts w:ascii="Arial" w:cs="Arial" w:eastAsia="Arial" w:hAnsi="Arial"/>
          <w:sz w:val="16"/>
          <w:szCs w:val="16"/>
          <w:color w:val="auto"/>
        </w:rPr>
        <w:t>Under Delaware law, a stockholder may initiate a derivative action to enforce a right of a corporation if the corporation fails to enforce the right itself. The complaint must:</w:t>
      </w:r>
    </w:p>
    <w:p>
      <w:pPr>
        <w:spacing w:after="0" w:line="177" w:lineRule="exact"/>
        <w:rPr>
          <w:sz w:val="20"/>
          <w:szCs w:val="20"/>
          <w:color w:val="auto"/>
        </w:rPr>
      </w:pPr>
    </w:p>
    <w:p>
      <w:pPr>
        <w:ind w:left="140" w:right="960" w:hanging="138"/>
        <w:spacing w:after="0" w:line="241" w:lineRule="auto"/>
        <w:tabs>
          <w:tab w:leader="none" w:pos="1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state that the plaintiff was a stockholder at the time of the transaction of which the plaintiff complains or that the plaintiffs shares thereafter devolved on the plaintiff by operation of law; and</w:t>
      </w:r>
    </w:p>
    <w:p>
      <w:pPr>
        <w:spacing w:after="0" w:line="175" w:lineRule="exact"/>
        <w:rPr>
          <w:rFonts w:ascii="Arial" w:cs="Arial" w:eastAsia="Arial" w:hAnsi="Arial"/>
          <w:sz w:val="16"/>
          <w:szCs w:val="16"/>
          <w:color w:val="auto"/>
        </w:rPr>
      </w:pPr>
    </w:p>
    <w:p>
      <w:pPr>
        <w:ind w:left="140" w:right="1060" w:hanging="138"/>
        <w:spacing w:after="0" w:line="241" w:lineRule="auto"/>
        <w:tabs>
          <w:tab w:leader="none" w:pos="1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allege with particularity the efforts made by the plaintiff to obtain the action the plaintiff desires from the directors and the reasons for the plaintiff's failure to obtain the action; or</w:t>
      </w:r>
    </w:p>
    <w:p>
      <w:pPr>
        <w:spacing w:after="0" w:line="175" w:lineRule="exact"/>
        <w:rPr>
          <w:rFonts w:ascii="Arial" w:cs="Arial" w:eastAsia="Arial" w:hAnsi="Arial"/>
          <w:sz w:val="16"/>
          <w:szCs w:val="16"/>
          <w:color w:val="auto"/>
        </w:rPr>
      </w:pPr>
    </w:p>
    <w:p>
      <w:pPr>
        <w:ind w:left="140" w:right="1060" w:hanging="138"/>
        <w:spacing w:after="0" w:line="249" w:lineRule="auto"/>
        <w:tabs>
          <w:tab w:leader="none" w:pos="1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state the reasons for not making the effort.</w:t>
      </w:r>
    </w:p>
    <w:p>
      <w:pPr>
        <w:spacing w:after="0" w:line="181" w:lineRule="exact"/>
        <w:rPr>
          <w:sz w:val="20"/>
          <w:szCs w:val="20"/>
          <w:color w:val="auto"/>
        </w:rPr>
      </w:pPr>
    </w:p>
    <w:p>
      <w:pPr>
        <w:ind w:right="1000"/>
        <w:spacing w:after="0" w:line="241"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compromised without the approval of the Delaware Court of Chancery.</w:t>
      </w:r>
    </w:p>
    <w:p>
      <w:pPr>
        <w:spacing w:after="0" w:line="1309" w:lineRule="exact"/>
        <w:rPr>
          <w:sz w:val="20"/>
          <w:szCs w:val="20"/>
          <w:color w:val="auto"/>
        </w:rPr>
      </w:pPr>
    </w:p>
    <w:p>
      <w:pPr>
        <w:sectPr>
          <w:pgSz w:w="11900" w:h="16838" w:orient="portrait"/>
          <w:cols w:equalWidth="0" w:num="2">
            <w:col w:w="7120" w:space="340"/>
            <w:col w:w="3720"/>
          </w:cols>
          <w:pgMar w:left="240" w:top="115" w:right="479" w:bottom="1440" w:gutter="0" w:footer="0" w:header="0"/>
        </w:sectPr>
      </w:pPr>
    </w:p>
    <w:p>
      <w:pPr>
        <w:spacing w:after="0" w:line="15"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Our share register will be maintained by upon the closing of this offering. The share register reflects only record owners of our ordinary shares. Holders of our ADSs will not be treated as our shareholders and their names will therefore not be entered in our share register. The depositary, the custodian or their nominees will be the holder of the ordinary shares underlying our ADSs. Holders of our ADSs have a right to receive the ordinary shares underlying their ADSs. For discussion on our ADSs and ADS holder rights, see "Description of American Depositary Shares" in this prospectus.</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180"/>
          </w:cols>
          <w:pgMar w:left="240" w:top="115" w:right="479" w:bottom="1440" w:gutter="0" w:footer="0" w:header="0"/>
          <w:type w:val="continuous"/>
        </w:sectPr>
      </w:pPr>
    </w:p>
    <w:bookmarkStart w:id="217" w:name="page218"/>
    <w:bookmarkEnd w:id="2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AMERICAN DEPOSITARY SHARES</w:t>
      </w:r>
    </w:p>
    <w:p>
      <w:pPr>
        <w:spacing w:after="0" w:line="215" w:lineRule="exact"/>
        <w:rPr>
          <w:sz w:val="20"/>
          <w:szCs w:val="20"/>
          <w:color w:val="auto"/>
        </w:rPr>
      </w:pPr>
    </w:p>
    <w:p>
      <w:pPr>
        <w:ind w:right="140" w:firstLine="442"/>
        <w:spacing w:after="0" w:line="241" w:lineRule="auto"/>
        <w:rPr>
          <w:sz w:val="20"/>
          <w:szCs w:val="20"/>
          <w:color w:val="auto"/>
        </w:rPr>
      </w:pPr>
      <w:r>
        <w:rPr>
          <w:rFonts w:ascii="Arial" w:cs="Arial" w:eastAsia="Arial" w:hAnsi="Arial"/>
          <w:sz w:val="16"/>
          <w:szCs w:val="16"/>
          <w:color w:val="auto"/>
        </w:rPr>
        <w:t>Citibank, N.A.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(London), located at Citigroup Centre, Canary Wharf, London, E14 5LB, United Kingdom.</w:t>
      </w:r>
    </w:p>
    <w:p>
      <w:pPr>
        <w:spacing w:after="0" w:line="189" w:lineRule="exact"/>
        <w:rPr>
          <w:sz w:val="20"/>
          <w:szCs w:val="20"/>
          <w:color w:val="auto"/>
        </w:rPr>
      </w:pPr>
    </w:p>
    <w:p>
      <w:pPr>
        <w:ind w:right="60" w:firstLine="442"/>
        <w:spacing w:after="0" w:line="255" w:lineRule="auto"/>
        <w:rPr>
          <w:sz w:val="20"/>
          <w:szCs w:val="20"/>
          <w:color w:val="auto"/>
        </w:rPr>
      </w:pPr>
      <w:r>
        <w:rPr>
          <w:rFonts w:ascii="Arial" w:cs="Arial" w:eastAsia="Arial" w:hAnsi="Arial"/>
          <w:sz w:val="15"/>
          <w:szCs w:val="15"/>
          <w:color w:val="auto"/>
        </w:rPr>
        <w:t>We will appoint Citibank as depositary bank pursuant to a deposit agreement. A copy of the deposit agreement is on file with the SEC under cover of a Registration Statement on Form F-6. You may obtain a copy of the deposit agreement from the SEC's Public Reference Room at 100 F Street, N.E., Washington,</w:t>
      </w:r>
    </w:p>
    <w:p>
      <w:pPr>
        <w:spacing w:after="0"/>
        <w:tabs>
          <w:tab w:leader="none" w:pos="7420" w:val="left"/>
        </w:tabs>
        <w:rPr>
          <w:sz w:val="20"/>
          <w:szCs w:val="20"/>
          <w:color w:val="auto"/>
        </w:rPr>
      </w:pPr>
      <w:r>
        <w:rPr>
          <w:rFonts w:ascii="Arial" w:cs="Arial" w:eastAsia="Arial" w:hAnsi="Arial"/>
          <w:sz w:val="16"/>
          <w:szCs w:val="16"/>
          <w:color w:val="auto"/>
        </w:rPr>
        <w:t>D.C. 20549 and from the SEC's website (www.sec.gov). Please refer to Registration Number 333-</w:t>
      </w:r>
      <w:r>
        <w:rPr>
          <w:sz w:val="20"/>
          <w:szCs w:val="20"/>
          <w:color w:val="auto"/>
        </w:rPr>
        <w:tab/>
      </w:r>
      <w:r>
        <w:rPr>
          <w:rFonts w:ascii="Arial" w:cs="Arial" w:eastAsia="Arial" w:hAnsi="Arial"/>
          <w:sz w:val="15"/>
          <w:szCs w:val="15"/>
          <w:color w:val="auto"/>
        </w:rPr>
        <w:t>when retrieving such copy.</w:t>
      </w:r>
    </w:p>
    <w:p>
      <w:pPr>
        <w:spacing w:after="0" w:line="195" w:lineRule="exact"/>
        <w:rPr>
          <w:sz w:val="20"/>
          <w:szCs w:val="20"/>
          <w:color w:val="auto"/>
        </w:rPr>
      </w:pPr>
    </w:p>
    <w:p>
      <w:pPr>
        <w:ind w:right="20" w:firstLine="442"/>
        <w:spacing w:after="0" w:line="242" w:lineRule="auto"/>
        <w:rPr>
          <w:sz w:val="20"/>
          <w:szCs w:val="20"/>
          <w:color w:val="auto"/>
        </w:rPr>
      </w:pPr>
      <w:r>
        <w:rPr>
          <w:rFonts w:ascii="Arial" w:cs="Arial" w:eastAsia="Arial" w:hAnsi="Arial"/>
          <w:sz w:val="16"/>
          <w:szCs w:val="16"/>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7" w:lineRule="exact"/>
        <w:rPr>
          <w:sz w:val="20"/>
          <w:szCs w:val="20"/>
          <w:color w:val="auto"/>
        </w:rPr>
      </w:pPr>
    </w:p>
    <w:p>
      <w:pPr>
        <w:ind w:left="440"/>
        <w:spacing w:after="0"/>
        <w:tabs>
          <w:tab w:leader="none" w:pos="7860" w:val="left"/>
        </w:tabs>
        <w:rPr>
          <w:sz w:val="20"/>
          <w:szCs w:val="20"/>
          <w:color w:val="auto"/>
        </w:rPr>
      </w:pPr>
      <w:r>
        <w:rPr>
          <w:rFonts w:ascii="Arial" w:cs="Arial" w:eastAsia="Arial" w:hAnsi="Arial"/>
          <w:sz w:val="16"/>
          <w:szCs w:val="16"/>
          <w:color w:val="auto"/>
        </w:rPr>
        <w:t>Each ADS represents the right to receive, and to exercise the beneficial ownership interests in,</w:t>
      </w:r>
      <w:r>
        <w:rPr>
          <w:sz w:val="20"/>
          <w:szCs w:val="20"/>
          <w:color w:val="auto"/>
        </w:rPr>
        <w:tab/>
      </w:r>
      <w:r>
        <w:rPr>
          <w:rFonts w:ascii="Arial" w:cs="Arial" w:eastAsia="Arial" w:hAnsi="Arial"/>
          <w:sz w:val="15"/>
          <w:szCs w:val="15"/>
          <w:color w:val="auto"/>
        </w:rPr>
        <w:t>that are on deposit with the depositary bank</w:t>
      </w:r>
    </w:p>
    <w:p>
      <w:pPr>
        <w:spacing w:after="0"/>
        <w:rPr>
          <w:sz w:val="20"/>
          <w:szCs w:val="20"/>
          <w:color w:val="auto"/>
        </w:rPr>
      </w:pPr>
      <w:r>
        <w:rPr>
          <w:rFonts w:ascii="Arial" w:cs="Arial" w:eastAsia="Arial" w:hAnsi="Arial"/>
          <w:sz w:val="16"/>
          <w:szCs w:val="16"/>
          <w:color w:val="auto"/>
        </w:rPr>
        <w:t>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89" w:lineRule="exact"/>
        <w:rPr>
          <w:sz w:val="20"/>
          <w:szCs w:val="20"/>
          <w:color w:val="auto"/>
        </w:rPr>
      </w:pPr>
    </w:p>
    <w:p>
      <w:pPr>
        <w:jc w:val="both"/>
        <w:ind w:right="200" w:firstLine="442"/>
        <w:spacing w:after="0" w:line="242" w:lineRule="auto"/>
        <w:rPr>
          <w:sz w:val="20"/>
          <w:szCs w:val="20"/>
          <w:color w:val="auto"/>
        </w:rPr>
      </w:pPr>
      <w:r>
        <w:rPr>
          <w:rFonts w:ascii="Arial" w:cs="Arial" w:eastAsia="Arial" w:hAnsi="Arial"/>
          <w:sz w:val="16"/>
          <w:szCs w:val="16"/>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bank. As an ADS holder you appoint the depositary bank to act on your behalf in certain circumstances. The deposit agreement and the ADRs are governed by New York law. However, our obligations to the holders of ordinary shares will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18" w:name="page219"/>
    <w:bookmarkEnd w:id="2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continue to be governed by the laws of England and Wales, which may be different from the laws in the United States.</w:t>
      </w:r>
    </w:p>
    <w:p>
      <w:pPr>
        <w:spacing w:after="0" w:line="195" w:lineRule="exact"/>
        <w:rPr>
          <w:sz w:val="20"/>
          <w:szCs w:val="20"/>
          <w:color w:val="auto"/>
        </w:rPr>
      </w:pPr>
    </w:p>
    <w:p>
      <w:pPr>
        <w:ind w:right="80" w:firstLine="442"/>
        <w:spacing w:after="0" w:line="242" w:lineRule="auto"/>
        <w:rPr>
          <w:sz w:val="20"/>
          <w:szCs w:val="20"/>
          <w:color w:val="auto"/>
        </w:rPr>
      </w:pPr>
      <w:r>
        <w:rPr>
          <w:rFonts w:ascii="Arial" w:cs="Arial" w:eastAsia="Arial" w:hAnsi="Arial"/>
          <w:sz w:val="16"/>
          <w:szCs w:val="16"/>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71" w:lineRule="exact"/>
        <w:rPr>
          <w:sz w:val="20"/>
          <w:szCs w:val="20"/>
          <w:color w:val="auto"/>
        </w:rPr>
      </w:pPr>
    </w:p>
    <w:p>
      <w:pPr>
        <w:ind w:right="20" w:firstLine="442"/>
        <w:spacing w:after="0" w:line="271" w:lineRule="auto"/>
        <w:rPr>
          <w:sz w:val="20"/>
          <w:szCs w:val="20"/>
          <w:color w:val="auto"/>
        </w:rPr>
      </w:pPr>
      <w:r>
        <w:rPr>
          <w:rFonts w:ascii="Arial" w:cs="Arial" w:eastAsia="Arial" w:hAnsi="Arial"/>
          <w:sz w:val="15"/>
          <w:szCs w:val="15"/>
          <w:i w:val="1"/>
          <w:iCs w:val="1"/>
          <w:color w:val="auto"/>
        </w:rPr>
        <w:t>As an owner of ADSs, we will not treat you as one of our shareholders and you will not have direct shareholder rights. The depositary bank will hold on your behalf the shareholder rights attached to the ordinary shares underlying your ADSs. As an owner of ADSs you will be able to exercise the shareholders rights for the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66"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88" w:lineRule="exact"/>
        <w:rPr>
          <w:sz w:val="20"/>
          <w:szCs w:val="20"/>
          <w:color w:val="auto"/>
        </w:rPr>
      </w:pPr>
    </w:p>
    <w:p>
      <w:pPr>
        <w:ind w:right="20" w:firstLine="439"/>
        <w:spacing w:after="0" w:line="241" w:lineRule="auto"/>
        <w:rPr>
          <w:sz w:val="20"/>
          <w:szCs w:val="20"/>
          <w:color w:val="auto"/>
        </w:rPr>
      </w:pPr>
      <w:r>
        <w:rPr>
          <w:rFonts w:ascii="Arial" w:cs="Arial" w:eastAsia="Arial" w:hAnsi="Arial"/>
          <w:sz w:val="16"/>
          <w:szCs w:val="16"/>
          <w:color w:val="auto"/>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and Distributions</w:t>
      </w:r>
    </w:p>
    <w:p>
      <w:pPr>
        <w:spacing w:after="0" w:line="215" w:lineRule="exact"/>
        <w:rPr>
          <w:sz w:val="20"/>
          <w:szCs w:val="20"/>
          <w:color w:val="auto"/>
        </w:rPr>
      </w:pPr>
    </w:p>
    <w:p>
      <w:pPr>
        <w:ind w:right="160" w:firstLine="433"/>
        <w:spacing w:after="0" w:line="249" w:lineRule="auto"/>
        <w:rPr>
          <w:sz w:val="20"/>
          <w:szCs w:val="20"/>
          <w:color w:val="auto"/>
        </w:rPr>
      </w:pPr>
      <w:r>
        <w:rPr>
          <w:rFonts w:ascii="Arial" w:cs="Arial" w:eastAsia="Arial" w:hAnsi="Arial"/>
          <w:sz w:val="16"/>
          <w:szCs w:val="16"/>
          <w:color w:val="auto"/>
        </w:rPr>
        <w:t>As a holder of ADSs, you generally have the right to receive the distributions we make on the securities deposited with the custodian. Your receipt of these distributions may be limited, however,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19" w:name="page220"/>
    <w:bookmarkEnd w:id="2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380"/>
        <w:spacing w:after="0" w:line="249" w:lineRule="auto"/>
        <w:rPr>
          <w:sz w:val="20"/>
          <w:szCs w:val="20"/>
          <w:color w:val="auto"/>
        </w:rPr>
      </w:pPr>
      <w:r>
        <w:rPr>
          <w:rFonts w:ascii="Arial" w:cs="Arial" w:eastAsia="Arial" w:hAnsi="Arial"/>
          <w:sz w:val="16"/>
          <w:szCs w:val="16"/>
          <w:color w:val="auto"/>
        </w:rPr>
        <w:t>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 of Cash</w:t>
      </w:r>
    </w:p>
    <w:p>
      <w:pPr>
        <w:spacing w:after="0" w:line="213" w:lineRule="exact"/>
        <w:rPr>
          <w:sz w:val="20"/>
          <w:szCs w:val="20"/>
          <w:color w:val="auto"/>
        </w:rPr>
      </w:pPr>
    </w:p>
    <w:p>
      <w:pPr>
        <w:ind w:right="80" w:firstLine="442"/>
        <w:spacing w:after="0" w:line="244"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English laws and regulations.</w:t>
      </w:r>
    </w:p>
    <w:p>
      <w:pPr>
        <w:spacing w:after="0" w:line="185" w:lineRule="exact"/>
        <w:rPr>
          <w:sz w:val="20"/>
          <w:szCs w:val="20"/>
          <w:color w:val="auto"/>
        </w:rPr>
      </w:pPr>
    </w:p>
    <w:p>
      <w:pPr>
        <w:ind w:firstLine="439"/>
        <w:spacing w:after="0" w:line="282" w:lineRule="auto"/>
        <w:rPr>
          <w:sz w:val="20"/>
          <w:szCs w:val="20"/>
          <w:color w:val="auto"/>
        </w:rPr>
      </w:pPr>
      <w:r>
        <w:rPr>
          <w:rFonts w:ascii="Arial" w:cs="Arial" w:eastAsia="Arial" w:hAnsi="Arial"/>
          <w:sz w:val="15"/>
          <w:szCs w:val="15"/>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157" w:lineRule="exact"/>
        <w:rPr>
          <w:sz w:val="20"/>
          <w:szCs w:val="20"/>
          <w:color w:val="auto"/>
        </w:rPr>
      </w:pPr>
    </w:p>
    <w:p>
      <w:pPr>
        <w:ind w:right="20" w:firstLine="439"/>
        <w:spacing w:after="0" w:line="242" w:lineRule="auto"/>
        <w:rPr>
          <w:sz w:val="20"/>
          <w:szCs w:val="20"/>
          <w:color w:val="auto"/>
        </w:rPr>
      </w:pPr>
      <w:r>
        <w:rPr>
          <w:rFonts w:ascii="Arial" w:cs="Arial" w:eastAsia="Arial" w:hAnsi="Arial"/>
          <w:sz w:val="16"/>
          <w:szCs w:val="16"/>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 of Shares</w:t>
      </w:r>
    </w:p>
    <w:p>
      <w:pPr>
        <w:spacing w:after="0" w:line="213" w:lineRule="exact"/>
        <w:rPr>
          <w:sz w:val="20"/>
          <w:szCs w:val="20"/>
          <w:color w:val="auto"/>
        </w:rPr>
      </w:pPr>
    </w:p>
    <w:p>
      <w:pPr>
        <w:ind w:right="100" w:firstLine="442"/>
        <w:spacing w:after="0" w:line="241" w:lineRule="auto"/>
        <w:rPr>
          <w:sz w:val="20"/>
          <w:szCs w:val="20"/>
          <w:color w:val="auto"/>
        </w:rPr>
      </w:pPr>
      <w:r>
        <w:rPr>
          <w:rFonts w:ascii="Arial" w:cs="Arial" w:eastAsia="Arial" w:hAnsi="Arial"/>
          <w:sz w:val="16"/>
          <w:szCs w:val="16"/>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bank will </w:t>
      </w:r>
      <w:r>
        <w:rPr>
          <w:rFonts w:ascii="Arial" w:cs="Arial" w:eastAsia="Arial" w:hAnsi="Arial"/>
          <w:sz w:val="16"/>
          <w:szCs w:val="16"/>
          <w:i w:val="1"/>
          <w:iCs w:val="1"/>
          <w:color w:val="auto"/>
        </w:rPr>
        <w:t>either</w:t>
      </w:r>
      <w:r>
        <w:rPr>
          <w:rFonts w:ascii="Arial" w:cs="Arial" w:eastAsia="Arial" w:hAnsi="Arial"/>
          <w:sz w:val="16"/>
          <w:szCs w:val="16"/>
          <w:color w:val="auto"/>
        </w:rPr>
        <w:t xml:space="preserve"> distribute to holders new ADSs representing the ordinary shares deposited </w:t>
      </w:r>
      <w:r>
        <w:rPr>
          <w:rFonts w:ascii="Arial" w:cs="Arial" w:eastAsia="Arial" w:hAnsi="Arial"/>
          <w:sz w:val="16"/>
          <w:szCs w:val="16"/>
          <w:i w:val="1"/>
          <w:iCs w:val="1"/>
          <w:color w:val="auto"/>
        </w:rPr>
        <w:t>or</w:t>
      </w:r>
      <w:r>
        <w:rPr>
          <w:rFonts w:ascii="Arial" w:cs="Arial" w:eastAsia="Arial" w:hAnsi="Arial"/>
          <w:sz w:val="16"/>
          <w:szCs w:val="16"/>
          <w:color w:val="auto"/>
        </w:rPr>
        <w:t xml:space="preserve"> modify the ADS-to-ordinary-share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9" w:lineRule="exact"/>
        <w:rPr>
          <w:sz w:val="20"/>
          <w:szCs w:val="20"/>
          <w:color w:val="auto"/>
        </w:rPr>
      </w:pPr>
    </w:p>
    <w:p>
      <w:pPr>
        <w:ind w:right="200" w:firstLine="439"/>
        <w:spacing w:after="0" w:line="244" w:lineRule="auto"/>
        <w:rPr>
          <w:sz w:val="20"/>
          <w:szCs w:val="20"/>
          <w:color w:val="auto"/>
        </w:rPr>
      </w:pPr>
      <w:r>
        <w:rPr>
          <w:rFonts w:ascii="Arial" w:cs="Arial" w:eastAsia="Arial" w:hAnsi="Arial"/>
          <w:sz w:val="16"/>
          <w:szCs w:val="16"/>
          <w:color w:val="auto"/>
        </w:rPr>
        <w:t>The distribution of new ADSs or the modification of the ADS-to-ordinary-share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spacing w:after="0" w:line="169" w:lineRule="exact"/>
        <w:rPr>
          <w:sz w:val="20"/>
          <w:szCs w:val="20"/>
          <w:color w:val="auto"/>
        </w:rPr>
      </w:pPr>
    </w:p>
    <w:p>
      <w:pPr>
        <w:ind w:right="40" w:firstLine="442"/>
        <w:spacing w:after="0" w:line="254" w:lineRule="auto"/>
        <w:rPr>
          <w:sz w:val="20"/>
          <w:szCs w:val="20"/>
          <w:color w:val="auto"/>
        </w:rPr>
      </w:pPr>
      <w:r>
        <w:rPr>
          <w:rFonts w:ascii="Arial" w:cs="Arial" w:eastAsia="Arial" w:hAnsi="Arial"/>
          <w:sz w:val="16"/>
          <w:szCs w:val="16"/>
          <w:color w:val="auto"/>
        </w:rPr>
        <w:t>No such distribution of new ADSs will be made if it would violate a law (</w:t>
      </w:r>
      <w:r>
        <w:rPr>
          <w:rFonts w:ascii="Arial" w:cs="Arial" w:eastAsia="Arial" w:hAnsi="Arial"/>
          <w:sz w:val="16"/>
          <w:szCs w:val="16"/>
          <w:i w:val="1"/>
          <w:iCs w:val="1"/>
          <w:color w:val="auto"/>
        </w:rPr>
        <w:t>e.g.</w:t>
      </w:r>
      <w:r>
        <w:rPr>
          <w:rFonts w:ascii="Arial" w:cs="Arial" w:eastAsia="Arial" w:hAnsi="Arial"/>
          <w:sz w:val="16"/>
          <w:szCs w:val="16"/>
          <w:color w:val="auto"/>
        </w:rPr>
        <w:t>,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 of Rights</w:t>
      </w:r>
    </w:p>
    <w:p>
      <w:pPr>
        <w:spacing w:after="0" w:line="213" w:lineRule="exact"/>
        <w:rPr>
          <w:sz w:val="20"/>
          <w:szCs w:val="20"/>
          <w:color w:val="auto"/>
        </w:rPr>
      </w:pPr>
    </w:p>
    <w:p>
      <w:pPr>
        <w:ind w:right="340" w:firstLine="442"/>
        <w:spacing w:after="0" w:line="249" w:lineRule="auto"/>
        <w:rPr>
          <w:sz w:val="20"/>
          <w:szCs w:val="20"/>
          <w:color w:val="auto"/>
        </w:rPr>
      </w:pPr>
      <w:r>
        <w:rPr>
          <w:rFonts w:ascii="Arial" w:cs="Arial" w:eastAsia="Arial" w:hAnsi="Arial"/>
          <w:sz w:val="16"/>
          <w:szCs w:val="16"/>
          <w:color w:val="auto"/>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spacing w:after="0" w:line="181" w:lineRule="exact"/>
        <w:rPr>
          <w:sz w:val="20"/>
          <w:szCs w:val="20"/>
          <w:color w:val="auto"/>
        </w:rPr>
      </w:pPr>
    </w:p>
    <w:p>
      <w:pPr>
        <w:ind w:right="240" w:firstLine="439"/>
        <w:spacing w:after="0" w:line="249" w:lineRule="auto"/>
        <w:rPr>
          <w:sz w:val="20"/>
          <w:szCs w:val="20"/>
          <w:color w:val="auto"/>
        </w:rPr>
      </w:pPr>
      <w:r>
        <w:rPr>
          <w:rFonts w:ascii="Arial" w:cs="Arial" w:eastAsia="Arial" w:hAnsi="Arial"/>
          <w:sz w:val="16"/>
          <w:szCs w:val="16"/>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20" w:name="page221"/>
    <w:bookmarkEnd w:id="2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ordinary shares other than in the form of ADSs.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depositary bank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distribute the rights to you if:</w:t>
      </w:r>
    </w:p>
    <w:p>
      <w:pPr>
        <w:spacing w:after="0" w:line="211" w:lineRule="exact"/>
        <w:rPr>
          <w:sz w:val="20"/>
          <w:szCs w:val="20"/>
          <w:color w:val="auto"/>
        </w:rPr>
      </w:pPr>
    </w:p>
    <w:p>
      <w:pPr>
        <w:ind w:left="980" w:hanging="493"/>
        <w:spacing w:after="0"/>
        <w:tabs>
          <w:tab w:leader="none" w:pos="9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We do not timely request that the rights be distributed to you or we request that the rights not be distributed to you; or</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We fail to deliver satisfactory documents to the depositary bank; or</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It is not reasonably practicable to distribute the rights.</w:t>
      </w:r>
    </w:p>
    <w:p>
      <w:pPr>
        <w:spacing w:after="0" w:line="195" w:lineRule="exact"/>
        <w:rPr>
          <w:sz w:val="20"/>
          <w:szCs w:val="20"/>
          <w:color w:val="auto"/>
        </w:rPr>
      </w:pPr>
    </w:p>
    <w:p>
      <w:pPr>
        <w:ind w:right="160" w:firstLine="439"/>
        <w:spacing w:after="0" w:line="249" w:lineRule="auto"/>
        <w:rPr>
          <w:sz w:val="20"/>
          <w:szCs w:val="20"/>
          <w:color w:val="auto"/>
        </w:rPr>
      </w:pPr>
      <w:r>
        <w:rPr>
          <w:rFonts w:ascii="Arial" w:cs="Arial" w:eastAsia="Arial" w:hAnsi="Arial"/>
          <w:sz w:val="16"/>
          <w:szCs w:val="16"/>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Elective Distributions</w:t>
      </w:r>
    </w:p>
    <w:p>
      <w:pPr>
        <w:spacing w:after="0" w:line="213" w:lineRule="exact"/>
        <w:rPr>
          <w:sz w:val="20"/>
          <w:szCs w:val="20"/>
          <w:color w:val="auto"/>
        </w:rPr>
      </w:pPr>
    </w:p>
    <w:p>
      <w:pPr>
        <w:ind w:right="100" w:firstLine="442"/>
        <w:spacing w:after="0" w:line="244" w:lineRule="auto"/>
        <w:rPr>
          <w:sz w:val="20"/>
          <w:szCs w:val="20"/>
          <w:color w:val="auto"/>
        </w:rPr>
      </w:pPr>
      <w:r>
        <w:rPr>
          <w:rFonts w:ascii="Arial" w:cs="Arial" w:eastAsia="Arial" w:hAnsi="Arial"/>
          <w:sz w:val="16"/>
          <w:szCs w:val="16"/>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85" w:lineRule="exact"/>
        <w:rPr>
          <w:sz w:val="20"/>
          <w:szCs w:val="20"/>
          <w:color w:val="auto"/>
        </w:rPr>
      </w:pPr>
    </w:p>
    <w:p>
      <w:pPr>
        <w:ind w:right="20" w:firstLine="439"/>
        <w:spacing w:after="0" w:line="244" w:lineRule="auto"/>
        <w:rPr>
          <w:sz w:val="20"/>
          <w:szCs w:val="20"/>
          <w:color w:val="auto"/>
        </w:rPr>
      </w:pPr>
      <w:r>
        <w:rPr>
          <w:rFonts w:ascii="Arial" w:cs="Arial" w:eastAsia="Arial" w:hAnsi="Arial"/>
          <w:sz w:val="16"/>
          <w:szCs w:val="16"/>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85" w:lineRule="exact"/>
        <w:rPr>
          <w:sz w:val="20"/>
          <w:szCs w:val="20"/>
          <w:color w:val="auto"/>
        </w:rPr>
      </w:pPr>
    </w:p>
    <w:p>
      <w:pPr>
        <w:ind w:right="180" w:firstLine="442"/>
        <w:spacing w:after="0" w:line="249" w:lineRule="auto"/>
        <w:rPr>
          <w:sz w:val="20"/>
          <w:szCs w:val="20"/>
          <w:color w:val="auto"/>
        </w:rPr>
      </w:pPr>
      <w:r>
        <w:rPr>
          <w:rFonts w:ascii="Arial" w:cs="Arial" w:eastAsia="Arial" w:hAnsi="Arial"/>
          <w:sz w:val="16"/>
          <w:szCs w:val="16"/>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Distributions</w:t>
      </w:r>
    </w:p>
    <w:p>
      <w:pPr>
        <w:spacing w:after="0" w:line="213" w:lineRule="exact"/>
        <w:rPr>
          <w:sz w:val="20"/>
          <w:szCs w:val="20"/>
          <w:color w:val="auto"/>
        </w:rPr>
      </w:pPr>
    </w:p>
    <w:p>
      <w:pPr>
        <w:ind w:right="80" w:firstLine="442"/>
        <w:spacing w:after="0" w:line="244" w:lineRule="auto"/>
        <w:rPr>
          <w:sz w:val="20"/>
          <w:szCs w:val="20"/>
          <w:color w:val="auto"/>
        </w:rPr>
      </w:pPr>
      <w:r>
        <w:rPr>
          <w:rFonts w:ascii="Arial" w:cs="Arial" w:eastAsia="Arial" w:hAnsi="Arial"/>
          <w:sz w:val="16"/>
          <w:szCs w:val="16"/>
          <w:color w:val="auto"/>
        </w:rPr>
        <w:t>Whenever we intend to distribute property other than cash, ordinary shares or rights to subscribe for additional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85" w:lineRule="exact"/>
        <w:rPr>
          <w:sz w:val="20"/>
          <w:szCs w:val="20"/>
          <w:color w:val="auto"/>
        </w:rPr>
      </w:pPr>
    </w:p>
    <w:p>
      <w:pPr>
        <w:ind w:right="60" w:firstLine="442"/>
        <w:spacing w:after="0" w:line="249" w:lineRule="auto"/>
        <w:rPr>
          <w:sz w:val="20"/>
          <w:szCs w:val="20"/>
          <w:color w:val="auto"/>
        </w:rPr>
      </w:pPr>
      <w:r>
        <w:rPr>
          <w:rFonts w:ascii="Arial" w:cs="Arial" w:eastAsia="Arial" w:hAnsi="Arial"/>
          <w:sz w:val="16"/>
          <w:szCs w:val="16"/>
          <w:color w:val="auto"/>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spacing w:after="0" w:line="181" w:lineRule="exact"/>
        <w:rPr>
          <w:sz w:val="20"/>
          <w:szCs w:val="20"/>
          <w:color w:val="auto"/>
        </w:rPr>
      </w:pPr>
    </w:p>
    <w:p>
      <w:pPr>
        <w:ind w:right="40" w:firstLine="439"/>
        <w:spacing w:after="0" w:line="249" w:lineRule="auto"/>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depositary bank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distribute the property to you and will sell the property if:</w:t>
      </w:r>
    </w:p>
    <w:p>
      <w:pPr>
        <w:spacing w:after="0" w:line="211" w:lineRule="exact"/>
        <w:rPr>
          <w:sz w:val="20"/>
          <w:szCs w:val="20"/>
          <w:color w:val="auto"/>
        </w:rPr>
      </w:pPr>
    </w:p>
    <w:p>
      <w:pPr>
        <w:ind w:left="980" w:hanging="493"/>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do not request that the property be distributed to you or if we request that the property not be distributed to you; or</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do not deliver satisfactory documents to the depositary bank; 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1" w:name="page222"/>
    <w:bookmarkEnd w:id="2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40" w:right="2980" w:firstLine="47"/>
        <w:spacing w:after="0" w:line="482" w:lineRule="auto"/>
        <w:tabs>
          <w:tab w:leader="none" w:pos="97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depositary bank determines that all or a portion of the distribution to you is not reasonably practicable. The proceeds of such a sale will be distributed to holders as in the case of a cash distribution.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Redemption</w:t>
      </w:r>
    </w:p>
    <w:p>
      <w:pPr>
        <w:spacing w:after="0" w:line="213"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81" w:lineRule="exact"/>
        <w:rPr>
          <w:sz w:val="20"/>
          <w:szCs w:val="20"/>
          <w:color w:val="auto"/>
        </w:rPr>
      </w:pPr>
    </w:p>
    <w:p>
      <w:pPr>
        <w:ind w:right="260" w:firstLine="439"/>
        <w:spacing w:after="0" w:line="241" w:lineRule="auto"/>
        <w:rPr>
          <w:sz w:val="20"/>
          <w:szCs w:val="20"/>
          <w:color w:val="auto"/>
        </w:rPr>
      </w:pPr>
      <w:r>
        <w:rPr>
          <w:rFonts w:ascii="Arial" w:cs="Arial" w:eastAsia="Arial" w:hAnsi="Arial"/>
          <w:sz w:val="16"/>
          <w:szCs w:val="16"/>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the depositary bank may determine.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Affecting Ordinary Shares</w:t>
      </w:r>
    </w:p>
    <w:p>
      <w:pPr>
        <w:spacing w:after="0" w:line="213" w:lineRule="exact"/>
        <w:rPr>
          <w:sz w:val="20"/>
          <w:szCs w:val="20"/>
          <w:color w:val="auto"/>
        </w:rPr>
      </w:pPr>
    </w:p>
    <w:p>
      <w:pPr>
        <w:ind w:right="140" w:firstLine="439"/>
        <w:spacing w:after="0" w:line="244" w:lineRule="auto"/>
        <w:rPr>
          <w:sz w:val="20"/>
          <w:szCs w:val="20"/>
          <w:color w:val="auto"/>
        </w:rPr>
      </w:pPr>
      <w:r>
        <w:rPr>
          <w:rFonts w:ascii="Arial" w:cs="Arial" w:eastAsia="Arial" w:hAnsi="Arial"/>
          <w:sz w:val="16"/>
          <w:szCs w:val="16"/>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185" w:lineRule="exact"/>
        <w:rPr>
          <w:sz w:val="20"/>
          <w:szCs w:val="20"/>
          <w:color w:val="auto"/>
        </w:rPr>
      </w:pPr>
    </w:p>
    <w:p>
      <w:pPr>
        <w:ind w:right="140" w:firstLine="442"/>
        <w:spacing w:after="0" w:line="241"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bank may not lawfully distribute such property to you, the depositary bank may sell such property and distribute the net proceeds to you as in the case of a cash distribution.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Issuance of ADSs upon Deposit of Ordinary Shares</w:t>
      </w:r>
    </w:p>
    <w:p>
      <w:pPr>
        <w:spacing w:after="0" w:line="215" w:lineRule="exact"/>
        <w:rPr>
          <w:sz w:val="20"/>
          <w:szCs w:val="20"/>
          <w:color w:val="auto"/>
        </w:rPr>
      </w:pPr>
    </w:p>
    <w:p>
      <w:pPr>
        <w:ind w:right="240" w:firstLine="442"/>
        <w:spacing w:after="0" w:line="242" w:lineRule="auto"/>
        <w:rPr>
          <w:sz w:val="20"/>
          <w:szCs w:val="20"/>
          <w:color w:val="auto"/>
        </w:rPr>
      </w:pPr>
      <w:r>
        <w:rPr>
          <w:rFonts w:ascii="Arial" w:cs="Arial" w:eastAsia="Arial" w:hAnsi="Arial"/>
          <w:sz w:val="16"/>
          <w:szCs w:val="16"/>
          <w:color w:val="auto"/>
        </w:rPr>
        <w:t>Upon completion of the offering, the ordinary shares being offered pursuant to the prospectus will be deposited by us with the custodian. Upon receipt of confirmation of such deposit, the depositary bank will issue ADSs to the underwriters named in the prospectus. After the completion of the offering, the ordinary shares that are being offered for sale pursuant to the prospectus will be deposited by us with the custodian. Upon receipt of confirmation of such deposit, the depositary bank will issue ADSs to the underwriters named in the prospectus.</w:t>
      </w:r>
    </w:p>
    <w:p>
      <w:pPr>
        <w:spacing w:after="0" w:line="187" w:lineRule="exact"/>
        <w:rPr>
          <w:sz w:val="20"/>
          <w:szCs w:val="20"/>
          <w:color w:val="auto"/>
        </w:rPr>
      </w:pPr>
    </w:p>
    <w:p>
      <w:pPr>
        <w:ind w:right="120" w:firstLine="433"/>
        <w:spacing w:after="0" w:line="242" w:lineRule="auto"/>
        <w:rPr>
          <w:sz w:val="20"/>
          <w:szCs w:val="20"/>
          <w:color w:val="auto"/>
        </w:rPr>
      </w:pPr>
      <w:r>
        <w:rPr>
          <w:rFonts w:ascii="Arial" w:cs="Arial" w:eastAsia="Arial" w:hAnsi="Arial"/>
          <w:sz w:val="16"/>
          <w:szCs w:val="16"/>
          <w:color w:val="auto"/>
        </w:rPr>
        <w:t>After the closing of the offer, the depositary bank may create ADSs on your behalf if you or your broker deposit ordinary shares with the custodian. The depositary bank will deliver these ADSs to the person you indicate only after you pay any applicable issuance fees and any charges and taxes payable for the transfer of the ordinary shares to the custodian. Your ability to deposit ordinary shares and receive ADSs may be limited by U.S. and English legal considerations applicable at the time of deposit.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2" w:name="page223"/>
    <w:bookmarkEnd w:id="2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0" w:firstLine="439"/>
        <w:spacing w:after="0" w:line="249" w:lineRule="auto"/>
        <w:rPr>
          <w:sz w:val="20"/>
          <w:szCs w:val="20"/>
          <w:color w:val="auto"/>
        </w:rPr>
      </w:pPr>
      <w:r>
        <w:rPr>
          <w:rFonts w:ascii="Arial" w:cs="Arial" w:eastAsia="Arial" w:hAnsi="Arial"/>
          <w:sz w:val="16"/>
          <w:szCs w:val="16"/>
          <w:color w:val="auto"/>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spacing w:after="0" w:line="181" w:lineRule="exact"/>
        <w:rPr>
          <w:sz w:val="20"/>
          <w:szCs w:val="20"/>
          <w:color w:val="auto"/>
        </w:rPr>
      </w:pPr>
    </w:p>
    <w:p>
      <w:pPr>
        <w:ind w:right="580" w:firstLine="442"/>
        <w:spacing w:after="0" w:line="249" w:lineRule="auto"/>
        <w:rPr>
          <w:sz w:val="20"/>
          <w:szCs w:val="20"/>
          <w:color w:val="auto"/>
        </w:rPr>
      </w:pPr>
      <w:r>
        <w:rPr>
          <w:rFonts w:ascii="Arial" w:cs="Arial" w:eastAsia="Arial" w:hAnsi="Arial"/>
          <w:sz w:val="16"/>
          <w:szCs w:val="16"/>
          <w:color w:val="auto"/>
        </w:rPr>
        <w:t>When you make a deposit of ordinary shares, you will be responsible for transferring good and valid title to the depositary bank. As such, you will be deemed to represent and warrant that:</w:t>
      </w:r>
    </w:p>
    <w:p>
      <w:pPr>
        <w:spacing w:after="0" w:line="181" w:lineRule="exact"/>
        <w:rPr>
          <w:sz w:val="20"/>
          <w:szCs w:val="20"/>
          <w:color w:val="auto"/>
        </w:rPr>
      </w:pPr>
    </w:p>
    <w:p>
      <w:pPr>
        <w:ind w:left="980" w:hanging="493"/>
        <w:spacing w:after="0"/>
        <w:tabs>
          <w:tab w:leader="none" w:pos="9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ordinary shares are duly authorized, validly issued, fully paid, non-assessable and legally obtained.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All preemptive (and similar) rights, if any, with respect to such ordinary shares have been validly waived or exercised.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You are duly authorized to deposit the ordinary shares.</w:t>
      </w:r>
    </w:p>
    <w:p>
      <w:pPr>
        <w:spacing w:after="0" w:line="182" w:lineRule="exact"/>
        <w:rPr>
          <w:rFonts w:ascii="Arial" w:cs="Arial" w:eastAsia="Arial" w:hAnsi="Arial"/>
          <w:sz w:val="16"/>
          <w:szCs w:val="16"/>
          <w:color w:val="auto"/>
        </w:rPr>
      </w:pPr>
    </w:p>
    <w:p>
      <w:pPr>
        <w:ind w:left="980" w:hanging="493"/>
        <w:spacing w:after="0" w:line="249" w:lineRule="auto"/>
        <w:tabs>
          <w:tab w:leader="none" w:pos="9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ordinary shares presented for deposit have not been stripped of any rights or entitlements.</w:t>
      </w:r>
    </w:p>
    <w:p>
      <w:pPr>
        <w:spacing w:after="0" w:line="195" w:lineRule="exact"/>
        <w:rPr>
          <w:sz w:val="20"/>
          <w:szCs w:val="20"/>
          <w:color w:val="auto"/>
        </w:rPr>
      </w:pPr>
    </w:p>
    <w:p>
      <w:pPr>
        <w:ind w:right="340" w:firstLine="442"/>
        <w:spacing w:after="0" w:line="249" w:lineRule="auto"/>
        <w:rPr>
          <w:sz w:val="20"/>
          <w:szCs w:val="20"/>
          <w:color w:val="auto"/>
        </w:rPr>
      </w:pPr>
      <w:r>
        <w:rPr>
          <w:rFonts w:ascii="Arial" w:cs="Arial" w:eastAsia="Arial" w:hAnsi="Arial"/>
          <w:sz w:val="16"/>
          <w:szCs w:val="16"/>
          <w:color w:val="auto"/>
        </w:rPr>
        <w:t>If any of the representations or warranties are incorrect in any way, we and the depositary bank may, at your cost and expense, take any and all actions necessary to correct the consequences of the misrepresentations.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Combination and Split Up of ADRs</w:t>
      </w:r>
    </w:p>
    <w:p>
      <w:pPr>
        <w:spacing w:after="0" w:line="215" w:lineRule="exact"/>
        <w:rPr>
          <w:sz w:val="20"/>
          <w:szCs w:val="20"/>
          <w:color w:val="auto"/>
        </w:rPr>
      </w:pPr>
    </w:p>
    <w:p>
      <w:pPr>
        <w:ind w:right="180" w:firstLine="433"/>
        <w:spacing w:after="0" w:line="249" w:lineRule="auto"/>
        <w:rPr>
          <w:sz w:val="20"/>
          <w:szCs w:val="20"/>
          <w:color w:val="auto"/>
        </w:rPr>
      </w:pPr>
      <w:r>
        <w:rPr>
          <w:rFonts w:ascii="Arial" w:cs="Arial" w:eastAsia="Arial" w:hAnsi="Arial"/>
          <w:sz w:val="16"/>
          <w:szCs w:val="16"/>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181" w:lineRule="exact"/>
        <w:rPr>
          <w:sz w:val="20"/>
          <w:szCs w:val="20"/>
          <w:color w:val="auto"/>
        </w:rPr>
      </w:pPr>
    </w:p>
    <w:p>
      <w:pPr>
        <w:ind w:left="980" w:hanging="493"/>
        <w:spacing w:after="0"/>
        <w:tabs>
          <w:tab w:leader="none" w:pos="9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ensure that the surrendered ADR is properly endorsed or otherwise in proper form for transfer;</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provide such proof of identity and genuineness of signatures as the depositary bank deems appropriate;</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provide any transfer stamps required by the State of New York or the United States; and</w:t>
      </w:r>
    </w:p>
    <w:p>
      <w:pPr>
        <w:spacing w:after="0" w:line="182" w:lineRule="exact"/>
        <w:rPr>
          <w:rFonts w:ascii="Arial" w:cs="Arial" w:eastAsia="Arial" w:hAnsi="Arial"/>
          <w:sz w:val="16"/>
          <w:szCs w:val="16"/>
          <w:color w:val="auto"/>
        </w:rPr>
      </w:pPr>
    </w:p>
    <w:p>
      <w:pPr>
        <w:ind w:left="980" w:right="460" w:hanging="493"/>
        <w:spacing w:after="0" w:line="249" w:lineRule="auto"/>
        <w:tabs>
          <w:tab w:leader="none" w:pos="9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pay all applicable fees, charges, expenses, taxes and other government charges payable by ADR holders pursuant to the terms of the deposit agreement, upon the transfer of ADRs.</w:t>
      </w:r>
    </w:p>
    <w:p>
      <w:pPr>
        <w:spacing w:after="0" w:line="181" w:lineRule="exact"/>
        <w:rPr>
          <w:sz w:val="20"/>
          <w:szCs w:val="20"/>
          <w:color w:val="auto"/>
        </w:rPr>
      </w:pPr>
    </w:p>
    <w:p>
      <w:pPr>
        <w:ind w:right="140" w:firstLine="439"/>
        <w:spacing w:after="0" w:line="244" w:lineRule="auto"/>
        <w:rPr>
          <w:sz w:val="20"/>
          <w:szCs w:val="20"/>
          <w:color w:val="auto"/>
        </w:rPr>
      </w:pPr>
      <w:r>
        <w:rPr>
          <w:rFonts w:ascii="Arial" w:cs="Arial" w:eastAsia="Arial" w:hAnsi="Arial"/>
          <w:sz w:val="16"/>
          <w:szCs w:val="16"/>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Withdrawal of Ordinary Shares Upon Cancellation of ADSs</w:t>
      </w:r>
    </w:p>
    <w:p>
      <w:pPr>
        <w:spacing w:after="0" w:line="215" w:lineRule="exact"/>
        <w:rPr>
          <w:sz w:val="20"/>
          <w:szCs w:val="20"/>
          <w:color w:val="auto"/>
        </w:rPr>
      </w:pPr>
    </w:p>
    <w:p>
      <w:pPr>
        <w:ind w:right="40" w:firstLine="433"/>
        <w:spacing w:after="0" w:line="241" w:lineRule="auto"/>
        <w:rPr>
          <w:sz w:val="20"/>
          <w:szCs w:val="20"/>
          <w:color w:val="auto"/>
        </w:rPr>
      </w:pPr>
      <w:r>
        <w:rPr>
          <w:rFonts w:ascii="Arial" w:cs="Arial" w:eastAsia="Arial" w:hAnsi="Arial"/>
          <w:sz w:val="16"/>
          <w:szCs w:val="16"/>
          <w:color w:val="auto"/>
        </w:rPr>
        <w:t>As a holder, you will be entitled to present your ADSs to the depositary bank for cancellation and then receive the corresponding number of underlying ordinary shares at the custodian's offices. Your ability to withdraw the ordinary shares held in respect of the ADSs may be limited by U.S. and English law considerations applicable at the time of withdrawal. In order to withdraw the ordinary 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23" w:name="page224"/>
    <w:bookmarkEnd w:id="2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will have the right to withdraw the securities represented by your ADSs at any time except for:</w:t>
      </w:r>
    </w:p>
    <w:p>
      <w:pPr>
        <w:spacing w:after="0" w:line="195" w:lineRule="exact"/>
        <w:rPr>
          <w:sz w:val="20"/>
          <w:szCs w:val="20"/>
          <w:color w:val="auto"/>
        </w:rPr>
      </w:pPr>
    </w:p>
    <w:p>
      <w:pPr>
        <w:ind w:left="980" w:right="160" w:hanging="493"/>
        <w:spacing w:after="0" w:line="249" w:lineRule="auto"/>
        <w:tabs>
          <w:tab w:leader="none" w:pos="9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Temporary delays that may arise because (i) the transfer books for the ordinary shares or ADSs are closed, or (ii) ordinary shares are immobilized on account of a shareholders' meeting or a payment of dividends.</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Obligations to pay fees, taxes and similar charges.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Restrictions imposed because of laws or regulations applicable to ADSs or the withdrawal of securities on deposit.</w:t>
      </w:r>
    </w:p>
    <w:p>
      <w:pPr>
        <w:spacing w:after="0" w:line="195" w:lineRule="exact"/>
        <w:rPr>
          <w:sz w:val="20"/>
          <w:szCs w:val="20"/>
          <w:color w:val="auto"/>
        </w:rPr>
      </w:pPr>
    </w:p>
    <w:p>
      <w:pPr>
        <w:ind w:right="380" w:firstLine="439"/>
        <w:spacing w:after="0" w:line="249" w:lineRule="auto"/>
        <w:rPr>
          <w:sz w:val="20"/>
          <w:szCs w:val="20"/>
          <w:color w:val="auto"/>
        </w:rPr>
      </w:pPr>
      <w:r>
        <w:rPr>
          <w:rFonts w:ascii="Arial" w:cs="Arial" w:eastAsia="Arial" w:hAnsi="Arial"/>
          <w:sz w:val="16"/>
          <w:szCs w:val="16"/>
          <w:color w:val="auto"/>
        </w:rPr>
        <w:t>The deposit agreement may not be modified to impair your right to withdraw the securities represented by your ADSs except to comply with mandatory provisions of law.</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15" w:lineRule="exact"/>
        <w:rPr>
          <w:sz w:val="20"/>
          <w:szCs w:val="20"/>
          <w:color w:val="auto"/>
        </w:rPr>
      </w:pPr>
    </w:p>
    <w:p>
      <w:pPr>
        <w:ind w:right="260" w:firstLine="433"/>
        <w:spacing w:after="0" w:line="249" w:lineRule="auto"/>
        <w:rPr>
          <w:sz w:val="20"/>
          <w:szCs w:val="20"/>
          <w:color w:val="auto"/>
        </w:rPr>
      </w:pPr>
      <w:r>
        <w:rPr>
          <w:rFonts w:ascii="Arial" w:cs="Arial" w:eastAsia="Arial" w:hAnsi="Arial"/>
          <w:sz w:val="16"/>
          <w:szCs w:val="16"/>
          <w:color w:val="auto"/>
        </w:rPr>
        <w:t>As a holder, you generally have the right under the deposit agreement to instruct the depositary bank to exercise the voting rights for the ordinary shares represented by your ADSs. The voting rights of holders of ordinary shares are described in "Description of Share Capital and Articles of Association."</w:t>
      </w:r>
    </w:p>
    <w:p>
      <w:pPr>
        <w:spacing w:after="0" w:line="181" w:lineRule="exact"/>
        <w:rPr>
          <w:sz w:val="20"/>
          <w:szCs w:val="20"/>
          <w:color w:val="auto"/>
        </w:rPr>
      </w:pPr>
    </w:p>
    <w:p>
      <w:pPr>
        <w:ind w:right="220" w:firstLine="433"/>
        <w:spacing w:after="0" w:line="244" w:lineRule="auto"/>
        <w:rPr>
          <w:sz w:val="20"/>
          <w:szCs w:val="20"/>
          <w:color w:val="auto"/>
        </w:rPr>
      </w:pPr>
      <w:r>
        <w:rPr>
          <w:rFonts w:ascii="Arial" w:cs="Arial" w:eastAsia="Arial" w:hAnsi="Arial"/>
          <w:sz w:val="16"/>
          <w:szCs w:val="16"/>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185" w:lineRule="exact"/>
        <w:rPr>
          <w:sz w:val="20"/>
          <w:szCs w:val="20"/>
          <w:color w:val="auto"/>
        </w:rPr>
      </w:pPr>
    </w:p>
    <w:p>
      <w:pPr>
        <w:ind w:right="20" w:firstLine="442"/>
        <w:spacing w:after="0" w:line="249" w:lineRule="auto"/>
        <w:rPr>
          <w:sz w:val="20"/>
          <w:szCs w:val="20"/>
          <w:color w:val="auto"/>
        </w:rPr>
      </w:pPr>
      <w:r>
        <w:rPr>
          <w:rFonts w:ascii="Arial" w:cs="Arial" w:eastAsia="Arial" w:hAnsi="Arial"/>
          <w:sz w:val="16"/>
          <w:szCs w:val="16"/>
          <w:color w:val="auto"/>
        </w:rPr>
        <w:t>If the depositary bank timely receives voting instructions from a holder of ADSs, it will endeavor to vote the securities (in person or by proxy) represented by the holder's ADSs as follows:</w:t>
      </w:r>
    </w:p>
    <w:p>
      <w:pPr>
        <w:spacing w:after="0" w:line="165" w:lineRule="exact"/>
        <w:rPr>
          <w:sz w:val="20"/>
          <w:szCs w:val="20"/>
          <w:color w:val="auto"/>
        </w:rPr>
      </w:pPr>
    </w:p>
    <w:p>
      <w:pPr>
        <w:ind w:left="980" w:hanging="493"/>
        <w:spacing w:after="0" w:line="270" w:lineRule="auto"/>
        <w:tabs>
          <w:tab w:leader="none" w:pos="980"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In the event of voting by show of hands</w:t>
      </w:r>
      <w:r>
        <w:rPr>
          <w:rFonts w:ascii="Arial" w:cs="Arial" w:eastAsia="Arial" w:hAnsi="Arial"/>
          <w:sz w:val="16"/>
          <w:szCs w:val="16"/>
          <w:color w:val="auto"/>
        </w:rPr>
        <w:t>, the depositary bank will vote (or cause the custodian to vote) all ordinary shares held on deposit at that time</w:t>
      </w:r>
      <w:r>
        <w:rPr>
          <w:rFonts w:ascii="Arial" w:cs="Arial" w:eastAsia="Arial" w:hAnsi="Arial"/>
          <w:sz w:val="16"/>
          <w:szCs w:val="16"/>
          <w:i w:val="1"/>
          <w:iCs w:val="1"/>
          <w:color w:val="auto"/>
        </w:rPr>
        <w:t xml:space="preserve"> </w:t>
      </w:r>
      <w:r>
        <w:rPr>
          <w:rFonts w:ascii="Arial" w:cs="Arial" w:eastAsia="Arial" w:hAnsi="Arial"/>
          <w:sz w:val="16"/>
          <w:szCs w:val="16"/>
          <w:color w:val="auto"/>
        </w:rPr>
        <w:t>in accordance with the voting instructions received from a majority of holders of ADSs who provide timely voting instructions.</w:t>
      </w:r>
    </w:p>
    <w:p>
      <w:pPr>
        <w:spacing w:after="0" w:line="148" w:lineRule="exact"/>
        <w:rPr>
          <w:rFonts w:ascii="Arial" w:cs="Arial" w:eastAsia="Arial" w:hAnsi="Arial"/>
          <w:sz w:val="16"/>
          <w:szCs w:val="16"/>
          <w:color w:val="auto"/>
        </w:rPr>
      </w:pPr>
    </w:p>
    <w:p>
      <w:pPr>
        <w:ind w:left="980" w:right="140" w:hanging="493"/>
        <w:spacing w:after="0" w:line="270" w:lineRule="auto"/>
        <w:tabs>
          <w:tab w:leader="none" w:pos="980"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In the event of voting by poll</w:t>
      </w:r>
      <w:r>
        <w:rPr>
          <w:rFonts w:ascii="Arial" w:cs="Arial" w:eastAsia="Arial" w:hAnsi="Arial"/>
          <w:sz w:val="16"/>
          <w:szCs w:val="16"/>
          <w:color w:val="auto"/>
        </w:rPr>
        <w:t>, the depositary bank will vote (or cause the Custodian to vote) the ordinary shares held on deposit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voting instructions received from the holders of ADSs.</w:t>
      </w:r>
    </w:p>
    <w:p>
      <w:pPr>
        <w:spacing w:after="0" w:line="164"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Securities for which no voting instructions have been received will not be voted (except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24" w:name="page225"/>
    <w:bookmarkEnd w:id="2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Fees and Charges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an ADS holder, you will be required to pay the following fees under the terms of the deposit agreement:</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660" w:type="dxa"/>
            <w:vAlign w:val="bottom"/>
            <w:gridSpan w:val="2"/>
          </w:tcPr>
          <w:p>
            <w:pPr>
              <w:spacing w:after="0"/>
              <w:rPr>
                <w:sz w:val="20"/>
                <w:szCs w:val="20"/>
                <w:color w:val="auto"/>
              </w:rPr>
            </w:pPr>
            <w:r>
              <w:rPr>
                <w:rFonts w:ascii="Arial" w:cs="Arial" w:eastAsia="Arial" w:hAnsi="Arial"/>
                <w:sz w:val="16"/>
                <w:szCs w:val="16"/>
                <w:color w:val="auto"/>
              </w:rPr>
              <w:t>Service</w:t>
            </w:r>
          </w:p>
        </w:tc>
        <w:tc>
          <w:tcPr>
            <w:tcW w:w="140" w:type="dxa"/>
            <w:vAlign w:val="bottom"/>
          </w:tcPr>
          <w:p>
            <w:pPr>
              <w:spacing w:after="0"/>
              <w:rPr>
                <w:sz w:val="16"/>
                <w:szCs w:val="16"/>
                <w:color w:val="auto"/>
              </w:rPr>
            </w:pPr>
          </w:p>
        </w:tc>
        <w:tc>
          <w:tcPr>
            <w:tcW w:w="2360" w:type="dxa"/>
            <w:vAlign w:val="bottom"/>
          </w:tcPr>
          <w:p>
            <w:pPr>
              <w:ind w:left="1000"/>
              <w:spacing w:after="0"/>
              <w:rPr>
                <w:sz w:val="20"/>
                <w:szCs w:val="20"/>
                <w:color w:val="auto"/>
              </w:rPr>
            </w:pPr>
            <w:r>
              <w:rPr>
                <w:rFonts w:ascii="Arial" w:cs="Arial" w:eastAsia="Arial" w:hAnsi="Arial"/>
                <w:sz w:val="16"/>
                <w:szCs w:val="16"/>
                <w:color w:val="auto"/>
              </w:rPr>
              <w:t>Fees</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66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 Issuance of ADSs (e.g., an issuance of ADS upon a deposit of ordinary shares, upon a</w:t>
            </w:r>
          </w:p>
        </w:tc>
        <w:tc>
          <w:tcPr>
            <w:tcW w:w="250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Up to U.S. 5¢ per ADS issued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the ADS(s)-to-ordinary-share(s) ratio, or for any other reason), excluding ADS</w:t>
            </w:r>
          </w:p>
        </w:tc>
        <w:tc>
          <w:tcPr>
            <w:tcW w:w="14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issuances as a result of distributions of shares)</w:t>
            </w:r>
          </w:p>
        </w:tc>
        <w:tc>
          <w:tcPr>
            <w:tcW w:w="14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ectPr>
          <w:pgSz w:w="11900" w:h="16838" w:orient="portrait"/>
          <w:cols w:equalWidth="0" w:num="1">
            <w:col w:w="11360"/>
          </w:cols>
          <w:pgMar w:left="240" w:top="142" w:right="299" w:bottom="1440" w:gutter="0" w:footer="0" w:header="0"/>
        </w:sectPr>
      </w:pPr>
    </w:p>
    <w:p>
      <w:pPr>
        <w:ind w:left="1300" w:hanging="159"/>
        <w:spacing w:after="0" w:line="249" w:lineRule="auto"/>
        <w:tabs>
          <w:tab w:leader="none" w:pos="1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Cancellation of ADSs (e.g., a cancellation of ADSs for delivery of deposited property, upon a change in the ADS(s)-to-ordinary-share(s) ratio, or for any other reason)</w:t>
      </w:r>
    </w:p>
    <w:p>
      <w:pPr>
        <w:spacing w:after="0" w:line="168" w:lineRule="exact"/>
        <w:rPr>
          <w:rFonts w:ascii="Arial" w:cs="Arial" w:eastAsia="Arial" w:hAnsi="Arial"/>
          <w:sz w:val="16"/>
          <w:szCs w:val="16"/>
          <w:color w:val="auto"/>
        </w:rPr>
      </w:pPr>
    </w:p>
    <w:p>
      <w:pPr>
        <w:ind w:left="1300" w:right="360" w:hanging="159"/>
        <w:spacing w:after="0" w:line="249" w:lineRule="auto"/>
        <w:tabs>
          <w:tab w:leader="none" w:pos="1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Distribution of cash dividends or other cash distributions (e.g., upon a sale of rights and other entitlements)</w:t>
      </w:r>
    </w:p>
    <w:p>
      <w:pPr>
        <w:spacing w:after="0" w:line="168" w:lineRule="exact"/>
        <w:rPr>
          <w:rFonts w:ascii="Arial" w:cs="Arial" w:eastAsia="Arial" w:hAnsi="Arial"/>
          <w:sz w:val="16"/>
          <w:szCs w:val="16"/>
          <w:color w:val="auto"/>
        </w:rPr>
      </w:pPr>
    </w:p>
    <w:p>
      <w:pPr>
        <w:ind w:left="1300" w:right="460" w:hanging="159"/>
        <w:spacing w:after="0" w:line="249" w:lineRule="auto"/>
        <w:tabs>
          <w:tab w:leader="none" w:pos="1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Distribution of ADSs pursuant to (i) stock dividends or other free stock distributions, or (ii) exercise of rights to purchase additional ADSs</w:t>
      </w:r>
    </w:p>
    <w:p>
      <w:pPr>
        <w:spacing w:after="0" w:line="168" w:lineRule="exact"/>
        <w:rPr>
          <w:rFonts w:ascii="Arial" w:cs="Arial" w:eastAsia="Arial" w:hAnsi="Arial"/>
          <w:sz w:val="16"/>
          <w:szCs w:val="16"/>
          <w:color w:val="auto"/>
        </w:rPr>
      </w:pPr>
    </w:p>
    <w:p>
      <w:pPr>
        <w:ind w:left="1300" w:right="100" w:hanging="159"/>
        <w:spacing w:after="0" w:line="249" w:lineRule="auto"/>
        <w:tabs>
          <w:tab w:leader="none" w:pos="1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Distribution of securities other than ADSs or rights to purchase additional ADSs (e.g., upon a spin-off)</w:t>
      </w:r>
    </w:p>
    <w:p>
      <w:pPr>
        <w:spacing w:after="0" w:line="168" w:lineRule="exact"/>
        <w:rPr>
          <w:rFonts w:ascii="Arial" w:cs="Arial" w:eastAsia="Arial" w:hAnsi="Arial"/>
          <w:sz w:val="16"/>
          <w:szCs w:val="16"/>
          <w:color w:val="auto"/>
        </w:rPr>
      </w:pPr>
    </w:p>
    <w:p>
      <w:pPr>
        <w:ind w:left="1300" w:hanging="159"/>
        <w:spacing w:after="0"/>
        <w:tabs>
          <w:tab w:leader="none" w:pos="1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ADS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-1282700</wp:posOffset>
            </wp:positionV>
            <wp:extent cx="5807710" cy="3492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07710" cy="34925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-583565</wp:posOffset>
            </wp:positionV>
            <wp:extent cx="5807710" cy="3492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07710" cy="34925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354965</wp:posOffset>
            </wp:positionV>
            <wp:extent cx="5807710" cy="4660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07710" cy="466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Up to U.S. 5¢ per ADS cancelled</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Up to U.S. 5¢ per ADS held</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Up to U.S. 5¢ per ADS held</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Up to U.S. 5¢ per ADS held</w:t>
      </w:r>
    </w:p>
    <w:p>
      <w:pPr>
        <w:spacing w:after="0" w:line="366" w:lineRule="exact"/>
        <w:rPr>
          <w:sz w:val="20"/>
          <w:szCs w:val="20"/>
          <w:color w:val="auto"/>
        </w:rPr>
      </w:pPr>
    </w:p>
    <w:p>
      <w:pPr>
        <w:ind w:right="1260"/>
        <w:spacing w:after="0" w:line="242" w:lineRule="auto"/>
        <w:rPr>
          <w:sz w:val="20"/>
          <w:szCs w:val="20"/>
          <w:color w:val="auto"/>
        </w:rPr>
      </w:pPr>
      <w:r>
        <w:rPr>
          <w:rFonts w:ascii="Arial" w:cs="Arial" w:eastAsia="Arial" w:hAnsi="Arial"/>
          <w:sz w:val="16"/>
          <w:szCs w:val="16"/>
          <w:color w:val="auto"/>
        </w:rPr>
        <w:t>Up to U.S. 5¢ per ADS held on the applicable record date(s) established by the depositary bank</w:t>
      </w:r>
    </w:p>
    <w:p>
      <w:pPr>
        <w:spacing w:after="0" w:line="175" w:lineRule="exact"/>
        <w:rPr>
          <w:sz w:val="20"/>
          <w:szCs w:val="20"/>
          <w:color w:val="auto"/>
        </w:rPr>
      </w:pPr>
    </w:p>
    <w:p>
      <w:pPr>
        <w:sectPr>
          <w:pgSz w:w="11900" w:h="16838" w:orient="portrait"/>
          <w:cols w:equalWidth="0" w:num="2">
            <w:col w:w="7780" w:space="160"/>
            <w:col w:w="3420"/>
          </w:cols>
          <w:pgMar w:left="240" w:top="142" w:right="299" w:bottom="1440" w:gutter="0" w:footer="0" w:header="0"/>
          <w:type w:val="continuous"/>
        </w:sectPr>
      </w:pPr>
    </w:p>
    <w:p>
      <w:pPr>
        <w:ind w:left="1300" w:right="360" w:hanging="159"/>
        <w:spacing w:after="0" w:line="244" w:lineRule="auto"/>
        <w:tabs>
          <w:tab w:leader="none" w:pos="13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Registration of ADS transfers (e.g., upon a registration of the transfer of registered ownership of ADSs, upon a transfer of ADSs into DTC and </w:t>
      </w:r>
      <w:r>
        <w:rPr>
          <w:rFonts w:ascii="Arial" w:cs="Arial" w:eastAsia="Arial" w:hAnsi="Arial"/>
          <w:sz w:val="16"/>
          <w:szCs w:val="16"/>
          <w:i w:val="1"/>
          <w:iCs w:val="1"/>
          <w:color w:val="auto"/>
        </w:rPr>
        <w:t>vice versa</w:t>
      </w:r>
      <w:r>
        <w:rPr>
          <w:rFonts w:ascii="Arial" w:cs="Arial" w:eastAsia="Arial" w:hAnsi="Arial"/>
          <w:sz w:val="16"/>
          <w:szCs w:val="16"/>
          <w:color w:val="auto"/>
        </w:rPr>
        <w:t>, or for any other reason)</w:t>
      </w:r>
    </w:p>
    <w:p>
      <w:pPr>
        <w:spacing w:after="0" w:line="172" w:lineRule="exact"/>
        <w:rPr>
          <w:rFonts w:ascii="Arial" w:cs="Arial" w:eastAsia="Arial" w:hAnsi="Arial"/>
          <w:sz w:val="16"/>
          <w:szCs w:val="16"/>
          <w:color w:val="auto"/>
        </w:rPr>
      </w:pPr>
    </w:p>
    <w:p>
      <w:pPr>
        <w:ind w:left="1300" w:hanging="159"/>
        <w:spacing w:after="0" w:line="268" w:lineRule="auto"/>
        <w:tabs>
          <w:tab w:leader="none" w:pos="130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Arial" w:cs="Arial" w:eastAsia="Arial" w:hAnsi="Arial"/>
          <w:sz w:val="15"/>
          <w:szCs w:val="15"/>
          <w:i w:val="1"/>
          <w:iCs w:val="1"/>
          <w:color w:val="auto"/>
        </w:rPr>
        <w:t>vice versa</w:t>
      </w:r>
      <w:r>
        <w:rPr>
          <w:rFonts w:ascii="Arial" w:cs="Arial" w:eastAsia="Arial" w:hAnsi="Arial"/>
          <w:sz w:val="15"/>
          <w:szCs w:val="15"/>
          <w:color w:val="auto"/>
        </w:rPr>
        <w: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an ADS holder you will also be responsible to pay certain charges such as:</w:t>
      </w:r>
    </w:p>
    <w:p>
      <w:pPr>
        <w:spacing w:after="0" w:line="20" w:lineRule="exact"/>
        <w:rPr>
          <w:sz w:val="20"/>
          <w:szCs w:val="20"/>
          <w:color w:val="auto"/>
        </w:rPr>
      </w:pPr>
      <w:r>
        <w:rPr>
          <w:sz w:val="20"/>
          <w:szCs w:val="20"/>
          <w:color w:val="auto"/>
        </w:rPr>
        <w:br w:type="column"/>
      </w:r>
    </w:p>
    <w:p>
      <w:pPr>
        <w:ind w:right="1500"/>
        <w:spacing w:after="0" w:line="282" w:lineRule="auto"/>
        <w:rPr>
          <w:sz w:val="20"/>
          <w:szCs w:val="20"/>
          <w:color w:val="auto"/>
        </w:rPr>
      </w:pPr>
      <w:r>
        <w:rPr>
          <w:rFonts w:ascii="Arial" w:cs="Arial" w:eastAsia="Arial" w:hAnsi="Arial"/>
          <w:sz w:val="15"/>
          <w:szCs w:val="15"/>
          <w:color w:val="auto"/>
        </w:rPr>
        <w:t>Up to U.S. 5¢ per ADS (or fraction thereof) transferred</w:t>
      </w:r>
    </w:p>
    <w:p>
      <w:pPr>
        <w:spacing w:after="0" w:line="328" w:lineRule="exact"/>
        <w:rPr>
          <w:sz w:val="20"/>
          <w:szCs w:val="20"/>
          <w:color w:val="auto"/>
        </w:rPr>
      </w:pPr>
    </w:p>
    <w:p>
      <w:pPr>
        <w:ind w:right="1560"/>
        <w:spacing w:after="0" w:line="282" w:lineRule="auto"/>
        <w:rPr>
          <w:sz w:val="20"/>
          <w:szCs w:val="20"/>
          <w:color w:val="auto"/>
        </w:rPr>
      </w:pPr>
      <w:r>
        <w:rPr>
          <w:rFonts w:ascii="Arial" w:cs="Arial" w:eastAsia="Arial" w:hAnsi="Arial"/>
          <w:sz w:val="15"/>
          <w:szCs w:val="15"/>
          <w:color w:val="auto"/>
        </w:rPr>
        <w:t>Up to U.S. 5¢ per ADS (or fraction thereof) converted</w:t>
      </w:r>
    </w:p>
    <w:p>
      <w:pPr>
        <w:spacing w:after="0" w:line="707" w:lineRule="exact"/>
        <w:rPr>
          <w:sz w:val="20"/>
          <w:szCs w:val="20"/>
          <w:color w:val="auto"/>
        </w:rPr>
      </w:pPr>
    </w:p>
    <w:p>
      <w:pPr>
        <w:sectPr>
          <w:pgSz w:w="11900" w:h="16838" w:orient="portrait"/>
          <w:cols w:equalWidth="0" w:num="2">
            <w:col w:w="7700" w:space="240"/>
            <w:col w:w="3420"/>
          </w:cols>
          <w:pgMar w:left="240" w:top="142" w:right="299" w:bottom="1440" w:gutter="0" w:footer="0" w:header="0"/>
          <w:type w:val="continuous"/>
        </w:sectPr>
      </w:pPr>
    </w:p>
    <w:p>
      <w:pPr>
        <w:ind w:left="980" w:hanging="493"/>
        <w:spacing w:after="0"/>
        <w:tabs>
          <w:tab w:leader="none" w:pos="9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taxes (including applicable interest and penalties) and other governmental charges;</w:t>
      </w:r>
    </w:p>
    <w:p>
      <w:pPr>
        <w:spacing w:after="0" w:line="195" w:lineRule="exact"/>
        <w:rPr>
          <w:rFonts w:ascii="Arial" w:cs="Arial" w:eastAsia="Arial" w:hAnsi="Arial"/>
          <w:sz w:val="16"/>
          <w:szCs w:val="16"/>
          <w:color w:val="auto"/>
        </w:rPr>
      </w:pPr>
    </w:p>
    <w:p>
      <w:pPr>
        <w:ind w:left="980" w:right="160" w:hanging="493"/>
        <w:spacing w:after="0" w:line="244" w:lineRule="auto"/>
        <w:tabs>
          <w:tab w:leader="none" w:pos="9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spacing w:after="0" w:line="172" w:lineRule="exact"/>
        <w:rPr>
          <w:rFonts w:ascii="Arial" w:cs="Arial" w:eastAsia="Arial" w:hAnsi="Arial"/>
          <w:sz w:val="16"/>
          <w:szCs w:val="16"/>
          <w:color w:val="auto"/>
        </w:rPr>
      </w:pPr>
    </w:p>
    <w:p>
      <w:pPr>
        <w:ind w:left="980" w:hanging="493"/>
        <w:spacing w:after="0"/>
        <w:tabs>
          <w:tab w:leader="none" w:pos="9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certain cable, telex and facsimile transmission and delivery expenses;</w:t>
      </w:r>
    </w:p>
    <w:p>
      <w:pPr>
        <w:spacing w:after="0" w:line="182" w:lineRule="exact"/>
        <w:rPr>
          <w:rFonts w:ascii="Arial" w:cs="Arial" w:eastAsia="Arial" w:hAnsi="Arial"/>
          <w:sz w:val="16"/>
          <w:szCs w:val="16"/>
          <w:color w:val="auto"/>
        </w:rPr>
      </w:pPr>
    </w:p>
    <w:p>
      <w:pPr>
        <w:ind w:left="980" w:hanging="493"/>
        <w:spacing w:after="0" w:line="249" w:lineRule="auto"/>
        <w:tabs>
          <w:tab w:leader="none" w:pos="9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fees, expenses, spreads, taxes and other charges of the depositary bank and/or service providers (which may be a division, branch or affiliate of the depositary bank) in the conversion of foreign currency;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type w:val="continuous"/>
        </w:sectPr>
      </w:pPr>
    </w:p>
    <w:bookmarkStart w:id="225" w:name="page226"/>
    <w:bookmarkEnd w:id="2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right="620" w:hanging="493"/>
        <w:spacing w:after="0" w:line="249" w:lineRule="auto"/>
        <w:tabs>
          <w:tab w:leader="none" w:pos="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reasonable and customary out-of-pocket expenses incurred by the depositary bank in connection with compliance with exchange control regulations and other regulatory requirements applicable to ordinary shares, ADSs and ADRs; and</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bank, the custodian, or any nominee in connection with the ADR program.</w:t>
      </w:r>
    </w:p>
    <w:p>
      <w:pPr>
        <w:spacing w:after="0" w:line="195" w:lineRule="exact"/>
        <w:rPr>
          <w:sz w:val="20"/>
          <w:szCs w:val="20"/>
          <w:color w:val="auto"/>
        </w:rPr>
      </w:pPr>
    </w:p>
    <w:p>
      <w:pPr>
        <w:ind w:firstLine="433"/>
        <w:spacing w:after="0"/>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8"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and Termination</w:t>
      </w:r>
    </w:p>
    <w:p>
      <w:pPr>
        <w:spacing w:after="0" w:line="215"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6" w:name="page227"/>
    <w:bookmarkEnd w:id="2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60" w:firstLine="439"/>
        <w:spacing w:after="0" w:line="244" w:lineRule="auto"/>
        <w:rPr>
          <w:sz w:val="20"/>
          <w:szCs w:val="20"/>
          <w:color w:val="auto"/>
        </w:rPr>
      </w:pPr>
      <w:r>
        <w:rPr>
          <w:rFonts w:ascii="Arial" w:cs="Arial" w:eastAsia="Arial" w:hAnsi="Arial"/>
          <w:sz w:val="16"/>
          <w:szCs w:val="16"/>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85" w:lineRule="exact"/>
        <w:rPr>
          <w:sz w:val="20"/>
          <w:szCs w:val="20"/>
          <w:color w:val="auto"/>
        </w:rPr>
      </w:pPr>
    </w:p>
    <w:p>
      <w:pPr>
        <w:ind w:right="20" w:firstLine="442"/>
        <w:spacing w:after="0" w:line="244" w:lineRule="auto"/>
        <w:rPr>
          <w:sz w:val="20"/>
          <w:szCs w:val="20"/>
          <w:color w:val="auto"/>
        </w:rPr>
      </w:pPr>
      <w:r>
        <w:rPr>
          <w:rFonts w:ascii="Arial" w:cs="Arial" w:eastAsia="Arial" w:hAnsi="Arial"/>
          <w:sz w:val="16"/>
          <w:szCs w:val="16"/>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185" w:lineRule="exact"/>
        <w:rPr>
          <w:sz w:val="20"/>
          <w:szCs w:val="20"/>
          <w:color w:val="auto"/>
        </w:rPr>
      </w:pPr>
    </w:p>
    <w:p>
      <w:pPr>
        <w:jc w:val="both"/>
        <w:ind w:firstLine="433"/>
        <w:spacing w:after="0" w:line="242" w:lineRule="auto"/>
        <w:rPr>
          <w:sz w:val="20"/>
          <w:szCs w:val="20"/>
          <w:color w:val="auto"/>
        </w:rPr>
      </w:pPr>
      <w:r>
        <w:rPr>
          <w:rFonts w:ascii="Arial" w:cs="Arial" w:eastAsia="Arial" w:hAnsi="Arial"/>
          <w:sz w:val="16"/>
          <w:szCs w:val="16"/>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87" w:lineRule="exact"/>
        <w:rPr>
          <w:sz w:val="20"/>
          <w:szCs w:val="20"/>
          <w:color w:val="auto"/>
        </w:rPr>
      </w:pPr>
    </w:p>
    <w:p>
      <w:pPr>
        <w:ind w:right="80" w:firstLine="442"/>
        <w:spacing w:after="0" w:line="264" w:lineRule="auto"/>
        <w:rPr>
          <w:sz w:val="20"/>
          <w:szCs w:val="20"/>
          <w:color w:val="auto"/>
        </w:rPr>
      </w:pPr>
      <w:r>
        <w:rPr>
          <w:rFonts w:ascii="Arial" w:cs="Arial" w:eastAsia="Arial" w:hAnsi="Arial"/>
          <w:sz w:val="15"/>
          <w:szCs w:val="15"/>
          <w:color w:val="auto"/>
        </w:rPr>
        <w:t>In connection with any termination of the deposit agreement, the depositary bank may make available to owners of ADSs a means to withdraw the ordinary shares represented by ADSs and to direct the depositary of such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Books of Depositary</w:t>
      </w:r>
    </w:p>
    <w:p>
      <w:pPr>
        <w:spacing w:after="0" w:line="215" w:lineRule="exact"/>
        <w:rPr>
          <w:sz w:val="20"/>
          <w:szCs w:val="20"/>
          <w:color w:val="auto"/>
        </w:rPr>
      </w:pPr>
    </w:p>
    <w:p>
      <w:pPr>
        <w:ind w:right="20" w:firstLine="439"/>
        <w:spacing w:after="0" w:line="249" w:lineRule="auto"/>
        <w:rPr>
          <w:sz w:val="20"/>
          <w:szCs w:val="20"/>
          <w:color w:val="auto"/>
        </w:rPr>
      </w:pPr>
      <w:r>
        <w:rPr>
          <w:rFonts w:ascii="Arial" w:cs="Arial" w:eastAsia="Arial" w:hAnsi="Arial"/>
          <w:sz w:val="16"/>
          <w:szCs w:val="16"/>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81" w:lineRule="exact"/>
        <w:rPr>
          <w:sz w:val="20"/>
          <w:szCs w:val="20"/>
          <w:color w:val="auto"/>
        </w:rPr>
      </w:pPr>
    </w:p>
    <w:p>
      <w:pPr>
        <w:ind w:right="80" w:firstLine="439"/>
        <w:spacing w:after="0" w:line="249" w:lineRule="auto"/>
        <w:rPr>
          <w:sz w:val="20"/>
          <w:szCs w:val="20"/>
          <w:color w:val="auto"/>
        </w:rPr>
      </w:pPr>
      <w:r>
        <w:rPr>
          <w:rFonts w:ascii="Arial" w:cs="Arial" w:eastAsia="Arial" w:hAnsi="Arial"/>
          <w:sz w:val="16"/>
          <w:szCs w:val="16"/>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Obligations and Liabilities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deposit agreement limits our obligations and the depositary bank's obligations to you. Please note the following:</w:t>
      </w:r>
    </w:p>
    <w:p>
      <w:pPr>
        <w:spacing w:after="0" w:line="195" w:lineRule="exact"/>
        <w:rPr>
          <w:sz w:val="20"/>
          <w:szCs w:val="20"/>
          <w:color w:val="auto"/>
        </w:rPr>
      </w:pPr>
    </w:p>
    <w:p>
      <w:pPr>
        <w:ind w:left="980" w:hanging="493"/>
        <w:spacing w:after="0"/>
        <w:tabs>
          <w:tab w:leader="none" w:pos="9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We and the depositary bank are obligated only to take the actions specifically stated in the deposit agreement without negligence or bad faith.</w:t>
      </w:r>
    </w:p>
    <w:p>
      <w:pPr>
        <w:spacing w:after="0" w:line="195" w:lineRule="exact"/>
        <w:rPr>
          <w:rFonts w:ascii="Arial" w:cs="Arial" w:eastAsia="Arial" w:hAnsi="Arial"/>
          <w:sz w:val="16"/>
          <w:szCs w:val="16"/>
          <w:color w:val="auto"/>
        </w:rPr>
      </w:pPr>
    </w:p>
    <w:p>
      <w:pPr>
        <w:ind w:left="980" w:right="260" w:hanging="493"/>
        <w:spacing w:after="0" w:line="249" w:lineRule="auto"/>
        <w:tabs>
          <w:tab w:leader="none" w:pos="9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68" w:lineRule="exact"/>
        <w:rPr>
          <w:rFonts w:ascii="Arial" w:cs="Arial" w:eastAsia="Arial" w:hAnsi="Arial"/>
          <w:sz w:val="16"/>
          <w:szCs w:val="16"/>
          <w:color w:val="auto"/>
        </w:rPr>
      </w:pPr>
    </w:p>
    <w:p>
      <w:pPr>
        <w:ind w:left="980" w:right="220" w:hanging="493"/>
        <w:spacing w:after="0" w:line="242" w:lineRule="auto"/>
        <w:tabs>
          <w:tab w:leader="none" w:pos="9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7" w:name="page228"/>
    <w:bookmarkEnd w:id="2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right="420"/>
        <w:spacing w:after="0" w:line="249" w:lineRule="auto"/>
        <w:rPr>
          <w:sz w:val="20"/>
          <w:szCs w:val="20"/>
          <w:color w:val="auto"/>
        </w:rPr>
      </w:pPr>
      <w:r>
        <w:rPr>
          <w:rFonts w:ascii="Arial" w:cs="Arial" w:eastAsia="Arial" w:hAnsi="Arial"/>
          <w:sz w:val="16"/>
          <w:szCs w:val="16"/>
          <w:color w:val="auto"/>
        </w:rPr>
        <w:t>party, for allowing any rights to lapse under the terms of the deposit agreement, for the timeliness of any of our notices or for our failure to give notice.</w:t>
      </w:r>
    </w:p>
    <w:p>
      <w:pPr>
        <w:spacing w:after="0" w:line="181" w:lineRule="exact"/>
        <w:rPr>
          <w:sz w:val="20"/>
          <w:szCs w:val="20"/>
          <w:color w:val="auto"/>
        </w:rPr>
      </w:pPr>
    </w:p>
    <w:p>
      <w:pPr>
        <w:ind w:left="980" w:hanging="493"/>
        <w:spacing w:after="0"/>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We and the depositary bank will not be obligated to perform any act that is inconsistent with the terms of the deposit agreement.</w:t>
      </w:r>
    </w:p>
    <w:p>
      <w:pPr>
        <w:spacing w:after="0" w:line="195" w:lineRule="exact"/>
        <w:rPr>
          <w:rFonts w:ascii="Arial" w:cs="Arial" w:eastAsia="Arial" w:hAnsi="Arial"/>
          <w:sz w:val="16"/>
          <w:szCs w:val="16"/>
          <w:color w:val="auto"/>
        </w:rPr>
      </w:pPr>
    </w:p>
    <w:p>
      <w:pPr>
        <w:ind w:left="980" w:right="100" w:hanging="493"/>
        <w:spacing w:after="0" w:line="264" w:lineRule="auto"/>
        <w:tabs>
          <w:tab w:leader="none" w:pos="9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Incorporation, or any provision of or governing the securities on deposit, or by reason of any act of God or war or other circumstances beyond our control.</w:t>
      </w:r>
    </w:p>
    <w:p>
      <w:pPr>
        <w:spacing w:after="0" w:line="158" w:lineRule="exact"/>
        <w:rPr>
          <w:rFonts w:ascii="Arial" w:cs="Arial" w:eastAsia="Arial" w:hAnsi="Arial"/>
          <w:sz w:val="15"/>
          <w:szCs w:val="15"/>
          <w:color w:val="auto"/>
        </w:rPr>
      </w:pPr>
    </w:p>
    <w:p>
      <w:pPr>
        <w:ind w:left="980" w:right="480" w:hanging="493"/>
        <w:spacing w:after="0" w:line="249" w:lineRule="auto"/>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We and the depositary bank disclaim any liability by reason of any exercise of, or failure to exercise, any discretion provided for in the deposit agreement or in our Articles of Incorporation or in any provisions of or governing the securities on deposit.</w:t>
      </w:r>
    </w:p>
    <w:p>
      <w:pPr>
        <w:spacing w:after="0" w:line="168" w:lineRule="exact"/>
        <w:rPr>
          <w:rFonts w:ascii="Arial" w:cs="Arial" w:eastAsia="Arial" w:hAnsi="Arial"/>
          <w:sz w:val="16"/>
          <w:szCs w:val="16"/>
          <w:color w:val="auto"/>
        </w:rPr>
      </w:pPr>
    </w:p>
    <w:p>
      <w:pPr>
        <w:ind w:left="980" w:right="260" w:hanging="493"/>
        <w:spacing w:after="0" w:line="244" w:lineRule="auto"/>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We and the depositary bank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184" w:lineRule="exact"/>
        <w:rPr>
          <w:rFonts w:ascii="Arial" w:cs="Arial" w:eastAsia="Arial" w:hAnsi="Arial"/>
          <w:sz w:val="16"/>
          <w:szCs w:val="16"/>
          <w:color w:val="auto"/>
        </w:rPr>
      </w:pPr>
    </w:p>
    <w:p>
      <w:pPr>
        <w:ind w:left="980" w:right="260" w:hanging="493"/>
        <w:spacing w:after="0" w:line="249" w:lineRule="auto"/>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We and the depositary bank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168" w:lineRule="exact"/>
        <w:rPr>
          <w:rFonts w:ascii="Arial" w:cs="Arial" w:eastAsia="Arial" w:hAnsi="Arial"/>
          <w:sz w:val="16"/>
          <w:szCs w:val="16"/>
          <w:color w:val="auto"/>
        </w:rPr>
      </w:pPr>
    </w:p>
    <w:p>
      <w:pPr>
        <w:ind w:left="980" w:right="240" w:hanging="493"/>
        <w:spacing w:after="0" w:line="249" w:lineRule="auto"/>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We and the depositary bank may rely without any liability upon any written notice, request or other document believed to be genuine and to have been signed or presented by the proper parties.</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We and the depositary bank also disclaim liability for any consequential or punitive damages for any breach of the terms of the deposit agreement.</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 disclaimer of any Securities Act liability is intended by any provision of the deposit agreement.</w:t>
      </w:r>
    </w:p>
    <w:p>
      <w:pPr>
        <w:spacing w:after="0" w:line="182" w:lineRule="exact"/>
        <w:rPr>
          <w:rFonts w:ascii="Arial" w:cs="Arial" w:eastAsia="Arial" w:hAnsi="Arial"/>
          <w:sz w:val="16"/>
          <w:szCs w:val="16"/>
          <w:color w:val="auto"/>
        </w:rPr>
      </w:pPr>
    </w:p>
    <w:p>
      <w:pPr>
        <w:ind w:left="980" w:right="120" w:hanging="493"/>
        <w:spacing w:after="0" w:line="249" w:lineRule="auto"/>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Nothing in the deposit agreement gives rise to a partnership or joint venture, or establishes a fiduciary relationship, among us, the depositary bank and you as ADS holder.</w:t>
      </w:r>
    </w:p>
    <w:p>
      <w:pPr>
        <w:spacing w:after="0" w:line="168" w:lineRule="exact"/>
        <w:rPr>
          <w:rFonts w:ascii="Arial" w:cs="Arial" w:eastAsia="Arial" w:hAnsi="Arial"/>
          <w:sz w:val="16"/>
          <w:szCs w:val="16"/>
          <w:color w:val="auto"/>
        </w:rPr>
      </w:pPr>
    </w:p>
    <w:p>
      <w:pPr>
        <w:ind w:left="980" w:right="260" w:hanging="493"/>
        <w:spacing w:after="0" w:line="244" w:lineRule="auto"/>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Taxes</w:t>
      </w:r>
    </w:p>
    <w:p>
      <w:pPr>
        <w:spacing w:after="0" w:line="215"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5"/>
          <w:szCs w:val="15"/>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68" w:lineRule="exact"/>
        <w:rPr>
          <w:sz w:val="20"/>
          <w:szCs w:val="20"/>
          <w:color w:val="auto"/>
        </w:rPr>
      </w:pPr>
    </w:p>
    <w:p>
      <w:pPr>
        <w:ind w:right="180" w:firstLine="439"/>
        <w:spacing w:after="0" w:line="249" w:lineRule="auto"/>
        <w:rPr>
          <w:sz w:val="20"/>
          <w:szCs w:val="20"/>
          <w:color w:val="auto"/>
        </w:rPr>
      </w:pPr>
      <w:r>
        <w:rPr>
          <w:rFonts w:ascii="Arial" w:cs="Arial" w:eastAsia="Arial" w:hAnsi="Arial"/>
          <w:sz w:val="16"/>
          <w:szCs w:val="16"/>
          <w:color w:val="auto"/>
        </w:rPr>
        <w:t>The depositary bank may refuse to issue ADSs, to deliver, transfer, split and combine ADRs or to release securities on deposit until all taxes and charges are paid by the applicable holder. The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28" w:name="page229"/>
    <w:bookmarkEnd w:id="2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Conversion</w:t>
      </w:r>
    </w:p>
    <w:p>
      <w:pPr>
        <w:spacing w:after="0" w:line="215" w:lineRule="exact"/>
        <w:rPr>
          <w:sz w:val="20"/>
          <w:szCs w:val="20"/>
          <w:color w:val="auto"/>
        </w:rPr>
      </w:pPr>
    </w:p>
    <w:p>
      <w:pPr>
        <w:ind w:right="20" w:firstLine="439"/>
        <w:spacing w:after="0" w:line="244" w:lineRule="auto"/>
        <w:rPr>
          <w:sz w:val="20"/>
          <w:szCs w:val="20"/>
          <w:color w:val="auto"/>
        </w:rPr>
      </w:pPr>
      <w:r>
        <w:rPr>
          <w:rFonts w:ascii="Arial" w:cs="Arial" w:eastAsia="Arial" w:hAnsi="Arial"/>
          <w:sz w:val="16"/>
          <w:szCs w:val="16"/>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85" w:lineRule="exact"/>
        <w:rPr>
          <w:sz w:val="20"/>
          <w:szCs w:val="20"/>
          <w:color w:val="auto"/>
        </w:rPr>
      </w:pPr>
    </w:p>
    <w:p>
      <w:pPr>
        <w:ind w:right="440" w:firstLine="442"/>
        <w:spacing w:after="0" w:line="249" w:lineRule="auto"/>
        <w:rPr>
          <w:sz w:val="20"/>
          <w:szCs w:val="20"/>
          <w:color w:val="auto"/>
        </w:rPr>
      </w:pPr>
      <w:r>
        <w:rPr>
          <w:rFonts w:ascii="Arial" w:cs="Arial" w:eastAsia="Arial" w:hAnsi="Arial"/>
          <w:sz w:val="16"/>
          <w:szCs w:val="16"/>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181" w:lineRule="exact"/>
        <w:rPr>
          <w:sz w:val="20"/>
          <w:szCs w:val="20"/>
          <w:color w:val="auto"/>
        </w:rPr>
      </w:pPr>
    </w:p>
    <w:p>
      <w:pPr>
        <w:ind w:left="980" w:right="40" w:hanging="493"/>
        <w:spacing w:after="0" w:line="249" w:lineRule="auto"/>
        <w:tabs>
          <w:tab w:leader="none" w:pos="9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Convert the foreign currency to the extent practical and lawful and distribute the U.S. dollars to the holders for whom the conversion and distribution is lawful and practical.</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Distribute the foreign currency to holders for whom the distribution is lawful and practical.</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Hold the foreign currency (without liability for interest) for the applicable holders.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Governing Law/Waiver of Jury Trial</w:t>
      </w:r>
    </w:p>
    <w:p>
      <w:pPr>
        <w:spacing w:after="0" w:line="215" w:lineRule="exact"/>
        <w:rPr>
          <w:sz w:val="20"/>
          <w:szCs w:val="20"/>
          <w:color w:val="auto"/>
        </w:rPr>
      </w:pPr>
    </w:p>
    <w:p>
      <w:pPr>
        <w:ind w:right="160" w:firstLine="439"/>
        <w:spacing w:after="0" w:line="249" w:lineRule="auto"/>
        <w:rPr>
          <w:sz w:val="20"/>
          <w:szCs w:val="20"/>
          <w:color w:val="auto"/>
        </w:rPr>
      </w:pPr>
      <w:r>
        <w:rPr>
          <w:rFonts w:ascii="Arial" w:cs="Arial" w:eastAsia="Arial" w:hAnsi="Arial"/>
          <w:sz w:val="16"/>
          <w:szCs w:val="16"/>
          <w:color w:val="auto"/>
        </w:rPr>
        <w:t>The deposit agreement, the ADRs and the ADSs will be interpreted in accordance with the laws of the State of New York. The rights of holders of ordinary shares (including ordinary shares represented by ADSs) is governed by the laws of England and Wales.</w:t>
      </w:r>
    </w:p>
    <w:p>
      <w:pPr>
        <w:spacing w:after="0" w:line="181" w:lineRule="exact"/>
        <w:rPr>
          <w:sz w:val="20"/>
          <w:szCs w:val="20"/>
          <w:color w:val="auto"/>
        </w:rPr>
      </w:pPr>
    </w:p>
    <w:p>
      <w:pPr>
        <w:ind w:right="260" w:firstLine="433"/>
        <w:spacing w:after="0" w:line="244" w:lineRule="auto"/>
        <w:rPr>
          <w:sz w:val="20"/>
          <w:szCs w:val="20"/>
          <w:color w:val="auto"/>
        </w:rPr>
      </w:pPr>
      <w:r>
        <w:rPr>
          <w:rFonts w:ascii="Arial" w:cs="Arial" w:eastAsia="Arial" w:hAnsi="Arial"/>
          <w:sz w:val="16"/>
          <w:szCs w:val="16"/>
          <w:color w:val="auto"/>
        </w:rPr>
        <w:t>AS A PARTY TO THE DEPOSIT AGREEMENT, YOU IRREVOCABLY WAIVE, TO THE FULLEST EXTENT PERMITTED BY APPLICABLE LAW, YOUR RIGHT TO TRIAL BY JURY IN ANY LEGAL PROCEEDING ARISING OUT OF THE DEPOSIT AGREEMENT OR THE ADRs AGAINST US AND/OR THE DEPOSITARY BANK.</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184"/>
        </w:trPr>
        <w:tc>
          <w:tcPr>
            <w:tcW w:w="298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8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95"/>
        </w:trPr>
        <w:tc>
          <w:tcPr>
            <w:tcW w:w="1240" w:type="dxa"/>
            <w:vAlign w:val="bottom"/>
            <w:tcBorders>
              <w:top w:val="single" w:sz="8" w:color="0000EE"/>
            </w:tcBorders>
          </w:tcPr>
          <w:p>
            <w:pPr>
              <w:spacing w:after="0"/>
              <w:rPr>
                <w:sz w:val="24"/>
                <w:szCs w:val="24"/>
                <w:color w:val="auto"/>
              </w:rPr>
            </w:pPr>
          </w:p>
        </w:tc>
        <w:tc>
          <w:tcPr>
            <w:tcW w:w="8640" w:type="dxa"/>
            <w:vAlign w:val="bottom"/>
            <w:gridSpan w:val="4"/>
          </w:tcPr>
          <w:p>
            <w:pPr>
              <w:ind w:left="1440"/>
              <w:spacing w:after="0"/>
              <w:rPr>
                <w:sz w:val="20"/>
                <w:szCs w:val="20"/>
                <w:color w:val="auto"/>
              </w:rPr>
            </w:pPr>
            <w:r>
              <w:rPr>
                <w:rFonts w:ascii="Arial" w:cs="Arial" w:eastAsia="Arial" w:hAnsi="Arial"/>
                <w:sz w:val="16"/>
                <w:szCs w:val="16"/>
                <w:b w:val="1"/>
                <w:bCs w:val="1"/>
                <w:color w:val="auto"/>
              </w:rPr>
              <w:t>SHARES AND AMERICAN DEPOSITARY SHARES ELIGIBLE FOR FUTURE SALE</w:t>
            </w:r>
          </w:p>
        </w:tc>
        <w:tc>
          <w:tcPr>
            <w:tcW w:w="1380" w:type="dxa"/>
            <w:vAlign w:val="bottom"/>
          </w:tcPr>
          <w:p>
            <w:pPr>
              <w:spacing w:after="0"/>
              <w:rPr>
                <w:sz w:val="24"/>
                <w:szCs w:val="24"/>
                <w:color w:val="auto"/>
              </w:rPr>
            </w:pPr>
          </w:p>
        </w:tc>
      </w:tr>
      <w:tr>
        <w:trPr>
          <w:trHeight w:val="371"/>
        </w:trPr>
        <w:tc>
          <w:tcPr>
            <w:tcW w:w="3820" w:type="dxa"/>
            <w:vAlign w:val="bottom"/>
            <w:gridSpan w:val="3"/>
          </w:tcPr>
          <w:p>
            <w:pPr>
              <w:ind w:left="440"/>
              <w:spacing w:after="0"/>
              <w:rPr>
                <w:sz w:val="20"/>
                <w:szCs w:val="20"/>
                <w:color w:val="auto"/>
              </w:rPr>
            </w:pPr>
            <w:r>
              <w:rPr>
                <w:rFonts w:ascii="Arial" w:cs="Arial" w:eastAsia="Arial" w:hAnsi="Arial"/>
                <w:sz w:val="16"/>
                <w:szCs w:val="16"/>
                <w:color w:val="auto"/>
              </w:rPr>
              <w:t>Upon completion of this offering, we will have</w:t>
            </w:r>
          </w:p>
        </w:tc>
        <w:tc>
          <w:tcPr>
            <w:tcW w:w="3620" w:type="dxa"/>
            <w:vAlign w:val="bottom"/>
          </w:tcPr>
          <w:p>
            <w:pPr>
              <w:ind w:left="180"/>
              <w:spacing w:after="0"/>
              <w:rPr>
                <w:sz w:val="20"/>
                <w:szCs w:val="20"/>
                <w:color w:val="auto"/>
              </w:rPr>
            </w:pPr>
            <w:r>
              <w:rPr>
                <w:rFonts w:ascii="Arial" w:cs="Arial" w:eastAsia="Arial" w:hAnsi="Arial"/>
                <w:sz w:val="16"/>
                <w:szCs w:val="16"/>
                <w:color w:val="auto"/>
              </w:rPr>
              <w:t>ADSs outstanding representing approximately</w:t>
            </w:r>
          </w:p>
        </w:tc>
        <w:tc>
          <w:tcPr>
            <w:tcW w:w="2440" w:type="dxa"/>
            <w:vAlign w:val="bottom"/>
          </w:tcPr>
          <w:p>
            <w:pPr>
              <w:ind w:left="200"/>
              <w:spacing w:after="0"/>
              <w:rPr>
                <w:sz w:val="20"/>
                <w:szCs w:val="20"/>
                <w:color w:val="auto"/>
              </w:rPr>
            </w:pPr>
            <w:r>
              <w:rPr>
                <w:rFonts w:ascii="Arial" w:cs="Arial" w:eastAsia="Arial" w:hAnsi="Arial"/>
                <w:sz w:val="16"/>
                <w:szCs w:val="16"/>
                <w:color w:val="auto"/>
              </w:rPr>
              <w:t>% of our ordinary shares (or</w:t>
            </w:r>
          </w:p>
        </w:tc>
        <w:tc>
          <w:tcPr>
            <w:tcW w:w="1380" w:type="dxa"/>
            <w:vAlign w:val="bottom"/>
          </w:tcPr>
          <w:p>
            <w:pPr>
              <w:ind w:left="300"/>
              <w:spacing w:after="0"/>
              <w:rPr>
                <w:sz w:val="20"/>
                <w:szCs w:val="20"/>
                <w:color w:val="auto"/>
              </w:rPr>
            </w:pPr>
            <w:r>
              <w:rPr>
                <w:rFonts w:ascii="Arial" w:cs="Arial" w:eastAsia="Arial" w:hAnsi="Arial"/>
                <w:sz w:val="16"/>
                <w:szCs w:val="16"/>
                <w:color w:val="auto"/>
              </w:rPr>
              <w:t>ADSs</w:t>
            </w:r>
          </w:p>
        </w:tc>
      </w:tr>
      <w:tr>
        <w:trPr>
          <w:trHeight w:val="183"/>
        </w:trPr>
        <w:tc>
          <w:tcPr>
            <w:tcW w:w="2980" w:type="dxa"/>
            <w:vAlign w:val="bottom"/>
            <w:gridSpan w:val="2"/>
          </w:tcPr>
          <w:p>
            <w:pPr>
              <w:spacing w:after="0"/>
              <w:rPr>
                <w:sz w:val="20"/>
                <w:szCs w:val="20"/>
                <w:color w:val="auto"/>
              </w:rPr>
            </w:pPr>
            <w:r>
              <w:rPr>
                <w:rFonts w:ascii="Arial" w:cs="Arial" w:eastAsia="Arial" w:hAnsi="Arial"/>
                <w:sz w:val="16"/>
                <w:szCs w:val="16"/>
                <w:color w:val="auto"/>
              </w:rPr>
              <w:t>outstanding representing approximately</w:t>
            </w:r>
          </w:p>
        </w:tc>
        <w:tc>
          <w:tcPr>
            <w:tcW w:w="8280" w:type="dxa"/>
            <w:vAlign w:val="bottom"/>
            <w:gridSpan w:val="4"/>
          </w:tcPr>
          <w:p>
            <w:pPr>
              <w:ind w:left="200"/>
              <w:spacing w:after="0"/>
              <w:rPr>
                <w:sz w:val="20"/>
                <w:szCs w:val="20"/>
                <w:color w:val="auto"/>
              </w:rPr>
            </w:pPr>
            <w:r>
              <w:rPr>
                <w:rFonts w:ascii="Arial" w:cs="Arial" w:eastAsia="Arial" w:hAnsi="Arial"/>
                <w:sz w:val="16"/>
                <w:szCs w:val="16"/>
                <w:color w:val="auto"/>
                <w:w w:val="99"/>
              </w:rPr>
              <w:t>% of our ordinary shares, if the underwriters exercise in full their option to purchase additional ADSs), based on the</w:t>
            </w:r>
          </w:p>
        </w:tc>
      </w:tr>
    </w:tbl>
    <w:p>
      <w:pPr>
        <w:ind w:right="20"/>
        <w:spacing w:after="0"/>
        <w:rPr>
          <w:sz w:val="20"/>
          <w:szCs w:val="20"/>
          <w:color w:val="auto"/>
        </w:rPr>
      </w:pPr>
      <w:r>
        <w:rPr>
          <w:rFonts w:ascii="Arial" w:cs="Arial" w:eastAsia="Arial" w:hAnsi="Arial"/>
          <w:sz w:val="16"/>
          <w:szCs w:val="16"/>
          <w:color w:val="auto"/>
        </w:rPr>
        <w:t>number of ordinary shares outstanding as of December 31, 2018. All of the ADSs sold in this offering and the ordinary shares they represent will be freely transferable by persons other than our "affiliates" without restriction or further registration under the Securities Act. Rule 144 under the Securities Act defines an "affiliate" of a company as a person that, directly or indirectly, through one or more intermediaries, controls or is controlled by, or is under common control with, our company. All outstanding ordinary shares prior to this offering are "restricted securities" as that term is defined in Rule 144 because they were issued in a transaction or series of transactions not involving a public offering. Restricted securities, in the form of ADSs or otherwise, may be sold only if they are the subject of an effective registration statement under the Securities Act or if they are sold pursuant to an exemption from the registration requirement of the Securities Act such as those provided for in Rule 144 or 701 promulgated under the Securities Act, which rules are summarized below. Restricted ordinary shares may also be sold outside of the United States to non-U.S. persons in accordance with Rule 904 of Regulation S under the Securities Act. This prospectus may not be used in connection with any resale of the ADSs acquired in this offering by our affiliates.</w:t>
      </w:r>
    </w:p>
    <w:p>
      <w:pPr>
        <w:spacing w:after="0" w:line="190"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Sales of substantial amounts of the ADSs in the public market could materially and adversely affect prevailing market prices of the ADSs. Prior to this offering, there has been no public market for our ordinary shares or ADSs, and while we have applied to list the ADSs on the Nasdaq, we cannot assure you that a regular trading market will develop in the ADSs. We do not expect that a trading market will develop for our ordinary shares not represented by ADSs.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w:t>
      </w:r>
    </w:p>
    <w:p>
      <w:pPr>
        <w:spacing w:after="0" w:line="215" w:lineRule="exact"/>
        <w:rPr>
          <w:sz w:val="20"/>
          <w:szCs w:val="20"/>
          <w:color w:val="auto"/>
        </w:rPr>
      </w:pPr>
    </w:p>
    <w:p>
      <w:pPr>
        <w:ind w:right="100" w:firstLine="442"/>
        <w:spacing w:after="0"/>
        <w:rPr>
          <w:sz w:val="20"/>
          <w:szCs w:val="20"/>
          <w:color w:val="auto"/>
        </w:rPr>
      </w:pPr>
      <w:r>
        <w:rPr>
          <w:rFonts w:ascii="Arial" w:cs="Arial" w:eastAsia="Arial" w:hAnsi="Arial"/>
          <w:sz w:val="16"/>
          <w:szCs w:val="16"/>
          <w:color w:val="auto"/>
        </w:rPr>
        <w:t>In connection with this offering, all of our directors and executive officers and certain holders of our shares, who collectively held substantially all ordinary shares (assuming conversion of all of our outstanding convertible preferred shares, issuance of the bonus shares and exercise of the warrants) as of December 31, 2018, and substantially all of our optionholders who are not shareholders, have signed lock-up agreements which, subject to certain exceptions, prevent them from selling any of our ordinary shares or ADSs, or any securities convertible into or exercisable or exchangeable for ordinary shares or ADSs for a period of not less than 180 days from the date of this prospectus without the prior written consent of each of the representatives. The representatives may in their sole discretion and at any time without notice release some or all of the shares or ADSs subject to lock-up agreements prior to the expiration of the 180-day period. When determining whether or not to release shares or ADSs from the lock-up agreements, the representatives may consider, among other factors, the shareholder's reasons for requesting the release, the number of shares or ADSs for which the release is being requested and market conditions at the time. In addition, our optionholders who have not executed lock-up agreements are nevertheless subject to similar restrictions set forth in their respective option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215" w:lineRule="exact"/>
        <w:rPr>
          <w:sz w:val="20"/>
          <w:szCs w:val="20"/>
          <w:color w:val="auto"/>
        </w:rPr>
      </w:pPr>
    </w:p>
    <w:p>
      <w:pPr>
        <w:ind w:right="220" w:firstLine="442"/>
        <w:spacing w:after="0" w:line="244" w:lineRule="auto"/>
        <w:rPr>
          <w:sz w:val="20"/>
          <w:szCs w:val="20"/>
          <w:color w:val="auto"/>
        </w:rPr>
      </w:pPr>
      <w:r>
        <w:rPr>
          <w:rFonts w:ascii="Arial" w:cs="Arial" w:eastAsia="Arial" w:hAnsi="Arial"/>
          <w:sz w:val="16"/>
          <w:szCs w:val="16"/>
          <w:color w:val="auto"/>
        </w:rPr>
        <w:t>In general, under Rule 144 as currently in effect, a person who has beneficially owned our restricted securities for at least six months is entitled to sell the restricted securities without registration under the Securities Act, subject to certain restrictions. Persons who are our affiliates (which may include persons beneficially owning 10% or more of our outstanding shares) may sell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184"/>
        </w:trPr>
        <w:tc>
          <w:tcPr>
            <w:tcW w:w="1240" w:type="dxa"/>
            <w:vAlign w:val="bottom"/>
            <w:tcBorders>
              <w:bottom w:val="single" w:sz="8" w:color="0000EE"/>
            </w:tcBorders>
            <w:gridSpan w:val="2"/>
          </w:tcPr>
          <w:p>
            <w:pPr>
              <w:spacing w:after="0"/>
              <w:rPr>
                <w:rFonts w:ascii="Arial" w:cs="Arial" w:eastAsia="Arial" w:hAnsi="Arial"/>
                <w:sz w:val="16"/>
                <w:szCs w:val="16"/>
                <w:color w:val="0000EE"/>
                <w:w w:val="96"/>
              </w:rPr>
            </w:pPr>
            <w:hyperlink w:anchor="page4">
              <w:r>
                <w:rPr>
                  <w:rFonts w:ascii="Arial" w:cs="Arial" w:eastAsia="Arial" w:hAnsi="Arial"/>
                  <w:sz w:val="16"/>
                  <w:szCs w:val="16"/>
                  <w:color w:val="0000EE"/>
                  <w:w w:val="96"/>
                </w:rPr>
                <w:t>Table of Contents</w:t>
              </w:r>
            </w:hyperlink>
          </w:p>
        </w:tc>
        <w:tc>
          <w:tcPr>
            <w:tcW w:w="87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95"/>
        </w:trPr>
        <w:tc>
          <w:tcPr>
            <w:tcW w:w="9960" w:type="dxa"/>
            <w:vAlign w:val="bottom"/>
            <w:gridSpan w:val="3"/>
          </w:tcPr>
          <w:p>
            <w:pPr>
              <w:spacing w:after="0"/>
              <w:rPr>
                <w:sz w:val="20"/>
                <w:szCs w:val="20"/>
                <w:color w:val="auto"/>
              </w:rPr>
            </w:pPr>
            <w:r>
              <w:rPr>
                <w:rFonts w:ascii="Arial" w:cs="Arial" w:eastAsia="Arial" w:hAnsi="Arial"/>
                <w:sz w:val="16"/>
                <w:szCs w:val="16"/>
                <w:color w:val="auto"/>
              </w:rPr>
              <w:t>within any three-month period a number of restricted securities that does not exceed the greater of the following:</w:t>
            </w:r>
          </w:p>
        </w:tc>
        <w:tc>
          <w:tcPr>
            <w:tcW w:w="1400" w:type="dxa"/>
            <w:vAlign w:val="bottom"/>
          </w:tcPr>
          <w:p>
            <w:pPr>
              <w:spacing w:after="0"/>
              <w:rPr>
                <w:sz w:val="24"/>
                <w:szCs w:val="24"/>
                <w:color w:val="auto"/>
              </w:rPr>
            </w:pPr>
          </w:p>
        </w:tc>
      </w:tr>
      <w:tr>
        <w:trPr>
          <w:trHeight w:val="371"/>
        </w:trPr>
        <w:tc>
          <w:tcPr>
            <w:tcW w:w="760" w:type="dxa"/>
            <w:vAlign w:val="bottom"/>
          </w:tcPr>
          <w:p>
            <w:pPr>
              <w:ind w:left="480"/>
              <w:spacing w:after="0"/>
              <w:rPr>
                <w:sz w:val="20"/>
                <w:szCs w:val="20"/>
                <w:color w:val="auto"/>
              </w:rPr>
            </w:pPr>
            <w:r>
              <w:rPr>
                <w:rFonts w:ascii="Arial" w:cs="Arial" w:eastAsia="Arial" w:hAnsi="Arial"/>
                <w:sz w:val="16"/>
                <w:szCs w:val="16"/>
                <w:color w:val="auto"/>
              </w:rPr>
              <w:t>•</w:t>
            </w:r>
          </w:p>
        </w:tc>
        <w:tc>
          <w:tcPr>
            <w:tcW w:w="9200" w:type="dxa"/>
            <w:vAlign w:val="bottom"/>
            <w:gridSpan w:val="2"/>
          </w:tcPr>
          <w:p>
            <w:pPr>
              <w:ind w:left="220"/>
              <w:spacing w:after="0"/>
              <w:rPr>
                <w:sz w:val="20"/>
                <w:szCs w:val="20"/>
                <w:color w:val="auto"/>
              </w:rPr>
            </w:pPr>
            <w:r>
              <w:rPr>
                <w:rFonts w:ascii="Arial" w:cs="Arial" w:eastAsia="Arial" w:hAnsi="Arial"/>
                <w:sz w:val="16"/>
                <w:szCs w:val="16"/>
                <w:color w:val="auto"/>
              </w:rPr>
              <w:t>1% of the number of our ordinary shares then outstanding, in the form of ADSs or otherwise, which will equal approximately</w:t>
            </w:r>
          </w:p>
        </w:tc>
        <w:tc>
          <w:tcPr>
            <w:tcW w:w="1400" w:type="dxa"/>
            <w:vAlign w:val="bottom"/>
          </w:tcPr>
          <w:p>
            <w:pPr>
              <w:ind w:left="300"/>
              <w:spacing w:after="0"/>
              <w:rPr>
                <w:sz w:val="20"/>
                <w:szCs w:val="20"/>
                <w:color w:val="auto"/>
              </w:rPr>
            </w:pPr>
            <w:r>
              <w:rPr>
                <w:rFonts w:ascii="Arial" w:cs="Arial" w:eastAsia="Arial" w:hAnsi="Arial"/>
                <w:sz w:val="16"/>
                <w:szCs w:val="16"/>
                <w:color w:val="auto"/>
                <w:w w:val="97"/>
              </w:rPr>
              <w:t>ordinary shares</w:t>
            </w:r>
          </w:p>
        </w:tc>
      </w:tr>
      <w:tr>
        <w:trPr>
          <w:trHeight w:val="192"/>
        </w:trPr>
        <w:tc>
          <w:tcPr>
            <w:tcW w:w="760" w:type="dxa"/>
            <w:vAlign w:val="bottom"/>
          </w:tcPr>
          <w:p>
            <w:pPr>
              <w:spacing w:after="0"/>
              <w:rPr>
                <w:sz w:val="16"/>
                <w:szCs w:val="16"/>
                <w:color w:val="auto"/>
              </w:rPr>
            </w:pPr>
          </w:p>
        </w:tc>
        <w:tc>
          <w:tcPr>
            <w:tcW w:w="9200" w:type="dxa"/>
            <w:vAlign w:val="bottom"/>
            <w:gridSpan w:val="2"/>
          </w:tcPr>
          <w:p>
            <w:pPr>
              <w:ind w:left="220"/>
              <w:spacing w:after="0"/>
              <w:rPr>
                <w:sz w:val="20"/>
                <w:szCs w:val="20"/>
                <w:color w:val="auto"/>
              </w:rPr>
            </w:pPr>
            <w:r>
              <w:rPr>
                <w:rFonts w:ascii="Arial" w:cs="Arial" w:eastAsia="Arial" w:hAnsi="Arial"/>
                <w:sz w:val="16"/>
                <w:szCs w:val="16"/>
                <w:color w:val="auto"/>
              </w:rPr>
              <w:t>immediately after this offering; and</w:t>
            </w:r>
          </w:p>
        </w:tc>
        <w:tc>
          <w:tcPr>
            <w:tcW w:w="1400" w:type="dxa"/>
            <w:vAlign w:val="bottom"/>
          </w:tcPr>
          <w:p>
            <w:pPr>
              <w:spacing w:after="0"/>
              <w:rPr>
                <w:sz w:val="16"/>
                <w:szCs w:val="16"/>
                <w:color w:val="auto"/>
              </w:rPr>
            </w:pPr>
          </w:p>
        </w:tc>
      </w:tr>
    </w:tbl>
    <w:p>
      <w:pPr>
        <w:spacing w:after="0" w:line="187" w:lineRule="exact"/>
        <w:rPr>
          <w:sz w:val="20"/>
          <w:szCs w:val="20"/>
          <w:color w:val="auto"/>
        </w:rPr>
      </w:pPr>
    </w:p>
    <w:p>
      <w:pPr>
        <w:ind w:left="980" w:right="240" w:hanging="493"/>
        <w:spacing w:after="0" w:line="249" w:lineRule="auto"/>
        <w:tabs>
          <w:tab w:leader="none" w:pos="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average weekly trading volume of the ordinary shares, in the form of ADSs or otherwise, on Nasdaq during the four calendar weeks preceding the date on which notice of the sale is filed with the SEC.</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Such sales are also subject to manner-of-sale provisions, notice requirements and the availability of current public information about us.</w:t>
      </w:r>
    </w:p>
    <w:p>
      <w:pPr>
        <w:spacing w:after="0" w:line="195"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Section 13 or Section 15(d) of the Exchange Act for at least 90 days, persons who are not our affiliates and have beneficially owned our restricted securities for more than six months but not more than one year may sell the restricted securities without registration under the Securities Act subject to the availability of current public information about us. Persons who are not our affiliates and have beneficially owned our restricted securities for more than one year may freely sell the restricted securities without registration under the Securities Act.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701</w:t>
      </w:r>
    </w:p>
    <w:p>
      <w:pPr>
        <w:spacing w:after="0" w:line="215" w:lineRule="exact"/>
        <w:rPr>
          <w:sz w:val="20"/>
          <w:szCs w:val="20"/>
          <w:color w:val="auto"/>
        </w:rPr>
      </w:pPr>
    </w:p>
    <w:p>
      <w:pPr>
        <w:ind w:right="140" w:firstLine="442"/>
        <w:spacing w:after="0" w:line="241" w:lineRule="auto"/>
        <w:rPr>
          <w:sz w:val="20"/>
          <w:szCs w:val="20"/>
          <w:color w:val="auto"/>
        </w:rPr>
      </w:pPr>
      <w:r>
        <w:rPr>
          <w:rFonts w:ascii="Arial" w:cs="Arial" w:eastAsia="Arial" w:hAnsi="Arial"/>
          <w:sz w:val="16"/>
          <w:szCs w:val="16"/>
          <w:color w:val="auto"/>
        </w:rPr>
        <w:t>Beginning 90 days after the date of this prospectus, persons other than affiliates who purchased ordinary shares under a written compensatory plan or contract may be entitled to sell such shares in the United States in reliance on Rule 701 under the Securities Act, or Rule 701. Rule 701 permits affiliates to sell their Rule 701 shares under Rule 144 without complying with the holding period requirements of Rule 144. Rule 701 further provides that non-affiliates may sell these shares in reliance on Rule 144 subject only to its manner-of-sale requirements. However, the Rule 701 shares would remain subject to any applicable lock-up arrangements and would only become eligible for sale when the lock-up period expires.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215" w:lineRule="exact"/>
        <w:rPr>
          <w:sz w:val="20"/>
          <w:szCs w:val="20"/>
          <w:color w:val="auto"/>
        </w:rPr>
      </w:pPr>
    </w:p>
    <w:p>
      <w:pPr>
        <w:ind w:right="260" w:firstLine="442"/>
        <w:spacing w:after="0" w:line="244" w:lineRule="auto"/>
        <w:rPr>
          <w:sz w:val="20"/>
          <w:szCs w:val="20"/>
          <w:color w:val="auto"/>
        </w:rPr>
      </w:pPr>
      <w:r>
        <w:rPr>
          <w:rFonts w:ascii="Arial" w:cs="Arial" w:eastAsia="Arial" w:hAnsi="Arial"/>
          <w:sz w:val="16"/>
          <w:szCs w:val="16"/>
          <w:color w:val="auto"/>
        </w:rPr>
        <w:t>Upon completion of this offering, certain holders of our ordinary shares or their transferees will be entitled to request that we register their ordinary shares under the Securities Act, following the expiration of the lock-up agreements described above. See "Description of Share Capital and Articles of Association — Registration Rights."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Option Plans</w:t>
      </w:r>
    </w:p>
    <w:p>
      <w:pPr>
        <w:spacing w:after="0" w:line="215" w:lineRule="exact"/>
        <w:rPr>
          <w:sz w:val="20"/>
          <w:szCs w:val="20"/>
          <w:color w:val="auto"/>
        </w:rPr>
      </w:pPr>
    </w:p>
    <w:p>
      <w:pPr>
        <w:ind w:right="80" w:firstLine="442"/>
        <w:spacing w:after="0" w:line="255"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our shares issued or reserved for issuance under our share option plans or independent options.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 As of December 31, 2018, we estimate that such registration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20"/>
                <w:szCs w:val="20"/>
                <w:color w:val="auto"/>
              </w:rPr>
            </w:pPr>
            <w:r>
              <w:rPr>
                <w:rFonts w:ascii="Arial" w:cs="Arial" w:eastAsia="Arial" w:hAnsi="Arial"/>
                <w:sz w:val="16"/>
                <w:szCs w:val="16"/>
                <w:color w:val="auto"/>
              </w:rPr>
              <w:t>statement on Form S-8 will cover approximately</w:t>
            </w:r>
          </w:p>
        </w:tc>
        <w:tc>
          <w:tcPr>
            <w:tcW w:w="7860" w:type="dxa"/>
            <w:vAlign w:val="bottom"/>
          </w:tcPr>
          <w:p>
            <w:pPr>
              <w:jc w:val="right"/>
              <w:ind w:right="7041"/>
              <w:spacing w:after="0"/>
              <w:rPr>
                <w:sz w:val="20"/>
                <w:szCs w:val="20"/>
                <w:color w:val="auto"/>
              </w:rPr>
            </w:pPr>
            <w:r>
              <w:rPr>
                <w:rFonts w:ascii="Arial" w:cs="Arial" w:eastAsia="Arial" w:hAnsi="Arial"/>
                <w:sz w:val="16"/>
                <w:szCs w:val="16"/>
                <w:color w:val="auto"/>
              </w:rPr>
              <w:t>shares.</w:t>
            </w:r>
          </w:p>
        </w:tc>
      </w:tr>
      <w:tr>
        <w:trPr>
          <w:trHeight w:val="379"/>
        </w:trPr>
        <w:tc>
          <w:tcPr>
            <w:tcW w:w="3580" w:type="dxa"/>
            <w:vAlign w:val="bottom"/>
          </w:tcPr>
          <w:p>
            <w:pPr>
              <w:spacing w:after="0"/>
              <w:rPr>
                <w:sz w:val="24"/>
                <w:szCs w:val="24"/>
                <w:color w:val="auto"/>
              </w:rPr>
            </w:pPr>
          </w:p>
        </w:tc>
        <w:tc>
          <w:tcPr>
            <w:tcW w:w="7860" w:type="dxa"/>
            <w:vAlign w:val="bottom"/>
          </w:tcPr>
          <w:p>
            <w:pPr>
              <w:jc w:val="right"/>
              <w:ind w:right="5521"/>
              <w:spacing w:after="0"/>
              <w:rPr>
                <w:sz w:val="20"/>
                <w:szCs w:val="20"/>
                <w:color w:val="auto"/>
              </w:rPr>
            </w:pPr>
            <w:r>
              <w:rPr>
                <w:rFonts w:ascii="Arial" w:cs="Arial" w:eastAsia="Arial" w:hAnsi="Arial"/>
                <w:sz w:val="16"/>
                <w:szCs w:val="16"/>
                <w:color w:val="auto"/>
              </w:rPr>
              <w:t>225</w:t>
            </w:r>
          </w:p>
        </w:tc>
      </w:tr>
      <w:tr>
        <w:trPr>
          <w:trHeight w:val="193"/>
        </w:trPr>
        <w:tc>
          <w:tcPr>
            <w:tcW w:w="3580" w:type="dxa"/>
            <w:vAlign w:val="bottom"/>
            <w:tcBorders>
              <w:bottom w:val="single" w:sz="8" w:color="808080"/>
            </w:tcBorders>
          </w:tcPr>
          <w:p>
            <w:pPr>
              <w:spacing w:after="0"/>
              <w:rPr>
                <w:sz w:val="16"/>
                <w:szCs w:val="16"/>
                <w:color w:val="auto"/>
              </w:rPr>
            </w:pPr>
          </w:p>
        </w:tc>
        <w:tc>
          <w:tcPr>
            <w:tcW w:w="78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231" w:name="page232"/>
    <w:bookmarkEnd w:id="2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MATERIAL INCOME TAX CONSIDERATIONS</w:t>
      </w:r>
    </w:p>
    <w:p>
      <w:pPr>
        <w:spacing w:after="0" w:line="215" w:lineRule="exact"/>
        <w:rPr>
          <w:sz w:val="20"/>
          <w:szCs w:val="20"/>
          <w:color w:val="auto"/>
        </w:rPr>
      </w:pPr>
    </w:p>
    <w:p>
      <w:pPr>
        <w:ind w:right="180" w:firstLine="439"/>
        <w:spacing w:after="0" w:line="244" w:lineRule="auto"/>
        <w:rPr>
          <w:sz w:val="20"/>
          <w:szCs w:val="20"/>
          <w:color w:val="auto"/>
        </w:rPr>
      </w:pPr>
      <w:r>
        <w:rPr>
          <w:rFonts w:ascii="Arial" w:cs="Arial" w:eastAsia="Arial" w:hAnsi="Arial"/>
          <w:sz w:val="16"/>
          <w:szCs w:val="16"/>
          <w:color w:val="auto"/>
        </w:rPr>
        <w:t>The following summary contains a description of material U.K. and U.S. federal income tax consequences of the acquisition, ownership and disposition of our ordinary shares or ADSs. This summary should not be considered a comprehensive description of all the tax considerations that may be relevant to the decision to acquire ordinary shares or ADSs in this offering.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United States Federal Income Tax Considerations for U.S. Holders</w:t>
      </w:r>
    </w:p>
    <w:p>
      <w:pPr>
        <w:spacing w:after="0" w:line="215" w:lineRule="exact"/>
        <w:rPr>
          <w:sz w:val="20"/>
          <w:szCs w:val="20"/>
          <w:color w:val="auto"/>
        </w:rPr>
      </w:pPr>
    </w:p>
    <w:p>
      <w:pPr>
        <w:ind w:right="20" w:firstLine="439"/>
        <w:spacing w:after="0" w:line="260" w:lineRule="auto"/>
        <w:rPr>
          <w:sz w:val="20"/>
          <w:szCs w:val="20"/>
          <w:color w:val="auto"/>
        </w:rPr>
      </w:pPr>
      <w:r>
        <w:rPr>
          <w:rFonts w:ascii="Arial" w:cs="Arial" w:eastAsia="Arial" w:hAnsi="Arial"/>
          <w:sz w:val="15"/>
          <w:szCs w:val="15"/>
          <w:color w:val="auto"/>
        </w:rPr>
        <w:t>The following is a description of the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is an initial purchaser of the ordinary shares or ADSs pursuant to the offering and that holds our ordinary shares or ADSs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175" w:lineRule="exact"/>
        <w:rPr>
          <w:sz w:val="20"/>
          <w:szCs w:val="20"/>
          <w:color w:val="auto"/>
        </w:rPr>
      </w:pPr>
    </w:p>
    <w:p>
      <w:pPr>
        <w:ind w:left="980" w:hanging="493"/>
        <w:spacing w:after="0"/>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banks, insurance companies, and certain other financial institutions;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U.S. expatriates and certain former citizens or long-term residents of the United States;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dealers or traders in securities who use a mark-to-market method of tax accounting;</w:t>
      </w:r>
    </w:p>
    <w:p>
      <w:pPr>
        <w:spacing w:after="0" w:line="182" w:lineRule="exact"/>
        <w:rPr>
          <w:rFonts w:ascii="Arial" w:cs="Arial" w:eastAsia="Arial" w:hAnsi="Arial"/>
          <w:sz w:val="16"/>
          <w:szCs w:val="16"/>
          <w:color w:val="auto"/>
        </w:rPr>
      </w:pPr>
    </w:p>
    <w:p>
      <w:pPr>
        <w:ind w:left="980" w:right="60" w:hanging="493"/>
        <w:spacing w:after="0" w:line="249" w:lineRule="auto"/>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persons whose "functional currency" for U.S. federal income tax purposes is not the U.S. dollar;</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brokers, dealers or traders in securities, commodities or currencies;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tax-exempt entities or government organizations;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S corporations, partnerships, or other entities or arrangements classified as partnerships for U.S. federal income tax purposes;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regulated investment companies or real estate investment trusts;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persons who acquired our ordinary shares or ADSs pursuant to the exercise of any employee stock option or otherwise as compensation;</w:t>
      </w:r>
    </w:p>
    <w:p>
      <w:pPr>
        <w:spacing w:after="0" w:line="195" w:lineRule="exact"/>
        <w:rPr>
          <w:rFonts w:ascii="Arial" w:cs="Arial" w:eastAsia="Arial" w:hAnsi="Arial"/>
          <w:sz w:val="16"/>
          <w:szCs w:val="16"/>
          <w:color w:val="auto"/>
        </w:rPr>
      </w:pPr>
    </w:p>
    <w:p>
      <w:pPr>
        <w:ind w:left="980" w:right="340" w:hanging="493"/>
        <w:spacing w:after="0" w:line="249" w:lineRule="auto"/>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persons holding our ordinary shares or ADSs in connection with a trade or business, permanent establishment, or fixed base outside the United States; and</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persons who own (directly or through attribution) 10% or more (by vote or value) of our outstanding ordinary shares.</w:t>
      </w:r>
    </w:p>
    <w:p>
      <w:pPr>
        <w:spacing w:after="0" w:line="195"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advisers as to the particular U.S. federal income tax consequences of holding and disposing of ordinary shares or ADSs.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32" w:name="page233"/>
    <w:bookmarkEnd w:id="2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420" w:firstLine="439"/>
        <w:spacing w:after="0" w:line="244" w:lineRule="auto"/>
        <w:rPr>
          <w:sz w:val="20"/>
          <w:szCs w:val="20"/>
          <w:color w:val="auto"/>
        </w:rPr>
      </w:pPr>
      <w:r>
        <w:rPr>
          <w:rFonts w:ascii="Arial" w:cs="Arial" w:eastAsia="Arial" w:hAnsi="Arial"/>
          <w:sz w:val="16"/>
          <w:szCs w:val="16"/>
          <w:color w:val="auto"/>
        </w:rPr>
        <w:t>The discussion is based on the Code, administrative pronouncements, judicial decisions, final, temporary and proposed Treasury Regulations, and the income tax treaty between the United Kingdom and the United States, or the Treaty, all as of the date hereof, changes to any of which may affect the tax consequences described herein — possibly with retroactive effect.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"U.S. Holder" is a holder who, for U.S. federal income tax purposes, is a beneficial owner of ordinary shares or ADSs and is:</w:t>
      </w:r>
    </w:p>
    <w:p>
      <w:pPr>
        <w:spacing w:after="0" w:line="195" w:lineRule="exact"/>
        <w:rPr>
          <w:sz w:val="20"/>
          <w:szCs w:val="20"/>
          <w:color w:val="auto"/>
        </w:rPr>
      </w:pPr>
    </w:p>
    <w:p>
      <w:pPr>
        <w:ind w:left="980" w:hanging="493"/>
        <w:spacing w:after="0"/>
        <w:tabs>
          <w:tab w:leader="none" w:pos="9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 individual who is a citizen or individual resident of the United States;</w:t>
      </w:r>
    </w:p>
    <w:p>
      <w:pPr>
        <w:spacing w:after="0" w:line="195" w:lineRule="exact"/>
        <w:rPr>
          <w:rFonts w:ascii="Arial" w:cs="Arial" w:eastAsia="Arial" w:hAnsi="Arial"/>
          <w:sz w:val="16"/>
          <w:szCs w:val="16"/>
          <w:color w:val="auto"/>
        </w:rPr>
      </w:pPr>
    </w:p>
    <w:p>
      <w:pPr>
        <w:ind w:left="980" w:right="40" w:hanging="493"/>
        <w:spacing w:after="0" w:line="249" w:lineRule="auto"/>
        <w:tabs>
          <w:tab w:leader="none" w:pos="9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created or organized in or under the laws of the United States, any state therein or the District of Columbia;</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82" w:lineRule="exact"/>
        <w:rPr>
          <w:rFonts w:ascii="Arial" w:cs="Arial" w:eastAsia="Arial" w:hAnsi="Arial"/>
          <w:sz w:val="16"/>
          <w:szCs w:val="16"/>
          <w:color w:val="auto"/>
        </w:rPr>
      </w:pPr>
    </w:p>
    <w:p>
      <w:pPr>
        <w:ind w:left="980" w:hanging="493"/>
        <w:spacing w:after="0" w:line="244" w:lineRule="auto"/>
        <w:tabs>
          <w:tab w:leader="none" w:pos="9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trust if (1) a U.S. court is able to exercise primary supervision over the administration of the trust and one or more U.S. persons have authority to control all substantial decisions of the trust or (2) the trust has a valid election in effect to be treated as a U.S. person under applicable U.S. Treasury Regulations.</w:t>
      </w:r>
    </w:p>
    <w:p>
      <w:pPr>
        <w:spacing w:after="0" w:line="185" w:lineRule="exact"/>
        <w:rPr>
          <w:sz w:val="20"/>
          <w:szCs w:val="20"/>
          <w:color w:val="auto"/>
        </w:rPr>
      </w:pPr>
    </w:p>
    <w:p>
      <w:pPr>
        <w:ind w:right="100" w:firstLine="442"/>
        <w:spacing w:after="0" w:line="249" w:lineRule="auto"/>
        <w:rPr>
          <w:sz w:val="20"/>
          <w:szCs w:val="20"/>
          <w:color w:val="auto"/>
        </w:rPr>
      </w:pPr>
      <w:r>
        <w:rPr>
          <w:rFonts w:ascii="Arial" w:cs="Arial" w:eastAsia="Arial" w:hAnsi="Arial"/>
          <w:sz w:val="16"/>
          <w:szCs w:val="16"/>
          <w:color w:val="auto"/>
        </w:rPr>
        <w:t>Generally, a holder of an ADS should be treated for U.S. federal income tax purposes as holding the ordinary shares represented by the ADS. Accordingly, no gain or loss will be recognized upon an exchange of ADSs for ordinary shares.</w:t>
      </w:r>
    </w:p>
    <w:p>
      <w:pPr>
        <w:spacing w:after="0" w:line="181" w:lineRule="exact"/>
        <w:rPr>
          <w:sz w:val="20"/>
          <w:szCs w:val="20"/>
          <w:color w:val="auto"/>
        </w:rPr>
      </w:pPr>
    </w:p>
    <w:p>
      <w:pPr>
        <w:ind w:right="340" w:firstLine="442"/>
        <w:spacing w:after="0" w:line="244" w:lineRule="auto"/>
        <w:rPr>
          <w:sz w:val="20"/>
          <w:szCs w:val="20"/>
          <w:color w:val="auto"/>
        </w:rPr>
      </w:pPr>
      <w:r>
        <w:rPr>
          <w:rFonts w:ascii="Arial" w:cs="Arial" w:eastAsia="Arial" w:hAnsi="Arial"/>
          <w:sz w:val="16"/>
          <w:szCs w:val="16"/>
          <w:color w:val="auto"/>
        </w:rPr>
        <w:t>PERSONS CONSIDERING AN INVESTMENT IN ORDINARY SHARES OR ADSs SHOULD CONSULT THEIR OWN TAX ADVISORS AS TO THE PARTICULAR TAX CONSEQUENCES APPLICABLE TO THEM RELATING TO THE ACQUISITION, OWNERSHIP AND DISPOSITION OF THE ORDINARY SHARES OR ADSs, INCLUDING THE APPLICABILITY OF U.S. FEDERAL, STATE AND LOCAL TAX LAWS.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PFIC Rules</w:t>
      </w:r>
    </w:p>
    <w:p>
      <w:pPr>
        <w:spacing w:after="0" w:line="213" w:lineRule="exact"/>
        <w:rPr>
          <w:sz w:val="20"/>
          <w:szCs w:val="20"/>
          <w:color w:val="auto"/>
        </w:rPr>
      </w:pPr>
    </w:p>
    <w:p>
      <w:pPr>
        <w:ind w:right="40" w:firstLine="442"/>
        <w:spacing w:after="0" w:line="244" w:lineRule="auto"/>
        <w:rPr>
          <w:sz w:val="20"/>
          <w:szCs w:val="20"/>
          <w:color w:val="auto"/>
        </w:rPr>
      </w:pPr>
      <w:r>
        <w:rPr>
          <w:rFonts w:ascii="Arial" w:cs="Arial" w:eastAsia="Arial" w:hAnsi="Arial"/>
          <w:sz w:val="16"/>
          <w:szCs w:val="16"/>
          <w:color w:val="auto"/>
        </w:rPr>
        <w:t>If we are classified as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non-U.S. corporation will be classified as a PFIC for any taxable year in which, after applying certain look-through rules, either:</w:t>
      </w:r>
    </w:p>
    <w:p>
      <w:pPr>
        <w:spacing w:after="0" w:line="207" w:lineRule="exact"/>
        <w:rPr>
          <w:sz w:val="20"/>
          <w:szCs w:val="20"/>
          <w:color w:val="auto"/>
        </w:rPr>
      </w:pPr>
    </w:p>
    <w:p>
      <w:pPr>
        <w:ind w:left="980" w:hanging="493"/>
        <w:spacing w:after="0"/>
        <w:tabs>
          <w:tab w:leader="none" w:pos="9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at least 75% of its gross income is passive income (such as interest income); or</w:t>
      </w:r>
    </w:p>
    <w:p>
      <w:pPr>
        <w:spacing w:after="0" w:line="182" w:lineRule="exact"/>
        <w:rPr>
          <w:rFonts w:ascii="Arial" w:cs="Arial" w:eastAsia="Arial" w:hAnsi="Arial"/>
          <w:sz w:val="16"/>
          <w:szCs w:val="16"/>
          <w:color w:val="auto"/>
        </w:rPr>
      </w:pPr>
    </w:p>
    <w:p>
      <w:pPr>
        <w:ind w:left="980" w:right="20" w:hanging="493"/>
        <w:spacing w:after="0" w:line="249" w:lineRule="auto"/>
        <w:tabs>
          <w:tab w:leader="none" w:pos="9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at least 50% of its gross assets (determined on the basis of a quarterly average) is attributable to assets that produce passive income or are held for the production of passive income.</w:t>
      </w:r>
    </w:p>
    <w:p>
      <w:pPr>
        <w:spacing w:after="0" w:line="181" w:lineRule="exact"/>
        <w:rPr>
          <w:sz w:val="20"/>
          <w:szCs w:val="20"/>
          <w:color w:val="auto"/>
        </w:rPr>
      </w:pPr>
    </w:p>
    <w:p>
      <w:pPr>
        <w:ind w:right="40" w:firstLine="442"/>
        <w:spacing w:after="0" w:line="249" w:lineRule="auto"/>
        <w:rPr>
          <w:sz w:val="20"/>
          <w:szCs w:val="20"/>
          <w:color w:val="auto"/>
        </w:rPr>
      </w:pPr>
      <w:r>
        <w:rPr>
          <w:rFonts w:ascii="Arial" w:cs="Arial" w:eastAsia="Arial" w:hAnsi="Arial"/>
          <w:sz w:val="16"/>
          <w:szCs w:val="16"/>
          <w:color w:val="auto"/>
        </w:rPr>
        <w:t>We will be treated as owning our proportionate share of the assets and earning our proportionate share of the income of any other corporation, the equity of which we own, directly or indirectly, 25% or more (by value).</w:t>
      </w:r>
    </w:p>
    <w:p>
      <w:pPr>
        <w:spacing w:after="0" w:line="181" w:lineRule="exact"/>
        <w:rPr>
          <w:sz w:val="20"/>
          <w:szCs w:val="20"/>
          <w:color w:val="auto"/>
        </w:rPr>
      </w:pPr>
    </w:p>
    <w:p>
      <w:pPr>
        <w:jc w:val="both"/>
        <w:ind w:right="20" w:firstLine="442"/>
        <w:spacing w:after="0" w:line="242" w:lineRule="auto"/>
        <w:rPr>
          <w:sz w:val="20"/>
          <w:szCs w:val="20"/>
          <w:color w:val="auto"/>
        </w:rPr>
      </w:pPr>
      <w:r>
        <w:rPr>
          <w:rFonts w:ascii="Arial" w:cs="Arial" w:eastAsia="Arial" w:hAnsi="Arial"/>
          <w:sz w:val="16"/>
          <w:szCs w:val="16"/>
          <w:color w:val="auto"/>
        </w:rPr>
        <w:t>Based on our analysis of our income, assets, activities and market capitalization, we believe that we were a PFIC in the 2018 taxable year. We have not yet determined our PFIC status for the current taxable year, but we may be a PFIC. A separate determination must be made after the close of each taxable year as to whether we are a PFIC for that year. As a result, our PFIC status may change from year to year, and we may be classified as a PFIC currently or in the future. The total value of our assets for purposes of the asset test generally will be calculated using the market price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33" w:name="page234"/>
    <w:bookmarkEnd w:id="2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of the ordinary shares or ADSs, which may fluctuate considerably. Fluctuations in the market price of the ordinary shares or ADSs may result in our being a PFIC for any taxable year. Because of the uncertainties involved in establishing our PFIC status, there can be no assurance regarding if we currently are treated as a PFIC, or may be treated as a PFIC in the future.</w:t>
      </w:r>
    </w:p>
    <w:p>
      <w:pPr>
        <w:spacing w:after="0" w:line="18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If we are classified as a PFIC in any year with respect to which a U.S. Holder owns the ordinary shares or ADSs, we will continue to be treated as a PFIC with respect to such U.S. Holder in all succeeding years during which the U.S. Holder owns the ordinary shares or ADSs, regardless of whether we continue to meet the tests described above unless (i) we cease to be a PFIC and the U.S. Holder has made a "deemed sale" election under the PFIC rules, or (ii) the U.S. Holder makes a Qualified Electing Fund Election, or QEF Election, with respect to all taxable years during such U.S. Holders holding period in which we are a PFIC. If the "deemed sale" election is made, a U.S. Holder will be deemed to have sold the ordinary shares or ADSs the U.S. Holder holds at their fair market value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ordinary shares or ADSs. U.S. Holders should consult their tax advisors as to the possibility and consequences of making a deemed sale election if we cease to be a PFIC and such election becomes available.</w:t>
      </w:r>
    </w:p>
    <w:p>
      <w:pPr>
        <w:spacing w:after="0" w:line="190" w:lineRule="exact"/>
        <w:rPr>
          <w:sz w:val="20"/>
          <w:szCs w:val="20"/>
          <w:color w:val="auto"/>
        </w:rPr>
      </w:pPr>
    </w:p>
    <w:p>
      <w:pPr>
        <w:ind w:right="80" w:firstLine="442"/>
        <w:spacing w:after="0" w:line="241" w:lineRule="auto"/>
        <w:rPr>
          <w:sz w:val="20"/>
          <w:szCs w:val="20"/>
          <w:color w:val="auto"/>
        </w:rPr>
      </w:pPr>
      <w:r>
        <w:rPr>
          <w:rFonts w:ascii="Arial" w:cs="Arial" w:eastAsia="Arial" w:hAnsi="Arial"/>
          <w:sz w:val="16"/>
          <w:szCs w:val="16"/>
          <w:color w:val="auto"/>
        </w:rPr>
        <w:t>For each taxable year we are treated as a PFIC with respect to U.S. Holders, U.S. Holders will be subject to special tax rules with respect to any "excess distribution" such U.S. Holder receives and any gain such U.S. Holder recognizes from a sale or other disposition (including, under certain circumstances, a pledge) of ordinary shares or ADSs, unless (i) such U.S. Holder makes a QEF Election or (ii) our ordinary shares or ADSs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or ADSs will be treated as an excess distribution. Under these special tax rules:</w:t>
      </w:r>
    </w:p>
    <w:p>
      <w:pPr>
        <w:spacing w:after="0" w:line="188" w:lineRule="exact"/>
        <w:rPr>
          <w:sz w:val="20"/>
          <w:szCs w:val="20"/>
          <w:color w:val="auto"/>
        </w:rPr>
      </w:pPr>
    </w:p>
    <w:p>
      <w:pPr>
        <w:ind w:left="980" w:hanging="493"/>
        <w:spacing w:after="0"/>
        <w:tabs>
          <w:tab w:leader="none" w:pos="9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excess distribution or gain will be allocated ratably over a U.S. Holder's holding period for the ordinary shares or ADSs;</w:t>
      </w:r>
    </w:p>
    <w:p>
      <w:pPr>
        <w:spacing w:after="0" w:line="195" w:lineRule="exact"/>
        <w:rPr>
          <w:rFonts w:ascii="Arial" w:cs="Arial" w:eastAsia="Arial" w:hAnsi="Arial"/>
          <w:sz w:val="16"/>
          <w:szCs w:val="16"/>
          <w:color w:val="auto"/>
        </w:rPr>
      </w:pPr>
    </w:p>
    <w:p>
      <w:pPr>
        <w:ind w:left="980" w:right="160" w:hanging="493"/>
        <w:spacing w:after="0" w:line="249" w:lineRule="auto"/>
        <w:tabs>
          <w:tab w:leader="none" w:pos="9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amount allocated to the current taxable year, and any taxable year prior to the first taxable year in which we became a PFIC, will be treated as ordinary income; and</w:t>
      </w:r>
    </w:p>
    <w:p>
      <w:pPr>
        <w:spacing w:after="0" w:line="168" w:lineRule="exact"/>
        <w:rPr>
          <w:rFonts w:ascii="Arial" w:cs="Arial" w:eastAsia="Arial" w:hAnsi="Arial"/>
          <w:sz w:val="16"/>
          <w:szCs w:val="16"/>
          <w:color w:val="auto"/>
        </w:rPr>
      </w:pPr>
    </w:p>
    <w:p>
      <w:pPr>
        <w:ind w:left="980" w:right="200" w:hanging="493"/>
        <w:spacing w:after="0" w:line="249" w:lineRule="auto"/>
        <w:tabs>
          <w:tab w:leader="none" w:pos="9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81" w:lineRule="exact"/>
        <w:rPr>
          <w:sz w:val="20"/>
          <w:szCs w:val="20"/>
          <w:color w:val="auto"/>
        </w:rPr>
      </w:pPr>
    </w:p>
    <w:p>
      <w:pPr>
        <w:ind w:right="40" w:firstLine="439"/>
        <w:spacing w:after="0" w:line="244" w:lineRule="auto"/>
        <w:rPr>
          <w:sz w:val="20"/>
          <w:szCs w:val="20"/>
          <w:color w:val="auto"/>
        </w:rPr>
      </w:pPr>
      <w:r>
        <w:rPr>
          <w:rFonts w:ascii="Arial" w:cs="Arial" w:eastAsia="Arial" w:hAnsi="Arial"/>
          <w:sz w:val="16"/>
          <w:szCs w:val="16"/>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a U.S. Holder holds the ordinary shares or ADSs as capital assets.</w:t>
      </w:r>
    </w:p>
    <w:p>
      <w:pPr>
        <w:spacing w:after="0" w:line="185" w:lineRule="exact"/>
        <w:rPr>
          <w:sz w:val="20"/>
          <w:szCs w:val="20"/>
          <w:color w:val="auto"/>
        </w:rPr>
      </w:pPr>
    </w:p>
    <w:p>
      <w:pPr>
        <w:jc w:val="both"/>
        <w:ind w:firstLine="442"/>
        <w:spacing w:after="0" w:line="244" w:lineRule="auto"/>
        <w:rPr>
          <w:sz w:val="20"/>
          <w:szCs w:val="20"/>
          <w:color w:val="auto"/>
        </w:rPr>
      </w:pPr>
      <w:r>
        <w:rPr>
          <w:rFonts w:ascii="Arial" w:cs="Arial" w:eastAsia="Arial" w:hAnsi="Arial"/>
          <w:sz w:val="16"/>
          <w:szCs w:val="16"/>
          <w:color w:val="auto"/>
        </w:rPr>
        <w:t>In addition, 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185" w:lineRule="exact"/>
        <w:rPr>
          <w:sz w:val="20"/>
          <w:szCs w:val="20"/>
          <w:color w:val="auto"/>
        </w:rPr>
      </w:pPr>
    </w:p>
    <w:p>
      <w:pPr>
        <w:ind w:right="800" w:firstLine="442"/>
        <w:spacing w:after="0" w:line="249" w:lineRule="auto"/>
        <w:rPr>
          <w:sz w:val="20"/>
          <w:szCs w:val="20"/>
          <w:color w:val="auto"/>
        </w:rPr>
      </w:pPr>
      <w:r>
        <w:rPr>
          <w:rFonts w:ascii="Arial" w:cs="Arial" w:eastAsia="Arial" w:hAnsi="Arial"/>
          <w:sz w:val="16"/>
          <w:szCs w:val="16"/>
          <w:color w:val="auto"/>
        </w:rPr>
        <w:t>If a U.S. Holder makes an effective QEF Election, the U.S. Holder will be required to include in gross income each year, whether or not we make distributions, as capital gains, such U.S. Holder's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34" w:name="page235"/>
    <w:bookmarkEnd w:id="2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380"/>
        <w:spacing w:after="0" w:line="244" w:lineRule="auto"/>
        <w:rPr>
          <w:sz w:val="20"/>
          <w:szCs w:val="20"/>
          <w:color w:val="auto"/>
        </w:rPr>
      </w:pPr>
      <w:r>
        <w:rPr>
          <w:rFonts w:ascii="Arial" w:cs="Arial" w:eastAsia="Arial" w:hAnsi="Arial"/>
          <w:sz w:val="16"/>
          <w:szCs w:val="16"/>
          <w:color w:val="auto"/>
        </w:rPr>
        <w:t>pro rata share of our net capital gains and, as ordinary income, such U.S. Holder's pro rata share of our earnings in excess of our net capital gains. If we determine that we are a PFIC for this year or any future taxable year, we currently expect that we would provide the information necessary for U.S. Holders to make a QEF Election.</w:t>
      </w:r>
    </w:p>
    <w:p>
      <w:pPr>
        <w:spacing w:after="0" w:line="185" w:lineRule="exact"/>
        <w:rPr>
          <w:sz w:val="20"/>
          <w:szCs w:val="20"/>
          <w:color w:val="auto"/>
        </w:rPr>
      </w:pPr>
    </w:p>
    <w:p>
      <w:pPr>
        <w:ind w:right="60" w:firstLine="442"/>
        <w:spacing w:after="0"/>
        <w:rPr>
          <w:sz w:val="20"/>
          <w:szCs w:val="20"/>
          <w:color w:val="auto"/>
        </w:rPr>
      </w:pPr>
      <w:r>
        <w:rPr>
          <w:rFonts w:ascii="Arial" w:cs="Arial" w:eastAsia="Arial" w:hAnsi="Arial"/>
          <w:sz w:val="16"/>
          <w:szCs w:val="16"/>
          <w:color w:val="auto"/>
        </w:rPr>
        <w:t>U.S. Holders can avoid the interest charge on excess distributions or gain relating to the ordinary shares or ADSs by making a mark-to-market election with respect to the ordinary shares or ADSs, provided that the ordinary shares or ADSs are "marketable." Ordinary shares or ADSs will be marketable if they are "regularly traded" on certain U.S. stock exchanges or on a foreign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will be listed on Nasdaq, which is a qualified exchange for these purposes. Consequently, if our ADSs remain listed on Nasdaq and are regularly traded, and you are a holder of ADSs, we expect the mark-to-market election would be available to U.S. Holders if we are a PFIC. Each U.S. Holder should consult its tax advisor as to the whether a mark-to-market election is available or advisable with respect to the ordinary shares or ADSs.</w:t>
      </w:r>
    </w:p>
    <w:p>
      <w:pPr>
        <w:spacing w:after="0" w:line="191" w:lineRule="exact"/>
        <w:rPr>
          <w:sz w:val="20"/>
          <w:szCs w:val="20"/>
          <w:color w:val="auto"/>
        </w:rPr>
      </w:pPr>
    </w:p>
    <w:p>
      <w:pPr>
        <w:ind w:right="140" w:firstLine="433"/>
        <w:spacing w:after="0"/>
        <w:rPr>
          <w:sz w:val="20"/>
          <w:szCs w:val="20"/>
          <w:color w:val="auto"/>
        </w:rPr>
      </w:pPr>
      <w:r>
        <w:rPr>
          <w:rFonts w:ascii="Arial" w:cs="Arial" w:eastAsia="Arial" w:hAnsi="Arial"/>
          <w:sz w:val="16"/>
          <w:szCs w:val="16"/>
          <w:color w:val="auto"/>
        </w:rPr>
        <w:t>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will be treated as ordinary income, and any losses incurred on a sale or other disposition of the shares will be treated as an ordinary loss to the extent of any net mark-to-market gains for prior years. Once made, the election cannot be revoked without the consent of the Internal Revenue Service, or the IRS, unless the ordinary shares or ADSs cease to be marketable.</w:t>
      </w:r>
    </w:p>
    <w:p>
      <w:pPr>
        <w:spacing w:after="0" w:line="192"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However, a mark-to-market election generally cannot be made for equity interests in any lower-tier PFICs that we own, unless shares of such lower-tier PFIC are themselves "marketable."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to determine whether any of these elections would be available and if so, what the consequences of the alternative treatments would be in their particular circumstances.</w:t>
      </w:r>
    </w:p>
    <w:p>
      <w:pPr>
        <w:spacing w:after="0" w:line="189"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89" w:lineRule="exact"/>
        <w:rPr>
          <w:sz w:val="20"/>
          <w:szCs w:val="20"/>
          <w:color w:val="auto"/>
        </w:rPr>
      </w:pPr>
    </w:p>
    <w:p>
      <w:pPr>
        <w:ind w:right="120" w:firstLine="442"/>
        <w:spacing w:after="0" w:line="249" w:lineRule="auto"/>
        <w:rPr>
          <w:sz w:val="20"/>
          <w:szCs w:val="20"/>
          <w:color w:val="auto"/>
        </w:rPr>
      </w:pPr>
      <w:r>
        <w:rPr>
          <w:rFonts w:ascii="Arial" w:cs="Arial" w:eastAsia="Arial" w:hAnsi="Arial"/>
          <w:sz w:val="16"/>
          <w:szCs w:val="16"/>
          <w:color w:val="auto"/>
        </w:rPr>
        <w:t>WE STRONGLY URGE YOU TO CONSULT YOUR TAX ADVISOR REGARDING THE IMPACT OF OUR PFIC STATUS ON YOUR INVESTMENT IN THE ORDINARY SHARES OR ADSs AS WELL 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5" w:name="page236"/>
    <w:bookmarkEnd w:id="2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APPLICATION OF THE PFIC RULES TO YOUR INVESTMENT IN THE ORDINARY SHARES OR ADSs.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21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Subject to the discussion above under "PFIC rules," distributions paid on ordinary shares or ADSs, other than certain pro rata distributions of ordinary shares or ADSs, will generally be treated as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Subject to applicable limitations and the discussions above regarding concerns expressed by the U.S. Treasury, dividends paid to certain non-corporate U.S. Holders may be taxable at preferential rates applicable to "qualified dividend income" if we are a "qualified foreign corporation" and certain other requirements are met. However, the qualified dividend income treatment may not apply if we are treated as a PFIC with respect to the U.S. Holder.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w:t>
      </w:r>
    </w:p>
    <w:p>
      <w:pPr>
        <w:spacing w:after="0" w:line="188"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For foreign tax credit limitation purposes, our dividends will generally be treated as passive category income. Because no U.K. income taxes will be withheld from dividends on ordinary shares or ADSs, there will be no creditable foreign taxes associated with any dividends that a U.S. Holder will receive. The rules governing foreign tax credits are complex and U.S. Holders should therefore consult their tax advisers regarding the effect of the receipt of dividends for foreign tax credit limitation purposes.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 or Other Taxable Disposition of Ordinary Shares and ADSs</w:t>
      </w:r>
    </w:p>
    <w:p>
      <w:pPr>
        <w:spacing w:after="0" w:line="213" w:lineRule="exact"/>
        <w:rPr>
          <w:sz w:val="20"/>
          <w:szCs w:val="20"/>
          <w:color w:val="auto"/>
        </w:rPr>
      </w:pPr>
    </w:p>
    <w:p>
      <w:pPr>
        <w:ind w:right="120" w:firstLine="442"/>
        <w:spacing w:after="0" w:line="241" w:lineRule="auto"/>
        <w:rPr>
          <w:sz w:val="20"/>
          <w:szCs w:val="20"/>
          <w:color w:val="auto"/>
        </w:rPr>
      </w:pPr>
      <w:r>
        <w:rPr>
          <w:rFonts w:ascii="Arial" w:cs="Arial" w:eastAsia="Arial" w:hAnsi="Arial"/>
          <w:sz w:val="16"/>
          <w:szCs w:val="16"/>
          <w:color w:val="auto"/>
        </w:rPr>
        <w:t>Subject to the discussion above under "PFIC rules," gain or loss realized on the sale or other taxable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189"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non-U.S. dollar currency by translating the amount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6" w:name="page237"/>
    <w:bookmarkEnd w:id="2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both"/>
        <w:ind w:right="220"/>
        <w:spacing w:after="0" w:line="268" w:lineRule="auto"/>
        <w:rPr>
          <w:sz w:val="20"/>
          <w:szCs w:val="20"/>
          <w:color w:val="auto"/>
        </w:rPr>
      </w:pPr>
      <w:r>
        <w:rPr>
          <w:rFonts w:ascii="Arial" w:cs="Arial" w:eastAsia="Arial" w:hAnsi="Arial"/>
          <w:sz w:val="15"/>
          <w:szCs w:val="15"/>
          <w:color w:val="auto"/>
        </w:rPr>
        <w:t>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213"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on a duly executed IRS Form W-9 or otherwise establishes an exemption.</w:t>
      </w:r>
    </w:p>
    <w:p>
      <w:pPr>
        <w:spacing w:after="0" w:line="187" w:lineRule="exact"/>
        <w:rPr>
          <w:sz w:val="20"/>
          <w:szCs w:val="20"/>
          <w:color w:val="auto"/>
        </w:rPr>
      </w:pPr>
    </w:p>
    <w:p>
      <w:pPr>
        <w:ind w:right="180" w:firstLine="442"/>
        <w:spacing w:after="0" w:line="282" w:lineRule="auto"/>
        <w:rPr>
          <w:sz w:val="20"/>
          <w:szCs w:val="20"/>
          <w:color w:val="auto"/>
        </w:rPr>
      </w:pPr>
      <w:r>
        <w:rPr>
          <w:rFonts w:ascii="Arial" w:cs="Arial" w:eastAsia="Arial" w:hAnsi="Arial"/>
          <w:sz w:val="15"/>
          <w:szCs w:val="15"/>
          <w:color w:val="auto"/>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with Respect to Foreign Financial Assets</w:t>
      </w:r>
    </w:p>
    <w:p>
      <w:pPr>
        <w:spacing w:after="0" w:line="213" w:lineRule="exact"/>
        <w:rPr>
          <w:sz w:val="20"/>
          <w:szCs w:val="20"/>
          <w:color w:val="auto"/>
        </w:rPr>
      </w:pPr>
    </w:p>
    <w:p>
      <w:pPr>
        <w:ind w:right="40" w:firstLine="442"/>
        <w:spacing w:after="0" w:line="241" w:lineRule="auto"/>
        <w:rPr>
          <w:sz w:val="20"/>
          <w:szCs w:val="20"/>
          <w:color w:val="auto"/>
        </w:rPr>
      </w:pPr>
      <w:r>
        <w:rPr>
          <w:rFonts w:ascii="Arial" w:cs="Arial" w:eastAsia="Arial" w:hAnsi="Arial"/>
          <w:sz w:val="16"/>
          <w:szCs w:val="16"/>
          <w:color w:val="auto"/>
        </w:rPr>
        <w:t>Certain U.S. Holders who are individuals (and, under regulations, certain entities) may be required to report information relating to the ordinary shares or ADSs, subject to certain exceptions (including an exception for ordinary shares or ADSs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advisers regarding their reporting obligations with respect to their ownership and disposition of the ordinary shares or ADSs.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U.K. Taxation</w:t>
      </w:r>
    </w:p>
    <w:p>
      <w:pPr>
        <w:spacing w:after="0" w:line="215" w:lineRule="exact"/>
        <w:rPr>
          <w:sz w:val="20"/>
          <w:szCs w:val="20"/>
          <w:color w:val="auto"/>
        </w:rPr>
      </w:pPr>
    </w:p>
    <w:p>
      <w:pPr>
        <w:ind w:right="120" w:firstLine="439"/>
        <w:spacing w:after="0" w:line="241" w:lineRule="auto"/>
        <w:rPr>
          <w:sz w:val="20"/>
          <w:szCs w:val="20"/>
          <w:color w:val="auto"/>
        </w:rPr>
      </w:pPr>
      <w:r>
        <w:rPr>
          <w:rFonts w:ascii="Arial" w:cs="Arial" w:eastAsia="Arial" w:hAnsi="Arial"/>
          <w:sz w:val="16"/>
          <w:szCs w:val="16"/>
          <w:color w:val="auto"/>
        </w:rPr>
        <w:t>The following is intended as a general guide to current U.K. tax law and HM Revenue &amp; Customs, or HMRC, published practice applying as at the date of this prospectus (both of which are subject to change at any time, possibly with retrospective effect) relating to the holding of ADSs. It does not constitute legal or tax advice and does not purport to be a complete analysis of all U.K. tax considerations relating to the holding of ADSs, or all of the circumstances in which holders of ADSs may benefit from an exemption or relief from U.K. taxation. It is written on the basis that the company does not (and will not) derive 75% or more of its qualifying asset value from U.K. land, and that the company is and remains solely resident in the U.K. for tax purposes and will therefore be subject to the U.K. tax regime and not the U.S. tax regime save as set out above under "Material United States Federal Income Tax Considerations for U.S. Holders".</w:t>
      </w:r>
    </w:p>
    <w:p>
      <w:pPr>
        <w:spacing w:after="0" w:line="188" w:lineRule="exact"/>
        <w:rPr>
          <w:sz w:val="20"/>
          <w:szCs w:val="20"/>
          <w:color w:val="auto"/>
        </w:rPr>
      </w:pPr>
    </w:p>
    <w:p>
      <w:pPr>
        <w:ind w:right="220" w:firstLine="442"/>
        <w:spacing w:after="0" w:line="242" w:lineRule="auto"/>
        <w:rPr>
          <w:sz w:val="20"/>
          <w:szCs w:val="20"/>
          <w:color w:val="auto"/>
        </w:rPr>
      </w:pPr>
      <w:r>
        <w:rPr>
          <w:rFonts w:ascii="Arial" w:cs="Arial" w:eastAsia="Arial" w:hAnsi="Arial"/>
          <w:sz w:val="16"/>
          <w:szCs w:val="16"/>
          <w:color w:val="auto"/>
        </w:rPr>
        <w:t>Except to the extent that the position of non-U.K. resident persons is expressly referred to, this guide relates only to persons who are resident (and, in the case of individuals, domiciled or deemed domiciled) for tax purposes solely in the U.K. and do not have a permanent establishment, branch, agency (or equivalent) or fixed base in any other jurisdiction with which the holding of the ADSs is connected, or U.K. Holders, who are absolute beneficial owners of the ADSs (and do not hold the ADSs through an Individual Savings Account or a Self-Invested Personal Pension) and who hold the ADSs as investments.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7" w:name="page238"/>
    <w:bookmarkEnd w:id="2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guide may not relate to certain classes of U.K. Holders, such as (but not limited to):</w:t>
      </w:r>
    </w:p>
    <w:p>
      <w:pPr>
        <w:spacing w:after="0" w:line="195" w:lineRule="exact"/>
        <w:rPr>
          <w:sz w:val="20"/>
          <w:szCs w:val="20"/>
          <w:color w:val="auto"/>
        </w:rPr>
      </w:pPr>
    </w:p>
    <w:p>
      <w:pPr>
        <w:ind w:left="980" w:hanging="493"/>
        <w:spacing w:after="0"/>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persons who are connected with the company;</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financial institutions;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charities or tax-exempt organizations;</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collective investment schemes;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pension schemes;</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market makers, intermediaries, brokers or dealers in securities;</w:t>
      </w:r>
    </w:p>
    <w:p>
      <w:pPr>
        <w:spacing w:after="0" w:line="195" w:lineRule="exact"/>
        <w:rPr>
          <w:rFonts w:ascii="Arial" w:cs="Arial" w:eastAsia="Arial" w:hAnsi="Arial"/>
          <w:sz w:val="16"/>
          <w:szCs w:val="16"/>
          <w:color w:val="auto"/>
        </w:rPr>
      </w:pPr>
    </w:p>
    <w:p>
      <w:pPr>
        <w:ind w:left="980" w:right="20" w:hanging="493"/>
        <w:spacing w:after="0" w:line="249" w:lineRule="auto"/>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persons who have (or are deemed to have) acquired their ADSs by virtue of an office or employment or who are or have been officers or employees of the company or any of its affiliates; and</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individuals who are subject to U.K. taxation on a remittance basis.</w:t>
      </w:r>
    </w:p>
    <w:p>
      <w:pPr>
        <w:spacing w:after="0" w:line="195" w:lineRule="exact"/>
        <w:rPr>
          <w:sz w:val="20"/>
          <w:szCs w:val="20"/>
          <w:color w:val="auto"/>
        </w:rPr>
      </w:pPr>
    </w:p>
    <w:p>
      <w:pPr>
        <w:jc w:val="both"/>
        <w:ind w:right="180" w:firstLine="442"/>
        <w:spacing w:after="0" w:line="244" w:lineRule="auto"/>
        <w:rPr>
          <w:sz w:val="20"/>
          <w:szCs w:val="20"/>
          <w:color w:val="auto"/>
        </w:rPr>
      </w:pPr>
      <w:r>
        <w:rPr>
          <w:rFonts w:ascii="Arial" w:cs="Arial" w:eastAsia="Arial" w:hAnsi="Arial"/>
          <w:sz w:val="16"/>
          <w:szCs w:val="16"/>
          <w:color w:val="auto"/>
        </w:rPr>
        <w:t>Based on published HMRC guidance we would expect that HMRC will regard a holder of ADSs as holding the beneficial interest in the underlying shares and therefore 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185" w:lineRule="exact"/>
        <w:rPr>
          <w:sz w:val="20"/>
          <w:szCs w:val="20"/>
          <w:color w:val="auto"/>
        </w:rPr>
      </w:pPr>
    </w:p>
    <w:p>
      <w:pPr>
        <w:ind w:firstLine="439"/>
        <w:spacing w:after="0" w:line="242" w:lineRule="auto"/>
        <w:rPr>
          <w:sz w:val="20"/>
          <w:szCs w:val="20"/>
          <w:color w:val="auto"/>
        </w:rPr>
      </w:pPr>
      <w:r>
        <w:rPr>
          <w:rFonts w:ascii="Arial" w:cs="Arial" w:eastAsia="Arial" w:hAnsi="Arial"/>
          <w:sz w:val="16"/>
          <w:szCs w:val="16"/>
          <w:color w:val="auto"/>
        </w:rPr>
        <w:t>THESE PARAGRAPHS ARE A SUMMARY OF CERTAIN U.K. TAX CONSIDERATIONS AND ARE INTENDED AS A GENERAL GUIDE ONLY. IT IS RECOMMENDED THAT ALL HOLDERS OF ADSs OBTAIN ADVICE AS TO THE CONSEQUENCES OF THE ACQUISITION, OWNERSHIP AND DISPOSAL OF THE ADSs IN THEIR OWN PARTICULAR CIRCUMSTANCES FROM THEIR OWN TAX ADVISORS. IN PARTICULAR, NON-U.K. RESIDENT OR DOMICILED PERSONS ARE ADVISED TO CONSIDER THE POTENTIAL IMPACT OF ANY RELEVANT DOUBLE TAXATION AGREEMENTS.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Withholding Tax</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Dividends paid by the company will not be subject to any withholding or deduction for or on account of U.K. tax.</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w:t>
      </w:r>
    </w:p>
    <w:p>
      <w:pPr>
        <w:spacing w:after="0" w:line="211" w:lineRule="exact"/>
        <w:rPr>
          <w:sz w:val="20"/>
          <w:szCs w:val="20"/>
          <w:color w:val="auto"/>
        </w:rPr>
      </w:pPr>
    </w:p>
    <w:p>
      <w:pPr>
        <w:ind w:right="60" w:firstLine="433"/>
        <w:spacing w:after="0" w:line="241" w:lineRule="auto"/>
        <w:rPr>
          <w:sz w:val="20"/>
          <w:szCs w:val="20"/>
          <w:color w:val="auto"/>
        </w:rPr>
      </w:pPr>
      <w:r>
        <w:rPr>
          <w:rFonts w:ascii="Arial" w:cs="Arial" w:eastAsia="Arial" w:hAnsi="Arial"/>
          <w:sz w:val="16"/>
          <w:szCs w:val="16"/>
          <w:color w:val="auto"/>
        </w:rPr>
        <w:t>An individual U.K. Holder may, depending on his or her particular circumstances, be subject to U.K. tax on dividends received from the company. An individual holder of ADSs who is not resident for tax purposes in the United Kingdom should not be chargeable to U.K. income tax on dividends received from the company unless he or she carries on (whether solely or in partnership) a trade, profession or vocation in the U.K. through a permanent establishment, branch or agency to which the ADSs are attributable. There are certain exceptions for trading in the UK through independent agents, such as some brokers and investment managers.</w:t>
      </w:r>
    </w:p>
    <w:p>
      <w:pPr>
        <w:spacing w:after="0" w:line="189" w:lineRule="exact"/>
        <w:rPr>
          <w:sz w:val="20"/>
          <w:szCs w:val="20"/>
          <w:color w:val="auto"/>
        </w:rPr>
      </w:pPr>
    </w:p>
    <w:p>
      <w:pPr>
        <w:ind w:right="220" w:firstLine="433"/>
        <w:spacing w:after="0" w:line="242" w:lineRule="auto"/>
        <w:rPr>
          <w:sz w:val="20"/>
          <w:szCs w:val="20"/>
          <w:color w:val="auto"/>
        </w:rPr>
      </w:pPr>
      <w:r>
        <w:rPr>
          <w:rFonts w:ascii="Arial" w:cs="Arial" w:eastAsia="Arial" w:hAnsi="Arial"/>
          <w:sz w:val="16"/>
          <w:szCs w:val="16"/>
          <w:color w:val="auto"/>
        </w:rPr>
        <w:t>All dividends received by an individual U.K. Holder from us or from other sources will form part of that U.K. Holder's total income for income tax purposes and will constitute the top slice of that income. A nil rate of income tax will apply to the first £2,000 of taxable dividend income received by the individual U.K. Holder in a tax year. Income within the nil rate band will be taken into account in determining whether income in excess of the £2,000 tax-free allowance falls within the basic rate, higher rate or additional rate tax bands. Dividend income in excess of the tax-free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38" w:name="page239"/>
    <w:bookmarkEnd w:id="2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allowance will (subject to the availability of any income tax personal allowance) be taxed at 7.5% to the extent that the excess amount falls within the basic rate tax band, 32.5% to the extent that the excess amount falls within the higher rate tax band and 38.1% to the extent that the excess amount falls within the additional rate tax band.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Corporation Tax</w:t>
      </w:r>
    </w:p>
    <w:p>
      <w:pPr>
        <w:spacing w:after="0" w:line="211" w:lineRule="exact"/>
        <w:rPr>
          <w:sz w:val="20"/>
          <w:szCs w:val="20"/>
          <w:color w:val="auto"/>
        </w:rPr>
      </w:pPr>
    </w:p>
    <w:p>
      <w:pPr>
        <w:ind w:right="200" w:firstLine="433"/>
        <w:spacing w:after="0" w:line="244" w:lineRule="auto"/>
        <w:rPr>
          <w:sz w:val="20"/>
          <w:szCs w:val="20"/>
          <w:color w:val="auto"/>
        </w:rPr>
      </w:pPr>
      <w:r>
        <w:rPr>
          <w:rFonts w:ascii="Arial" w:cs="Arial" w:eastAsia="Arial" w:hAnsi="Arial"/>
          <w:sz w:val="16"/>
          <w:szCs w:val="16"/>
          <w:color w:val="auto"/>
        </w:rPr>
        <w:t>A corporate holder of ADSs who is not resident for tax purposes in the United Kingdom should not be chargeable to U.K. corporation tax on dividends received from the company unless it carries on (whether solely or in partnership) a trade in the United Kingdom through a permanent establishment to which the ADSs are attributable.</w:t>
      </w:r>
    </w:p>
    <w:p>
      <w:pPr>
        <w:spacing w:after="0" w:line="185" w:lineRule="exact"/>
        <w:rPr>
          <w:sz w:val="20"/>
          <w:szCs w:val="20"/>
          <w:color w:val="auto"/>
        </w:rPr>
      </w:pPr>
    </w:p>
    <w:p>
      <w:pPr>
        <w:ind w:right="120" w:firstLine="442"/>
        <w:spacing w:after="0" w:line="244" w:lineRule="auto"/>
        <w:rPr>
          <w:sz w:val="20"/>
          <w:szCs w:val="20"/>
          <w:color w:val="auto"/>
        </w:rPr>
      </w:pPr>
      <w:r>
        <w:rPr>
          <w:rFonts w:ascii="Arial" w:cs="Arial" w:eastAsia="Arial" w:hAnsi="Arial"/>
          <w:sz w:val="16"/>
          <w:szCs w:val="16"/>
          <w:color w:val="auto"/>
        </w:rPr>
        <w:t>Corporate U.K. Holders should not be subject to U.K. corporation tax on any dividend received from the company so long as the dividends qualify for exemption, which should be the case, although certain conditions must be met. If the conditions for the exemption are not satisfied, or such U.K. Holder elects for an otherwise exempt dividend to be taxable, U.K. corporation tax will be chargeable on the amount of any dividends (at the current rate of 19%).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Chargeable Gains</w:t>
      </w:r>
    </w:p>
    <w:p>
      <w:pPr>
        <w:spacing w:after="0" w:line="213" w:lineRule="exact"/>
        <w:rPr>
          <w:sz w:val="20"/>
          <w:szCs w:val="20"/>
          <w:color w:val="auto"/>
        </w:rPr>
      </w:pPr>
    </w:p>
    <w:p>
      <w:pPr>
        <w:ind w:right="260" w:firstLine="433"/>
        <w:spacing w:after="0" w:line="244" w:lineRule="auto"/>
        <w:rPr>
          <w:sz w:val="20"/>
          <w:szCs w:val="20"/>
          <w:color w:val="auto"/>
        </w:rPr>
      </w:pPr>
      <w:r>
        <w:rPr>
          <w:rFonts w:ascii="Arial" w:cs="Arial" w:eastAsia="Arial" w:hAnsi="Arial"/>
          <w:sz w:val="16"/>
          <w:szCs w:val="16"/>
          <w:color w:val="auto"/>
        </w:rPr>
        <w:t>A disposal or deemed disposal of ADSs by a U.K. Holder may, depending on the U.K. Holder's circumstances and subject to any available exemptions or reliefs (such as the annual exemption), give rise to a chargeable gain or an allowable loss for the purposes of U.K. capital gains tax and corporation tax on chargeable gains.</w:t>
      </w:r>
    </w:p>
    <w:p>
      <w:pPr>
        <w:spacing w:after="0" w:line="185" w:lineRule="exact"/>
        <w:rPr>
          <w:sz w:val="20"/>
          <w:szCs w:val="20"/>
          <w:color w:val="auto"/>
        </w:rPr>
      </w:pPr>
    </w:p>
    <w:p>
      <w:pPr>
        <w:ind w:right="20" w:firstLine="442"/>
        <w:spacing w:after="0" w:line="242" w:lineRule="auto"/>
        <w:rPr>
          <w:sz w:val="20"/>
          <w:szCs w:val="20"/>
          <w:color w:val="auto"/>
        </w:rPr>
      </w:pPr>
      <w:r>
        <w:rPr>
          <w:rFonts w:ascii="Arial" w:cs="Arial" w:eastAsia="Arial" w:hAnsi="Arial"/>
          <w:sz w:val="16"/>
          <w:szCs w:val="16"/>
          <w:color w:val="auto"/>
        </w:rPr>
        <w:t>If an individual U.K. Holder who is subject to U.K. income tax at either the higher or the additional rate is liable to U.K. capital gains tax on the disposal of ADSs, the applicable rate will be 20% (2019/2020). For an individual U.K. Holder who is subject to U.K. income tax at the basic rate and liable to U.K. capital gains tax on such disposal, the applicable rate would be 10% (2019/2020), save to the extent that any capital gains exceed the unused basic rate tax band. In that case, the rate applicable to the excess would be 20% (2019/2020).</w:t>
      </w:r>
    </w:p>
    <w:p>
      <w:pPr>
        <w:spacing w:after="0" w:line="187" w:lineRule="exact"/>
        <w:rPr>
          <w:sz w:val="20"/>
          <w:szCs w:val="20"/>
          <w:color w:val="auto"/>
        </w:rPr>
      </w:pPr>
    </w:p>
    <w:p>
      <w:pPr>
        <w:jc w:val="both"/>
        <w:ind w:right="480" w:firstLine="442"/>
        <w:spacing w:after="0" w:line="244" w:lineRule="auto"/>
        <w:rPr>
          <w:sz w:val="20"/>
          <w:szCs w:val="20"/>
          <w:color w:val="auto"/>
        </w:rPr>
      </w:pPr>
      <w:r>
        <w:rPr>
          <w:rFonts w:ascii="Arial" w:cs="Arial" w:eastAsia="Arial" w:hAnsi="Arial"/>
          <w:sz w:val="16"/>
          <w:szCs w:val="16"/>
          <w:color w:val="auto"/>
        </w:rPr>
        <w:t>If a corporate U.K. Holder becomes liable to U.K. corporation tax on the disposal (or deemed disposal) of ADSs, the main rate of U.K. corporation tax (currently 19%) would apply. Indexation allowance is not available in respect of disposals of ADSs acquired on or after January 1, 2018 (and only covers the movement in the retail prices index up until December 31, 2017, in respect of assets acquired prior to that date).</w:t>
      </w:r>
    </w:p>
    <w:p>
      <w:pPr>
        <w:spacing w:after="0" w:line="185" w:lineRule="exact"/>
        <w:rPr>
          <w:sz w:val="20"/>
          <w:szCs w:val="20"/>
          <w:color w:val="auto"/>
        </w:rPr>
      </w:pPr>
    </w:p>
    <w:p>
      <w:pPr>
        <w:ind w:firstLine="433"/>
        <w:spacing w:after="0" w:line="241" w:lineRule="auto"/>
        <w:rPr>
          <w:sz w:val="20"/>
          <w:szCs w:val="20"/>
          <w:color w:val="auto"/>
        </w:rPr>
      </w:pPr>
      <w:r>
        <w:rPr>
          <w:rFonts w:ascii="Arial" w:cs="Arial" w:eastAsia="Arial" w:hAnsi="Arial"/>
          <w:sz w:val="16"/>
          <w:szCs w:val="16"/>
          <w:color w:val="auto"/>
        </w:rPr>
        <w:t>A holder of ADSs which is not resident for tax purposes in the United Kingdom should not normally be liable to U.K. capital gains tax or corporation tax on chargeable gains on a disposal (or deemed disposal) of ADSs, unless the person is carrying on (whether solely or in partnership) a trade, profession or vocation in the United Kingdom through a permanent establishment, branch or agency to which the ADSs are attributable. However, an individual holder of ADSs who has ceased to be resident for tax purposes in the United Kingdom for a period of less than five years and who disposes of ADSs during that period may be liable on his or her return to the United Kingdom to U.K. tax on any capital gain realized (subject to any available exemption or relief).</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Stamp Duty and Stamp Duty Reserve Tax</w:t>
      </w:r>
    </w:p>
    <w:p>
      <w:pPr>
        <w:spacing w:after="0" w:line="197" w:lineRule="exact"/>
        <w:rPr>
          <w:sz w:val="20"/>
          <w:szCs w:val="20"/>
          <w:color w:val="auto"/>
        </w:rPr>
      </w:pPr>
    </w:p>
    <w:p>
      <w:pPr>
        <w:ind w:right="220" w:firstLine="442"/>
        <w:spacing w:after="0" w:line="270" w:lineRule="auto"/>
        <w:rPr>
          <w:sz w:val="20"/>
          <w:szCs w:val="20"/>
          <w:color w:val="auto"/>
        </w:rPr>
      </w:pPr>
      <w:r>
        <w:rPr>
          <w:rFonts w:ascii="Arial" w:cs="Arial" w:eastAsia="Arial" w:hAnsi="Arial"/>
          <w:sz w:val="16"/>
          <w:szCs w:val="16"/>
          <w:i w:val="1"/>
          <w:iCs w:val="1"/>
          <w:color w:val="auto"/>
        </w:rPr>
        <w:t>The discussion below relates to the holders of our ordinary shares or ADSs wherever resident, however it should be noted that special rules may apply to certain persons such as market makers, brokers, dealers or intermediaries.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9" w:name="page240"/>
    <w:bookmarkEnd w:id="2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Issue of Ordinary Shares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U.K. stamp duty or stamp duty reserve tax, or SDRT, is payable on the issue of the underlying ordinary shares in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Transfers of Ordinary Shares</w:t>
      </w:r>
    </w:p>
    <w:p>
      <w:pPr>
        <w:spacing w:after="0" w:line="211" w:lineRule="exact"/>
        <w:rPr>
          <w:sz w:val="20"/>
          <w:szCs w:val="20"/>
          <w:color w:val="auto"/>
        </w:rPr>
      </w:pPr>
    </w:p>
    <w:p>
      <w:pPr>
        <w:ind w:right="140" w:firstLine="433"/>
        <w:spacing w:after="0" w:line="241" w:lineRule="auto"/>
        <w:rPr>
          <w:sz w:val="20"/>
          <w:szCs w:val="20"/>
          <w:color w:val="auto"/>
        </w:rPr>
      </w:pPr>
      <w:r>
        <w:rPr>
          <w:rFonts w:ascii="Arial" w:cs="Arial" w:eastAsia="Arial" w:hAnsi="Arial"/>
          <w:sz w:val="16"/>
          <w:szCs w:val="16"/>
          <w:color w:val="auto"/>
        </w:rPr>
        <w:t>An unconditional agreement to transfer ordinary shares will normally give rise to a charge to SDRT at the rate of 0.5% of the amount or value of the consideration payable for the transfer. The purchaser of the shares is liable for the SDRT. Transfers of ordinary shares in certificated form are generally also subject to stamp duty at the rate of 0.5% of the amount or value of the consideration given for the transfer (rounded up to the next £5.00). Stamp duty is normally paid by the purchaser. The charge to SDRT will be cancelled or, if already paid, repaid (generally with interest), where a transfer instrument has been duly stamped within six years of the charge arising, (either by paying the stamp duty or by claiming an appropriate relief) or if the instrument is otherwise exempt from stamp duty.</w:t>
      </w:r>
    </w:p>
    <w:p>
      <w:pPr>
        <w:spacing w:after="0" w:line="188" w:lineRule="exact"/>
        <w:rPr>
          <w:sz w:val="20"/>
          <w:szCs w:val="20"/>
          <w:color w:val="auto"/>
        </w:rPr>
      </w:pPr>
    </w:p>
    <w:p>
      <w:pPr>
        <w:ind w:right="340" w:firstLine="433"/>
        <w:spacing w:after="0" w:line="241" w:lineRule="auto"/>
        <w:rPr>
          <w:sz w:val="20"/>
          <w:szCs w:val="20"/>
          <w:color w:val="auto"/>
        </w:rPr>
      </w:pPr>
      <w:r>
        <w:rPr>
          <w:rFonts w:ascii="Arial" w:cs="Arial" w:eastAsia="Arial" w:hAnsi="Arial"/>
          <w:sz w:val="16"/>
          <w:szCs w:val="16"/>
          <w:color w:val="auto"/>
        </w:rPr>
        <w:t>An unconditional agreement to transfer ordinary shares to, or to a nominee or agent for, a person whose business is or includes the issue of depositary receipts or the provision of clearance services will generally be subject to SDRT (and, where the transfer is effected by a written instrument, stamp duty) at a higher rate of 1.5% of the amount or value of the consideration given for the transfer unless the clearance service has made and maintained an election under section 97A of the U.K. Finance Act 1986, or a section 97A election. It is understood that HMRC regards the facilities of DTC as a clearance service for these purposes and we are not aware of any section 97A election having been made by the DTC.</w:t>
      </w:r>
    </w:p>
    <w:p>
      <w:pPr>
        <w:spacing w:after="0" w:line="189" w:lineRule="exact"/>
        <w:rPr>
          <w:sz w:val="20"/>
          <w:szCs w:val="20"/>
          <w:color w:val="auto"/>
        </w:rPr>
      </w:pPr>
    </w:p>
    <w:p>
      <w:pPr>
        <w:ind w:right="80" w:firstLine="442"/>
        <w:spacing w:after="0"/>
        <w:rPr>
          <w:sz w:val="20"/>
          <w:szCs w:val="20"/>
          <w:color w:val="auto"/>
        </w:rPr>
      </w:pPr>
      <w:r>
        <w:rPr>
          <w:rFonts w:ascii="Arial" w:cs="Arial" w:eastAsia="Arial" w:hAnsi="Arial"/>
          <w:sz w:val="16"/>
          <w:szCs w:val="16"/>
          <w:color w:val="auto"/>
        </w:rPr>
        <w:t>Based on current published HMRC practice and recent case law in respect of the European Council Directives 69/335/EEC and 2009/7/EC, or the Capital Duties Directives, no SDRT is generally payable where the transfer of ordinary shares to a clearance service or depositary receipt system outside the European Union is an integral part of an issue of share capital (although the relevant judgment refers to transfers which are integral to the raising of capital). In addition, a recent Court of Justice of the European Union judgment (Air Berlin plc v. HMRC (2017)) held on the relevant facts that the Capital Duties Directives preclude the taxation of a transfer of legal title to shares for the sole purpose of listing those shares on a stock exchange which does not impact the beneficial ownership of the shares, but, as yet, the U.K. domestic law and HMRC's published practice remain unchanged and, accordingly, we anticipate that amounts account of SDRT will continue to be collected by the depositary receipt issuer or clearance service. Holders of ordinary shares should consult their own independent professional advisers before incurring or reimbursing the costs of such a 1.5% SDRT charge.</w:t>
      </w:r>
    </w:p>
    <w:p>
      <w:pPr>
        <w:spacing w:after="0" w:line="191" w:lineRule="exact"/>
        <w:rPr>
          <w:sz w:val="20"/>
          <w:szCs w:val="20"/>
          <w:color w:val="auto"/>
        </w:rPr>
      </w:pPr>
    </w:p>
    <w:p>
      <w:pPr>
        <w:ind w:firstLine="433"/>
        <w:spacing w:after="0" w:line="249" w:lineRule="auto"/>
        <w:rPr>
          <w:sz w:val="20"/>
          <w:szCs w:val="20"/>
          <w:color w:val="auto"/>
        </w:rPr>
      </w:pPr>
      <w:r>
        <w:rPr>
          <w:rFonts w:ascii="Arial" w:cs="Arial" w:eastAsia="Arial" w:hAnsi="Arial"/>
          <w:sz w:val="16"/>
          <w:szCs w:val="16"/>
          <w:color w:val="auto"/>
        </w:rPr>
        <w:t>Any stamp duty or SDRT payable on a transfer of ordinary shares to a depositary receipt system or clearance service will in practice generally be paid by the participants in the clearance service or depositary receipt system.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Issue or Transfers of ADSs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U.K. stamp duty or SDRT is payable on the issue or transfer of (including an agreement to transfer) ADSs in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0" w:name="page241"/>
    <w:bookmarkEnd w:id="2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UNDERWRITING</w:t>
      </w:r>
    </w:p>
    <w:p>
      <w:pPr>
        <w:spacing w:after="0" w:line="215" w:lineRule="exact"/>
        <w:rPr>
          <w:sz w:val="20"/>
          <w:szCs w:val="20"/>
          <w:color w:val="auto"/>
        </w:rPr>
      </w:pPr>
    </w:p>
    <w:p>
      <w:pPr>
        <w:ind w:right="180" w:firstLine="442"/>
        <w:spacing w:after="0" w:line="244" w:lineRule="auto"/>
        <w:rPr>
          <w:sz w:val="20"/>
          <w:szCs w:val="20"/>
          <w:color w:val="auto"/>
        </w:rPr>
      </w:pPr>
      <w:r>
        <w:rPr>
          <w:rFonts w:ascii="Arial" w:cs="Arial" w:eastAsia="Arial" w:hAnsi="Arial"/>
          <w:sz w:val="16"/>
          <w:szCs w:val="16"/>
          <w:color w:val="auto"/>
        </w:rPr>
        <w:t>We and the underwriters named below have entered into an underwriting agreement with respect to the ADSs being offered. Subject to certain conditions, each underwriter has severally agreed to purchase the number of ADSs indicated in the following table. Goldman Sachs &amp; Co. LLC, Jefferies LLC and Piper Jaffray &amp; Co. are the representatives of the underwriters.</w:t>
      </w:r>
    </w:p>
    <w:p>
      <w:pPr>
        <w:sectPr>
          <w:pgSz w:w="11900" w:h="16838" w:orient="portrait"/>
          <w:cols w:equalWidth="0" w:num="1">
            <w:col w:w="11420"/>
          </w:cols>
          <w:pgMar w:left="240" w:top="142" w:right="239" w:bottom="1440" w:gutter="0" w:footer="0" w:header="0"/>
        </w:sectPr>
      </w:pPr>
    </w:p>
    <w:p>
      <w:pPr>
        <w:spacing w:after="0" w:line="385" w:lineRule="exact"/>
        <w:rPr>
          <w:sz w:val="20"/>
          <w:szCs w:val="20"/>
          <w:color w:val="auto"/>
        </w:rPr>
      </w:pPr>
    </w:p>
    <w:p>
      <w:pPr>
        <w:ind w:left="1140"/>
        <w:spacing w:after="0"/>
        <w:rPr>
          <w:sz w:val="20"/>
          <w:szCs w:val="20"/>
          <w:color w:val="auto"/>
        </w:rPr>
      </w:pPr>
      <w:r>
        <w:rPr>
          <w:rFonts w:ascii="Arial" w:cs="Arial" w:eastAsia="Arial" w:hAnsi="Arial"/>
          <w:sz w:val="15"/>
          <w:szCs w:val="15"/>
          <w:b w:val="1"/>
          <w:bCs w:val="1"/>
          <w:u w:val="single" w:color="auto"/>
          <w:color w:val="auto"/>
        </w:rPr>
        <w:t>Underwriters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Number of</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15875</wp:posOffset>
            </wp:positionV>
            <wp:extent cx="5807710" cy="1320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07710" cy="13208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8560" w:space="720"/>
            <w:col w:w="2140"/>
          </w:cols>
          <w:pgMar w:left="240" w:top="142"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Goldman Sachs &amp; Co. LLC</w:t>
      </w:r>
    </w:p>
    <w:p>
      <w:pPr>
        <w:ind w:left="1140"/>
        <w:spacing w:after="0"/>
        <w:rPr>
          <w:sz w:val="20"/>
          <w:szCs w:val="20"/>
          <w:color w:val="auto"/>
        </w:rPr>
      </w:pPr>
      <w:r>
        <w:rPr>
          <w:rFonts w:ascii="Arial" w:cs="Arial" w:eastAsia="Arial" w:hAnsi="Arial"/>
          <w:sz w:val="16"/>
          <w:szCs w:val="16"/>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-1270</wp:posOffset>
            </wp:positionV>
            <wp:extent cx="5807710" cy="1162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07710" cy="1162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Piper Jaffray &amp; Co.</w:t>
      </w:r>
    </w:p>
    <w:p>
      <w:pPr>
        <w:ind w:left="1140"/>
        <w:spacing w:after="0"/>
        <w:rPr>
          <w:sz w:val="20"/>
          <w:szCs w:val="20"/>
          <w:color w:val="auto"/>
        </w:rPr>
      </w:pPr>
      <w:r>
        <w:rPr>
          <w:rFonts w:ascii="Arial" w:cs="Arial" w:eastAsia="Arial" w:hAnsi="Arial"/>
          <w:sz w:val="16"/>
          <w:szCs w:val="16"/>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-1270</wp:posOffset>
            </wp:positionV>
            <wp:extent cx="5807710" cy="1162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07710" cy="11620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6"/>
          <w:szCs w:val="16"/>
          <w:color w:val="auto"/>
        </w:rPr>
        <w:t>Total</w:t>
      </w:r>
    </w:p>
    <w:p>
      <w:pPr>
        <w:spacing w:after="0" w:line="195" w:lineRule="exact"/>
        <w:rPr>
          <w:sz w:val="20"/>
          <w:szCs w:val="20"/>
          <w:color w:val="auto"/>
        </w:rPr>
      </w:pPr>
    </w:p>
    <w:p>
      <w:pPr>
        <w:ind w:right="320" w:firstLine="439"/>
        <w:spacing w:after="0" w:line="244" w:lineRule="auto"/>
        <w:rPr>
          <w:sz w:val="20"/>
          <w:szCs w:val="20"/>
          <w:color w:val="auto"/>
        </w:rPr>
      </w:pPr>
      <w:r>
        <w:rPr>
          <w:rFonts w:ascii="Arial" w:cs="Arial" w:eastAsia="Arial" w:hAnsi="Arial"/>
          <w:sz w:val="16"/>
          <w:szCs w:val="16"/>
          <w:color w:val="auto"/>
        </w:rPr>
        <w:t>The underwriters are committed to take and pay for all of the ADSs being offered, if any are taken, other than the ADSs covered by the option described below unless and until this option is exercised. The underwriting agreement also provides that if an underwriter defaults, the purchase commitments of non-defaulting underwriters may also be increased or the offering may be terminated.</w:t>
      </w:r>
    </w:p>
    <w:p>
      <w:pPr>
        <w:spacing w:after="0" w:line="185" w:lineRule="exact"/>
        <w:rPr>
          <w:sz w:val="20"/>
          <w:szCs w:val="20"/>
          <w:color w:val="auto"/>
        </w:rPr>
      </w:pPr>
    </w:p>
    <w:p>
      <w:pPr>
        <w:ind w:right="240" w:firstLine="439"/>
        <w:spacing w:after="0" w:line="244" w:lineRule="auto"/>
        <w:rPr>
          <w:sz w:val="20"/>
          <w:szCs w:val="20"/>
          <w:color w:val="auto"/>
        </w:rPr>
      </w:pPr>
      <w:r>
        <w:rPr>
          <w:rFonts w:ascii="Arial" w:cs="Arial" w:eastAsia="Arial" w:hAnsi="Arial"/>
          <w:sz w:val="16"/>
          <w:szCs w:val="16"/>
          <w:color w:val="auto"/>
        </w:rPr>
        <w:t>The underwriters have an option to buy up to an additional ADSs from us to cover sales by the underwriters of a greater number of ADSs than the total number set forth in the table above. They may exercise that option for 30 days. If any ADSs are purchased pursuant to this option, the underwriters will severally purchase ADSs in approximately the same proportion as set forth in the table above.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shows the per ADS and total underwriting discounts and commissions to be paid to the underwriters by us. Such amounts are shown</w:t>
      </w:r>
    </w:p>
    <w:tbl>
      <w:tblPr>
        <w:tblLayout w:type="fixed"/>
        <w:tblInd w:w="0" w:type="dxa"/>
        <w:tblCellMar>
          <w:top w:w="0" w:type="dxa"/>
          <w:left w:w="0" w:type="dxa"/>
          <w:bottom w:w="0" w:type="dxa"/>
          <w:right w:w="0" w:type="dxa"/>
        </w:tblCellMar>
      </w:tblPr>
      <w:tr>
        <w:trPr>
          <w:trHeight w:val="192"/>
        </w:trPr>
        <w:tc>
          <w:tcPr>
            <w:tcW w:w="6320" w:type="dxa"/>
            <w:vAlign w:val="bottom"/>
            <w:gridSpan w:val="2"/>
          </w:tcPr>
          <w:p>
            <w:pPr>
              <w:spacing w:after="0"/>
              <w:rPr>
                <w:sz w:val="20"/>
                <w:szCs w:val="20"/>
                <w:color w:val="auto"/>
              </w:rPr>
            </w:pPr>
            <w:r>
              <w:rPr>
                <w:rFonts w:ascii="Arial" w:cs="Arial" w:eastAsia="Arial" w:hAnsi="Arial"/>
                <w:sz w:val="16"/>
                <w:szCs w:val="16"/>
                <w:color w:val="auto"/>
              </w:rPr>
              <w:t>assuming both no exercise and full exercise of the underwriters' option to purchase up to</w:t>
            </w:r>
          </w:p>
        </w:tc>
        <w:tc>
          <w:tcPr>
            <w:tcW w:w="100" w:type="dxa"/>
            <w:vAlign w:val="bottom"/>
          </w:tcPr>
          <w:p>
            <w:pPr>
              <w:spacing w:after="0"/>
              <w:rPr>
                <w:sz w:val="16"/>
                <w:szCs w:val="16"/>
                <w:color w:val="auto"/>
              </w:rPr>
            </w:pPr>
          </w:p>
        </w:tc>
        <w:tc>
          <w:tcPr>
            <w:tcW w:w="3880" w:type="dxa"/>
            <w:vAlign w:val="bottom"/>
            <w:gridSpan w:val="4"/>
          </w:tcPr>
          <w:p>
            <w:pPr>
              <w:ind w:left="380"/>
              <w:spacing w:after="0"/>
              <w:rPr>
                <w:sz w:val="20"/>
                <w:szCs w:val="20"/>
                <w:color w:val="auto"/>
              </w:rPr>
            </w:pPr>
            <w:r>
              <w:rPr>
                <w:rFonts w:ascii="Arial" w:cs="Arial" w:eastAsia="Arial" w:hAnsi="Arial"/>
                <w:sz w:val="16"/>
                <w:szCs w:val="16"/>
                <w:color w:val="auto"/>
              </w:rPr>
              <w:t>additional ADSs from us.</w:t>
            </w:r>
          </w:p>
        </w:tc>
      </w:tr>
      <w:tr>
        <w:trPr>
          <w:trHeight w:val="384"/>
        </w:trPr>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 Exercise</w:t>
            </w:r>
          </w:p>
        </w:tc>
        <w:tc>
          <w:tcPr>
            <w:tcW w:w="140" w:type="dxa"/>
            <w:vAlign w:val="bottom"/>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Full Exercise</w:t>
            </w:r>
          </w:p>
        </w:tc>
        <w:tc>
          <w:tcPr>
            <w:tcW w:w="1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Per ADS</w:t>
            </w:r>
          </w:p>
        </w:tc>
        <w:tc>
          <w:tcPr>
            <w:tcW w:w="1860" w:type="dxa"/>
            <w:vAlign w:val="bottom"/>
            <w:gridSpan w:val="2"/>
            <w:shd w:val="clear" w:color="auto" w:fill="CCEEFF"/>
          </w:tcPr>
          <w:p>
            <w:pPr>
              <w:jc w:val="right"/>
              <w:ind w:right="1581"/>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jc w:val="right"/>
              <w:ind w:right="166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r>
      <w:tr>
        <w:trPr>
          <w:trHeight w:val="195"/>
        </w:trPr>
        <w:tc>
          <w:tcPr>
            <w:tcW w:w="6320" w:type="dxa"/>
            <w:vAlign w:val="bottom"/>
            <w:gridSpan w:val="2"/>
          </w:tcPr>
          <w:p>
            <w:pPr>
              <w:ind w:left="1140"/>
              <w:spacing w:after="0"/>
              <w:rPr>
                <w:sz w:val="20"/>
                <w:szCs w:val="20"/>
                <w:color w:val="auto"/>
              </w:rPr>
            </w:pPr>
            <w:r>
              <w:rPr>
                <w:rFonts w:ascii="Arial" w:cs="Arial" w:eastAsia="Arial" w:hAnsi="Arial"/>
                <w:sz w:val="16"/>
                <w:szCs w:val="16"/>
                <w:color w:val="auto"/>
              </w:rPr>
              <w:t>Total</w:t>
            </w:r>
          </w:p>
        </w:tc>
        <w:tc>
          <w:tcPr>
            <w:tcW w:w="1860" w:type="dxa"/>
            <w:vAlign w:val="bottom"/>
            <w:gridSpan w:val="2"/>
          </w:tcPr>
          <w:p>
            <w:pPr>
              <w:jc w:val="right"/>
              <w:ind w:right="1581"/>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16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ADSs sold by the underwriters to the public will initially be offered at the initial public offering price set forth on the cover of this prospectus. Any ADSs sold</w:t>
      </w:r>
    </w:p>
    <w:p>
      <w:pPr>
        <w:ind w:right="320"/>
        <w:spacing w:after="0" w:line="242" w:lineRule="auto"/>
        <w:rPr>
          <w:sz w:val="20"/>
          <w:szCs w:val="20"/>
          <w:color w:val="auto"/>
        </w:rPr>
      </w:pPr>
      <w:r>
        <w:rPr>
          <w:rFonts w:ascii="Arial" w:cs="Arial" w:eastAsia="Arial" w:hAnsi="Arial"/>
          <w:sz w:val="16"/>
          <w:szCs w:val="16"/>
          <w:color w:val="auto"/>
        </w:rPr>
        <w:t>by the underwriters to securities dealers may be sold at a discount of up to $ per ADS from the initial public offering price. After the initial offering of the ADSs, the representatives may change the offering price and the other selling terms. The offering of the ADSs by the underwriters is subject to receipt and acceptance and subject to the underwriters' right to reject any order in whole or in part. Sales of ADSs made outside of the United States may be made by affiliates of the underwriters.</w:t>
      </w:r>
    </w:p>
    <w:p>
      <w:pPr>
        <w:spacing w:after="0" w:line="187" w:lineRule="exact"/>
        <w:rPr>
          <w:sz w:val="20"/>
          <w:szCs w:val="20"/>
          <w:color w:val="auto"/>
        </w:rPr>
      </w:pPr>
    </w:p>
    <w:p>
      <w:pPr>
        <w:ind w:firstLine="433"/>
        <w:spacing w:after="0" w:line="242"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jc w:val="both"/>
        <w:ind w:right="20" w:firstLine="442"/>
        <w:spacing w:after="0" w:line="244" w:lineRule="auto"/>
        <w:rPr>
          <w:sz w:val="20"/>
          <w:szCs w:val="20"/>
          <w:color w:val="auto"/>
        </w:rPr>
      </w:pPr>
      <w:r>
        <w:rPr>
          <w:rFonts w:ascii="Arial" w:cs="Arial" w:eastAsia="Arial" w:hAnsi="Arial"/>
          <w:sz w:val="16"/>
          <w:szCs w:val="16"/>
          <w:color w:val="auto"/>
        </w:rPr>
        <w:t>We and our executive officers, directors, and holders of substantially all of our equity securities and securities convertible into or exchangeable for our equity securities have agreed or will agree with the underwriters, subject to certain exceptions, not to dispose of or hedge any of our or their equity securities or securities convertible into or exchangeable for equity securities during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41" w:name="page242"/>
    <w:bookmarkEnd w:id="2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720"/>
        <w:spacing w:after="0" w:line="249" w:lineRule="auto"/>
        <w:rPr>
          <w:sz w:val="20"/>
          <w:szCs w:val="20"/>
          <w:color w:val="auto"/>
        </w:rPr>
      </w:pPr>
      <w:r>
        <w:rPr>
          <w:rFonts w:ascii="Arial" w:cs="Arial" w:eastAsia="Arial" w:hAnsi="Arial"/>
          <w:sz w:val="16"/>
          <w:szCs w:val="16"/>
          <w:color w:val="auto"/>
        </w:rPr>
        <w:t>period from the date of this prospectus continuing through the date 180 days after the date of this prospectus, except with the prior written consent of the representatives.</w:t>
      </w:r>
    </w:p>
    <w:p>
      <w:pPr>
        <w:spacing w:after="0" w:line="181" w:lineRule="exact"/>
        <w:rPr>
          <w:sz w:val="20"/>
          <w:szCs w:val="20"/>
          <w:color w:val="auto"/>
        </w:rPr>
      </w:pPr>
    </w:p>
    <w:p>
      <w:pPr>
        <w:ind w:right="540" w:firstLine="442"/>
        <w:spacing w:after="0" w:line="242" w:lineRule="auto"/>
        <w:rPr>
          <w:sz w:val="20"/>
          <w:szCs w:val="20"/>
          <w:color w:val="auto"/>
        </w:rPr>
      </w:pPr>
      <w:r>
        <w:rPr>
          <w:rFonts w:ascii="Arial" w:cs="Arial" w:eastAsia="Arial" w:hAnsi="Arial"/>
          <w:sz w:val="16"/>
          <w:szCs w:val="16"/>
          <w:color w:val="auto"/>
        </w:rPr>
        <w:t>Prior to the offering, there has been no public market for the ADSs. The initial public offering price was negotiated among us and the representatives. Among the factors considered in determining the initial public offering price of the ADSs, in addition to prevailing market conditions, were our historical performance, estimates of our business potential and earnings prospects, an assessment of our management and the consideration of the above factors in relation to market valuation of companies in related businesses.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intend to apply to list the ADSs on the Nasdaq Global Market under the symbol "BCYC."</w:t>
      </w:r>
    </w:p>
    <w:p>
      <w:pPr>
        <w:spacing w:after="0" w:line="195" w:lineRule="exact"/>
        <w:rPr>
          <w:sz w:val="20"/>
          <w:szCs w:val="20"/>
          <w:color w:val="auto"/>
        </w:rPr>
      </w:pPr>
    </w:p>
    <w:p>
      <w:pPr>
        <w:ind w:right="20" w:firstLine="442"/>
        <w:spacing w:after="0" w:line="257" w:lineRule="auto"/>
        <w:rPr>
          <w:sz w:val="20"/>
          <w:szCs w:val="20"/>
          <w:color w:val="auto"/>
        </w:rPr>
      </w:pPr>
      <w:r>
        <w:rPr>
          <w:rFonts w:ascii="Arial" w:cs="Arial" w:eastAsia="Arial" w:hAnsi="Arial"/>
          <w:sz w:val="15"/>
          <w:szCs w:val="15"/>
          <w:color w:val="auto"/>
        </w:rPr>
        <w:t>In connection with the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the offering, and a short position represents the amount of such sales that have not been covered by subsequent purchases. A "covered short position" is a short position that is not greater than the amount of additional ADSs for which the underwriters' option described above may be exercised. The underwriters may cover any covered short position by either exercising their option to purchase additional ADSs or purchasing ADSs in the open market. In determining the source of ADSs to cover the covered short position, the underwriters will consider, among other things, the price of ADSs available for purchase in the open market as compared to the price at which they may purchase additional ADSs pursuant to the option described above. "Naked" short sales are any short sales that create a short position greater than the amount of additional ADSs for which the option described above may be exercised. The underwriters must cover any such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ADSs made by the underwriters in the open market prior to the completion of the offering.</w:t>
      </w:r>
    </w:p>
    <w:p>
      <w:pPr>
        <w:spacing w:after="0" w:line="181" w:lineRule="exact"/>
        <w:rPr>
          <w:sz w:val="20"/>
          <w:szCs w:val="20"/>
          <w:color w:val="auto"/>
        </w:rPr>
      </w:pPr>
    </w:p>
    <w:p>
      <w:pPr>
        <w:ind w:right="80" w:firstLine="439"/>
        <w:spacing w:after="0" w:line="282"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157"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ADSs, and together with the imposition of the penalty bid, may stabilize, maintain or otherwise affect the market price of the ADSs. As a result, the price of the ADSs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ectPr>
          <w:pgSz w:w="11900" w:h="16838" w:orient="portrait"/>
          <w:cols w:equalWidth="0" w:num="1">
            <w:col w:w="11420"/>
          </w:cols>
          <w:pgMar w:left="240" w:top="142" w:right="239" w:bottom="1440" w:gutter="0" w:footer="0" w:header="0"/>
        </w:sectPr>
      </w:pPr>
    </w:p>
    <w:p>
      <w:pPr>
        <w:spacing w:after="0" w:line="189"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We estimate that the expenses payable by us in this offering, excluding underwriting discounts and commissions, will be approximately $ have agreed to reimburse the underwriters for certain of their expenses in an amount up to $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million. We</w:t>
      </w:r>
    </w:p>
    <w:p>
      <w:pPr>
        <w:spacing w:after="0" w:line="390" w:lineRule="exact"/>
        <w:rPr>
          <w:sz w:val="20"/>
          <w:szCs w:val="20"/>
          <w:color w:val="auto"/>
        </w:rPr>
      </w:pPr>
    </w:p>
    <w:p>
      <w:pPr>
        <w:sectPr>
          <w:pgSz w:w="11900" w:h="16838" w:orient="portrait"/>
          <w:cols w:equalWidth="0" w:num="2">
            <w:col w:w="10020" w:space="620"/>
            <w:col w:w="780"/>
          </w:cols>
          <w:pgMar w:left="240" w:top="142"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We have agreed to indemnify the several underwriters against certain liabilities, including liabilities under the Securities Act of 1933.</w:t>
      </w:r>
    </w:p>
    <w:p>
      <w:pPr>
        <w:spacing w:after="0" w:line="195" w:lineRule="exact"/>
        <w:rPr>
          <w:sz w:val="20"/>
          <w:szCs w:val="20"/>
          <w:color w:val="auto"/>
        </w:rPr>
      </w:pPr>
    </w:p>
    <w:p>
      <w:pPr>
        <w:ind w:right="520" w:firstLine="439"/>
        <w:spacing w:after="0" w:line="249"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42" w:name="page243"/>
    <w:bookmarkEnd w:id="2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5" w:lineRule="exact"/>
        <w:rPr>
          <w:sz w:val="20"/>
          <w:szCs w:val="20"/>
          <w:color w:val="auto"/>
        </w:rPr>
      </w:pPr>
    </w:p>
    <w:p>
      <w:pPr>
        <w:ind w:right="100" w:firstLine="442"/>
        <w:spacing w:after="0"/>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92" w:lineRule="exact"/>
        <w:rPr>
          <w:sz w:val="20"/>
          <w:szCs w:val="20"/>
          <w:color w:val="auto"/>
        </w:rPr>
      </w:pPr>
    </w:p>
    <w:p>
      <w:pPr>
        <w:ind w:right="120" w:firstLine="442"/>
        <w:spacing w:after="0"/>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European Economic Area</w:t>
      </w:r>
    </w:p>
    <w:p>
      <w:pPr>
        <w:spacing w:after="0" w:line="215" w:lineRule="exact"/>
        <w:rPr>
          <w:sz w:val="20"/>
          <w:szCs w:val="20"/>
          <w:color w:val="auto"/>
        </w:rPr>
      </w:pPr>
    </w:p>
    <w:p>
      <w:pPr>
        <w:ind w:right="180" w:firstLine="442"/>
        <w:spacing w:after="0" w:line="244"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our securities may not be made in that Relevant Member State, except that an offer to the public in that Relevant Member State of our securities may be made at any time under the following exemptions under the Prospectus Directive:</w:t>
      </w:r>
    </w:p>
    <w:p>
      <w:pPr>
        <w:spacing w:after="0" w:line="185" w:lineRule="exact"/>
        <w:rPr>
          <w:sz w:val="20"/>
          <w:szCs w:val="20"/>
          <w:color w:val="auto"/>
        </w:rPr>
      </w:pPr>
    </w:p>
    <w:p>
      <w:pPr>
        <w:ind w:left="980" w:hanging="493"/>
        <w:spacing w:after="0"/>
        <w:tabs>
          <w:tab w:leader="none" w:pos="9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Directive;</w:t>
      </w:r>
    </w:p>
    <w:p>
      <w:pPr>
        <w:spacing w:after="0" w:line="195" w:lineRule="exact"/>
        <w:rPr>
          <w:rFonts w:ascii="Arial" w:cs="Arial" w:eastAsia="Arial" w:hAnsi="Arial"/>
          <w:sz w:val="16"/>
          <w:szCs w:val="16"/>
          <w:color w:val="auto"/>
        </w:rPr>
      </w:pPr>
    </w:p>
    <w:p>
      <w:pPr>
        <w:ind w:left="980" w:right="540" w:hanging="493"/>
        <w:spacing w:after="0" w:line="249" w:lineRule="auto"/>
        <w:tabs>
          <w:tab w:leader="none" w:pos="9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Directive), subject to obtaining the prior consent of the Representatives for any such offer; or</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our securities shall require us or any underwriter to publish a prospectus pursuant to Article 3 of the Prospectus Directive.</w:t>
      </w:r>
    </w:p>
    <w:p>
      <w:pPr>
        <w:spacing w:after="0" w:line="211" w:lineRule="exact"/>
        <w:rPr>
          <w:sz w:val="20"/>
          <w:szCs w:val="20"/>
          <w:color w:val="auto"/>
        </w:rPr>
      </w:pPr>
    </w:p>
    <w:p>
      <w:pPr>
        <w:ind w:right="40" w:firstLine="442"/>
        <w:spacing w:after="0" w:line="242" w:lineRule="auto"/>
        <w:rPr>
          <w:sz w:val="20"/>
          <w:szCs w:val="20"/>
          <w:color w:val="auto"/>
        </w:rPr>
      </w:pPr>
      <w:r>
        <w:rPr>
          <w:rFonts w:ascii="Arial" w:cs="Arial" w:eastAsia="Arial" w:hAnsi="Arial"/>
          <w:sz w:val="16"/>
          <w:szCs w:val="16"/>
          <w:color w:val="auto"/>
        </w:rPr>
        <w:t>For the purposes of this provision, the expression an "offer to public" in relation to our securities in any Relevant Member State means the communication in any form and by any means of sufficient information on the terms of the offer and our securities to be offered so as to enable an investor to decide to purchase our securities, as the same may be varied in that Member State by any measure implementing the Prospectus Directive in that Member State, and the expression "Prospectus Directive" means Directive 2003/71/EC (as amended), including 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3" w:name="page244"/>
    <w:bookmarkEnd w:id="2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Directive 2010/73/EU and includes any relevant implementing measure in the Relevant Member State.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European Economic Area selling restriction is in addition to any other selling restrictions set out below.</w:t>
      </w:r>
    </w:p>
    <w:p>
      <w:pPr>
        <w:spacing w:after="0" w:line="195" w:lineRule="exact"/>
        <w:rPr>
          <w:sz w:val="20"/>
          <w:szCs w:val="20"/>
          <w:color w:val="auto"/>
        </w:rPr>
      </w:pPr>
    </w:p>
    <w:p>
      <w:pPr>
        <w:ind w:right="80" w:firstLine="442"/>
        <w:spacing w:after="0"/>
        <w:rPr>
          <w:sz w:val="20"/>
          <w:szCs w:val="20"/>
          <w:color w:val="auto"/>
        </w:rPr>
      </w:pPr>
      <w:r>
        <w:rPr>
          <w:rFonts w:ascii="Arial" w:cs="Arial" w:eastAsia="Arial" w:hAnsi="Arial"/>
          <w:sz w:val="16"/>
          <w:szCs w:val="16"/>
          <w:color w:val="auto"/>
        </w:rPr>
        <w:t>Solely for the purposes of the product governance requirements contained within: (a) EU Directive 2014/65/EU on markets in financial instruments, as amended, or MiFID II; (b) Articles 9 and 10 of Commission Delegated Directive (European Union) 2017/593 supplementing MiFID II; and (c) local implementing measures (together, the "MiFID II Product Governance Requirements"), and disclaiming all and any liability, whether arising in tort, contract or otherwise, which any "manufacturer" for the purposes of the MiFID II Product Governance Requirements may otherwise have with respect thereto, the ADSs which are the subject of this offering have been subject to a product approval process, which has determined that such securities are: (i) compatible with an end target market of retail investors and investors who meet the criteria of professional clients and eligible counterparties, each as defined in MiFID II; and (ii) eligible for distribution through all distribution channels as are permitted by MiFID II, or the Target Market Assessment.</w:t>
      </w:r>
    </w:p>
    <w:p>
      <w:pPr>
        <w:spacing w:after="0" w:line="192"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Notwithstanding the Target Market Assessment, distributors should note that: the price of the ADSs may decline and investors could lose all or part of their investment; the ADSs offer no guaranteed income and no capital protection; and an investment in the ADSs is compatible only with investors who do not need a guaranteed income or capital protection, who, either alone or in conjunction with an appropriate financial or other adviser, are capable of evaluating the merits and risks of such an investment and who have sufficient resources to be able to bear any losses that may result therefrom. For the avoidance of doubt, the Target Market Assessment does not constitute: (a) an assessment of suitability or appropriateness for the purposes of MiFID II; or (b) a recommendation to any investor or group of investors to invest in, or purchase, or take any other action whatsoever with respect to the ADSs. Each distributor is responsible for undertaking its own target market assessment in respect of the ADSs and determining appropriate distribution channels.</w:t>
      </w:r>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United Kingdom</w:t>
      </w:r>
    </w:p>
    <w:p>
      <w:pPr>
        <w:spacing w:after="0" w:line="215" w:lineRule="exact"/>
        <w:rPr>
          <w:sz w:val="20"/>
          <w:szCs w:val="20"/>
          <w:color w:val="auto"/>
        </w:rPr>
      </w:pPr>
    </w:p>
    <w:p>
      <w:pPr>
        <w:ind w:right="260" w:firstLine="442"/>
        <w:spacing w:after="0" w:line="241" w:lineRule="auto"/>
        <w:rPr>
          <w:sz w:val="20"/>
          <w:szCs w:val="20"/>
          <w:color w:val="auto"/>
        </w:rPr>
      </w:pPr>
      <w:r>
        <w:rPr>
          <w:rFonts w:ascii="Arial" w:cs="Arial" w:eastAsia="Arial" w:hAnsi="Arial"/>
          <w:sz w:val="16"/>
          <w:szCs w:val="16"/>
          <w:color w:val="auto"/>
        </w:rPr>
        <w:t>In the United Kingdom, this prospectus is only addressed to and directed at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(e) of the Order (all such persons together being referred to as "relevant persons"). Any investment or investment activity to which this prospectus relates is available only to relevant persons and will only be engaged in with relevant persons. Any person who is not a relevant person should not act or rely on this prospectus or any of its contents.</w:t>
      </w: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Canada</w:t>
      </w:r>
    </w:p>
    <w:p>
      <w:pPr>
        <w:spacing w:after="0" w:line="215" w:lineRule="exact"/>
        <w:rPr>
          <w:sz w:val="20"/>
          <w:szCs w:val="20"/>
          <w:color w:val="auto"/>
        </w:rPr>
      </w:pPr>
    </w:p>
    <w:p>
      <w:pPr>
        <w:ind w:right="60" w:firstLine="439"/>
        <w:spacing w:after="0" w:line="242"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87" w:lineRule="exact"/>
        <w:rPr>
          <w:sz w:val="20"/>
          <w:szCs w:val="20"/>
          <w:color w:val="auto"/>
        </w:rPr>
      </w:pPr>
    </w:p>
    <w:p>
      <w:pPr>
        <w:ind w:right="520" w:firstLine="442"/>
        <w:spacing w:after="0" w:line="249"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4" w:name="page245"/>
    <w:bookmarkEnd w:id="2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right="660"/>
        <w:spacing w:after="0" w:line="249" w:lineRule="auto"/>
        <w:rPr>
          <w:sz w:val="20"/>
          <w:szCs w:val="20"/>
          <w:color w:val="auto"/>
        </w:rPr>
      </w:pPr>
      <w:r>
        <w:rPr>
          <w:rFonts w:ascii="Arial" w:cs="Arial" w:eastAsia="Arial" w:hAnsi="Arial"/>
          <w:sz w:val="16"/>
          <w:szCs w:val="16"/>
          <w:color w:val="auto"/>
        </w:rPr>
        <w:t>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ind w:right="200" w:firstLine="442"/>
        <w:spacing w:after="0" w:line="249"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Hong Kong</w:t>
      </w:r>
    </w:p>
    <w:p>
      <w:pPr>
        <w:spacing w:after="0" w:line="215"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The securities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securities which are or are intended to be disposed of only to persons outside Hong Kong or only to "professional investors" in Hong Kong as defined in the Securities and Futures Ordinance and any rules made thereunder.</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Singapore</w:t>
      </w:r>
    </w:p>
    <w:p>
      <w:pPr>
        <w:spacing w:after="0" w:line="215" w:lineRule="exact"/>
        <w:rPr>
          <w:sz w:val="20"/>
          <w:szCs w:val="20"/>
          <w:color w:val="auto"/>
        </w:rPr>
      </w:pPr>
    </w:p>
    <w:p>
      <w:pPr>
        <w:ind w:right="60" w:firstLine="439"/>
        <w:spacing w:after="0"/>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92" w:lineRule="exact"/>
        <w:rPr>
          <w:sz w:val="20"/>
          <w:szCs w:val="20"/>
          <w:color w:val="auto"/>
        </w:rPr>
      </w:pPr>
    </w:p>
    <w:p>
      <w:pPr>
        <w:jc w:val="both"/>
        <w:ind w:right="320" w:firstLine="442"/>
        <w:spacing w:after="0" w:line="255" w:lineRule="auto"/>
        <w:rPr>
          <w:sz w:val="20"/>
          <w:szCs w:val="20"/>
          <w:color w:val="auto"/>
        </w:rPr>
      </w:pPr>
      <w:r>
        <w:rPr>
          <w:rFonts w:ascii="Arial" w:cs="Arial" w:eastAsia="Arial" w:hAnsi="Arial"/>
          <w:sz w:val="15"/>
          <w:szCs w:val="15"/>
          <w:color w:val="auto"/>
        </w:rPr>
        <w:t>Where the securities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w:t>
      </w:r>
    </w:p>
    <w:p>
      <w:pPr>
        <w:ind w:right="80"/>
        <w:spacing w:after="0" w:line="239" w:lineRule="auto"/>
        <w:rPr>
          <w:sz w:val="20"/>
          <w:szCs w:val="20"/>
          <w:color w:val="auto"/>
        </w:rPr>
      </w:pPr>
      <w:r>
        <w:rPr>
          <w:rFonts w:ascii="Arial" w:cs="Arial" w:eastAsia="Arial" w:hAnsi="Arial"/>
          <w:sz w:val="16"/>
          <w:szCs w:val="16"/>
          <w:color w:val="auto"/>
        </w:rPr>
        <w:t>6 months after that corporation has acquired the securities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Section 276(7) of the SFA, or (6) as specified in Regulation 32 of the Securities and Futures (Offers of Investments) (Shares and Debentures) Regulations 2005 of Singapore ("Regulation 32").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5" w:name="page246"/>
    <w:bookmarkEnd w:id="245"/>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2" w:firstLine="442"/>
        <w:spacing w:after="0" w:line="239" w:lineRule="auto"/>
        <w:rPr>
          <w:sz w:val="20"/>
          <w:szCs w:val="20"/>
          <w:color w:val="auto"/>
        </w:rPr>
      </w:pPr>
      <w:r>
        <w:rPr>
          <w:rFonts w:ascii="Arial" w:cs="Arial" w:eastAsia="Arial" w:hAnsi="Arial"/>
          <w:sz w:val="16"/>
          <w:szCs w:val="16"/>
          <w:color w:val="auto"/>
        </w:rPr>
        <w:t>Where the securities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securities under Section 275 of the SFA except: (1) to an institutional investor under Section 274 of the SFA or to a relevant person (as defined in Section 275(2) of the SFA),</w:t>
      </w:r>
    </w:p>
    <w:p>
      <w:pPr>
        <w:spacing w:after="0" w:line="1" w:lineRule="exact"/>
        <w:rPr>
          <w:sz w:val="20"/>
          <w:szCs w:val="20"/>
          <w:color w:val="auto"/>
        </w:rPr>
      </w:pPr>
    </w:p>
    <w:p>
      <w:pPr>
        <w:jc w:val="both"/>
        <w:ind w:left="2" w:right="260" w:hanging="2"/>
        <w:spacing w:after="0" w:line="242" w:lineRule="auto"/>
        <w:tabs>
          <w:tab w:leader="none" w:pos="24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7" w:lineRule="exact"/>
        <w:rPr>
          <w:sz w:val="20"/>
          <w:szCs w:val="20"/>
          <w:color w:val="auto"/>
        </w:rPr>
      </w:pPr>
    </w:p>
    <w:p>
      <w:pPr>
        <w:ind w:left="2" w:right="20" w:firstLine="442"/>
        <w:spacing w:after="0" w:line="242" w:lineRule="auto"/>
        <w:rPr>
          <w:sz w:val="20"/>
          <w:szCs w:val="20"/>
          <w:color w:val="auto"/>
        </w:rPr>
      </w:pPr>
      <w:r>
        <w:rPr>
          <w:rFonts w:ascii="Arial" w:cs="Arial" w:eastAsia="Arial" w:hAnsi="Arial"/>
          <w:sz w:val="16"/>
          <w:szCs w:val="16"/>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351"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Japan</w:t>
      </w:r>
    </w:p>
    <w:p>
      <w:pPr>
        <w:spacing w:after="0" w:line="215" w:lineRule="exact"/>
        <w:rPr>
          <w:sz w:val="20"/>
          <w:szCs w:val="20"/>
          <w:color w:val="auto"/>
        </w:rPr>
      </w:pPr>
    </w:p>
    <w:p>
      <w:pPr>
        <w:ind w:left="2" w:right="60" w:firstLine="439"/>
        <w:spacing w:after="0" w:line="241"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352"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Australia</w:t>
      </w:r>
    </w:p>
    <w:p>
      <w:pPr>
        <w:spacing w:after="0" w:line="215" w:lineRule="exact"/>
        <w:rPr>
          <w:sz w:val="20"/>
          <w:szCs w:val="20"/>
          <w:color w:val="auto"/>
        </w:rPr>
      </w:pPr>
    </w:p>
    <w:p>
      <w:pPr>
        <w:ind w:left="2" w:right="100" w:firstLine="442"/>
        <w:spacing w:after="0" w:line="242"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left="2" w:right="60" w:firstLine="433"/>
        <w:spacing w:after="0" w:line="242" w:lineRule="auto"/>
        <w:rPr>
          <w:sz w:val="20"/>
          <w:szCs w:val="20"/>
          <w:color w:val="auto"/>
        </w:rPr>
      </w:pPr>
      <w:r>
        <w:rPr>
          <w:rFonts w:ascii="Arial" w:cs="Arial" w:eastAsia="Arial" w:hAnsi="Arial"/>
          <w:sz w:val="16"/>
          <w:szCs w:val="16"/>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7" w:lineRule="exact"/>
        <w:rPr>
          <w:sz w:val="20"/>
          <w:szCs w:val="20"/>
          <w:color w:val="auto"/>
        </w:rPr>
      </w:pPr>
    </w:p>
    <w:p>
      <w:pPr>
        <w:ind w:left="2" w:right="120" w:firstLine="439"/>
        <w:spacing w:after="0" w:line="242"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87"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142" w:right="259" w:bottom="1440" w:gutter="0" w:footer="0" w:header="0"/>
        </w:sectPr>
      </w:pPr>
    </w:p>
    <w:bookmarkStart w:id="246" w:name="page247"/>
    <w:bookmarkEnd w:id="2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both"/>
        <w:ind w:right="220" w:firstLine="439"/>
        <w:spacing w:after="0" w:line="242" w:lineRule="auto"/>
        <w:rPr>
          <w:sz w:val="20"/>
          <w:szCs w:val="20"/>
          <w:color w:val="auto"/>
        </w:rPr>
      </w:pPr>
      <w:r>
        <w:rPr>
          <w:rFonts w:ascii="Arial" w:cs="Arial" w:eastAsia="Arial" w:hAnsi="Arial"/>
          <w:sz w:val="16"/>
          <w:szCs w:val="16"/>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Dubai International Financial Centre</w:t>
      </w:r>
    </w:p>
    <w:p>
      <w:pPr>
        <w:spacing w:after="0" w:line="215" w:lineRule="exact"/>
        <w:rPr>
          <w:sz w:val="20"/>
          <w:szCs w:val="20"/>
          <w:color w:val="auto"/>
        </w:rPr>
      </w:pPr>
    </w:p>
    <w:p>
      <w:pPr>
        <w:ind w:firstLine="439"/>
        <w:spacing w:after="0" w:line="260" w:lineRule="auto"/>
        <w:rPr>
          <w:sz w:val="20"/>
          <w:szCs w:val="20"/>
          <w:color w:val="auto"/>
        </w:rPr>
      </w:pPr>
      <w:r>
        <w:rPr>
          <w:rFonts w:ascii="Arial" w:cs="Arial" w:eastAsia="Arial" w:hAnsi="Arial"/>
          <w:sz w:val="15"/>
          <w:szCs w:val="15"/>
          <w:color w:val="auto"/>
        </w:rPr>
        <w:t>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Switzerland</w:t>
      </w:r>
    </w:p>
    <w:p>
      <w:pPr>
        <w:spacing w:after="0" w:line="215" w:lineRule="exact"/>
        <w:rPr>
          <w:sz w:val="20"/>
          <w:szCs w:val="20"/>
          <w:color w:val="auto"/>
        </w:rPr>
      </w:pPr>
    </w:p>
    <w:p>
      <w:pPr>
        <w:ind w:right="80" w:firstLine="442"/>
        <w:spacing w:after="0" w:line="257" w:lineRule="auto"/>
        <w:rPr>
          <w:sz w:val="20"/>
          <w:szCs w:val="20"/>
          <w:color w:val="auto"/>
        </w:rPr>
      </w:pPr>
      <w:r>
        <w:rPr>
          <w:rFonts w:ascii="Arial" w:cs="Arial" w:eastAsia="Arial" w:hAnsi="Arial"/>
          <w:sz w:val="15"/>
          <w:szCs w:val="15"/>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47" w:name="page248"/>
    <w:bookmarkEnd w:id="2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LEGAL MATTERS</w:t>
      </w:r>
    </w:p>
    <w:p>
      <w:pPr>
        <w:spacing w:after="0" w:line="215" w:lineRule="exact"/>
        <w:rPr>
          <w:sz w:val="20"/>
          <w:szCs w:val="20"/>
          <w:color w:val="auto"/>
        </w:rPr>
      </w:pPr>
    </w:p>
    <w:p>
      <w:pPr>
        <w:ind w:right="100" w:firstLine="439"/>
        <w:spacing w:after="0" w:line="249" w:lineRule="auto"/>
        <w:rPr>
          <w:sz w:val="20"/>
          <w:szCs w:val="20"/>
          <w:color w:val="auto"/>
        </w:rPr>
      </w:pPr>
      <w:r>
        <w:rPr>
          <w:rFonts w:ascii="Arial" w:cs="Arial" w:eastAsia="Arial" w:hAnsi="Arial"/>
          <w:sz w:val="16"/>
          <w:szCs w:val="16"/>
          <w:color w:val="auto"/>
        </w:rPr>
        <w:t>The validity of our ADSs and certain other matters of English law and U.S. federal law will be passed upon for us by Goodwin Procter LLP. Legal counsel to the underwriters in connection with this offering are Cooley LLP.</w:t>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EXPERTS</w:t>
      </w:r>
    </w:p>
    <w:p>
      <w:pPr>
        <w:spacing w:after="0" w:line="215" w:lineRule="exact"/>
        <w:rPr>
          <w:sz w:val="20"/>
          <w:szCs w:val="20"/>
          <w:color w:val="auto"/>
        </w:rPr>
      </w:pPr>
    </w:p>
    <w:p>
      <w:pPr>
        <w:jc w:val="both"/>
        <w:ind w:firstLine="439"/>
        <w:spacing w:after="0" w:line="242" w:lineRule="auto"/>
        <w:rPr>
          <w:sz w:val="20"/>
          <w:szCs w:val="20"/>
          <w:color w:val="auto"/>
        </w:rPr>
      </w:pPr>
      <w:r>
        <w:rPr>
          <w:rFonts w:ascii="Arial" w:cs="Arial" w:eastAsia="Arial" w:hAnsi="Arial"/>
          <w:sz w:val="16"/>
          <w:szCs w:val="16"/>
          <w:color w:val="auto"/>
        </w:rPr>
        <w:t>The financial statements as of December 31, 2017 and 2018 and for the years then ended included in this prospectus have been so included in reliance on the report (which contains an explanatory paragraph relating to the Company's restatement of previously issued financial statements as described in Note 1 to the consolidated financial statements) of PricewaterhouseCoopers LLP, an independent registered public accounting firm, given on the authority of said firm as experts in auditing and accounting.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registered business address of PricewaterhouseCoopers LLP is 1 Embankment Place, London, WC2N 6RH, United Kingdom.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8" w:name="page249"/>
    <w:bookmarkEnd w:id="2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SERVICE OF PROCESS AND ENFORCEMENT OF LIABILITIES</w:t>
      </w:r>
    </w:p>
    <w:p>
      <w:pPr>
        <w:spacing w:after="0" w:line="215"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We are incorporated and currently existing under the laws of England and Wales. In addition, certain of our directors and officers reside outside of the United States and most of the assets of our non-U.S.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uncertainty exists as to whether the courts of England and Wales would:</w:t>
      </w:r>
    </w:p>
    <w:p>
      <w:pPr>
        <w:spacing w:after="0" w:line="195" w:lineRule="exact"/>
        <w:rPr>
          <w:sz w:val="20"/>
          <w:szCs w:val="20"/>
          <w:color w:val="auto"/>
        </w:rPr>
      </w:pPr>
    </w:p>
    <w:p>
      <w:pPr>
        <w:ind w:left="980" w:right="120" w:hanging="493"/>
        <w:spacing w:after="0" w:line="249" w:lineRule="auto"/>
        <w:tabs>
          <w:tab w:leader="none" w:pos="9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180" w:lineRule="exact"/>
        <w:rPr>
          <w:rFonts w:ascii="Arial" w:cs="Arial" w:eastAsia="Arial" w:hAnsi="Arial"/>
          <w:sz w:val="16"/>
          <w:szCs w:val="16"/>
          <w:color w:val="auto"/>
        </w:rPr>
      </w:pPr>
    </w:p>
    <w:p>
      <w:pPr>
        <w:ind w:left="980" w:right="460" w:hanging="493"/>
        <w:spacing w:after="0" w:line="249" w:lineRule="auto"/>
        <w:tabs>
          <w:tab w:leader="none" w:pos="9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entertain original actions brought in England and Wales against us or our directors or officers predicated upon the securities laws of the United States or any state in the United States.</w:t>
      </w:r>
    </w:p>
    <w:p>
      <w:pPr>
        <w:spacing w:after="0" w:line="181" w:lineRule="exact"/>
        <w:rPr>
          <w:sz w:val="20"/>
          <w:szCs w:val="20"/>
          <w:color w:val="auto"/>
        </w:rPr>
      </w:pPr>
    </w:p>
    <w:p>
      <w:pPr>
        <w:ind w:right="120" w:firstLine="442"/>
        <w:spacing w:after="0"/>
        <w:rPr>
          <w:sz w:val="20"/>
          <w:szCs w:val="20"/>
          <w:color w:val="auto"/>
        </w:rPr>
      </w:pPr>
      <w:r>
        <w:rPr>
          <w:rFonts w:ascii="Arial" w:cs="Arial" w:eastAsia="Arial" w:hAnsi="Arial"/>
          <w:sz w:val="16"/>
          <w:szCs w:val="16"/>
          <w:color w:val="auto"/>
        </w:rPr>
        <w:t>We have been advised by Goodwin Procter LLP that 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predicated solely upon the United States securities laws, would not be automatically enforceable in England and Wales. We have also been advised by Goodwin Procter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192" w:lineRule="exact"/>
        <w:rPr>
          <w:sz w:val="20"/>
          <w:szCs w:val="20"/>
          <w:color w:val="auto"/>
        </w:rPr>
      </w:pPr>
    </w:p>
    <w:p>
      <w:pPr>
        <w:ind w:left="980" w:right="200" w:hanging="493"/>
        <w:spacing w:after="0" w:line="249" w:lineRule="auto"/>
        <w:tabs>
          <w:tab w:leader="none" w:pos="9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relevant U.S. court had jurisdiction over the original proceedings according to English conflicts of laws principles at the time when proceedings were initiated;</w:t>
      </w:r>
    </w:p>
    <w:p>
      <w:pPr>
        <w:spacing w:after="0" w:line="168" w:lineRule="exact"/>
        <w:rPr>
          <w:rFonts w:ascii="Arial" w:cs="Arial" w:eastAsia="Arial" w:hAnsi="Arial"/>
          <w:sz w:val="16"/>
          <w:szCs w:val="16"/>
          <w:color w:val="auto"/>
        </w:rPr>
      </w:pPr>
    </w:p>
    <w:p>
      <w:pPr>
        <w:ind w:left="980" w:right="160" w:hanging="493"/>
        <w:spacing w:after="0" w:line="249" w:lineRule="auto"/>
        <w:tabs>
          <w:tab w:leader="none" w:pos="9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180" w:lineRule="exact"/>
        <w:rPr>
          <w:rFonts w:ascii="Arial" w:cs="Arial" w:eastAsia="Arial" w:hAnsi="Arial"/>
          <w:sz w:val="16"/>
          <w:szCs w:val="16"/>
          <w:color w:val="auto"/>
        </w:rPr>
      </w:pPr>
    </w:p>
    <w:p>
      <w:pPr>
        <w:ind w:left="980" w:right="220" w:hanging="493"/>
        <w:spacing w:after="0" w:line="249" w:lineRule="auto"/>
        <w:tabs>
          <w:tab w:leader="none" w:pos="9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U.S. judgment was final and conclusive on the merits in the sense of being final and unalterable in the court that pronounced it and being for a definite sum of money;</w:t>
      </w:r>
    </w:p>
    <w:p>
      <w:pPr>
        <w:spacing w:after="0" w:line="168" w:lineRule="exact"/>
        <w:rPr>
          <w:rFonts w:ascii="Arial" w:cs="Arial" w:eastAsia="Arial" w:hAnsi="Arial"/>
          <w:sz w:val="16"/>
          <w:szCs w:val="16"/>
          <w:color w:val="auto"/>
        </w:rPr>
      </w:pPr>
    </w:p>
    <w:p>
      <w:pPr>
        <w:ind w:left="980" w:right="220" w:hanging="493"/>
        <w:spacing w:after="0" w:line="249" w:lineRule="auto"/>
        <w:tabs>
          <w:tab w:leader="none" w:pos="9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judgment was not procured by fraud;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recognition or enforcement of the judgment in England and Wales would not be contrary to public policy or the Human Rights Act 1998;</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proceedings pursuant to which judgment was obtained were not contrary to natural justice;</w:t>
      </w:r>
    </w:p>
    <w:p>
      <w:pPr>
        <w:spacing w:after="0" w:line="182" w:lineRule="exact"/>
        <w:rPr>
          <w:rFonts w:ascii="Arial" w:cs="Arial" w:eastAsia="Arial" w:hAnsi="Arial"/>
          <w:sz w:val="16"/>
          <w:szCs w:val="16"/>
          <w:color w:val="auto"/>
        </w:rPr>
      </w:pPr>
    </w:p>
    <w:p>
      <w:pPr>
        <w:ind w:left="980" w:right="160" w:hanging="493"/>
        <w:spacing w:after="0" w:line="244" w:lineRule="auto"/>
        <w:tabs>
          <w:tab w:leader="none" w:pos="9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9" w:name="page250"/>
    <w:bookmarkEnd w:id="2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980" w:hanging="493"/>
        <w:spacing w:after="0"/>
        <w:tabs>
          <w:tab w:leader="none" w:pos="9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there is not a prior decision of an English court or the court of another jurisdiction on the issues in question between the same parties; and</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English enforcement proceedings were commenced within the limitation period.</w:t>
      </w:r>
    </w:p>
    <w:p>
      <w:pPr>
        <w:spacing w:after="0" w:line="195"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181" w:lineRule="exact"/>
        <w:rPr>
          <w:sz w:val="20"/>
          <w:szCs w:val="20"/>
          <w:color w:val="auto"/>
        </w:rPr>
      </w:pPr>
    </w:p>
    <w:p>
      <w:pPr>
        <w:ind w:right="140" w:firstLine="442"/>
        <w:spacing w:after="0" w:line="249" w:lineRule="auto"/>
        <w:rPr>
          <w:sz w:val="20"/>
          <w:szCs w:val="20"/>
          <w:color w:val="auto"/>
        </w:rPr>
      </w:pPr>
      <w:r>
        <w:rPr>
          <w:rFonts w:ascii="Arial" w:cs="Arial" w:eastAsia="Arial" w:hAnsi="Arial"/>
          <w:sz w:val="16"/>
          <w:szCs w:val="16"/>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81"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250" w:name="page251"/>
    <w:bookmarkEnd w:id="2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5"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We have filed with the SEC a registration statement on Form S-1 (File Number 333- ) under the Securities Act with respect to the ADSs we are offering by this prospectus. A related registration statement on Form F-6 will be filed with the SEC to register the ADSs. This prospectus does not contain all of the information included in the registration statement. For further information pertaining to us and the ADSs,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89" w:lineRule="exact"/>
        <w:rPr>
          <w:sz w:val="20"/>
          <w:szCs w:val="20"/>
          <w:color w:val="auto"/>
        </w:rPr>
      </w:pPr>
    </w:p>
    <w:p>
      <w:pPr>
        <w:jc w:val="both"/>
        <w:ind w:right="140" w:firstLine="442"/>
        <w:spacing w:after="0" w:line="244" w:lineRule="auto"/>
        <w:rPr>
          <w:sz w:val="20"/>
          <w:szCs w:val="20"/>
          <w:color w:val="auto"/>
        </w:rPr>
      </w:pPr>
      <w:r>
        <w:rPr>
          <w:rFonts w:ascii="Arial" w:cs="Arial" w:eastAsia="Arial" w:hAnsi="Arial"/>
          <w:sz w:val="16"/>
          <w:szCs w:val="16"/>
          <w:color w:val="auto"/>
        </w:rPr>
        <w:t xml:space="preserve">Upon the closing of the offering, we will be subject to the informational requirements of the Securities Exchange Act of 1934 and will file annual, quarterly and current reports, proxy statements and other information with the SEC. You can read our SEC filings, including the registration statement,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85" w:lineRule="exact"/>
        <w:rPr>
          <w:sz w:val="20"/>
          <w:szCs w:val="20"/>
          <w:color w:val="auto"/>
        </w:rPr>
      </w:pPr>
    </w:p>
    <w:p>
      <w:pPr>
        <w:ind w:right="100" w:firstLine="442"/>
        <w:spacing w:after="0" w:line="242" w:lineRule="auto"/>
        <w:rPr>
          <w:sz w:val="20"/>
          <w:szCs w:val="20"/>
          <w:color w:val="auto"/>
        </w:rPr>
      </w:pPr>
      <w:r>
        <w:rPr>
          <w:rFonts w:ascii="Arial" w:cs="Arial" w:eastAsia="Arial" w:hAnsi="Arial"/>
          <w:sz w:val="16"/>
          <w:szCs w:val="16"/>
          <w:color w:val="auto"/>
        </w:rPr>
        <w:t>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184"/>
        </w:trPr>
        <w:tc>
          <w:tcPr>
            <w:tcW w:w="8920" w:type="dxa"/>
            <w:vAlign w:val="bottom"/>
            <w:gridSpan w:val="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5"/>
        </w:trPr>
        <w:tc>
          <w:tcPr>
            <w:tcW w:w="1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4"/>
          </w:tcPr>
          <w:p>
            <w:pPr>
              <w:jc w:val="center"/>
              <w:ind w:right="1660"/>
              <w:spacing w:after="0"/>
              <w:rPr>
                <w:sz w:val="20"/>
                <w:szCs w:val="20"/>
                <w:color w:val="auto"/>
              </w:rPr>
            </w:pPr>
            <w:r>
              <w:rPr>
                <w:rFonts w:ascii="Arial" w:cs="Arial" w:eastAsia="Arial" w:hAnsi="Arial"/>
                <w:sz w:val="16"/>
                <w:szCs w:val="16"/>
                <w:b w:val="1"/>
                <w:bCs w:val="1"/>
                <w:color w:val="auto"/>
                <w:w w:val="99"/>
              </w:rPr>
              <w:t>BICYCLE THERAPEUTICS LIMITED</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9"/>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740" w:type="dxa"/>
            <w:vAlign w:val="bottom"/>
            <w:gridSpan w:val="6"/>
          </w:tcPr>
          <w:p>
            <w:pPr>
              <w:jc w:val="center"/>
              <w:ind w:right="720"/>
              <w:spacing w:after="0"/>
              <w:rPr>
                <w:sz w:val="20"/>
                <w:szCs w:val="20"/>
                <w:color w:val="auto"/>
              </w:rPr>
            </w:pPr>
            <w:r>
              <w:rPr>
                <w:rFonts w:ascii="Arial" w:cs="Arial" w:eastAsia="Arial" w:hAnsi="Arial"/>
                <w:sz w:val="16"/>
                <w:szCs w:val="16"/>
                <w:b w:val="1"/>
                <w:bCs w:val="1"/>
                <w:color w:val="auto"/>
                <w:w w:val="98"/>
              </w:rPr>
              <w:t>INDEX TO CONSOLIDATED FINANCIAL STATEMENTS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3"/>
        </w:trPr>
        <w:tc>
          <w:tcPr>
            <w:tcW w:w="1140" w:type="dxa"/>
            <w:vAlign w:val="bottom"/>
          </w:tcPr>
          <w:p>
            <w:pPr>
              <w:spacing w:after="0"/>
              <w:rPr>
                <w:sz w:val="24"/>
                <w:szCs w:val="24"/>
                <w:color w:val="auto"/>
              </w:rPr>
            </w:pPr>
          </w:p>
        </w:tc>
        <w:tc>
          <w:tcPr>
            <w:tcW w:w="7780" w:type="dxa"/>
            <w:vAlign w:val="bottom"/>
            <w:tcBorders>
              <w:bottom w:val="single" w:sz="8" w:color="0000EE"/>
            </w:tcBorders>
            <w:gridSpan w:val="8"/>
          </w:tcPr>
          <w:p>
            <w:pPr>
              <w:spacing w:after="0"/>
              <w:rPr>
                <w:rFonts w:ascii="Arial" w:cs="Arial" w:eastAsia="Arial" w:hAnsi="Arial"/>
                <w:sz w:val="16"/>
                <w:szCs w:val="16"/>
                <w:b w:val="1"/>
                <w:bCs w:val="1"/>
                <w:color w:val="0000EE"/>
                <w:w w:val="99"/>
              </w:rPr>
            </w:pPr>
            <w:hyperlink w:anchor="page252">
              <w:r>
                <w:rPr>
                  <w:rFonts w:ascii="Arial" w:cs="Arial" w:eastAsia="Arial" w:hAnsi="Arial"/>
                  <w:sz w:val="16"/>
                  <w:szCs w:val="16"/>
                  <w:b w:val="1"/>
                  <w:bCs w:val="1"/>
                  <w:color w:val="0000EE"/>
                  <w:w w:val="99"/>
                </w:rPr>
                <w:t>Index to Consolidated Financial Statements as of and for the Years Ended December 31, 2017 and 2018</w:t>
              </w:r>
            </w:hyperlink>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9"/>
        </w:trPr>
        <w:tc>
          <w:tcPr>
            <w:tcW w:w="1140" w:type="dxa"/>
            <w:vAlign w:val="bottom"/>
          </w:tcPr>
          <w:p>
            <w:pPr>
              <w:spacing w:after="0"/>
              <w:rPr>
                <w:sz w:val="24"/>
                <w:szCs w:val="24"/>
                <w:color w:val="auto"/>
              </w:rPr>
            </w:pPr>
          </w:p>
        </w:tc>
        <w:tc>
          <w:tcPr>
            <w:tcW w:w="7780" w:type="dxa"/>
            <w:vAlign w:val="bottom"/>
            <w:gridSpan w:val="8"/>
          </w:tcPr>
          <w:p>
            <w:pPr>
              <w:spacing w:after="0"/>
              <w:rPr>
                <w:rFonts w:ascii="Arial" w:cs="Arial" w:eastAsia="Arial" w:hAnsi="Arial"/>
                <w:sz w:val="16"/>
                <w:szCs w:val="16"/>
                <w:color w:val="0000EE"/>
              </w:rPr>
            </w:pPr>
            <w:hyperlink w:anchor="page253">
              <w:r>
                <w:rPr>
                  <w:rFonts w:ascii="Arial" w:cs="Arial" w:eastAsia="Arial" w:hAnsi="Arial"/>
                  <w:sz w:val="16"/>
                  <w:szCs w:val="16"/>
                  <w:color w:val="0000EE"/>
                </w:rPr>
                <w:t>Report of independent registered public accounting firm</w:t>
              </w:r>
            </w:hyperlink>
          </w:p>
        </w:tc>
        <w:tc>
          <w:tcPr>
            <w:tcW w:w="980" w:type="dxa"/>
            <w:vAlign w:val="bottom"/>
          </w:tcPr>
          <w:p>
            <w:pPr>
              <w:spacing w:after="0"/>
              <w:rPr>
                <w:sz w:val="24"/>
                <w:szCs w:val="24"/>
                <w:color w:val="auto"/>
              </w:rPr>
            </w:pPr>
          </w:p>
        </w:tc>
        <w:tc>
          <w:tcPr>
            <w:tcW w:w="1540" w:type="dxa"/>
            <w:vAlign w:val="bottom"/>
            <w:gridSpan w:val="2"/>
          </w:tcPr>
          <w:p>
            <w:pPr>
              <w:spacing w:after="0"/>
              <w:rPr>
                <w:rFonts w:ascii="Arial" w:cs="Arial" w:eastAsia="Arial" w:hAnsi="Arial"/>
                <w:sz w:val="16"/>
                <w:szCs w:val="16"/>
                <w:color w:val="0000EE"/>
              </w:rPr>
            </w:pPr>
            <w:hyperlink w:anchor="page253">
              <w:r>
                <w:rPr>
                  <w:rFonts w:ascii="Arial" w:cs="Arial" w:eastAsia="Arial" w:hAnsi="Arial"/>
                  <w:sz w:val="16"/>
                  <w:szCs w:val="16"/>
                  <w:color w:val="0000EE"/>
                </w:rPr>
                <w:t>F-2</w:t>
              </w:r>
            </w:hyperlink>
          </w:p>
        </w:tc>
      </w:tr>
      <w:tr>
        <w:trPr>
          <w:trHeight w:val="20"/>
        </w:trPr>
        <w:tc>
          <w:tcPr>
            <w:tcW w:w="11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3900" w:type="dxa"/>
            <w:vAlign w:val="bottom"/>
            <w:gridSpan w:val="5"/>
          </w:tcPr>
          <w:p>
            <w:pPr>
              <w:spacing w:after="0" w:line="164" w:lineRule="exact"/>
              <w:rPr>
                <w:rFonts w:ascii="Arial" w:cs="Arial" w:eastAsia="Arial" w:hAnsi="Arial"/>
                <w:sz w:val="16"/>
                <w:szCs w:val="16"/>
                <w:color w:val="0000EE"/>
              </w:rPr>
            </w:pPr>
            <w:hyperlink w:anchor="page254">
              <w:r>
                <w:rPr>
                  <w:rFonts w:ascii="Arial" w:cs="Arial" w:eastAsia="Arial" w:hAnsi="Arial"/>
                  <w:sz w:val="16"/>
                  <w:szCs w:val="16"/>
                  <w:color w:val="0000EE"/>
                </w:rPr>
                <w:t>Consolidated balance sheets</w:t>
              </w:r>
            </w:hyperlink>
          </w:p>
        </w:tc>
        <w:tc>
          <w:tcPr>
            <w:tcW w:w="3880" w:type="dxa"/>
            <w:vAlign w:val="bottom"/>
            <w:gridSpan w:val="3"/>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gridSpan w:val="2"/>
          </w:tcPr>
          <w:p>
            <w:pPr>
              <w:spacing w:after="0" w:line="164" w:lineRule="exact"/>
              <w:rPr>
                <w:rFonts w:ascii="Arial" w:cs="Arial" w:eastAsia="Arial" w:hAnsi="Arial"/>
                <w:sz w:val="16"/>
                <w:szCs w:val="16"/>
                <w:color w:val="0000EE"/>
              </w:rPr>
            </w:pPr>
            <w:hyperlink w:anchor="page254">
              <w:r>
                <w:rPr>
                  <w:rFonts w:ascii="Arial" w:cs="Arial" w:eastAsia="Arial" w:hAnsi="Arial"/>
                  <w:sz w:val="16"/>
                  <w:szCs w:val="16"/>
                  <w:color w:val="0000EE"/>
                </w:rPr>
                <w:t>F-3</w:t>
              </w:r>
            </w:hyperlink>
          </w:p>
        </w:tc>
      </w:tr>
      <w:tr>
        <w:trPr>
          <w:trHeight w:val="20"/>
        </w:trPr>
        <w:tc>
          <w:tcPr>
            <w:tcW w:w="11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4480" w:type="dxa"/>
            <w:vAlign w:val="bottom"/>
            <w:gridSpan w:val="6"/>
          </w:tcPr>
          <w:p>
            <w:pPr>
              <w:spacing w:after="0" w:line="164" w:lineRule="exact"/>
              <w:rPr>
                <w:rFonts w:ascii="Arial" w:cs="Arial" w:eastAsia="Arial" w:hAnsi="Arial"/>
                <w:sz w:val="16"/>
                <w:szCs w:val="16"/>
                <w:color w:val="0000EE"/>
                <w:w w:val="99"/>
              </w:rPr>
            </w:pPr>
            <w:hyperlink w:anchor="page255">
              <w:r>
                <w:rPr>
                  <w:rFonts w:ascii="Arial" w:cs="Arial" w:eastAsia="Arial" w:hAnsi="Arial"/>
                  <w:sz w:val="16"/>
                  <w:szCs w:val="16"/>
                  <w:color w:val="0000EE"/>
                  <w:w w:val="99"/>
                </w:rPr>
                <w:t>Consolidated statements of operations and comprehensive loss</w:t>
              </w:r>
            </w:hyperlink>
          </w:p>
        </w:tc>
        <w:tc>
          <w:tcPr>
            <w:tcW w:w="330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gridSpan w:val="2"/>
          </w:tcPr>
          <w:p>
            <w:pPr>
              <w:spacing w:after="0" w:line="164" w:lineRule="exact"/>
              <w:rPr>
                <w:rFonts w:ascii="Arial" w:cs="Arial" w:eastAsia="Arial" w:hAnsi="Arial"/>
                <w:sz w:val="16"/>
                <w:szCs w:val="16"/>
                <w:color w:val="0000EE"/>
              </w:rPr>
            </w:pPr>
            <w:hyperlink w:anchor="page255">
              <w:r>
                <w:rPr>
                  <w:rFonts w:ascii="Arial" w:cs="Arial" w:eastAsia="Arial" w:hAnsi="Arial"/>
                  <w:sz w:val="16"/>
                  <w:szCs w:val="16"/>
                  <w:color w:val="0000EE"/>
                </w:rPr>
                <w:t>F-4</w:t>
              </w:r>
            </w:hyperlink>
          </w:p>
        </w:tc>
      </w:tr>
      <w:tr>
        <w:trPr>
          <w:trHeight w:val="20"/>
        </w:trPr>
        <w:tc>
          <w:tcPr>
            <w:tcW w:w="114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7780" w:type="dxa"/>
            <w:vAlign w:val="bottom"/>
            <w:gridSpan w:val="8"/>
          </w:tcPr>
          <w:p>
            <w:pPr>
              <w:spacing w:after="0" w:line="164" w:lineRule="exact"/>
              <w:rPr>
                <w:rFonts w:ascii="Arial" w:cs="Arial" w:eastAsia="Arial" w:hAnsi="Arial"/>
                <w:sz w:val="16"/>
                <w:szCs w:val="16"/>
                <w:color w:val="0000EE"/>
              </w:rPr>
            </w:pPr>
            <w:hyperlink w:anchor="page256">
              <w:r>
                <w:rPr>
                  <w:rFonts w:ascii="Arial" w:cs="Arial" w:eastAsia="Arial" w:hAnsi="Arial"/>
                  <w:sz w:val="16"/>
                  <w:szCs w:val="16"/>
                  <w:color w:val="0000EE"/>
                </w:rPr>
                <w:t>Consolidated statements of convertible preferred shares and shareholders' (deficit) equity</w:t>
              </w:r>
            </w:hyperlink>
          </w:p>
        </w:tc>
        <w:tc>
          <w:tcPr>
            <w:tcW w:w="980" w:type="dxa"/>
            <w:vAlign w:val="bottom"/>
          </w:tcPr>
          <w:p>
            <w:pPr>
              <w:spacing w:after="0"/>
              <w:rPr>
                <w:sz w:val="14"/>
                <w:szCs w:val="14"/>
                <w:color w:val="auto"/>
              </w:rPr>
            </w:pPr>
          </w:p>
        </w:tc>
        <w:tc>
          <w:tcPr>
            <w:tcW w:w="1540" w:type="dxa"/>
            <w:vAlign w:val="bottom"/>
            <w:gridSpan w:val="2"/>
          </w:tcPr>
          <w:p>
            <w:pPr>
              <w:spacing w:after="0" w:line="164" w:lineRule="exact"/>
              <w:rPr>
                <w:rFonts w:ascii="Arial" w:cs="Arial" w:eastAsia="Arial" w:hAnsi="Arial"/>
                <w:sz w:val="16"/>
                <w:szCs w:val="16"/>
                <w:color w:val="0000EE"/>
              </w:rPr>
            </w:pPr>
            <w:hyperlink w:anchor="page256">
              <w:r>
                <w:rPr>
                  <w:rFonts w:ascii="Arial" w:cs="Arial" w:eastAsia="Arial" w:hAnsi="Arial"/>
                  <w:sz w:val="16"/>
                  <w:szCs w:val="16"/>
                  <w:color w:val="0000EE"/>
                </w:rPr>
                <w:t>F-5</w:t>
              </w:r>
            </w:hyperlink>
          </w:p>
        </w:tc>
      </w:tr>
      <w:tr>
        <w:trPr>
          <w:trHeight w:val="20"/>
        </w:trPr>
        <w:tc>
          <w:tcPr>
            <w:tcW w:w="114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720" w:type="dxa"/>
            <w:vAlign w:val="bottom"/>
            <w:gridSpan w:val="3"/>
          </w:tcPr>
          <w:p>
            <w:pPr>
              <w:spacing w:after="0" w:line="164" w:lineRule="exact"/>
              <w:rPr>
                <w:rFonts w:ascii="Arial" w:cs="Arial" w:eastAsia="Arial" w:hAnsi="Arial"/>
                <w:sz w:val="16"/>
                <w:szCs w:val="16"/>
                <w:color w:val="0000EE"/>
                <w:w w:val="98"/>
              </w:rPr>
            </w:pPr>
            <w:hyperlink w:anchor="page257">
              <w:r>
                <w:rPr>
                  <w:rFonts w:ascii="Arial" w:cs="Arial" w:eastAsia="Arial" w:hAnsi="Arial"/>
                  <w:sz w:val="16"/>
                  <w:szCs w:val="16"/>
                  <w:color w:val="0000EE"/>
                  <w:w w:val="98"/>
                </w:rPr>
                <w:t>Consolidated statements of cash flows</w:t>
              </w:r>
            </w:hyperlink>
          </w:p>
        </w:tc>
        <w:tc>
          <w:tcPr>
            <w:tcW w:w="3560" w:type="dxa"/>
            <w:vAlign w:val="bottom"/>
            <w:gridSpan w:val="4"/>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gridSpan w:val="2"/>
          </w:tcPr>
          <w:p>
            <w:pPr>
              <w:spacing w:after="0" w:line="164" w:lineRule="exact"/>
              <w:rPr>
                <w:rFonts w:ascii="Arial" w:cs="Arial" w:eastAsia="Arial" w:hAnsi="Arial"/>
                <w:sz w:val="16"/>
                <w:szCs w:val="16"/>
                <w:color w:val="0000EE"/>
              </w:rPr>
            </w:pPr>
            <w:hyperlink w:anchor="page257">
              <w:r>
                <w:rPr>
                  <w:rFonts w:ascii="Arial" w:cs="Arial" w:eastAsia="Arial" w:hAnsi="Arial"/>
                  <w:sz w:val="16"/>
                  <w:szCs w:val="16"/>
                  <w:color w:val="0000EE"/>
                </w:rPr>
                <w:t>F-6</w:t>
              </w:r>
            </w:hyperlink>
          </w:p>
        </w:tc>
      </w:tr>
      <w:tr>
        <w:trPr>
          <w:trHeight w:val="20"/>
        </w:trPr>
        <w:tc>
          <w:tcPr>
            <w:tcW w:w="114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7780" w:type="dxa"/>
            <w:vAlign w:val="bottom"/>
            <w:gridSpan w:val="8"/>
          </w:tcPr>
          <w:p>
            <w:pPr>
              <w:spacing w:after="0" w:line="164" w:lineRule="exact"/>
              <w:rPr>
                <w:rFonts w:ascii="Arial" w:cs="Arial" w:eastAsia="Arial" w:hAnsi="Arial"/>
                <w:sz w:val="16"/>
                <w:szCs w:val="16"/>
                <w:color w:val="0000EE"/>
              </w:rPr>
            </w:pPr>
            <w:hyperlink w:anchor="page258">
              <w:r>
                <w:rPr>
                  <w:rFonts w:ascii="Arial" w:cs="Arial" w:eastAsia="Arial" w:hAnsi="Arial"/>
                  <w:sz w:val="16"/>
                  <w:szCs w:val="16"/>
                  <w:color w:val="0000EE"/>
                </w:rPr>
                <w:t>Notes to consolidated financial statements</w:t>
              </w:r>
            </w:hyperlink>
          </w:p>
        </w:tc>
        <w:tc>
          <w:tcPr>
            <w:tcW w:w="980" w:type="dxa"/>
            <w:vAlign w:val="bottom"/>
          </w:tcPr>
          <w:p>
            <w:pPr>
              <w:spacing w:after="0"/>
              <w:rPr>
                <w:sz w:val="14"/>
                <w:szCs w:val="14"/>
                <w:color w:val="auto"/>
              </w:rPr>
            </w:pPr>
          </w:p>
        </w:tc>
        <w:tc>
          <w:tcPr>
            <w:tcW w:w="1540" w:type="dxa"/>
            <w:vAlign w:val="bottom"/>
            <w:gridSpan w:val="2"/>
          </w:tcPr>
          <w:p>
            <w:pPr>
              <w:spacing w:after="0" w:line="164" w:lineRule="exact"/>
              <w:rPr>
                <w:rFonts w:ascii="Arial" w:cs="Arial" w:eastAsia="Arial" w:hAnsi="Arial"/>
                <w:sz w:val="16"/>
                <w:szCs w:val="16"/>
                <w:color w:val="0000EE"/>
              </w:rPr>
            </w:pPr>
            <w:hyperlink w:anchor="page258">
              <w:r>
                <w:rPr>
                  <w:rFonts w:ascii="Arial" w:cs="Arial" w:eastAsia="Arial" w:hAnsi="Arial"/>
                  <w:sz w:val="16"/>
                  <w:szCs w:val="16"/>
                  <w:color w:val="0000EE"/>
                </w:rPr>
                <w:t>F-7</w:t>
              </w:r>
            </w:hyperlink>
          </w:p>
        </w:tc>
      </w:tr>
      <w:tr>
        <w:trPr>
          <w:trHeight w:val="395"/>
        </w:trPr>
        <w:tc>
          <w:tcPr>
            <w:tcW w:w="1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3880" w:type="dxa"/>
            <w:vAlign w:val="bottom"/>
            <w:gridSpan w:val="3"/>
          </w:tcPr>
          <w:p>
            <w:pPr>
              <w:jc w:val="center"/>
              <w:ind w:right="2520"/>
              <w:spacing w:after="0"/>
              <w:rPr>
                <w:sz w:val="20"/>
                <w:szCs w:val="20"/>
                <w:color w:val="auto"/>
              </w:rPr>
            </w:pPr>
            <w:r>
              <w:rPr>
                <w:rFonts w:ascii="Arial" w:cs="Arial" w:eastAsia="Arial" w:hAnsi="Arial"/>
                <w:sz w:val="16"/>
                <w:szCs w:val="16"/>
                <w:color w:val="auto"/>
                <w:w w:val="99"/>
              </w:rPr>
              <w:t>F-1</w:t>
            </w:r>
          </w:p>
        </w:tc>
        <w:tc>
          <w:tcPr>
            <w:tcW w:w="9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93"/>
        </w:trPr>
        <w:tc>
          <w:tcPr>
            <w:tcW w:w="11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94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80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3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52" w:name="page253"/>
    <w:bookmarkEnd w:id="2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of Bicycle Therapeutics Limited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213"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We have audited the accompanying consolidated balance sheets of Bicycle Therapeutics Limited and its subsidiaries (the "Company") as of December 31, 2018 and 2017, and the related consolidated statements of operations and comprehensive loss, consolidated statements of convertible preferred shares and shareholders' (deficit) equity and consolidated statements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Restatement of Previously Issued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 to the consolidated financial statements, the Company has restated its 2017 financial statements to correct an error.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213"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85"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rPr>
          <w:sz w:val="20"/>
          <w:szCs w:val="20"/>
          <w:color w:val="auto"/>
        </w:rPr>
      </w:pPr>
      <w:r>
        <w:rPr>
          <w:rFonts w:ascii="Arial" w:cs="Arial" w:eastAsia="Arial" w:hAnsi="Arial"/>
          <w:sz w:val="16"/>
          <w:szCs w:val="16"/>
          <w:color w:val="auto"/>
        </w:rPr>
        <w:t>Cambridge, United Kingdom</w:t>
      </w:r>
    </w:p>
    <w:p>
      <w:pPr>
        <w:spacing w:after="0"/>
        <w:rPr>
          <w:sz w:val="20"/>
          <w:szCs w:val="20"/>
          <w:color w:val="auto"/>
        </w:rPr>
      </w:pPr>
      <w:r>
        <w:rPr>
          <w:rFonts w:ascii="Arial" w:cs="Arial" w:eastAsia="Arial" w:hAnsi="Arial"/>
          <w:sz w:val="16"/>
          <w:szCs w:val="16"/>
          <w:color w:val="auto"/>
        </w:rPr>
        <w:t>March 22, 2019</w:t>
      </w:r>
    </w:p>
    <w:p>
      <w:pPr>
        <w:spacing w:after="0" w:line="195" w:lineRule="exact"/>
        <w:rPr>
          <w:sz w:val="20"/>
          <w:szCs w:val="20"/>
          <w:color w:val="auto"/>
        </w:rPr>
      </w:pPr>
    </w:p>
    <w:p>
      <w:pPr>
        <w:ind w:right="660"/>
        <w:spacing w:after="0" w:line="249" w:lineRule="auto"/>
        <w:rPr>
          <w:sz w:val="20"/>
          <w:szCs w:val="20"/>
          <w:color w:val="auto"/>
        </w:rPr>
      </w:pPr>
      <w:r>
        <w:rPr>
          <w:rFonts w:ascii="Arial" w:cs="Arial" w:eastAsia="Arial" w:hAnsi="Arial"/>
          <w:sz w:val="16"/>
          <w:szCs w:val="16"/>
          <w:color w:val="auto"/>
        </w:rPr>
        <w:t>We have served as the Company's or its predecessor's auditor since 2010, which includes periods before the Company became subject to SEC reporting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53" w:name="page254"/>
    <w:bookmarkEnd w:id="2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Bicycle Therapeutics Limited</w:t>
      </w:r>
    </w:p>
    <w:p>
      <w:pPr>
        <w:spacing w:after="0" w:line="183" w:lineRule="exact"/>
        <w:rPr>
          <w:sz w:val="20"/>
          <w:szCs w:val="20"/>
          <w:color w:val="auto"/>
        </w:rPr>
      </w:pPr>
    </w:p>
    <w:p>
      <w:pPr>
        <w:jc w:val="center"/>
        <w:ind w:right="-1079"/>
        <w:spacing w:after="0"/>
        <w:rPr>
          <w:sz w:val="20"/>
          <w:szCs w:val="20"/>
          <w:color w:val="auto"/>
        </w:rPr>
      </w:pPr>
      <w:r>
        <w:rPr>
          <w:rFonts w:ascii="Arial" w:cs="Arial" w:eastAsia="Arial" w:hAnsi="Arial"/>
          <w:sz w:val="16"/>
          <w:szCs w:val="16"/>
          <w:b w:val="1"/>
          <w:bCs w:val="1"/>
          <w:color w:val="auto"/>
        </w:rPr>
        <w:t>Consolidated Balance Sheets</w:t>
      </w:r>
    </w:p>
    <w:p>
      <w:pPr>
        <w:spacing w:after="0" w:line="183"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200"/>
        </w:trPr>
        <w:tc>
          <w:tcPr>
            <w:tcW w:w="6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2017</w:t>
            </w: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8"/>
              </w:rPr>
              <w:t>(as restated)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(unaudited)</w:t>
            </w: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spacing w:after="0" w:line="147" w:lineRule="exact"/>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tcPr>
          <w:p>
            <w:pPr>
              <w:spacing w:after="0" w:line="147" w:lineRule="exact"/>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Cash</w:t>
            </w:r>
          </w:p>
        </w:tc>
        <w:tc>
          <w:tcPr>
            <w:tcW w:w="1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67,663</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63,380</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63,387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tcPr>
          <w:p>
            <w:pPr>
              <w:ind w:left="120"/>
              <w:spacing w:after="0" w:line="147" w:lineRule="exact"/>
              <w:rPr>
                <w:sz w:val="20"/>
                <w:szCs w:val="20"/>
                <w:color w:val="auto"/>
              </w:rPr>
            </w:pPr>
            <w:r>
              <w:rPr>
                <w:rFonts w:ascii="Arial" w:cs="Arial" w:eastAsia="Arial" w:hAnsi="Arial"/>
                <w:sz w:val="13"/>
                <w:szCs w:val="13"/>
                <w:color w:val="auto"/>
              </w:rPr>
              <w:t>Accounts receivable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5,021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5,021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Prepaid expenses and other current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848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2,076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2,076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tcPr>
          <w:p>
            <w:pPr>
              <w:ind w:left="120"/>
              <w:spacing w:after="0" w:line="147" w:lineRule="exact"/>
              <w:rPr>
                <w:sz w:val="20"/>
                <w:szCs w:val="20"/>
                <w:color w:val="auto"/>
              </w:rPr>
            </w:pPr>
            <w:r>
              <w:rPr>
                <w:rFonts w:ascii="Arial" w:cs="Arial" w:eastAsia="Arial" w:hAnsi="Arial"/>
                <w:sz w:val="13"/>
                <w:szCs w:val="13"/>
                <w:color w:val="auto"/>
              </w:rPr>
              <w:t>Research and development incentives receivable</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3,001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6,292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3"/>
                <w:szCs w:val="13"/>
                <w:color w:val="auto"/>
              </w:rPr>
              <w:t>6,292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200" w:type="dxa"/>
            <w:vAlign w:val="bottom"/>
            <w:shd w:val="clear" w:color="auto" w:fill="CCEEFF"/>
          </w:tcPr>
          <w:p>
            <w:pPr>
              <w:ind w:left="380"/>
              <w:spacing w:after="0" w:line="139" w:lineRule="exact"/>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71,512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76,769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76,776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tcPr>
          <w:p>
            <w:pPr>
              <w:spacing w:after="0" w:line="147" w:lineRule="exact"/>
              <w:rPr>
                <w:sz w:val="20"/>
                <w:szCs w:val="20"/>
                <w:color w:val="auto"/>
              </w:rPr>
            </w:pPr>
            <w:r>
              <w:rPr>
                <w:rFonts w:ascii="Arial" w:cs="Arial" w:eastAsia="Arial" w:hAnsi="Arial"/>
                <w:sz w:val="13"/>
                <w:szCs w:val="13"/>
                <w:color w:val="auto"/>
              </w:rPr>
              <w:t>Property and equipment, net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1,362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1,818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1,818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1,127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3,039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3,039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200" w:type="dxa"/>
            <w:vAlign w:val="bottom"/>
          </w:tcPr>
          <w:p>
            <w:pPr>
              <w:ind w:left="120"/>
              <w:spacing w:after="0" w:line="139" w:lineRule="exact"/>
              <w:rPr>
                <w:sz w:val="20"/>
                <w:szCs w:val="20"/>
                <w:color w:val="auto"/>
              </w:rPr>
            </w:pPr>
            <w:r>
              <w:rPr>
                <w:rFonts w:ascii="Arial" w:cs="Arial" w:eastAsia="Arial" w:hAnsi="Arial"/>
                <w:sz w:val="13"/>
                <w:szCs w:val="13"/>
                <w:color w:val="auto"/>
              </w:rPr>
              <w:t>Total assets</w:t>
            </w:r>
          </w:p>
        </w:tc>
        <w:tc>
          <w:tcPr>
            <w:tcW w:w="18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auto"/>
              </w:rPr>
              <w:t>74,001</w:t>
            </w:r>
          </w:p>
        </w:tc>
        <w:tc>
          <w:tcPr>
            <w:tcW w:w="80" w:type="dxa"/>
            <w:vAlign w:val="bottom"/>
          </w:tcPr>
          <w:p>
            <w:pPr>
              <w:spacing w:after="0"/>
              <w:rPr>
                <w:sz w:val="12"/>
                <w:szCs w:val="12"/>
                <w:color w:val="auto"/>
              </w:rPr>
            </w:pPr>
          </w:p>
        </w:tc>
        <w:tc>
          <w:tcPr>
            <w:tcW w:w="1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9" w:lineRule="exact"/>
              <w:rPr>
                <w:sz w:val="20"/>
                <w:szCs w:val="20"/>
                <w:color w:val="auto"/>
              </w:rPr>
            </w:pPr>
            <w:r>
              <w:rPr>
                <w:rFonts w:ascii="Arial" w:cs="Arial" w:eastAsia="Arial" w:hAnsi="Arial"/>
                <w:sz w:val="13"/>
                <w:szCs w:val="13"/>
                <w:color w:val="auto"/>
              </w:rPr>
              <w:t>81,626</w:t>
            </w:r>
          </w:p>
        </w:tc>
        <w:tc>
          <w:tcPr>
            <w:tcW w:w="80" w:type="dxa"/>
            <w:vAlign w:val="bottom"/>
          </w:tcPr>
          <w:p>
            <w:pPr>
              <w:spacing w:after="0"/>
              <w:rPr>
                <w:sz w:val="12"/>
                <w:szCs w:val="12"/>
                <w:color w:val="auto"/>
              </w:rPr>
            </w:pPr>
          </w:p>
        </w:tc>
        <w:tc>
          <w:tcPr>
            <w:tcW w:w="14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81,633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200" w:type="dxa"/>
            <w:vAlign w:val="bottom"/>
            <w:shd w:val="clear" w:color="auto" w:fill="CCEEFF"/>
          </w:tcPr>
          <w:p>
            <w:pPr>
              <w:spacing w:after="0" w:line="124" w:lineRule="exact"/>
              <w:rPr>
                <w:sz w:val="20"/>
                <w:szCs w:val="20"/>
                <w:color w:val="auto"/>
              </w:rPr>
            </w:pPr>
            <w:r>
              <w:rPr>
                <w:rFonts w:ascii="Arial" w:cs="Arial" w:eastAsia="Arial" w:hAnsi="Arial"/>
                <w:sz w:val="13"/>
                <w:szCs w:val="13"/>
                <w:b w:val="1"/>
                <w:bCs w:val="1"/>
                <w:color w:val="auto"/>
              </w:rPr>
              <w:t>Liabilities, convertible preferred shares and shareholders' (deficit) equity</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200" w:type="dxa"/>
            <w:vAlign w:val="bottom"/>
          </w:tcPr>
          <w:p>
            <w:pPr>
              <w:spacing w:after="0" w:line="147" w:lineRule="exact"/>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Accounts payable</w:t>
            </w:r>
          </w:p>
        </w:tc>
        <w:tc>
          <w:tcPr>
            <w:tcW w:w="1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2,065</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1,887</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1,887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tcPr>
          <w:p>
            <w:pPr>
              <w:ind w:left="120"/>
              <w:spacing w:after="0" w:line="147" w:lineRule="exact"/>
              <w:rPr>
                <w:sz w:val="20"/>
                <w:szCs w:val="20"/>
                <w:color w:val="auto"/>
              </w:rPr>
            </w:pPr>
            <w:r>
              <w:rPr>
                <w:rFonts w:ascii="Arial" w:cs="Arial" w:eastAsia="Arial" w:hAnsi="Arial"/>
                <w:sz w:val="13"/>
                <w:szCs w:val="13"/>
                <w:color w:val="auto"/>
              </w:rPr>
              <w:t>Accrued expenses and other current liabilities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3,405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7,032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7,032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Deferred revenue, current portion</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3,981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200" w:type="dxa"/>
            <w:vAlign w:val="bottom"/>
          </w:tcPr>
          <w:p>
            <w:pPr>
              <w:ind w:left="240"/>
              <w:spacing w:after="0" w:line="139" w:lineRule="exact"/>
              <w:rPr>
                <w:sz w:val="20"/>
                <w:szCs w:val="20"/>
                <w:color w:val="auto"/>
              </w:rPr>
            </w:pPr>
            <w:r>
              <w:rPr>
                <w:rFonts w:ascii="Arial" w:cs="Arial" w:eastAsia="Arial" w:hAnsi="Arial"/>
                <w:sz w:val="13"/>
                <w:szCs w:val="13"/>
                <w:color w:val="auto"/>
              </w:rPr>
              <w:t>Total current liabilities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auto"/>
              </w:rPr>
              <w:t>9,451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Arial" w:cs="Arial" w:eastAsia="Arial" w:hAnsi="Arial"/>
                <w:sz w:val="13"/>
                <w:szCs w:val="13"/>
                <w:color w:val="auto"/>
              </w:rPr>
              <w:t>8,929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8,929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Warrant liability</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4,411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4,804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6200" w:type="dxa"/>
            <w:vAlign w:val="bottom"/>
          </w:tcPr>
          <w:p>
            <w:pPr>
              <w:ind w:left="120"/>
              <w:spacing w:after="0" w:line="147" w:lineRule="exact"/>
              <w:rPr>
                <w:sz w:val="20"/>
                <w:szCs w:val="20"/>
                <w:color w:val="auto"/>
              </w:rPr>
            </w:pPr>
            <w:r>
              <w:rPr>
                <w:rFonts w:ascii="Arial" w:cs="Arial" w:eastAsia="Arial" w:hAnsi="Arial"/>
                <w:sz w:val="13"/>
                <w:szCs w:val="13"/>
                <w:color w:val="auto"/>
              </w:rPr>
              <w:t>Deferred revenue, net of current portion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10,486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14,625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3"/>
                <w:szCs w:val="13"/>
                <w:color w:val="auto"/>
              </w:rPr>
              <w:t>14,625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Other long-term liabilities</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396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897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rPr>
              <w:t>897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200" w:type="dxa"/>
            <w:vAlign w:val="bottom"/>
          </w:tcPr>
          <w:p>
            <w:pPr>
              <w:ind w:left="380"/>
              <w:spacing w:after="0" w:line="139" w:lineRule="exact"/>
              <w:rPr>
                <w:sz w:val="20"/>
                <w:szCs w:val="20"/>
                <w:color w:val="auto"/>
              </w:rPr>
            </w:pPr>
            <w:r>
              <w:rPr>
                <w:rFonts w:ascii="Arial" w:cs="Arial" w:eastAsia="Arial" w:hAnsi="Arial"/>
                <w:sz w:val="13"/>
                <w:szCs w:val="13"/>
                <w:color w:val="auto"/>
              </w:rPr>
              <w:t>Total liabilities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24,744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29,255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24,451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20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Commitments and contingencies (Note 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200" w:type="dxa"/>
            <w:vAlign w:val="bottom"/>
          </w:tcPr>
          <w:p>
            <w:pPr>
              <w:spacing w:after="0"/>
              <w:rPr>
                <w:sz w:val="20"/>
                <w:szCs w:val="20"/>
                <w:color w:val="auto"/>
              </w:rPr>
            </w:pPr>
            <w:r>
              <w:rPr>
                <w:rFonts w:ascii="Arial" w:cs="Arial" w:eastAsia="Arial" w:hAnsi="Arial"/>
                <w:sz w:val="13"/>
                <w:szCs w:val="13"/>
                <w:color w:val="auto"/>
              </w:rPr>
              <w:t>Series A convertible preferred shares, £0.01 nominal value; 3,000,001 shares authorized at December 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200" w:type="dxa"/>
            <w:vAlign w:val="bottom"/>
          </w:tcPr>
          <w:p>
            <w:pPr>
              <w:ind w:left="120"/>
              <w:spacing w:after="0" w:line="147" w:lineRule="exact"/>
              <w:rPr>
                <w:sz w:val="20"/>
                <w:szCs w:val="20"/>
                <w:color w:val="auto"/>
              </w:rPr>
            </w:pPr>
            <w:r>
              <w:rPr>
                <w:rFonts w:ascii="Arial" w:cs="Arial" w:eastAsia="Arial" w:hAnsi="Arial"/>
                <w:sz w:val="13"/>
                <w:szCs w:val="13"/>
                <w:color w:val="auto"/>
              </w:rPr>
              <w:t>2017 and 2018; 2,800,001 shares issued and outstanding at December 31, 2017 and 2018; liquidation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tcPr>
          <w:p>
            <w:pPr>
              <w:ind w:left="120"/>
              <w:spacing w:after="0" w:line="147" w:lineRule="exact"/>
              <w:rPr>
                <w:sz w:val="20"/>
                <w:szCs w:val="20"/>
                <w:color w:val="auto"/>
              </w:rPr>
            </w:pPr>
            <w:r>
              <w:rPr>
                <w:rFonts w:ascii="Arial" w:cs="Arial" w:eastAsia="Arial" w:hAnsi="Arial"/>
                <w:sz w:val="13"/>
                <w:szCs w:val="13"/>
                <w:color w:val="auto"/>
              </w:rPr>
              <w:t>value of $35,753 at December 31, 2018; no shares authorized, issued or outstanding, pro forma 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0" w:type="dxa"/>
            <w:vAlign w:val="bottom"/>
          </w:tcPr>
          <w:p>
            <w:pPr>
              <w:ind w:left="120"/>
              <w:spacing w:after="0" w:line="143" w:lineRule="exact"/>
              <w:rPr>
                <w:sz w:val="20"/>
                <w:szCs w:val="20"/>
                <w:color w:val="auto"/>
              </w:rPr>
            </w:pPr>
            <w:r>
              <w:rPr>
                <w:rFonts w:ascii="Arial" w:cs="Arial" w:eastAsia="Arial" w:hAnsi="Arial"/>
                <w:sz w:val="13"/>
                <w:szCs w:val="13"/>
                <w:color w:val="auto"/>
              </w:rPr>
              <w:t>December 31, 2018 (unaudited)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3"/>
                <w:szCs w:val="13"/>
                <w:color w:val="auto"/>
              </w:rPr>
              <w:t>41,820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41,820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Series B1 convertible preferred shares, £0.01 nominal value; 4,690,485 shares authorized at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December 31, 2017 and 2018; 3,947,198 shares issued and outstanding at December 31, 2017 and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2018; liquidation value of $57,460 at December 31, 2018; no shares authorized, issued or outstanding,</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0" w:type="dxa"/>
            <w:vAlign w:val="bottom"/>
            <w:shd w:val="clear" w:color="auto" w:fill="CCEEFF"/>
          </w:tcPr>
          <w:p>
            <w:pPr>
              <w:ind w:left="120"/>
              <w:spacing w:after="0" w:line="143" w:lineRule="exact"/>
              <w:rPr>
                <w:sz w:val="20"/>
                <w:szCs w:val="20"/>
                <w:color w:val="auto"/>
              </w:rPr>
            </w:pPr>
            <w:r>
              <w:rPr>
                <w:rFonts w:ascii="Arial" w:cs="Arial" w:eastAsia="Arial" w:hAnsi="Arial"/>
                <w:sz w:val="13"/>
                <w:szCs w:val="13"/>
                <w:color w:val="auto"/>
              </w:rPr>
              <w:t>pro forma as of December 31, 2018 (unaudited)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54,621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54,621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6200" w:type="dxa"/>
            <w:vAlign w:val="bottom"/>
          </w:tcPr>
          <w:p>
            <w:pPr>
              <w:spacing w:after="0"/>
              <w:rPr>
                <w:sz w:val="20"/>
                <w:szCs w:val="20"/>
                <w:color w:val="auto"/>
              </w:rPr>
            </w:pPr>
            <w:r>
              <w:rPr>
                <w:rFonts w:ascii="Arial" w:cs="Arial" w:eastAsia="Arial" w:hAnsi="Arial"/>
                <w:sz w:val="13"/>
                <w:szCs w:val="13"/>
                <w:color w:val="auto"/>
              </w:rPr>
              <w:t>Series B2 convertible preferred shares, £0.01 nominal value; no shares authorized at December 31, 2017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200" w:type="dxa"/>
            <w:vAlign w:val="bottom"/>
          </w:tcPr>
          <w:p>
            <w:pPr>
              <w:ind w:left="120"/>
              <w:spacing w:after="0" w:line="147" w:lineRule="exact"/>
              <w:rPr>
                <w:sz w:val="20"/>
                <w:szCs w:val="20"/>
                <w:color w:val="auto"/>
              </w:rPr>
            </w:pPr>
            <w:r>
              <w:rPr>
                <w:rFonts w:ascii="Arial" w:cs="Arial" w:eastAsia="Arial" w:hAnsi="Arial"/>
                <w:sz w:val="13"/>
                <w:szCs w:val="13"/>
                <w:color w:val="auto"/>
              </w:rPr>
              <w:t>and 1,403,633 shares authorized at December 31, 2018; no shares issued and outstanding at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tcPr>
          <w:p>
            <w:pPr>
              <w:ind w:left="120"/>
              <w:spacing w:after="0" w:line="147" w:lineRule="exact"/>
              <w:rPr>
                <w:sz w:val="20"/>
                <w:szCs w:val="20"/>
                <w:color w:val="auto"/>
              </w:rPr>
            </w:pPr>
            <w:r>
              <w:rPr>
                <w:rFonts w:ascii="Arial" w:cs="Arial" w:eastAsia="Arial" w:hAnsi="Arial"/>
                <w:sz w:val="13"/>
                <w:szCs w:val="13"/>
                <w:color w:val="auto"/>
              </w:rPr>
              <w:t>December 31, 2017 and 1,323,248 issued and outstanding at December 31, 2018; liquidation value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tcPr>
          <w:p>
            <w:pPr>
              <w:ind w:left="120"/>
              <w:spacing w:after="0" w:line="147" w:lineRule="exact"/>
              <w:rPr>
                <w:sz w:val="20"/>
                <w:szCs w:val="20"/>
                <w:color w:val="auto"/>
              </w:rPr>
            </w:pPr>
            <w:r>
              <w:rPr>
                <w:rFonts w:ascii="Arial" w:cs="Arial" w:eastAsia="Arial" w:hAnsi="Arial"/>
                <w:sz w:val="13"/>
                <w:szCs w:val="13"/>
                <w:color w:val="auto"/>
              </w:rPr>
              <w:t>$26,274 at December 31, 2018; no shares authorized, issued or outstanding, pro forma 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0" w:type="dxa"/>
            <w:vAlign w:val="bottom"/>
          </w:tcPr>
          <w:p>
            <w:pPr>
              <w:ind w:left="120"/>
              <w:spacing w:after="0" w:line="143" w:lineRule="exact"/>
              <w:rPr>
                <w:sz w:val="20"/>
                <w:szCs w:val="20"/>
                <w:color w:val="auto"/>
              </w:rPr>
            </w:pPr>
            <w:r>
              <w:rPr>
                <w:rFonts w:ascii="Arial" w:cs="Arial" w:eastAsia="Arial" w:hAnsi="Arial"/>
                <w:sz w:val="13"/>
                <w:szCs w:val="13"/>
                <w:color w:val="auto"/>
              </w:rPr>
              <w:t>December 31, 2018 (unaudited)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25,756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Shareholders' (deficit) equity:</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200" w:type="dxa"/>
            <w:vAlign w:val="bottom"/>
          </w:tcPr>
          <w:p>
            <w:pPr>
              <w:ind w:left="120"/>
              <w:spacing w:after="0"/>
              <w:rPr>
                <w:sz w:val="20"/>
                <w:szCs w:val="20"/>
                <w:color w:val="auto"/>
              </w:rPr>
            </w:pPr>
            <w:r>
              <w:rPr>
                <w:rFonts w:ascii="Arial" w:cs="Arial" w:eastAsia="Arial" w:hAnsi="Arial"/>
                <w:sz w:val="13"/>
                <w:szCs w:val="13"/>
                <w:color w:val="auto"/>
              </w:rPr>
              <w:t>Ordinary shares, £0.01 nominal value; 8,905,805 shares authorized at December 31, 2017 and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200" w:type="dxa"/>
            <w:vAlign w:val="bottom"/>
          </w:tcPr>
          <w:p>
            <w:pPr>
              <w:ind w:left="220"/>
              <w:spacing w:after="0" w:line="147" w:lineRule="exact"/>
              <w:rPr>
                <w:sz w:val="20"/>
                <w:szCs w:val="20"/>
                <w:color w:val="auto"/>
              </w:rPr>
            </w:pPr>
            <w:r>
              <w:rPr>
                <w:rFonts w:ascii="Arial" w:cs="Arial" w:eastAsia="Arial" w:hAnsi="Arial"/>
                <w:sz w:val="13"/>
                <w:szCs w:val="13"/>
                <w:color w:val="auto"/>
              </w:rPr>
              <w:t>10,813,450 shares authorized at December 31, 2018; 371,922 and 628,902 shares issued at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tcPr>
          <w:p>
            <w:pPr>
              <w:ind w:left="220"/>
              <w:spacing w:after="0" w:line="147" w:lineRule="exact"/>
              <w:rPr>
                <w:sz w:val="20"/>
                <w:szCs w:val="20"/>
                <w:color w:val="auto"/>
              </w:rPr>
            </w:pPr>
            <w:r>
              <w:rPr>
                <w:rFonts w:ascii="Arial" w:cs="Arial" w:eastAsia="Arial" w:hAnsi="Arial"/>
                <w:sz w:val="13"/>
                <w:szCs w:val="13"/>
                <w:color w:val="auto"/>
              </w:rPr>
              <w:t>December 31, 2017 and December 31, 2018, respectively; 258,228 and 570,156 shares outstanding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tcPr>
          <w:p>
            <w:pPr>
              <w:ind w:left="220"/>
              <w:spacing w:after="0" w:line="147" w:lineRule="exact"/>
              <w:rPr>
                <w:sz w:val="20"/>
                <w:szCs w:val="20"/>
                <w:color w:val="auto"/>
              </w:rPr>
            </w:pPr>
            <w:r>
              <w:rPr>
                <w:rFonts w:ascii="Arial" w:cs="Arial" w:eastAsia="Arial" w:hAnsi="Arial"/>
                <w:sz w:val="13"/>
                <w:szCs w:val="13"/>
                <w:color w:val="auto"/>
              </w:rPr>
              <w:t>at December 31, 2017 and December 31, 2018, respectively; 9,270,994 shares issued and 9,212,248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0" w:type="dxa"/>
            <w:vAlign w:val="bottom"/>
          </w:tcPr>
          <w:p>
            <w:pPr>
              <w:ind w:left="220"/>
              <w:spacing w:after="0" w:line="143" w:lineRule="exact"/>
              <w:rPr>
                <w:sz w:val="20"/>
                <w:szCs w:val="20"/>
                <w:color w:val="auto"/>
              </w:rPr>
            </w:pPr>
            <w:r>
              <w:rPr>
                <w:rFonts w:ascii="Arial" w:cs="Arial" w:eastAsia="Arial" w:hAnsi="Arial"/>
                <w:sz w:val="13"/>
                <w:szCs w:val="13"/>
                <w:color w:val="auto"/>
              </w:rPr>
              <w:t>shares outstanding, pro forma at December 31, 2018 (unaudited)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3"/>
                <w:szCs w:val="13"/>
                <w:color w:val="auto"/>
              </w:rPr>
              <w:t>118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839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1,859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128,757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0" w:type="dxa"/>
            <w:vAlign w:val="bottom"/>
          </w:tcPr>
          <w:p>
            <w:pPr>
              <w:ind w:left="120"/>
              <w:spacing w:after="0" w:line="147" w:lineRule="exact"/>
              <w:rPr>
                <w:sz w:val="20"/>
                <w:szCs w:val="20"/>
                <w:color w:val="auto"/>
              </w:rPr>
            </w:pPr>
            <w:r>
              <w:rPr>
                <w:rFonts w:ascii="Arial" w:cs="Arial" w:eastAsia="Arial" w:hAnsi="Arial"/>
                <w:sz w:val="13"/>
                <w:szCs w:val="13"/>
                <w:color w:val="auto"/>
              </w:rPr>
              <w:t>Accumulated other comprehensive income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3"/>
                <w:szCs w:val="13"/>
                <w:color w:val="auto"/>
              </w:rPr>
              <w:t>69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(1,751)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(1,751)</w:t>
            </w:r>
          </w:p>
        </w:tc>
        <w:tc>
          <w:tcPr>
            <w:tcW w:w="0" w:type="dxa"/>
            <w:vAlign w:val="bottom"/>
          </w:tcPr>
          <w:p>
            <w:pPr>
              <w:spacing w:after="0"/>
              <w:rPr>
                <w:sz w:val="1"/>
                <w:szCs w:val="1"/>
                <w:color w:val="auto"/>
              </w:rPr>
            </w:pPr>
          </w:p>
        </w:tc>
      </w:tr>
      <w:tr>
        <w:trPr>
          <w:trHeight w:val="147"/>
        </w:trPr>
        <w:tc>
          <w:tcPr>
            <w:tcW w:w="62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Accumulated deficit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(48,096)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(69,942)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3"/>
                <w:szCs w:val="13"/>
                <w:color w:val="auto"/>
              </w:rPr>
              <w:t>(69,942)</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380"/>
              <w:spacing w:after="0"/>
              <w:rPr>
                <w:sz w:val="20"/>
                <w:szCs w:val="20"/>
                <w:color w:val="auto"/>
              </w:rPr>
            </w:pPr>
            <w:r>
              <w:rPr>
                <w:rFonts w:ascii="Arial" w:cs="Arial" w:eastAsia="Arial" w:hAnsi="Arial"/>
                <w:sz w:val="13"/>
                <w:szCs w:val="13"/>
                <w:color w:val="auto"/>
              </w:rPr>
              <w:t>Total shareholders' (deficit) equity</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(47,184)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(69,826)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57,182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shd w:val="clear" w:color="auto" w:fill="CCEEFF"/>
          </w:tcPr>
          <w:p>
            <w:pPr>
              <w:ind w:left="380"/>
              <w:spacing w:after="0" w:line="139" w:lineRule="exact"/>
              <w:rPr>
                <w:sz w:val="20"/>
                <w:szCs w:val="20"/>
                <w:color w:val="auto"/>
              </w:rPr>
            </w:pPr>
            <w:r>
              <w:rPr>
                <w:rFonts w:ascii="Arial" w:cs="Arial" w:eastAsia="Arial" w:hAnsi="Arial"/>
                <w:sz w:val="13"/>
                <w:szCs w:val="13"/>
                <w:color w:val="auto"/>
              </w:rPr>
              <w:t>Total liabilities, convertible preferred shares and shareholders' (deficit) equity</w:t>
            </w:r>
          </w:p>
        </w:tc>
        <w:tc>
          <w:tcPr>
            <w:tcW w:w="1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74,001</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81,626</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81,633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ind w:right="-111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9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0300"/>
          </w:cols>
          <w:pgMar w:left="240" w:top="142" w:right="1359" w:bottom="1440" w:gutter="0" w:footer="0" w:header="0"/>
        </w:sectPr>
      </w:pPr>
    </w:p>
    <w:bookmarkStart w:id="254" w:name="page255"/>
    <w:bookmarkEnd w:id="2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079"/>
        <w:spacing w:after="0"/>
        <w:rPr>
          <w:sz w:val="20"/>
          <w:szCs w:val="20"/>
          <w:color w:val="auto"/>
        </w:rPr>
      </w:pPr>
      <w:r>
        <w:rPr>
          <w:rFonts w:ascii="Arial" w:cs="Arial" w:eastAsia="Arial" w:hAnsi="Arial"/>
          <w:sz w:val="16"/>
          <w:szCs w:val="16"/>
          <w:b w:val="1"/>
          <w:bCs w:val="1"/>
          <w:color w:val="auto"/>
        </w:rPr>
        <w:t>Bicycle Therapeutics Limited</w:t>
      </w:r>
    </w:p>
    <w:p>
      <w:pPr>
        <w:spacing w:after="0" w:line="183"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6680" w:type="dxa"/>
            <w:vAlign w:val="bottom"/>
          </w:tcPr>
          <w:p>
            <w:pPr>
              <w:ind w:left="258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6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5"/>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0"/>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w w:val="98"/>
              </w:rPr>
              <w:t>(as restated)</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Collaboration revenues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tcPr>
          <w:p>
            <w:pPr>
              <w:ind w:left="16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8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Total operating expenses</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18,273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28,882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80" w:type="dxa"/>
            <w:vAlign w:val="bottom"/>
          </w:tcPr>
          <w:p>
            <w:pPr>
              <w:spacing w:after="0" w:line="176" w:lineRule="exact"/>
              <w:rPr>
                <w:sz w:val="20"/>
                <w:szCs w:val="20"/>
                <w:color w:val="auto"/>
              </w:rPr>
            </w:pPr>
            <w:r>
              <w:rPr>
                <w:rFonts w:ascii="Arial" w:cs="Arial" w:eastAsia="Arial" w:hAnsi="Arial"/>
                <w:sz w:val="16"/>
                <w:szCs w:val="16"/>
                <w:color w:val="auto"/>
              </w:rPr>
              <w:t>Loss from operations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(16,213)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(21,746)</w:t>
            </w:r>
          </w:p>
        </w:tc>
        <w:tc>
          <w:tcPr>
            <w:tcW w:w="0" w:type="dxa"/>
            <w:vAlign w:val="bottom"/>
          </w:tcPr>
          <w:p>
            <w:pPr>
              <w:spacing w:after="0"/>
              <w:rPr>
                <w:sz w:val="1"/>
                <w:szCs w:val="1"/>
                <w:color w:val="auto"/>
              </w:rPr>
            </w:pPr>
          </w:p>
        </w:tc>
      </w:tr>
      <w:tr>
        <w:trPr>
          <w:trHeight w:val="176"/>
        </w:trPr>
        <w:tc>
          <w:tcPr>
            <w:tcW w:w="66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 income (expense):</w:t>
            </w:r>
          </w:p>
        </w:tc>
        <w:tc>
          <w:tcPr>
            <w:tcW w:w="1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tcPr>
          <w:p>
            <w:pPr>
              <w:ind w:left="160"/>
              <w:spacing w:after="0"/>
              <w:rPr>
                <w:sz w:val="20"/>
                <w:szCs w:val="20"/>
                <w:color w:val="auto"/>
              </w:rPr>
            </w:pPr>
            <w:r>
              <w:rPr>
                <w:rFonts w:ascii="Arial" w:cs="Arial" w:eastAsia="Arial" w:hAnsi="Arial"/>
                <w:sz w:val="16"/>
                <w:szCs w:val="16"/>
                <w:color w:val="auto"/>
              </w:rPr>
              <w:t>Interest and other income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expense</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320"/>
              <w:spacing w:after="0"/>
              <w:rPr>
                <w:sz w:val="20"/>
                <w:szCs w:val="20"/>
                <w:color w:val="auto"/>
              </w:rPr>
            </w:pPr>
            <w:r>
              <w:rPr>
                <w:rFonts w:ascii="Arial" w:cs="Arial" w:eastAsia="Arial" w:hAnsi="Arial"/>
                <w:sz w:val="16"/>
                <w:szCs w:val="16"/>
                <w:color w:val="auto"/>
              </w:rPr>
              <w:t>Total other expense, net</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(69)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loss before income tax provision</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(16,282)</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(22,242)</w:t>
            </w:r>
          </w:p>
        </w:tc>
        <w:tc>
          <w:tcPr>
            <w:tcW w:w="0" w:type="dxa"/>
            <w:vAlign w:val="bottom"/>
          </w:tcPr>
          <w:p>
            <w:pPr>
              <w:spacing w:after="0"/>
              <w:rPr>
                <w:sz w:val="1"/>
                <w:szCs w:val="1"/>
                <w:color w:val="auto"/>
              </w:rPr>
            </w:pPr>
          </w:p>
        </w:tc>
      </w:tr>
      <w:tr>
        <w:trPr>
          <w:trHeight w:val="367"/>
        </w:trPr>
        <w:tc>
          <w:tcPr>
            <w:tcW w:w="6680" w:type="dxa"/>
            <w:vAlign w:val="bottom"/>
          </w:tcPr>
          <w:p>
            <w:pPr>
              <w:ind w:left="160"/>
              <w:spacing w:after="0"/>
              <w:rPr>
                <w:sz w:val="20"/>
                <w:szCs w:val="20"/>
                <w:color w:val="auto"/>
              </w:rPr>
            </w:pPr>
            <w:r>
              <w:rPr>
                <w:rFonts w:ascii="Arial" w:cs="Arial" w:eastAsia="Arial" w:hAnsi="Arial"/>
                <w:sz w:val="16"/>
                <w:szCs w:val="16"/>
                <w:color w:val="auto"/>
              </w:rPr>
              <w:t>Benefit from income taxes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loss</w:t>
            </w:r>
          </w:p>
        </w:tc>
        <w:tc>
          <w:tcPr>
            <w:tcW w:w="2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(16,259)</w:t>
            </w:r>
          </w:p>
        </w:tc>
        <w:tc>
          <w:tcPr>
            <w:tcW w:w="2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(21,846)</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color w:val="auto"/>
              </w:rPr>
              <w:t>Net loss attributable to ordinary shareholders</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80" w:type="dxa"/>
            <w:vAlign w:val="bottom"/>
            <w:vMerge w:val="continue"/>
          </w:tcPr>
          <w:p>
            <w:pPr>
              <w:spacing w:after="0"/>
              <w:rPr>
                <w:sz w:val="13"/>
                <w:szCs w:val="13"/>
                <w:color w:val="auto"/>
              </w:rPr>
            </w:pPr>
          </w:p>
        </w:tc>
        <w:tc>
          <w:tcPr>
            <w:tcW w:w="280" w:type="dxa"/>
            <w:vAlign w:val="bottom"/>
            <w:gridSpan w:val="2"/>
          </w:tcPr>
          <w:p>
            <w:pPr>
              <w:jc w:val="right"/>
              <w:ind w:right="20"/>
              <w:spacing w:after="0" w:line="160"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(16,259)</w:t>
            </w:r>
          </w:p>
        </w:tc>
        <w:tc>
          <w:tcPr>
            <w:tcW w:w="200" w:type="dxa"/>
            <w:vAlign w:val="bottom"/>
            <w:gridSpan w:val="2"/>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line="160" w:lineRule="exact"/>
              <w:rPr>
                <w:sz w:val="20"/>
                <w:szCs w:val="20"/>
                <w:color w:val="auto"/>
              </w:rPr>
            </w:pPr>
            <w:r>
              <w:rPr>
                <w:rFonts w:ascii="Arial" w:cs="Arial" w:eastAsia="Arial" w:hAnsi="Arial"/>
                <w:sz w:val="16"/>
                <w:szCs w:val="16"/>
                <w:color w:val="auto"/>
              </w:rPr>
              <w:t>(21,846)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80" w:type="dxa"/>
            <w:vAlign w:val="bottom"/>
            <w:shd w:val="clear" w:color="auto" w:fill="CCEEFF"/>
          </w:tcPr>
          <w:p>
            <w:pPr>
              <w:spacing w:after="0" w:line="160" w:lineRule="exact"/>
              <w:rPr>
                <w:sz w:val="20"/>
                <w:szCs w:val="20"/>
                <w:color w:val="auto"/>
              </w:rPr>
            </w:pPr>
            <w:r>
              <w:rPr>
                <w:rFonts w:ascii="Arial" w:cs="Arial" w:eastAsia="Arial" w:hAnsi="Arial"/>
                <w:sz w:val="16"/>
                <w:szCs w:val="16"/>
                <w:color w:val="auto"/>
              </w:rPr>
              <w:t>Net loss per share attributable to ordinary shareholders, basic and diluted</w:t>
            </w:r>
          </w:p>
        </w:tc>
        <w:tc>
          <w:tcPr>
            <w:tcW w:w="280" w:type="dxa"/>
            <w:vAlign w:val="bottom"/>
            <w:gridSpan w:val="2"/>
            <w:shd w:val="clear" w:color="auto" w:fill="CCEEFF"/>
          </w:tcPr>
          <w:p>
            <w:pPr>
              <w:jc w:val="right"/>
              <w:ind w:right="20"/>
              <w:spacing w:after="0" w:line="160"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6"/>
                <w:szCs w:val="16"/>
                <w:color w:val="auto"/>
              </w:rPr>
              <w:t>(69.74)</w:t>
            </w:r>
          </w:p>
        </w:tc>
        <w:tc>
          <w:tcPr>
            <w:tcW w:w="20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color w:val="auto"/>
              </w:rPr>
              <w:t>Weighted average ordinary shares outstanding, basic and diluted</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color w:val="auto"/>
              </w:rPr>
              <w:t>233,134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color w:val="auto"/>
              </w:rPr>
              <w:t>307,123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8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Pro forma net loss per share attributable to ordinary shareholders, basic and diluted</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(unaudited)</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color w:val="auto"/>
              </w:rPr>
              <w:t>Pro forma weighted average number of ordinary shares outstanding, basic and diluted</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80" w:type="dxa"/>
            <w:vAlign w:val="bottom"/>
          </w:tcPr>
          <w:p>
            <w:pPr>
              <w:ind w:left="160"/>
              <w:spacing w:after="0" w:line="181" w:lineRule="exact"/>
              <w:rPr>
                <w:sz w:val="20"/>
                <w:szCs w:val="20"/>
                <w:color w:val="auto"/>
              </w:rPr>
            </w:pPr>
            <w:r>
              <w:rPr>
                <w:rFonts w:ascii="Arial" w:cs="Arial" w:eastAsia="Arial" w:hAnsi="Arial"/>
                <w:sz w:val="16"/>
                <w:szCs w:val="16"/>
                <w:color w:val="auto"/>
              </w:rPr>
              <w:t>(unaudited)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7,665,736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80" w:type="dxa"/>
            <w:vAlign w:val="bottom"/>
            <w:shd w:val="clear" w:color="auto" w:fill="CCEEFF"/>
          </w:tcPr>
          <w:p>
            <w:pPr>
              <w:spacing w:after="0" w:line="160" w:lineRule="exact"/>
              <w:rPr>
                <w:sz w:val="20"/>
                <w:szCs w:val="20"/>
                <w:color w:val="auto"/>
              </w:rPr>
            </w:pPr>
            <w:r>
              <w:rPr>
                <w:rFonts w:ascii="Arial" w:cs="Arial" w:eastAsia="Arial" w:hAnsi="Arial"/>
                <w:sz w:val="16"/>
                <w:szCs w:val="16"/>
                <w:color w:val="auto"/>
              </w:rPr>
              <w:t>Comprehensives Loss:</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rPr>
                <w:sz w:val="20"/>
                <w:szCs w:val="20"/>
                <w:color w:val="auto"/>
              </w:rPr>
            </w:pPr>
            <w:r>
              <w:rPr>
                <w:rFonts w:ascii="Arial" w:cs="Arial" w:eastAsia="Arial" w:hAnsi="Arial"/>
                <w:sz w:val="16"/>
                <w:szCs w:val="16"/>
                <w:color w:val="auto"/>
              </w:rPr>
              <w:t>Net loss</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(16,259)</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(21,846)</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tcPr>
          <w:p>
            <w:pPr>
              <w:ind w:left="320"/>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Total comprehensive loss</w:t>
            </w:r>
          </w:p>
        </w:tc>
        <w:tc>
          <w:tcPr>
            <w:tcW w:w="2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(13,904)</w:t>
            </w:r>
          </w:p>
        </w:tc>
        <w:tc>
          <w:tcPr>
            <w:tcW w:w="2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(23,666)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ind w:right="-111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9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0300"/>
          </w:cols>
          <w:pgMar w:left="240" w:top="142" w:right="1359" w:bottom="1440" w:gutter="0" w:footer="0" w:header="0"/>
        </w:sectPr>
      </w:pPr>
    </w:p>
    <w:bookmarkStart w:id="255" w:name="page256"/>
    <w:bookmarkEnd w:id="2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Bicycle Therapeutics Limited</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Consolidated Statements of Convertible Preferred Shares and Shareholders' (Deficit) Equity</w:t>
      </w:r>
    </w:p>
    <w:p>
      <w:pPr>
        <w:jc w:val="center"/>
        <w:ind w:right="80"/>
        <w:spacing w:after="0"/>
        <w:rPr>
          <w:sz w:val="20"/>
          <w:szCs w:val="20"/>
          <w:color w:val="auto"/>
        </w:rPr>
      </w:pPr>
      <w:r>
        <w:rPr>
          <w:rFonts w:ascii="Arial" w:cs="Arial" w:eastAsia="Arial" w:hAnsi="Arial"/>
          <w:sz w:val="16"/>
          <w:szCs w:val="16"/>
          <w:b w:val="1"/>
          <w:bCs w:val="1"/>
          <w:color w:val="auto"/>
        </w:rPr>
        <w:t>(In thousands, except share amounts)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Accumulated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9"/>
              </w:rPr>
              <w:t>Series A</w:t>
            </w:r>
          </w:p>
        </w:tc>
        <w:tc>
          <w:tcPr>
            <w:tcW w:w="60" w:type="dxa"/>
            <w:vAlign w:val="bottom"/>
          </w:tcPr>
          <w:p>
            <w:pPr>
              <w:spacing w:after="0"/>
              <w:rPr>
                <w:sz w:val="18"/>
                <w:szCs w:val="18"/>
                <w:color w:val="auto"/>
              </w:rPr>
            </w:pPr>
          </w:p>
        </w:tc>
        <w:tc>
          <w:tcPr>
            <w:tcW w:w="12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7"/>
              </w:rPr>
              <w:t>Series B1</w:t>
            </w:r>
          </w:p>
        </w:tc>
        <w:tc>
          <w:tcPr>
            <w:tcW w:w="40" w:type="dxa"/>
            <w:vAlign w:val="bottom"/>
          </w:tcPr>
          <w:p>
            <w:pPr>
              <w:spacing w:after="0"/>
              <w:rPr>
                <w:sz w:val="18"/>
                <w:szCs w:val="18"/>
                <w:color w:val="auto"/>
              </w:rPr>
            </w:pPr>
          </w:p>
        </w:tc>
        <w:tc>
          <w:tcPr>
            <w:tcW w:w="140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rPr>
              <w:t>Series B2</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left="35"/>
              <w:spacing w:after="0"/>
              <w:rPr>
                <w:sz w:val="20"/>
                <w:szCs w:val="20"/>
                <w:color w:val="auto"/>
              </w:rPr>
            </w:pPr>
            <w:r>
              <w:rPr>
                <w:rFonts w:ascii="Arial" w:cs="Arial" w:eastAsia="Arial" w:hAnsi="Arial"/>
                <w:sz w:val="13"/>
                <w:szCs w:val="13"/>
                <w:b w:val="1"/>
                <w:bCs w:val="1"/>
                <w:color w:val="auto"/>
                <w:w w:val="96"/>
              </w:rPr>
              <w:t>Total</w:t>
            </w: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gridSpan w:val="4"/>
          </w:tcPr>
          <w:p>
            <w:pPr>
              <w:jc w:val="center"/>
              <w:spacing w:after="0"/>
              <w:rPr>
                <w:sz w:val="20"/>
                <w:szCs w:val="20"/>
                <w:color w:val="auto"/>
              </w:rPr>
            </w:pPr>
            <w:r>
              <w:rPr>
                <w:rFonts w:ascii="Arial" w:cs="Arial" w:eastAsia="Arial" w:hAnsi="Arial"/>
                <w:sz w:val="13"/>
                <w:szCs w:val="13"/>
                <w:b w:val="1"/>
                <w:bCs w:val="1"/>
                <w:color w:val="auto"/>
              </w:rPr>
              <w:t>Convertible</w:t>
            </w:r>
          </w:p>
        </w:tc>
        <w:tc>
          <w:tcPr>
            <w:tcW w:w="60" w:type="dxa"/>
            <w:vAlign w:val="bottom"/>
          </w:tcPr>
          <w:p>
            <w:pPr>
              <w:spacing w:after="0"/>
              <w:rPr>
                <w:sz w:val="17"/>
                <w:szCs w:val="17"/>
                <w:color w:val="auto"/>
              </w:rPr>
            </w:pPr>
          </w:p>
        </w:tc>
        <w:tc>
          <w:tcPr>
            <w:tcW w:w="1280" w:type="dxa"/>
            <w:vAlign w:val="bottom"/>
            <w:gridSpan w:val="4"/>
          </w:tcPr>
          <w:p>
            <w:pPr>
              <w:jc w:val="center"/>
              <w:spacing w:after="0"/>
              <w:rPr>
                <w:sz w:val="20"/>
                <w:szCs w:val="20"/>
                <w:color w:val="auto"/>
              </w:rPr>
            </w:pPr>
            <w:r>
              <w:rPr>
                <w:rFonts w:ascii="Arial" w:cs="Arial" w:eastAsia="Arial" w:hAnsi="Arial"/>
                <w:sz w:val="13"/>
                <w:szCs w:val="13"/>
                <w:b w:val="1"/>
                <w:bCs w:val="1"/>
                <w:color w:val="auto"/>
              </w:rPr>
              <w:t>Convertible</w:t>
            </w:r>
          </w:p>
        </w:tc>
        <w:tc>
          <w:tcPr>
            <w:tcW w:w="40" w:type="dxa"/>
            <w:vAlign w:val="bottom"/>
          </w:tcPr>
          <w:p>
            <w:pPr>
              <w:spacing w:after="0"/>
              <w:rPr>
                <w:sz w:val="17"/>
                <w:szCs w:val="17"/>
                <w:color w:val="auto"/>
              </w:rPr>
            </w:pPr>
          </w:p>
        </w:tc>
        <w:tc>
          <w:tcPr>
            <w:tcW w:w="140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rPr>
              <w:t>Convertible</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Comprehensive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97"/>
              </w:rPr>
              <w:t>Shareholder</w:t>
            </w:r>
          </w:p>
        </w:tc>
      </w:tr>
      <w:tr>
        <w:trPr>
          <w:trHeight w:val="187"/>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Preferred Shares</w:t>
            </w:r>
          </w:p>
        </w:tc>
        <w:tc>
          <w:tcPr>
            <w:tcW w:w="60" w:type="dxa"/>
            <w:vAlign w:val="bottom"/>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Preferred Shares</w:t>
            </w:r>
          </w:p>
        </w:tc>
        <w:tc>
          <w:tcPr>
            <w:tcW w:w="40" w:type="dxa"/>
            <w:vAlign w:val="bottom"/>
          </w:tcPr>
          <w:p>
            <w:pPr>
              <w:spacing w:after="0"/>
              <w:rPr>
                <w:sz w:val="16"/>
                <w:szCs w:val="16"/>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Preferred Shares</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3"/>
                <w:szCs w:val="13"/>
                <w:b w:val="1"/>
                <w:bCs w:val="1"/>
                <w:color w:val="auto"/>
              </w:rPr>
              <w:t>Ordinary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Income</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7"/>
              </w:rPr>
              <w:t>Accumulated</w:t>
            </w:r>
          </w:p>
        </w:tc>
        <w:tc>
          <w:tcPr>
            <w:tcW w:w="800" w:type="dxa"/>
            <w:vAlign w:val="bottom"/>
          </w:tcPr>
          <w:p>
            <w:pPr>
              <w:jc w:val="center"/>
              <w:ind w:left="15"/>
              <w:spacing w:after="0"/>
              <w:rPr>
                <w:sz w:val="20"/>
                <w:szCs w:val="20"/>
                <w:color w:val="auto"/>
              </w:rPr>
            </w:pPr>
            <w:r>
              <w:rPr>
                <w:rFonts w:ascii="Arial" w:cs="Arial" w:eastAsia="Arial" w:hAnsi="Arial"/>
                <w:sz w:val="13"/>
                <w:szCs w:val="13"/>
                <w:b w:val="1"/>
                <w:bCs w:val="1"/>
                <w:color w:val="auto"/>
                <w:w w:val="99"/>
              </w:rPr>
              <w:t>(Deficit)</w:t>
            </w:r>
          </w:p>
        </w:tc>
      </w:tr>
      <w:tr>
        <w:trPr>
          <w:trHeight w:val="200"/>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7"/>
                <w:szCs w:val="17"/>
                <w:color w:val="auto"/>
              </w:rPr>
            </w:pP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6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7"/>
                <w:szCs w:val="17"/>
                <w:color w:val="auto"/>
              </w:rPr>
            </w:pPr>
          </w:p>
        </w:tc>
        <w:tc>
          <w:tcPr>
            <w:tcW w:w="620" w:type="dxa"/>
            <w:vAlign w:val="bottom"/>
          </w:tcPr>
          <w:p>
            <w:pPr>
              <w:jc w:val="right"/>
              <w:ind w:right="15"/>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(Loss)</w:t>
            </w:r>
          </w:p>
        </w:tc>
        <w:tc>
          <w:tcPr>
            <w:tcW w:w="9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800" w:type="dxa"/>
            <w:vAlign w:val="bottom"/>
          </w:tcPr>
          <w:p>
            <w:pPr>
              <w:jc w:val="center"/>
              <w:ind w:left="15"/>
              <w:spacing w:after="0"/>
              <w:rPr>
                <w:sz w:val="20"/>
                <w:szCs w:val="20"/>
                <w:color w:val="auto"/>
              </w:rPr>
            </w:pPr>
            <w:r>
              <w:rPr>
                <w:rFonts w:ascii="Arial" w:cs="Arial" w:eastAsia="Arial" w:hAnsi="Arial"/>
                <w:sz w:val="13"/>
                <w:szCs w:val="13"/>
                <w:b w:val="1"/>
                <w:bCs w:val="1"/>
                <w:color w:val="auto"/>
              </w:rPr>
              <w:t>Equity</w:t>
            </w:r>
          </w:p>
        </w:tc>
      </w:tr>
      <w:tr>
        <w:trPr>
          <w:trHeight w:val="135"/>
        </w:trPr>
        <w:tc>
          <w:tcPr>
            <w:tcW w:w="20" w:type="dxa"/>
            <w:vAlign w:val="bottom"/>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w:t>
            </w: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r>
      <w:tr>
        <w:trPr>
          <w:trHeight w:val="158"/>
        </w:trPr>
        <w:tc>
          <w:tcPr>
            <w:tcW w:w="20" w:type="dxa"/>
            <w:vAlign w:val="bottom"/>
          </w:tcPr>
          <w:p>
            <w:pPr>
              <w:spacing w:after="0"/>
              <w:rPr>
                <w:sz w:val="13"/>
                <w:szCs w:val="13"/>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December 31, 2016</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2,800,001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41,820</w:t>
            </w:r>
          </w:p>
        </w:tc>
        <w:tc>
          <w:tcPr>
            <w:tcW w:w="6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w w:val="92"/>
              </w:rPr>
              <w:t>— $</w:t>
            </w:r>
          </w:p>
        </w:tc>
        <w:tc>
          <w:tcPr>
            <w:tcW w:w="6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221,292</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w:t>
            </w: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(2,286)$</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(31,837)$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(33,79</w:t>
            </w:r>
          </w:p>
        </w:tc>
      </w:tr>
      <w:tr>
        <w:trPr>
          <w:trHeight w:val="143"/>
        </w:trPr>
        <w:tc>
          <w:tcPr>
            <w:tcW w:w="20" w:type="dxa"/>
            <w:vAlign w:val="bottom"/>
          </w:tcPr>
          <w:p>
            <w:pPr>
              <w:spacing w:after="0"/>
              <w:rPr>
                <w:sz w:val="12"/>
                <w:szCs w:val="12"/>
                <w:color w:val="auto"/>
              </w:rPr>
            </w:pPr>
          </w:p>
        </w:tc>
        <w:tc>
          <w:tcPr>
            <w:tcW w:w="1320" w:type="dxa"/>
            <w:vAlign w:val="bottom"/>
          </w:tcPr>
          <w:p>
            <w:pPr>
              <w:ind w:left="80"/>
              <w:spacing w:after="0" w:line="144" w:lineRule="exact"/>
              <w:rPr>
                <w:sz w:val="20"/>
                <w:szCs w:val="20"/>
                <w:color w:val="auto"/>
              </w:rPr>
            </w:pPr>
            <w:r>
              <w:rPr>
                <w:rFonts w:ascii="Arial" w:cs="Arial" w:eastAsia="Arial" w:hAnsi="Arial"/>
                <w:sz w:val="13"/>
                <w:szCs w:val="13"/>
                <w:color w:val="auto"/>
              </w:rPr>
              <w:t>Issuance of</w:t>
            </w: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convertible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preferred shares,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net of issuance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costs of $587 and</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fair value of</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warrants to</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subscribe for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convertible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preferred shares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of $3,254 (as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20" w:type="dxa"/>
            <w:vAlign w:val="bottom"/>
          </w:tcPr>
          <w:p>
            <w:pPr>
              <w:ind w:left="180"/>
              <w:spacing w:after="0" w:line="143" w:lineRule="exact"/>
              <w:rPr>
                <w:sz w:val="20"/>
                <w:szCs w:val="20"/>
                <w:color w:val="auto"/>
              </w:rPr>
            </w:pPr>
            <w:r>
              <w:rPr>
                <w:rFonts w:ascii="Arial" w:cs="Arial" w:eastAsia="Arial" w:hAnsi="Arial"/>
                <w:sz w:val="13"/>
                <w:szCs w:val="13"/>
                <w:color w:val="auto"/>
              </w:rPr>
              <w:t>restated)</w:t>
            </w: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3,947,198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54,621</w:t>
            </w:r>
          </w:p>
        </w:tc>
        <w:tc>
          <w:tcPr>
            <w:tcW w:w="40" w:type="dxa"/>
            <w:vAlign w:val="bottom"/>
          </w:tcPr>
          <w:p>
            <w:pPr>
              <w:spacing w:after="0"/>
              <w:rPr>
                <w:sz w:val="12"/>
                <w:szCs w:val="12"/>
                <w:color w:val="auto"/>
              </w:rPr>
            </w:pPr>
          </w:p>
        </w:tc>
        <w:tc>
          <w:tcPr>
            <w:tcW w:w="780" w:type="dxa"/>
            <w:vAlign w:val="bottom"/>
            <w:gridSpan w:val="2"/>
          </w:tcPr>
          <w:p>
            <w:pPr>
              <w:ind w:left="520"/>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Issuance of</w:t>
            </w: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180"/>
              <w:spacing w:after="0" w:line="147" w:lineRule="exact"/>
              <w:rPr>
                <w:sz w:val="20"/>
                <w:szCs w:val="20"/>
                <w:color w:val="auto"/>
              </w:rPr>
            </w:pPr>
            <w:r>
              <w:rPr>
                <w:rFonts w:ascii="Arial" w:cs="Arial" w:eastAsia="Arial" w:hAnsi="Arial"/>
                <w:sz w:val="13"/>
                <w:szCs w:val="13"/>
                <w:color w:val="auto"/>
              </w:rPr>
              <w:t>restricted share</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180"/>
              <w:spacing w:after="0" w:line="147" w:lineRule="exact"/>
              <w:rPr>
                <w:sz w:val="20"/>
                <w:szCs w:val="20"/>
                <w:color w:val="auto"/>
              </w:rPr>
            </w:pPr>
            <w:r>
              <w:rPr>
                <w:rFonts w:ascii="Arial" w:cs="Arial" w:eastAsia="Arial" w:hAnsi="Arial"/>
                <w:sz w:val="13"/>
                <w:szCs w:val="13"/>
                <w:color w:val="auto"/>
              </w:rPr>
              <w:t>awards (as</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20" w:type="dxa"/>
            <w:vAlign w:val="bottom"/>
            <w:shd w:val="clear" w:color="auto" w:fill="CCEEFF"/>
          </w:tcPr>
          <w:p>
            <w:pPr>
              <w:ind w:left="180"/>
              <w:spacing w:after="0" w:line="143" w:lineRule="exact"/>
              <w:rPr>
                <w:sz w:val="20"/>
                <w:szCs w:val="20"/>
                <w:color w:val="auto"/>
              </w:rPr>
            </w:pPr>
            <w:r>
              <w:rPr>
                <w:rFonts w:ascii="Arial" w:cs="Arial" w:eastAsia="Arial" w:hAnsi="Arial"/>
                <w:sz w:val="13"/>
                <w:szCs w:val="13"/>
                <w:color w:val="auto"/>
              </w:rPr>
              <w:t>restated)</w:t>
            </w:r>
          </w:p>
        </w:tc>
        <w:tc>
          <w:tcPr>
            <w:tcW w:w="7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ind w:left="520"/>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33,927</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114</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w:t>
            </w:r>
          </w:p>
        </w:tc>
      </w:tr>
      <w:tr>
        <w:trPr>
          <w:trHeight w:val="151"/>
        </w:trPr>
        <w:tc>
          <w:tcPr>
            <w:tcW w:w="20" w:type="dxa"/>
            <w:vAlign w:val="bottom"/>
          </w:tcPr>
          <w:p>
            <w:pPr>
              <w:spacing w:after="0"/>
              <w:rPr>
                <w:sz w:val="13"/>
                <w:szCs w:val="13"/>
                <w:color w:val="auto"/>
              </w:rPr>
            </w:pPr>
          </w:p>
        </w:tc>
        <w:tc>
          <w:tcPr>
            <w:tcW w:w="1320" w:type="dxa"/>
            <w:vAlign w:val="bottom"/>
          </w:tcPr>
          <w:p>
            <w:pPr>
              <w:ind w:left="80"/>
              <w:spacing w:after="0"/>
              <w:rPr>
                <w:sz w:val="20"/>
                <w:szCs w:val="20"/>
                <w:color w:val="auto"/>
              </w:rPr>
            </w:pPr>
            <w:r>
              <w:rPr>
                <w:rFonts w:ascii="Arial" w:cs="Arial" w:eastAsia="Arial" w:hAnsi="Arial"/>
                <w:sz w:val="13"/>
                <w:szCs w:val="13"/>
                <w:color w:val="auto"/>
              </w:rPr>
              <w:t>Issuance of ordinary</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shares upon</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exercise of share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20" w:type="dxa"/>
            <w:vAlign w:val="bottom"/>
          </w:tcPr>
          <w:p>
            <w:pPr>
              <w:ind w:left="180"/>
              <w:spacing w:after="0" w:line="143" w:lineRule="exact"/>
              <w:rPr>
                <w:sz w:val="20"/>
                <w:szCs w:val="20"/>
                <w:color w:val="auto"/>
              </w:rPr>
            </w:pPr>
            <w:r>
              <w:rPr>
                <w:rFonts w:ascii="Arial" w:cs="Arial" w:eastAsia="Arial" w:hAnsi="Arial"/>
                <w:sz w:val="13"/>
                <w:szCs w:val="13"/>
                <w:color w:val="auto"/>
              </w:rPr>
              <w:t>options</w:t>
            </w: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80" w:type="dxa"/>
            <w:vAlign w:val="bottom"/>
            <w:gridSpan w:val="2"/>
          </w:tcPr>
          <w:p>
            <w:pPr>
              <w:ind w:left="520"/>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3,009</w:t>
            </w: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Share-based</w:t>
            </w: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180"/>
              <w:spacing w:after="0" w:line="147" w:lineRule="exact"/>
              <w:rPr>
                <w:sz w:val="20"/>
                <w:szCs w:val="20"/>
                <w:color w:val="auto"/>
              </w:rPr>
            </w:pPr>
            <w:r>
              <w:rPr>
                <w:rFonts w:ascii="Arial" w:cs="Arial" w:eastAsia="Arial" w:hAnsi="Arial"/>
                <w:sz w:val="13"/>
                <w:szCs w:val="13"/>
                <w:color w:val="auto"/>
              </w:rPr>
              <w:t>compensation</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180"/>
              <w:spacing w:after="0" w:line="147" w:lineRule="exact"/>
              <w:rPr>
                <w:sz w:val="20"/>
                <w:szCs w:val="20"/>
                <w:color w:val="auto"/>
              </w:rPr>
            </w:pPr>
            <w:r>
              <w:rPr>
                <w:rFonts w:ascii="Arial" w:cs="Arial" w:eastAsia="Arial" w:hAnsi="Arial"/>
                <w:sz w:val="13"/>
                <w:szCs w:val="13"/>
                <w:color w:val="auto"/>
              </w:rPr>
              <w:t>expense (as</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20" w:type="dxa"/>
            <w:vAlign w:val="bottom"/>
            <w:shd w:val="clear" w:color="auto" w:fill="CCEEFF"/>
          </w:tcPr>
          <w:p>
            <w:pPr>
              <w:ind w:left="180"/>
              <w:spacing w:after="0" w:line="143" w:lineRule="exact"/>
              <w:rPr>
                <w:sz w:val="20"/>
                <w:szCs w:val="20"/>
                <w:color w:val="auto"/>
              </w:rPr>
            </w:pPr>
            <w:r>
              <w:rPr>
                <w:rFonts w:ascii="Arial" w:cs="Arial" w:eastAsia="Arial" w:hAnsi="Arial"/>
                <w:sz w:val="13"/>
                <w:szCs w:val="13"/>
                <w:color w:val="auto"/>
              </w:rPr>
              <w:t>restated)</w:t>
            </w:r>
          </w:p>
        </w:tc>
        <w:tc>
          <w:tcPr>
            <w:tcW w:w="7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ind w:left="520"/>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401</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40</w:t>
            </w:r>
          </w:p>
        </w:tc>
      </w:tr>
      <w:tr>
        <w:trPr>
          <w:trHeight w:val="151"/>
        </w:trPr>
        <w:tc>
          <w:tcPr>
            <w:tcW w:w="20" w:type="dxa"/>
            <w:vAlign w:val="bottom"/>
          </w:tcPr>
          <w:p>
            <w:pPr>
              <w:spacing w:after="0"/>
              <w:rPr>
                <w:sz w:val="13"/>
                <w:szCs w:val="13"/>
                <w:color w:val="auto"/>
              </w:rPr>
            </w:pPr>
          </w:p>
        </w:tc>
        <w:tc>
          <w:tcPr>
            <w:tcW w:w="1320" w:type="dxa"/>
            <w:vAlign w:val="bottom"/>
          </w:tcPr>
          <w:p>
            <w:pPr>
              <w:ind w:left="80"/>
              <w:spacing w:after="0"/>
              <w:rPr>
                <w:sz w:val="20"/>
                <w:szCs w:val="20"/>
                <w:color w:val="auto"/>
              </w:rPr>
            </w:pPr>
            <w:r>
              <w:rPr>
                <w:rFonts w:ascii="Arial" w:cs="Arial" w:eastAsia="Arial" w:hAnsi="Arial"/>
                <w:sz w:val="13"/>
                <w:szCs w:val="13"/>
                <w:color w:val="auto"/>
              </w:rPr>
              <w:t>Foreign currency</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translation</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180"/>
              <w:spacing w:after="0" w:line="147" w:lineRule="exact"/>
              <w:rPr>
                <w:sz w:val="20"/>
                <w:szCs w:val="20"/>
                <w:color w:val="auto"/>
              </w:rPr>
            </w:pPr>
            <w:r>
              <w:rPr>
                <w:rFonts w:ascii="Arial" w:cs="Arial" w:eastAsia="Arial" w:hAnsi="Arial"/>
                <w:sz w:val="13"/>
                <w:szCs w:val="13"/>
                <w:color w:val="auto"/>
              </w:rPr>
              <w:t>adjustment (as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20" w:type="dxa"/>
            <w:vAlign w:val="bottom"/>
          </w:tcPr>
          <w:p>
            <w:pPr>
              <w:ind w:left="180"/>
              <w:spacing w:after="0" w:line="143" w:lineRule="exact"/>
              <w:rPr>
                <w:sz w:val="20"/>
                <w:szCs w:val="20"/>
                <w:color w:val="auto"/>
              </w:rPr>
            </w:pPr>
            <w:r>
              <w:rPr>
                <w:rFonts w:ascii="Arial" w:cs="Arial" w:eastAsia="Arial" w:hAnsi="Arial"/>
                <w:sz w:val="13"/>
                <w:szCs w:val="13"/>
                <w:color w:val="auto"/>
              </w:rPr>
              <w:t>restated)</w:t>
            </w: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80" w:type="dxa"/>
            <w:vAlign w:val="bottom"/>
            <w:gridSpan w:val="2"/>
          </w:tcPr>
          <w:p>
            <w:pPr>
              <w:ind w:left="520"/>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tcPr>
          <w:p>
            <w:pPr>
              <w:jc w:val="right"/>
              <w:spacing w:after="0" w:line="143" w:lineRule="exact"/>
              <w:rPr>
                <w:sz w:val="20"/>
                <w:szCs w:val="20"/>
                <w:color w:val="auto"/>
              </w:rPr>
            </w:pPr>
            <w:r>
              <w:rPr>
                <w:rFonts w:ascii="Arial" w:cs="Arial" w:eastAsia="Arial" w:hAnsi="Arial"/>
                <w:sz w:val="13"/>
                <w:szCs w:val="13"/>
                <w:color w:val="auto"/>
              </w:rPr>
              <w:t>2,355</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3" w:lineRule="exact"/>
              <w:rPr>
                <w:sz w:val="20"/>
                <w:szCs w:val="20"/>
                <w:color w:val="auto"/>
              </w:rPr>
            </w:pPr>
            <w:r>
              <w:rPr>
                <w:rFonts w:ascii="Arial" w:cs="Arial" w:eastAsia="Arial" w:hAnsi="Arial"/>
                <w:sz w:val="13"/>
                <w:szCs w:val="13"/>
                <w:color w:val="auto"/>
              </w:rPr>
              <w:t>2,35</w:t>
            </w:r>
          </w:p>
        </w:tc>
      </w:tr>
      <w:tr>
        <w:trPr>
          <w:trHeight w:val="151"/>
        </w:trPr>
        <w:tc>
          <w:tcPr>
            <w:tcW w:w="20" w:type="dxa"/>
            <w:vAlign w:val="bottom"/>
          </w:tcPr>
          <w:p>
            <w:pPr>
              <w:spacing w:after="0"/>
              <w:rPr>
                <w:sz w:val="13"/>
                <w:szCs w:val="13"/>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loss (as</w:t>
            </w: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320" w:type="dxa"/>
            <w:vAlign w:val="bottom"/>
            <w:shd w:val="clear" w:color="auto" w:fill="CCEEFF"/>
          </w:tcPr>
          <w:p>
            <w:pPr>
              <w:ind w:left="180"/>
              <w:spacing w:after="0" w:line="143" w:lineRule="exact"/>
              <w:rPr>
                <w:sz w:val="20"/>
                <w:szCs w:val="20"/>
                <w:color w:val="auto"/>
              </w:rPr>
            </w:pPr>
            <w:r>
              <w:rPr>
                <w:rFonts w:ascii="Arial" w:cs="Arial" w:eastAsia="Arial" w:hAnsi="Arial"/>
                <w:sz w:val="13"/>
                <w:szCs w:val="13"/>
                <w:color w:val="auto"/>
              </w:rPr>
              <w:t>restated)</w:t>
            </w:r>
          </w:p>
        </w:tc>
        <w:tc>
          <w:tcPr>
            <w:tcW w:w="7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ind w:left="520"/>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(16,259)</w:t>
            </w: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(16,25</w:t>
            </w:r>
          </w:p>
        </w:tc>
      </w:tr>
      <w:tr>
        <w:trPr>
          <w:trHeight w:val="274"/>
        </w:trPr>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Balance at</w:t>
            </w:r>
          </w:p>
        </w:tc>
        <w:tc>
          <w:tcPr>
            <w:tcW w:w="6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80"/>
              <w:spacing w:after="0" w:line="147" w:lineRule="exact"/>
              <w:rPr>
                <w:sz w:val="20"/>
                <w:szCs w:val="20"/>
                <w:color w:val="auto"/>
              </w:rPr>
            </w:pPr>
            <w:r>
              <w:rPr>
                <w:rFonts w:ascii="Arial" w:cs="Arial" w:eastAsia="Arial" w:hAnsi="Arial"/>
                <w:sz w:val="13"/>
                <w:szCs w:val="13"/>
                <w:b w:val="1"/>
                <w:bCs w:val="1"/>
                <w:color w:val="auto"/>
              </w:rPr>
              <w:t>December 31, 2017</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1320" w:type="dxa"/>
            <w:vAlign w:val="bottom"/>
          </w:tcPr>
          <w:p>
            <w:pPr>
              <w:ind w:left="80"/>
              <w:spacing w:after="0"/>
              <w:rPr>
                <w:sz w:val="20"/>
                <w:szCs w:val="20"/>
                <w:color w:val="auto"/>
              </w:rPr>
            </w:pPr>
            <w:r>
              <w:rPr>
                <w:rFonts w:ascii="Arial" w:cs="Arial" w:eastAsia="Arial" w:hAnsi="Arial"/>
                <w:sz w:val="13"/>
                <w:szCs w:val="13"/>
                <w:b w:val="1"/>
                <w:bCs w:val="1"/>
                <w:color w:val="auto"/>
              </w:rPr>
              <w:t>(as restated)</w:t>
            </w:r>
          </w:p>
        </w:tc>
        <w:tc>
          <w:tcPr>
            <w:tcW w:w="660" w:type="dxa"/>
            <w:vAlign w:val="bottom"/>
          </w:tcPr>
          <w:p>
            <w:pPr>
              <w:jc w:val="right"/>
              <w:spacing w:after="0"/>
              <w:rPr>
                <w:sz w:val="20"/>
                <w:szCs w:val="20"/>
                <w:color w:val="auto"/>
              </w:rPr>
            </w:pPr>
            <w:r>
              <w:rPr>
                <w:rFonts w:ascii="Arial" w:cs="Arial" w:eastAsia="Arial" w:hAnsi="Arial"/>
                <w:sz w:val="13"/>
                <w:szCs w:val="13"/>
                <w:color w:val="auto"/>
              </w:rPr>
              <w:t>2,800,001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41,820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3,947,198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54,621</w:t>
            </w:r>
          </w:p>
        </w:tc>
        <w:tc>
          <w:tcPr>
            <w:tcW w:w="40" w:type="dxa"/>
            <w:vAlign w:val="bottom"/>
          </w:tcPr>
          <w:p>
            <w:pPr>
              <w:spacing w:after="0"/>
              <w:rPr>
                <w:sz w:val="13"/>
                <w:szCs w:val="13"/>
                <w:color w:val="auto"/>
              </w:rPr>
            </w:pP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258,228</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(48,096)</w:t>
            </w:r>
          </w:p>
        </w:tc>
        <w:tc>
          <w:tcPr>
            <w:tcW w:w="800" w:type="dxa"/>
            <w:vAlign w:val="bottom"/>
          </w:tcPr>
          <w:p>
            <w:pPr>
              <w:jc w:val="right"/>
              <w:spacing w:after="0"/>
              <w:rPr>
                <w:sz w:val="20"/>
                <w:szCs w:val="20"/>
                <w:color w:val="auto"/>
              </w:rPr>
            </w:pPr>
            <w:r>
              <w:rPr>
                <w:rFonts w:ascii="Arial" w:cs="Arial" w:eastAsia="Arial" w:hAnsi="Arial"/>
                <w:sz w:val="13"/>
                <w:szCs w:val="13"/>
                <w:color w:val="auto"/>
              </w:rPr>
              <w:t>(47,18</w:t>
            </w:r>
          </w:p>
        </w:tc>
      </w:tr>
      <w:tr>
        <w:trPr>
          <w:trHeight w:val="143"/>
        </w:trPr>
        <w:tc>
          <w:tcPr>
            <w:tcW w:w="20" w:type="dxa"/>
            <w:vAlign w:val="bottom"/>
          </w:tcPr>
          <w:p>
            <w:pPr>
              <w:spacing w:after="0"/>
              <w:rPr>
                <w:sz w:val="12"/>
                <w:szCs w:val="12"/>
                <w:color w:val="auto"/>
              </w:rPr>
            </w:pPr>
          </w:p>
        </w:tc>
        <w:tc>
          <w:tcPr>
            <w:tcW w:w="1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Issuance of</w:t>
            </w: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7" w:lineRule="exact"/>
              <w:rPr>
                <w:sz w:val="20"/>
                <w:szCs w:val="20"/>
                <w:color w:val="auto"/>
              </w:rPr>
            </w:pPr>
            <w:r>
              <w:rPr>
                <w:rFonts w:ascii="Arial" w:cs="Arial" w:eastAsia="Arial" w:hAnsi="Arial"/>
                <w:sz w:val="13"/>
                <w:szCs w:val="13"/>
                <w:color w:val="auto"/>
              </w:rPr>
              <w:t>convertible preferred</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7" w:lineRule="exact"/>
              <w:rPr>
                <w:sz w:val="20"/>
                <w:szCs w:val="20"/>
                <w:color w:val="auto"/>
              </w:rPr>
            </w:pPr>
            <w:r>
              <w:rPr>
                <w:rFonts w:ascii="Arial" w:cs="Arial" w:eastAsia="Arial" w:hAnsi="Arial"/>
                <w:sz w:val="13"/>
                <w:szCs w:val="13"/>
                <w:color w:val="auto"/>
              </w:rPr>
              <w:t>shares, net of</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7" w:lineRule="exact"/>
              <w:rPr>
                <w:sz w:val="20"/>
                <w:szCs w:val="20"/>
                <w:color w:val="auto"/>
              </w:rPr>
            </w:pPr>
            <w:r>
              <w:rPr>
                <w:rFonts w:ascii="Arial" w:cs="Arial" w:eastAsia="Arial" w:hAnsi="Arial"/>
                <w:sz w:val="13"/>
                <w:szCs w:val="13"/>
                <w:color w:val="auto"/>
              </w:rPr>
              <w:t>issuance costs of</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3" w:lineRule="exact"/>
              <w:rPr>
                <w:sz w:val="20"/>
                <w:szCs w:val="20"/>
                <w:color w:val="auto"/>
              </w:rPr>
            </w:pPr>
            <w:r>
              <w:rPr>
                <w:rFonts w:ascii="Arial" w:cs="Arial" w:eastAsia="Arial" w:hAnsi="Arial"/>
                <w:sz w:val="13"/>
                <w:szCs w:val="13"/>
                <w:color w:val="auto"/>
              </w:rPr>
              <w:t>$327</w:t>
            </w:r>
          </w:p>
        </w:tc>
        <w:tc>
          <w:tcPr>
            <w:tcW w:w="7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w w:val="96"/>
              </w:rPr>
              <w:t>1,323,248</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25,756</w:t>
            </w: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2"/>
                <w:szCs w:val="12"/>
                <w:color w:val="auto"/>
              </w:rPr>
            </w:pPr>
          </w:p>
        </w:tc>
      </w:tr>
      <w:tr>
        <w:trPr>
          <w:trHeight w:val="151"/>
        </w:trPr>
        <w:tc>
          <w:tcPr>
            <w:tcW w:w="1340" w:type="dxa"/>
            <w:vAlign w:val="bottom"/>
            <w:gridSpan w:val="2"/>
          </w:tcPr>
          <w:p>
            <w:pPr>
              <w:spacing w:after="0"/>
              <w:rPr>
                <w:sz w:val="20"/>
                <w:szCs w:val="20"/>
                <w:color w:val="auto"/>
              </w:rPr>
            </w:pPr>
            <w:r>
              <w:rPr>
                <w:rFonts w:ascii="Arial" w:cs="Arial" w:eastAsia="Arial" w:hAnsi="Arial"/>
                <w:sz w:val="13"/>
                <w:szCs w:val="13"/>
                <w:color w:val="auto"/>
              </w:rPr>
              <w:t>Issuance of restricted</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320" w:type="dxa"/>
            <w:vAlign w:val="bottom"/>
          </w:tcPr>
          <w:p>
            <w:pPr>
              <w:ind w:left="80"/>
              <w:spacing w:after="0" w:line="143" w:lineRule="exact"/>
              <w:rPr>
                <w:sz w:val="20"/>
                <w:szCs w:val="20"/>
                <w:color w:val="auto"/>
              </w:rPr>
            </w:pPr>
            <w:r>
              <w:rPr>
                <w:rFonts w:ascii="Arial" w:cs="Arial" w:eastAsia="Arial" w:hAnsi="Arial"/>
                <w:sz w:val="13"/>
                <w:szCs w:val="13"/>
                <w:color w:val="auto"/>
              </w:rPr>
              <w:t>share awards</w:t>
            </w: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80" w:type="dxa"/>
            <w:vAlign w:val="bottom"/>
            <w:gridSpan w:val="2"/>
          </w:tcPr>
          <w:p>
            <w:pPr>
              <w:ind w:left="520"/>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66,933</w:t>
            </w: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223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3" w:lineRule="exact"/>
              <w:rPr>
                <w:sz w:val="20"/>
                <w:szCs w:val="20"/>
                <w:color w:val="auto"/>
              </w:rPr>
            </w:pPr>
            <w:r>
              <w:rPr>
                <w:rFonts w:ascii="Arial" w:cs="Arial" w:eastAsia="Arial" w:hAnsi="Arial"/>
                <w:sz w:val="13"/>
                <w:szCs w:val="13"/>
                <w:color w:val="auto"/>
              </w:rPr>
              <w:t>22</w:t>
            </w:r>
          </w:p>
        </w:tc>
      </w:tr>
      <w:tr>
        <w:trPr>
          <w:trHeight w:val="151"/>
        </w:trPr>
        <w:tc>
          <w:tcPr>
            <w:tcW w:w="20" w:type="dxa"/>
            <w:vAlign w:val="bottom"/>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Issuance of ordinary</w:t>
            </w: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7" w:lineRule="exact"/>
              <w:rPr>
                <w:sz w:val="20"/>
                <w:szCs w:val="20"/>
                <w:color w:val="auto"/>
              </w:rPr>
            </w:pPr>
            <w:r>
              <w:rPr>
                <w:rFonts w:ascii="Arial" w:cs="Arial" w:eastAsia="Arial" w:hAnsi="Arial"/>
                <w:sz w:val="13"/>
                <w:szCs w:val="13"/>
                <w:color w:val="auto"/>
              </w:rPr>
              <w:t>shares in exchange</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7" w:lineRule="exact"/>
              <w:rPr>
                <w:sz w:val="20"/>
                <w:szCs w:val="20"/>
                <w:color w:val="auto"/>
              </w:rPr>
            </w:pPr>
            <w:r>
              <w:rPr>
                <w:rFonts w:ascii="Arial" w:cs="Arial" w:eastAsia="Arial" w:hAnsi="Arial"/>
                <w:sz w:val="13"/>
                <w:szCs w:val="13"/>
                <w:color w:val="auto"/>
              </w:rPr>
              <w:t>for surrender of</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7" w:lineRule="exact"/>
              <w:rPr>
                <w:sz w:val="20"/>
                <w:szCs w:val="20"/>
                <w:color w:val="auto"/>
              </w:rPr>
            </w:pPr>
            <w:r>
              <w:rPr>
                <w:rFonts w:ascii="Arial" w:cs="Arial" w:eastAsia="Arial" w:hAnsi="Arial"/>
                <w:sz w:val="13"/>
                <w:szCs w:val="13"/>
                <w:color w:val="auto"/>
              </w:rPr>
              <w:t>vested share</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3" w:lineRule="exact"/>
              <w:rPr>
                <w:sz w:val="20"/>
                <w:szCs w:val="20"/>
                <w:color w:val="auto"/>
              </w:rPr>
            </w:pPr>
            <w:r>
              <w:rPr>
                <w:rFonts w:ascii="Arial" w:cs="Arial" w:eastAsia="Arial" w:hAnsi="Arial"/>
                <w:sz w:val="13"/>
                <w:szCs w:val="13"/>
                <w:color w:val="auto"/>
              </w:rPr>
              <w:t>options</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238,443</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(3)</w:t>
            </w:r>
          </w:p>
        </w:tc>
        <w:tc>
          <w:tcPr>
            <w:tcW w:w="80" w:type="dxa"/>
            <w:vAlign w:val="bottom"/>
            <w:tcBorders>
              <w:right w:val="single" w:sz="8" w:color="CCEEFF"/>
            </w:tcBorders>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2"/>
                <w:szCs w:val="12"/>
                <w:color w:val="auto"/>
              </w:rPr>
            </w:pPr>
          </w:p>
        </w:tc>
      </w:tr>
      <w:tr>
        <w:trPr>
          <w:trHeight w:val="151"/>
        </w:trPr>
        <w:tc>
          <w:tcPr>
            <w:tcW w:w="1340" w:type="dxa"/>
            <w:vAlign w:val="bottom"/>
            <w:gridSpan w:val="2"/>
          </w:tcPr>
          <w:p>
            <w:pPr>
              <w:spacing w:after="0"/>
              <w:rPr>
                <w:sz w:val="20"/>
                <w:szCs w:val="20"/>
                <w:color w:val="auto"/>
              </w:rPr>
            </w:pPr>
            <w:r>
              <w:rPr>
                <w:rFonts w:ascii="Arial" w:cs="Arial" w:eastAsia="Arial" w:hAnsi="Arial"/>
                <w:sz w:val="13"/>
                <w:szCs w:val="13"/>
                <w:color w:val="auto"/>
              </w:rPr>
              <w:t>Issuance of ordinary</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80"/>
              <w:spacing w:after="0" w:line="147" w:lineRule="exact"/>
              <w:rPr>
                <w:sz w:val="20"/>
                <w:szCs w:val="20"/>
                <w:color w:val="auto"/>
              </w:rPr>
            </w:pPr>
            <w:r>
              <w:rPr>
                <w:rFonts w:ascii="Arial" w:cs="Arial" w:eastAsia="Arial" w:hAnsi="Arial"/>
                <w:sz w:val="13"/>
                <w:szCs w:val="13"/>
                <w:color w:val="auto"/>
              </w:rPr>
              <w:t>shares upon</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80"/>
              <w:spacing w:after="0" w:line="147" w:lineRule="exact"/>
              <w:rPr>
                <w:sz w:val="20"/>
                <w:szCs w:val="20"/>
                <w:color w:val="auto"/>
              </w:rPr>
            </w:pPr>
            <w:r>
              <w:rPr>
                <w:rFonts w:ascii="Arial" w:cs="Arial" w:eastAsia="Arial" w:hAnsi="Arial"/>
                <w:sz w:val="13"/>
                <w:szCs w:val="13"/>
                <w:color w:val="auto"/>
              </w:rPr>
              <w:t>exercise of share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20" w:type="dxa"/>
            <w:vAlign w:val="bottom"/>
          </w:tcPr>
          <w:p>
            <w:pPr>
              <w:ind w:left="80"/>
              <w:spacing w:after="0" w:line="143" w:lineRule="exact"/>
              <w:rPr>
                <w:sz w:val="20"/>
                <w:szCs w:val="20"/>
                <w:color w:val="auto"/>
              </w:rPr>
            </w:pPr>
            <w:r>
              <w:rPr>
                <w:rFonts w:ascii="Arial" w:cs="Arial" w:eastAsia="Arial" w:hAnsi="Arial"/>
                <w:sz w:val="13"/>
                <w:szCs w:val="13"/>
                <w:color w:val="auto"/>
              </w:rPr>
              <w:t>options</w:t>
            </w: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80" w:type="dxa"/>
            <w:vAlign w:val="bottom"/>
            <w:gridSpan w:val="2"/>
          </w:tcPr>
          <w:p>
            <w:pPr>
              <w:ind w:left="520"/>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6,552</w:t>
            </w: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Share-based</w:t>
            </w: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7" w:lineRule="exact"/>
              <w:rPr>
                <w:sz w:val="20"/>
                <w:szCs w:val="20"/>
                <w:color w:val="auto"/>
              </w:rPr>
            </w:pPr>
            <w:r>
              <w:rPr>
                <w:rFonts w:ascii="Arial" w:cs="Arial" w:eastAsia="Arial" w:hAnsi="Arial"/>
                <w:sz w:val="13"/>
                <w:szCs w:val="13"/>
                <w:color w:val="auto"/>
              </w:rPr>
              <w:t>compensation</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3" w:lineRule="exact"/>
              <w:rPr>
                <w:sz w:val="20"/>
                <w:szCs w:val="20"/>
                <w:color w:val="auto"/>
              </w:rPr>
            </w:pPr>
            <w:r>
              <w:rPr>
                <w:rFonts w:ascii="Arial" w:cs="Arial" w:eastAsia="Arial" w:hAnsi="Arial"/>
                <w:sz w:val="13"/>
                <w:szCs w:val="13"/>
                <w:color w:val="auto"/>
              </w:rPr>
              <w:t>expense</w:t>
            </w:r>
          </w:p>
        </w:tc>
        <w:tc>
          <w:tcPr>
            <w:tcW w:w="7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ind w:left="520"/>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800</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80</w:t>
            </w:r>
          </w:p>
        </w:tc>
      </w:tr>
      <w:tr>
        <w:trPr>
          <w:trHeight w:val="151"/>
        </w:trPr>
        <w:tc>
          <w:tcPr>
            <w:tcW w:w="1340" w:type="dxa"/>
            <w:vAlign w:val="bottom"/>
            <w:gridSpan w:val="2"/>
          </w:tcPr>
          <w:p>
            <w:pPr>
              <w:spacing w:after="0"/>
              <w:rPr>
                <w:sz w:val="20"/>
                <w:szCs w:val="20"/>
                <w:color w:val="auto"/>
              </w:rPr>
            </w:pPr>
            <w:r>
              <w:rPr>
                <w:rFonts w:ascii="Arial" w:cs="Arial" w:eastAsia="Arial" w:hAnsi="Arial"/>
                <w:sz w:val="13"/>
                <w:szCs w:val="13"/>
                <w:color w:val="auto"/>
              </w:rPr>
              <w:t>Foreign currency</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80"/>
              <w:spacing w:after="0" w:line="147" w:lineRule="exact"/>
              <w:rPr>
                <w:sz w:val="20"/>
                <w:szCs w:val="20"/>
                <w:color w:val="auto"/>
              </w:rPr>
            </w:pPr>
            <w:r>
              <w:rPr>
                <w:rFonts w:ascii="Arial" w:cs="Arial" w:eastAsia="Arial" w:hAnsi="Arial"/>
                <w:sz w:val="13"/>
                <w:szCs w:val="13"/>
                <w:color w:val="auto"/>
              </w:rPr>
              <w:t>translation</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20" w:type="dxa"/>
            <w:vAlign w:val="bottom"/>
          </w:tcPr>
          <w:p>
            <w:pPr>
              <w:ind w:left="80"/>
              <w:spacing w:after="0" w:line="143" w:lineRule="exact"/>
              <w:rPr>
                <w:sz w:val="20"/>
                <w:szCs w:val="20"/>
                <w:color w:val="auto"/>
              </w:rPr>
            </w:pPr>
            <w:r>
              <w:rPr>
                <w:rFonts w:ascii="Arial" w:cs="Arial" w:eastAsia="Arial" w:hAnsi="Arial"/>
                <w:sz w:val="13"/>
                <w:szCs w:val="13"/>
                <w:color w:val="auto"/>
              </w:rPr>
              <w:t>adjustment</w:t>
            </w: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80" w:type="dxa"/>
            <w:vAlign w:val="bottom"/>
            <w:gridSpan w:val="2"/>
          </w:tcPr>
          <w:p>
            <w:pPr>
              <w:ind w:left="520"/>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(1,820)</w:t>
            </w: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3" w:lineRule="exact"/>
              <w:rPr>
                <w:sz w:val="20"/>
                <w:szCs w:val="20"/>
                <w:color w:val="auto"/>
              </w:rPr>
            </w:pPr>
            <w:r>
              <w:rPr>
                <w:rFonts w:ascii="Arial" w:cs="Arial" w:eastAsia="Arial" w:hAnsi="Arial"/>
                <w:sz w:val="13"/>
                <w:szCs w:val="13"/>
                <w:color w:val="auto"/>
              </w:rPr>
              <w:t>(1,82</w:t>
            </w: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Net loss</w:t>
            </w:r>
          </w:p>
        </w:tc>
        <w:tc>
          <w:tcPr>
            <w:tcW w:w="7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ind w:left="520"/>
              <w:spacing w:after="0" w:line="147"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120"/>
              <w:spacing w:after="0" w:line="147"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(21,846)</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(21,84</w:t>
            </w:r>
          </w:p>
        </w:tc>
      </w:tr>
      <w:tr>
        <w:trPr>
          <w:trHeight w:val="127"/>
        </w:trPr>
        <w:tc>
          <w:tcPr>
            <w:tcW w:w="1340" w:type="dxa"/>
            <w:vAlign w:val="bottom"/>
            <w:gridSpan w:val="2"/>
          </w:tcPr>
          <w:p>
            <w:pPr>
              <w:spacing w:after="0" w:line="128" w:lineRule="exact"/>
              <w:rPr>
                <w:sz w:val="20"/>
                <w:szCs w:val="20"/>
                <w:color w:val="auto"/>
              </w:rPr>
            </w:pPr>
            <w:r>
              <w:rPr>
                <w:rFonts w:ascii="Arial" w:cs="Arial" w:eastAsia="Arial" w:hAnsi="Arial"/>
                <w:sz w:val="13"/>
                <w:szCs w:val="13"/>
                <w:b w:val="1"/>
                <w:bCs w:val="1"/>
                <w:color w:val="auto"/>
              </w:rPr>
              <w:t>Balance at</w:t>
            </w: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158"/>
        </w:trPr>
        <w:tc>
          <w:tcPr>
            <w:tcW w:w="20" w:type="dxa"/>
            <w:vAlign w:val="bottom"/>
          </w:tcPr>
          <w:p>
            <w:pPr>
              <w:spacing w:after="0"/>
              <w:rPr>
                <w:sz w:val="13"/>
                <w:szCs w:val="13"/>
                <w:color w:val="auto"/>
              </w:rPr>
            </w:pPr>
          </w:p>
        </w:tc>
        <w:tc>
          <w:tcPr>
            <w:tcW w:w="1320" w:type="dxa"/>
            <w:vAlign w:val="bottom"/>
          </w:tcPr>
          <w:p>
            <w:pPr>
              <w:ind w:left="80"/>
              <w:spacing w:after="0"/>
              <w:rPr>
                <w:sz w:val="20"/>
                <w:szCs w:val="20"/>
                <w:color w:val="auto"/>
              </w:rPr>
            </w:pPr>
            <w:r>
              <w:rPr>
                <w:rFonts w:ascii="Arial" w:cs="Arial" w:eastAsia="Arial" w:hAnsi="Arial"/>
                <w:sz w:val="13"/>
                <w:szCs w:val="13"/>
                <w:b w:val="1"/>
                <w:bCs w:val="1"/>
                <w:color w:val="auto"/>
              </w:rPr>
              <w:t>December 31, 2018</w:t>
            </w:r>
          </w:p>
        </w:tc>
        <w:tc>
          <w:tcPr>
            <w:tcW w:w="660" w:type="dxa"/>
            <w:vAlign w:val="bottom"/>
          </w:tcPr>
          <w:p>
            <w:pPr>
              <w:jc w:val="right"/>
              <w:spacing w:after="0"/>
              <w:rPr>
                <w:sz w:val="20"/>
                <w:szCs w:val="20"/>
                <w:color w:val="auto"/>
              </w:rPr>
            </w:pPr>
            <w:r>
              <w:rPr>
                <w:rFonts w:ascii="Arial" w:cs="Arial" w:eastAsia="Arial" w:hAnsi="Arial"/>
                <w:sz w:val="13"/>
                <w:szCs w:val="13"/>
                <w:color w:val="auto"/>
              </w:rPr>
              <w:t>2,800,001</w:t>
            </w: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41,820</w:t>
            </w:r>
          </w:p>
        </w:tc>
        <w:tc>
          <w:tcPr>
            <w:tcW w:w="840" w:type="dxa"/>
            <w:vAlign w:val="bottom"/>
            <w:gridSpan w:val="4"/>
          </w:tcPr>
          <w:p>
            <w:pPr>
              <w:jc w:val="right"/>
              <w:ind w:right="20"/>
              <w:spacing w:after="0"/>
              <w:rPr>
                <w:sz w:val="20"/>
                <w:szCs w:val="20"/>
                <w:color w:val="auto"/>
              </w:rPr>
            </w:pPr>
            <w:r>
              <w:rPr>
                <w:rFonts w:ascii="Arial" w:cs="Arial" w:eastAsia="Arial" w:hAnsi="Arial"/>
                <w:sz w:val="13"/>
                <w:szCs w:val="13"/>
                <w:color w:val="auto"/>
              </w:rPr>
              <w:t>3,947,198 $</w:t>
            </w:r>
          </w:p>
        </w:tc>
        <w:tc>
          <w:tcPr>
            <w:tcW w:w="500" w:type="dxa"/>
            <w:vAlign w:val="bottom"/>
          </w:tcPr>
          <w:p>
            <w:pPr>
              <w:jc w:val="right"/>
              <w:spacing w:after="0"/>
              <w:rPr>
                <w:sz w:val="20"/>
                <w:szCs w:val="20"/>
                <w:color w:val="auto"/>
              </w:rPr>
            </w:pPr>
            <w:r>
              <w:rPr>
                <w:rFonts w:ascii="Arial" w:cs="Arial" w:eastAsia="Arial" w:hAnsi="Arial"/>
                <w:sz w:val="13"/>
                <w:szCs w:val="13"/>
                <w:color w:val="auto"/>
              </w:rPr>
              <w:t>54,621</w:t>
            </w:r>
          </w:p>
        </w:tc>
        <w:tc>
          <w:tcPr>
            <w:tcW w:w="820" w:type="dxa"/>
            <w:vAlign w:val="bottom"/>
            <w:gridSpan w:val="3"/>
          </w:tcPr>
          <w:p>
            <w:pPr>
              <w:ind w:left="120"/>
              <w:spacing w:after="0"/>
              <w:rPr>
                <w:sz w:val="20"/>
                <w:szCs w:val="20"/>
                <w:color w:val="auto"/>
              </w:rPr>
            </w:pPr>
            <w:r>
              <w:rPr>
                <w:rFonts w:ascii="Arial" w:cs="Arial" w:eastAsia="Arial" w:hAnsi="Arial"/>
                <w:sz w:val="13"/>
                <w:szCs w:val="13"/>
                <w:color w:val="auto"/>
                <w:w w:val="96"/>
              </w:rPr>
              <w:t>1,323,248 $</w:t>
            </w:r>
          </w:p>
        </w:tc>
        <w:tc>
          <w:tcPr>
            <w:tcW w:w="500" w:type="dxa"/>
            <w:vAlign w:val="bottom"/>
          </w:tcPr>
          <w:p>
            <w:pPr>
              <w:jc w:val="right"/>
              <w:spacing w:after="0"/>
              <w:rPr>
                <w:sz w:val="20"/>
                <w:szCs w:val="20"/>
                <w:color w:val="auto"/>
              </w:rPr>
            </w:pPr>
            <w:r>
              <w:rPr>
                <w:rFonts w:ascii="Arial" w:cs="Arial" w:eastAsia="Arial" w:hAnsi="Arial"/>
                <w:sz w:val="13"/>
                <w:szCs w:val="13"/>
                <w:color w:val="auto"/>
              </w:rPr>
              <w:t>25,756</w:t>
            </w: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570,156</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1,859</w:t>
            </w: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(1,751)$</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(69,942)$</w:t>
            </w:r>
          </w:p>
        </w:tc>
        <w:tc>
          <w:tcPr>
            <w:tcW w:w="800" w:type="dxa"/>
            <w:vAlign w:val="bottom"/>
          </w:tcPr>
          <w:p>
            <w:pPr>
              <w:jc w:val="right"/>
              <w:spacing w:after="0"/>
              <w:rPr>
                <w:sz w:val="20"/>
                <w:szCs w:val="20"/>
                <w:color w:val="auto"/>
              </w:rPr>
            </w:pPr>
            <w:r>
              <w:rPr>
                <w:rFonts w:ascii="Arial" w:cs="Arial" w:eastAsia="Arial" w:hAnsi="Arial"/>
                <w:sz w:val="13"/>
                <w:szCs w:val="13"/>
                <w:color w:val="auto"/>
              </w:rPr>
              <w:t>(69,82</w:t>
            </w:r>
          </w:p>
        </w:tc>
      </w:tr>
      <w:tr>
        <w:trPr>
          <w:trHeight w:val="143"/>
        </w:trPr>
        <w:tc>
          <w:tcPr>
            <w:tcW w:w="20" w:type="dxa"/>
            <w:vAlign w:val="bottom"/>
          </w:tcPr>
          <w:p>
            <w:pPr>
              <w:spacing w:after="0"/>
              <w:rPr>
                <w:sz w:val="12"/>
                <w:szCs w:val="12"/>
                <w:color w:val="auto"/>
              </w:rPr>
            </w:pPr>
          </w:p>
        </w:tc>
        <w:tc>
          <w:tcPr>
            <w:tcW w:w="1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Conversion of</w:t>
            </w: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7" w:lineRule="exact"/>
              <w:rPr>
                <w:sz w:val="20"/>
                <w:szCs w:val="20"/>
                <w:color w:val="auto"/>
              </w:rPr>
            </w:pPr>
            <w:r>
              <w:rPr>
                <w:rFonts w:ascii="Arial" w:cs="Arial" w:eastAsia="Arial" w:hAnsi="Arial"/>
                <w:sz w:val="13"/>
                <w:szCs w:val="13"/>
                <w:color w:val="auto"/>
              </w:rPr>
              <w:t>convertible preferred</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7" w:lineRule="exact"/>
              <w:rPr>
                <w:sz w:val="20"/>
                <w:szCs w:val="20"/>
                <w:color w:val="auto"/>
              </w:rPr>
            </w:pPr>
            <w:r>
              <w:rPr>
                <w:rFonts w:ascii="Arial" w:cs="Arial" w:eastAsia="Arial" w:hAnsi="Arial"/>
                <w:sz w:val="13"/>
                <w:szCs w:val="13"/>
                <w:color w:val="auto"/>
              </w:rPr>
              <w:t>shares to ordinary</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3" w:lineRule="exact"/>
              <w:rPr>
                <w:sz w:val="20"/>
                <w:szCs w:val="20"/>
                <w:color w:val="auto"/>
              </w:rPr>
            </w:pPr>
            <w:r>
              <w:rPr>
                <w:rFonts w:ascii="Arial" w:cs="Arial" w:eastAsia="Arial" w:hAnsi="Arial"/>
                <w:sz w:val="13"/>
                <w:szCs w:val="13"/>
                <w:color w:val="auto"/>
              </w:rPr>
              <w:t>shares (unaudited)</w:t>
            </w:r>
          </w:p>
        </w:tc>
        <w:tc>
          <w:tcPr>
            <w:tcW w:w="7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(2,800,001)</w:t>
            </w:r>
          </w:p>
        </w:tc>
        <w:tc>
          <w:tcPr>
            <w:tcW w:w="80" w:type="dxa"/>
            <w:vAlign w:val="bottom"/>
            <w:shd w:val="clear" w:color="auto" w:fill="CCEEFF"/>
          </w:tcPr>
          <w:p>
            <w:pPr>
              <w:spacing w:after="0"/>
              <w:rPr>
                <w:sz w:val="12"/>
                <w:szCs w:val="12"/>
                <w:color w:val="auto"/>
              </w:rPr>
            </w:pPr>
          </w:p>
        </w:tc>
        <w:tc>
          <w:tcPr>
            <w:tcW w:w="1260" w:type="dxa"/>
            <w:vAlign w:val="bottom"/>
            <w:gridSpan w:val="4"/>
            <w:shd w:val="clear" w:color="auto" w:fill="CCEEFF"/>
          </w:tcPr>
          <w:p>
            <w:pPr>
              <w:jc w:val="right"/>
              <w:spacing w:after="0" w:line="143" w:lineRule="exact"/>
              <w:rPr>
                <w:sz w:val="20"/>
                <w:szCs w:val="20"/>
                <w:color w:val="auto"/>
              </w:rPr>
            </w:pPr>
            <w:r>
              <w:rPr>
                <w:rFonts w:ascii="Arial" w:cs="Arial" w:eastAsia="Arial" w:hAnsi="Arial"/>
                <w:sz w:val="13"/>
                <w:szCs w:val="13"/>
                <w:color w:val="auto"/>
              </w:rPr>
              <w:t>(41,820) (3,947,198)</w:t>
            </w:r>
          </w:p>
        </w:tc>
        <w:tc>
          <w:tcPr>
            <w:tcW w:w="8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4"/>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(54,621) (1,323,248)</w:t>
            </w:r>
          </w:p>
        </w:tc>
        <w:tc>
          <w:tcPr>
            <w:tcW w:w="620" w:type="dxa"/>
            <w:vAlign w:val="bottom"/>
            <w:tcBorders>
              <w:right w:val="single" w:sz="8" w:color="auto"/>
            </w:tcBorders>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(25,756)</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8,070,447</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122,094</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tcBorders>
              <w:right w:val="single" w:sz="8" w:color="CCEEFF"/>
            </w:tcBorders>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122,19</w:t>
            </w:r>
          </w:p>
        </w:tc>
      </w:tr>
      <w:tr>
        <w:trPr>
          <w:trHeight w:val="151"/>
        </w:trPr>
        <w:tc>
          <w:tcPr>
            <w:tcW w:w="1340" w:type="dxa"/>
            <w:vAlign w:val="bottom"/>
            <w:gridSpan w:val="2"/>
          </w:tcPr>
          <w:p>
            <w:pPr>
              <w:spacing w:after="0"/>
              <w:rPr>
                <w:sz w:val="20"/>
                <w:szCs w:val="20"/>
                <w:color w:val="auto"/>
              </w:rPr>
            </w:pPr>
            <w:r>
              <w:rPr>
                <w:rFonts w:ascii="Arial" w:cs="Arial" w:eastAsia="Arial" w:hAnsi="Arial"/>
                <w:sz w:val="13"/>
                <w:szCs w:val="13"/>
                <w:color w:val="auto"/>
              </w:rPr>
              <w:t>Conversion of warrant</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1320" w:type="dxa"/>
            <w:vAlign w:val="bottom"/>
          </w:tcPr>
          <w:p>
            <w:pPr>
              <w:ind w:left="80"/>
              <w:spacing w:after="0" w:line="147" w:lineRule="exact"/>
              <w:rPr>
                <w:sz w:val="20"/>
                <w:szCs w:val="20"/>
                <w:color w:val="auto"/>
              </w:rPr>
            </w:pPr>
            <w:r>
              <w:rPr>
                <w:rFonts w:ascii="Arial" w:cs="Arial" w:eastAsia="Arial" w:hAnsi="Arial"/>
                <w:sz w:val="13"/>
                <w:szCs w:val="13"/>
                <w:color w:val="auto"/>
              </w:rPr>
              <w:t>liability to equity</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20" w:type="dxa"/>
            <w:vAlign w:val="bottom"/>
          </w:tcPr>
          <w:p>
            <w:pPr>
              <w:ind w:left="80"/>
              <w:spacing w:after="0" w:line="143" w:lineRule="exact"/>
              <w:rPr>
                <w:sz w:val="20"/>
                <w:szCs w:val="20"/>
                <w:color w:val="auto"/>
              </w:rPr>
            </w:pPr>
            <w:r>
              <w:rPr>
                <w:rFonts w:ascii="Arial" w:cs="Arial" w:eastAsia="Arial" w:hAnsi="Arial"/>
                <w:sz w:val="13"/>
                <w:szCs w:val="13"/>
                <w:color w:val="auto"/>
              </w:rPr>
              <w:t>(unaudited)</w:t>
            </w: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80" w:type="dxa"/>
            <w:vAlign w:val="bottom"/>
            <w:gridSpan w:val="2"/>
          </w:tcPr>
          <w:p>
            <w:pPr>
              <w:ind w:left="520"/>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571,645</w:t>
            </w: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4,804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3" w:lineRule="exact"/>
              <w:rPr>
                <w:sz w:val="20"/>
                <w:szCs w:val="20"/>
                <w:color w:val="auto"/>
              </w:rPr>
            </w:pPr>
            <w:r>
              <w:rPr>
                <w:rFonts w:ascii="Arial" w:cs="Arial" w:eastAsia="Arial" w:hAnsi="Arial"/>
                <w:sz w:val="13"/>
                <w:szCs w:val="13"/>
                <w:color w:val="auto"/>
              </w:rPr>
              <w:t>4,81</w:t>
            </w:r>
          </w:p>
        </w:tc>
      </w:tr>
      <w:tr>
        <w:trPr>
          <w:trHeight w:val="127"/>
        </w:trPr>
        <w:tc>
          <w:tcPr>
            <w:tcW w:w="20" w:type="dxa"/>
            <w:vAlign w:val="bottom"/>
          </w:tcPr>
          <w:p>
            <w:pPr>
              <w:spacing w:after="0"/>
              <w:rPr>
                <w:sz w:val="11"/>
                <w:szCs w:val="11"/>
                <w:color w:val="auto"/>
              </w:rPr>
            </w:pPr>
          </w:p>
        </w:tc>
        <w:tc>
          <w:tcPr>
            <w:tcW w:w="1320" w:type="dxa"/>
            <w:vAlign w:val="bottom"/>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Pro forma balance at</w:t>
            </w: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1320" w:type="dxa"/>
            <w:vAlign w:val="bottom"/>
            <w:shd w:val="clear" w:color="auto" w:fill="CCEEFF"/>
          </w:tcPr>
          <w:p>
            <w:pPr>
              <w:ind w:left="80"/>
              <w:spacing w:after="0" w:line="147" w:lineRule="exact"/>
              <w:rPr>
                <w:sz w:val="20"/>
                <w:szCs w:val="20"/>
                <w:color w:val="auto"/>
              </w:rPr>
            </w:pPr>
            <w:r>
              <w:rPr>
                <w:rFonts w:ascii="Arial" w:cs="Arial" w:eastAsia="Arial" w:hAnsi="Arial"/>
                <w:sz w:val="13"/>
                <w:szCs w:val="13"/>
                <w:b w:val="1"/>
                <w:bCs w:val="1"/>
                <w:color w:val="auto"/>
              </w:rPr>
              <w:t>December 31, 2018</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(unaudited)</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w w:val="92"/>
              </w:rPr>
              <w:t>— $</w:t>
            </w:r>
          </w:p>
        </w:tc>
        <w:tc>
          <w:tcPr>
            <w:tcW w:w="6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9,212,248</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128,757</w:t>
            </w: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(1,751)$</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(69,942)$</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57,18</w:t>
            </w: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9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9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520"/>
          </w:cols>
          <w:pgMar w:left="240" w:top="142" w:right="1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184"/>
        </w:trPr>
        <w:tc>
          <w:tcPr>
            <w:tcW w:w="748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8"/>
        </w:trPr>
        <w:tc>
          <w:tcPr>
            <w:tcW w:w="1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240" w:type="dxa"/>
            <w:vAlign w:val="bottom"/>
          </w:tcPr>
          <w:p>
            <w:pPr>
              <w:jc w:val="center"/>
              <w:ind w:left="2601"/>
              <w:spacing w:after="0"/>
              <w:rPr>
                <w:sz w:val="20"/>
                <w:szCs w:val="20"/>
                <w:color w:val="auto"/>
              </w:rPr>
            </w:pPr>
            <w:r>
              <w:rPr>
                <w:rFonts w:ascii="Arial" w:cs="Arial" w:eastAsia="Arial" w:hAnsi="Arial"/>
                <w:sz w:val="16"/>
                <w:szCs w:val="16"/>
                <w:b w:val="1"/>
                <w:bCs w:val="1"/>
                <w:color w:val="auto"/>
                <w:w w:val="99"/>
              </w:rPr>
              <w:t>Bicycle Therapeutics Limited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40" w:type="dxa"/>
            <w:vAlign w:val="bottom"/>
          </w:tcPr>
          <w:p>
            <w:pPr>
              <w:jc w:val="center"/>
              <w:ind w:left="2581"/>
              <w:spacing w:after="0"/>
              <w:rPr>
                <w:sz w:val="20"/>
                <w:szCs w:val="20"/>
                <w:color w:val="auto"/>
              </w:rPr>
            </w:pPr>
            <w:r>
              <w:rPr>
                <w:rFonts w:ascii="Arial" w:cs="Arial" w:eastAsia="Arial" w:hAnsi="Arial"/>
                <w:sz w:val="16"/>
                <w:szCs w:val="16"/>
                <w:b w:val="1"/>
                <w:bCs w:val="1"/>
                <w:color w:val="auto"/>
                <w:w w:val="99"/>
              </w:rPr>
              <w:t>Consolidated Statements of Cash Flows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40" w:type="dxa"/>
            <w:vAlign w:val="bottom"/>
          </w:tcPr>
          <w:p>
            <w:pPr>
              <w:jc w:val="center"/>
              <w:ind w:left="2581"/>
              <w:spacing w:after="0"/>
              <w:rPr>
                <w:sz w:val="20"/>
                <w:szCs w:val="20"/>
                <w:color w:val="auto"/>
              </w:rPr>
            </w:pPr>
            <w:r>
              <w:rPr>
                <w:rFonts w:ascii="Arial" w:cs="Arial" w:eastAsia="Arial" w:hAnsi="Arial"/>
                <w:sz w:val="16"/>
                <w:szCs w:val="16"/>
                <w:b w:val="1"/>
                <w:bCs w:val="1"/>
                <w:color w:val="auto"/>
                <w:w w:val="99"/>
              </w:rPr>
              <w:t>(In thousands)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Year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Year Ended</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8"/>
              </w:rPr>
              <w:t>(as restated)</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80" w:type="dxa"/>
            <w:vAlign w:val="bottom"/>
            <w:gridSpan w:val="3"/>
          </w:tcPr>
          <w:p>
            <w:pPr>
              <w:ind w:left="1140"/>
              <w:spacing w:after="0"/>
              <w:rPr>
                <w:sz w:val="20"/>
                <w:szCs w:val="20"/>
                <w:color w:val="auto"/>
              </w:rPr>
            </w:pPr>
            <w:r>
              <w:rPr>
                <w:rFonts w:ascii="Arial" w:cs="Arial" w:eastAsia="Arial" w:hAnsi="Arial"/>
                <w:sz w:val="16"/>
                <w:szCs w:val="16"/>
                <w:color w:val="auto"/>
              </w:rPr>
              <w:t>Net loss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(16,259)</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(21,846)</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4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40" w:type="dxa"/>
            <w:vAlign w:val="bottom"/>
          </w:tcPr>
          <w:p>
            <w:pPr>
              <w:ind w:left="40"/>
              <w:spacing w:after="0"/>
              <w:rPr>
                <w:sz w:val="20"/>
                <w:szCs w:val="20"/>
                <w:color w:val="auto"/>
              </w:rPr>
            </w:pPr>
            <w:r>
              <w:rPr>
                <w:rFonts w:ascii="Arial" w:cs="Arial" w:eastAsia="Arial" w:hAnsi="Arial"/>
                <w:sz w:val="16"/>
                <w:szCs w:val="16"/>
                <w:color w:val="auto"/>
              </w:rPr>
              <w:t>Non-cash research and development expense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fair value of warrant liability</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4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40" w:type="dxa"/>
            <w:vAlign w:val="bottom"/>
          </w:tcPr>
          <w:p>
            <w:pPr>
              <w:ind w:left="200"/>
              <w:spacing w:after="0"/>
              <w:rPr>
                <w:sz w:val="20"/>
                <w:szCs w:val="20"/>
                <w:color w:val="auto"/>
              </w:rPr>
            </w:pPr>
            <w:r>
              <w:rPr>
                <w:rFonts w:ascii="Arial" w:cs="Arial" w:eastAsia="Arial" w:hAnsi="Arial"/>
                <w:sz w:val="16"/>
                <w:szCs w:val="16"/>
                <w:color w:val="auto"/>
              </w:rPr>
              <w:t>Research and development incentives receivable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(1,407)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(3,586)</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(1,329)</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4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(1,039)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4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2,557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(3,947)</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40" w:type="dxa"/>
            <w:vAlign w:val="bottom"/>
          </w:tcPr>
          <w:p>
            <w:pPr>
              <w:ind w:left="20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shd w:val="clear" w:color="auto" w:fill="CCEEFF"/>
          </w:tcPr>
          <w:p>
            <w:pPr>
              <w:ind w:left="340"/>
              <w:spacing w:after="0" w:line="176" w:lineRule="exact"/>
              <w:rPr>
                <w:sz w:val="20"/>
                <w:szCs w:val="20"/>
                <w:color w:val="auto"/>
              </w:rPr>
            </w:pPr>
            <w:r>
              <w:rPr>
                <w:rFonts w:ascii="Arial" w:cs="Arial" w:eastAsia="Arial" w:hAnsi="Arial"/>
                <w:sz w:val="16"/>
                <w:szCs w:val="16"/>
                <w:color w:val="auto"/>
              </w:rPr>
              <w:t>Net cash used in operating activities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(1,415)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(26,078)</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34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Cash used in investing activities: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(1,113)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40" w:type="dxa"/>
            <w:vAlign w:val="bottom"/>
            <w:vMerge w:val="restart"/>
          </w:tcPr>
          <w:p>
            <w:pPr>
              <w:ind w:left="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(1,113)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3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80" w:type="dxa"/>
            <w:vAlign w:val="bottom"/>
            <w:gridSpan w:val="3"/>
          </w:tcPr>
          <w:p>
            <w:pPr>
              <w:ind w:left="1140"/>
              <w:spacing w:after="0"/>
              <w:rPr>
                <w:sz w:val="20"/>
                <w:szCs w:val="20"/>
                <w:color w:val="auto"/>
              </w:rPr>
            </w:pPr>
            <w:r>
              <w:rPr>
                <w:rFonts w:ascii="Arial" w:cs="Arial" w:eastAsia="Arial" w:hAnsi="Arial"/>
                <w:sz w:val="16"/>
                <w:szCs w:val="16"/>
                <w:color w:val="auto"/>
              </w:rPr>
              <w:t>Proceeds from issuance of series B1 convertible preferred shares, net of issuance costs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57,875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issuance of series B2 convertible preferred shares, net of issuance costs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480" w:type="dxa"/>
            <w:vAlign w:val="bottom"/>
            <w:gridSpan w:val="3"/>
          </w:tcPr>
          <w:p>
            <w:pPr>
              <w:ind w:left="1140"/>
              <w:spacing w:after="0"/>
              <w:rPr>
                <w:sz w:val="20"/>
                <w:szCs w:val="20"/>
                <w:color w:val="auto"/>
              </w:rPr>
            </w:pPr>
            <w:r>
              <w:rPr>
                <w:rFonts w:ascii="Arial" w:cs="Arial" w:eastAsia="Arial" w:hAnsi="Arial"/>
                <w:sz w:val="16"/>
                <w:szCs w:val="16"/>
                <w:color w:val="auto"/>
              </w:rPr>
              <w:t>Proceeds from the sale of ordinary shares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480" w:type="dxa"/>
            <w:vAlign w:val="bottom"/>
            <w:gridSpan w:val="3"/>
          </w:tcPr>
          <w:p>
            <w:pPr>
              <w:ind w:left="1140"/>
              <w:spacing w:after="0" w:line="181" w:lineRule="exact"/>
              <w:rPr>
                <w:sz w:val="20"/>
                <w:szCs w:val="20"/>
                <w:color w:val="auto"/>
              </w:rPr>
            </w:pPr>
            <w:r>
              <w:rPr>
                <w:rFonts w:ascii="Arial" w:cs="Arial" w:eastAsia="Arial" w:hAnsi="Arial"/>
                <w:sz w:val="16"/>
                <w:szCs w:val="16"/>
                <w:color w:val="auto"/>
              </w:rPr>
              <w:t>Payments of initial public offering costs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40" w:type="dxa"/>
            <w:vAlign w:val="bottom"/>
            <w:shd w:val="clear" w:color="auto" w:fill="CCEEFF"/>
          </w:tcPr>
          <w:p>
            <w:pPr>
              <w:ind w:left="40"/>
              <w:spacing w:after="0" w:line="176" w:lineRule="exact"/>
              <w:rPr>
                <w:sz w:val="20"/>
                <w:szCs w:val="20"/>
                <w:color w:val="auto"/>
              </w:rPr>
            </w:pPr>
            <w:r>
              <w:rPr>
                <w:rFonts w:ascii="Arial" w:cs="Arial" w:eastAsia="Arial" w:hAnsi="Arial"/>
                <w:sz w:val="16"/>
                <w:szCs w:val="16"/>
                <w:color w:val="auto"/>
              </w:rPr>
              <w:t>Net cash provided by financing activities</w:t>
            </w:r>
          </w:p>
        </w:tc>
        <w:tc>
          <w:tcPr>
            <w:tcW w:w="18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57,876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25,430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34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Effect of exchange rate changes on cash</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2,913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increase (decrease) in cash</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58,261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183"/>
        </w:trPr>
        <w:tc>
          <w:tcPr>
            <w:tcW w:w="7480" w:type="dxa"/>
            <w:vAlign w:val="bottom"/>
            <w:gridSpan w:val="3"/>
          </w:tcPr>
          <w:p>
            <w:pPr>
              <w:ind w:left="1140"/>
              <w:spacing w:after="0"/>
              <w:rPr>
                <w:sz w:val="20"/>
                <w:szCs w:val="20"/>
                <w:color w:val="auto"/>
              </w:rPr>
            </w:pPr>
            <w:r>
              <w:rPr>
                <w:rFonts w:ascii="Arial" w:cs="Arial" w:eastAsia="Arial" w:hAnsi="Arial"/>
                <w:sz w:val="16"/>
                <w:szCs w:val="16"/>
                <w:color w:val="auto"/>
              </w:rPr>
              <w:t>Cash at beginning of year</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67,663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3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Cash at end of year</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67,663</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63,380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ind w:left="11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4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income taxes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80" w:type="dxa"/>
            <w:vAlign w:val="bottom"/>
            <w:gridSpan w:val="3"/>
          </w:tcPr>
          <w:p>
            <w:pPr>
              <w:ind w:left="1140"/>
              <w:spacing w:after="0"/>
              <w:rPr>
                <w:sz w:val="20"/>
                <w:szCs w:val="20"/>
                <w:color w:val="auto"/>
              </w:rPr>
            </w:pPr>
            <w:r>
              <w:rPr>
                <w:rFonts w:ascii="Arial" w:cs="Arial" w:eastAsia="Arial" w:hAnsi="Arial"/>
                <w:sz w:val="16"/>
                <w:szCs w:val="16"/>
                <w:color w:val="auto"/>
              </w:rPr>
              <w:t>Advance billings on deferred revenue included in accounts receivable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5,045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B2 convertible preferred financing costs accrued but not paid</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80" w:type="dxa"/>
            <w:vAlign w:val="bottom"/>
            <w:gridSpan w:val="3"/>
          </w:tcPr>
          <w:p>
            <w:pPr>
              <w:ind w:left="1140"/>
              <w:spacing w:after="0"/>
              <w:rPr>
                <w:sz w:val="20"/>
                <w:szCs w:val="20"/>
                <w:color w:val="auto"/>
              </w:rPr>
            </w:pPr>
            <w:r>
              <w:rPr>
                <w:rFonts w:ascii="Arial" w:cs="Arial" w:eastAsia="Arial" w:hAnsi="Arial"/>
                <w:sz w:val="16"/>
                <w:szCs w:val="16"/>
                <w:color w:val="auto"/>
              </w:rPr>
              <w:t>Deferred initial public offering costs accrued but not paid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ind w:right="-111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9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0300"/>
          </w:cols>
          <w:pgMar w:left="240" w:top="114" w:right="1359" w:bottom="1440" w:gutter="0" w:footer="0" w:header="0"/>
        </w:sectPr>
      </w:pPr>
    </w:p>
    <w:bookmarkStart w:id="257" w:name="page258"/>
    <w:bookmarkEnd w:id="2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Bicycle Therapeutics Limited</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the business and basis of presentation</w:t>
      </w:r>
    </w:p>
    <w:p>
      <w:pPr>
        <w:spacing w:after="0" w:line="215" w:lineRule="exact"/>
        <w:rPr>
          <w:sz w:val="20"/>
          <w:szCs w:val="20"/>
          <w:color w:val="auto"/>
        </w:rPr>
      </w:pPr>
    </w:p>
    <w:p>
      <w:pPr>
        <w:ind w:firstLine="442"/>
        <w:spacing w:after="0" w:line="258" w:lineRule="auto"/>
        <w:rPr>
          <w:sz w:val="20"/>
          <w:szCs w:val="20"/>
          <w:color w:val="auto"/>
        </w:rPr>
      </w:pPr>
      <w:r>
        <w:rPr>
          <w:rFonts w:ascii="Arial" w:cs="Arial" w:eastAsia="Arial" w:hAnsi="Arial"/>
          <w:sz w:val="15"/>
          <w:szCs w:val="15"/>
          <w:color w:val="auto"/>
        </w:rPr>
        <w:t xml:space="preserve">Bicycle Therapeutics Limited (collectively with its subsidiaries, the "Company") is a clinical-stage biopharmaceutical company developing a novel class of medicines, which the Company refers to as </w:t>
      </w:r>
      <w:r>
        <w:rPr>
          <w:rFonts w:ascii="Arial" w:cs="Arial" w:eastAsia="Arial" w:hAnsi="Arial"/>
          <w:sz w:val="15"/>
          <w:szCs w:val="15"/>
          <w:i w:val="1"/>
          <w:iCs w:val="1"/>
          <w:color w:val="auto"/>
        </w:rPr>
        <w:t>Bicycles</w:t>
      </w:r>
      <w:r>
        <w:rPr>
          <w:rFonts w:ascii="Arial" w:cs="Arial" w:eastAsia="Arial" w:hAnsi="Arial"/>
          <w:sz w:val="15"/>
          <w:szCs w:val="15"/>
          <w:color w:val="auto"/>
        </w:rPr>
        <w:t xml:space="preserve">, for diseases that are underserved by existing therapeutics. </w:t>
      </w:r>
      <w:r>
        <w:rPr>
          <w:rFonts w:ascii="Arial" w:cs="Arial" w:eastAsia="Arial" w:hAnsi="Arial"/>
          <w:sz w:val="15"/>
          <w:szCs w:val="15"/>
          <w:i w:val="1"/>
          <w:iCs w:val="1"/>
          <w:color w:val="auto"/>
        </w:rPr>
        <w:t>Bicycles</w:t>
      </w:r>
      <w:r>
        <w:rPr>
          <w:rFonts w:ascii="Arial" w:cs="Arial" w:eastAsia="Arial" w:hAnsi="Arial"/>
          <w:sz w:val="15"/>
          <w:szCs w:val="15"/>
          <w:color w:val="auto"/>
        </w:rPr>
        <w:t xml:space="preserve"> are a unique therapeutic modality combining the pharmacology usually associated with a biologic with the manufacturing and pharmacokinetic properties of a small molecule. The Company's initial internal programs are focused on oncology indications with high unmet medical need. The Company's lead product candidate, BT1718, is a </w:t>
      </w:r>
      <w:r>
        <w:rPr>
          <w:rFonts w:ascii="Arial" w:cs="Arial" w:eastAsia="Arial" w:hAnsi="Arial"/>
          <w:sz w:val="15"/>
          <w:szCs w:val="15"/>
          <w:i w:val="1"/>
          <w:iCs w:val="1"/>
          <w:color w:val="auto"/>
        </w:rPr>
        <w:t>Bicycle</w:t>
      </w:r>
      <w:r>
        <w:rPr>
          <w:rFonts w:ascii="Arial" w:cs="Arial" w:eastAsia="Arial" w:hAnsi="Arial"/>
          <w:sz w:val="15"/>
          <w:szCs w:val="15"/>
          <w:color w:val="auto"/>
        </w:rPr>
        <w:t xml:space="preserve"> Toxin Conjugate ("BTC") that is being developed to target tumors that express Membrane Type 1 matrix metalloprotease. BT1718 is being investigated for safety, tolerability and efficacy in an ongoing Phase I/IIa clinical trial in collaboration with, and fully funded by, the Centre for Drug Development of Cancer Research UK. The Company is also developing BT5528 and BT8009, which are BTCs targeting Ephrin type-A receptor 2 and Nectin-4, respectively, for oncology indications. The Company is currently conducting Investigational New Drug application-enabling activities for BT5528 and BT8009. The Company's discovery pipeline in oncology includes </w:t>
      </w:r>
      <w:r>
        <w:rPr>
          <w:rFonts w:ascii="Arial" w:cs="Arial" w:eastAsia="Arial" w:hAnsi="Arial"/>
          <w:sz w:val="15"/>
          <w:szCs w:val="15"/>
          <w:i w:val="1"/>
          <w:iCs w:val="1"/>
          <w:color w:val="auto"/>
        </w:rPr>
        <w:t>Bicycle-</w:t>
      </w:r>
      <w:r>
        <w:rPr>
          <w:rFonts w:ascii="Arial" w:cs="Arial" w:eastAsia="Arial" w:hAnsi="Arial"/>
          <w:sz w:val="15"/>
          <w:szCs w:val="15"/>
          <w:color w:val="auto"/>
        </w:rPr>
        <w:t>targeted innate immune activators, as well as T-cell modulators. Beyond oncology, the Company is collaborating with biopharmaceutical companies and organizations in therapeutic areas that include anti-infective, cardiovascular, hematology, ophthalmology and respiratory indications.</w:t>
      </w:r>
    </w:p>
    <w:p>
      <w:pPr>
        <w:spacing w:after="0" w:line="176" w:lineRule="exact"/>
        <w:rPr>
          <w:sz w:val="20"/>
          <w:szCs w:val="20"/>
          <w:color w:val="auto"/>
        </w:rPr>
      </w:pPr>
    </w:p>
    <w:p>
      <w:pPr>
        <w:ind w:right="520" w:firstLine="439"/>
        <w:spacing w:after="0" w:line="244" w:lineRule="auto"/>
        <w:rPr>
          <w:sz w:val="20"/>
          <w:szCs w:val="20"/>
          <w:color w:val="auto"/>
        </w:rPr>
      </w:pPr>
      <w:r>
        <w:rPr>
          <w:rFonts w:ascii="Arial" w:cs="Arial" w:eastAsia="Arial" w:hAnsi="Arial"/>
          <w:sz w:val="16"/>
          <w:szCs w:val="16"/>
          <w:color w:val="auto"/>
        </w:rPr>
        <w:t>The Company was incorporated in 2017 as a limited liability company in England and Wales to act as the holding company for three wholly-owned subsidiaries, two of which are based in the United Kingdom ("U.K.") and one of which has its principal office in Lexington, Massachusetts, near Boston. The English subsidiaries are BicycleTx Limited and BicycleRD Limited, and the U.S. subsidiary is Bicycle Therapeutics Inc.</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2017 Reorganization</w:t>
      </w:r>
    </w:p>
    <w:p>
      <w:pPr>
        <w:spacing w:after="0" w:line="195" w:lineRule="exact"/>
        <w:rPr>
          <w:sz w:val="20"/>
          <w:szCs w:val="20"/>
          <w:color w:val="auto"/>
        </w:rPr>
      </w:pPr>
    </w:p>
    <w:p>
      <w:pPr>
        <w:ind w:right="120" w:firstLine="442"/>
        <w:spacing w:after="0" w:line="254" w:lineRule="auto"/>
        <w:rPr>
          <w:sz w:val="20"/>
          <w:szCs w:val="20"/>
          <w:color w:val="auto"/>
        </w:rPr>
      </w:pPr>
      <w:r>
        <w:rPr>
          <w:rFonts w:ascii="Arial" w:cs="Arial" w:eastAsia="Arial" w:hAnsi="Arial"/>
          <w:sz w:val="16"/>
          <w:szCs w:val="16"/>
          <w:color w:val="auto"/>
        </w:rPr>
        <w:t xml:space="preserve">Prior to December 2017, the development of </w:t>
      </w:r>
      <w:r>
        <w:rPr>
          <w:rFonts w:ascii="Arial" w:cs="Arial" w:eastAsia="Arial" w:hAnsi="Arial"/>
          <w:sz w:val="16"/>
          <w:szCs w:val="16"/>
          <w:i w:val="1"/>
          <w:iCs w:val="1"/>
          <w:color w:val="auto"/>
        </w:rPr>
        <w:t>Bicycles</w:t>
      </w:r>
      <w:r>
        <w:rPr>
          <w:rFonts w:ascii="Arial" w:cs="Arial" w:eastAsia="Arial" w:hAnsi="Arial"/>
          <w:sz w:val="16"/>
          <w:szCs w:val="16"/>
          <w:color w:val="auto"/>
        </w:rPr>
        <w:t xml:space="preserve"> was conducted by Bicycle Therapeutics Limited (for the purpose of the 2017 Reorganization referred to as "BTL OldCo."), a limited liability company incorporated in England and Wales on July 13, 2009, and its wholly-owned U.S. subsidiary, Bicycle Therapeutics Inc., which was incorporated in Delaware in April 2016.</w:t>
      </w:r>
    </w:p>
    <w:p>
      <w:pPr>
        <w:spacing w:after="0" w:line="178" w:lineRule="exact"/>
        <w:rPr>
          <w:sz w:val="20"/>
          <w:szCs w:val="20"/>
          <w:color w:val="auto"/>
        </w:rPr>
      </w:pPr>
    </w:p>
    <w:p>
      <w:pPr>
        <w:ind w:right="460" w:firstLine="442"/>
        <w:spacing w:after="0" w:line="249" w:lineRule="auto"/>
        <w:rPr>
          <w:sz w:val="20"/>
          <w:szCs w:val="20"/>
          <w:color w:val="auto"/>
        </w:rPr>
      </w:pPr>
      <w:r>
        <w:rPr>
          <w:rFonts w:ascii="Arial" w:cs="Arial" w:eastAsia="Arial" w:hAnsi="Arial"/>
          <w:sz w:val="16"/>
          <w:szCs w:val="16"/>
          <w:color w:val="auto"/>
        </w:rPr>
        <w:t>During 2017, the Company entered into a series of transactions to effect a reorganization, and created a new holding company to facilitate its ability to pursue an initial public offering ("IPO"). These transactions are collectively referred to as the 2017 Reorganization.</w:t>
      </w:r>
    </w:p>
    <w:p>
      <w:pPr>
        <w:spacing w:after="0" w:line="181" w:lineRule="exact"/>
        <w:rPr>
          <w:sz w:val="20"/>
          <w:szCs w:val="20"/>
          <w:color w:val="auto"/>
        </w:rPr>
      </w:pPr>
    </w:p>
    <w:p>
      <w:pPr>
        <w:ind w:right="160" w:firstLine="442"/>
        <w:spacing w:after="0" w:line="244" w:lineRule="auto"/>
        <w:rPr>
          <w:sz w:val="20"/>
          <w:szCs w:val="20"/>
          <w:color w:val="auto"/>
        </w:rPr>
      </w:pPr>
      <w:r>
        <w:rPr>
          <w:rFonts w:ascii="Arial" w:cs="Arial" w:eastAsia="Arial" w:hAnsi="Arial"/>
          <w:sz w:val="16"/>
          <w:szCs w:val="16"/>
          <w:color w:val="auto"/>
        </w:rPr>
        <w:t>On October 27, 2017, BTL OldCo. changed its name to BicycleRD Limited. In addition, a new holding company, Bicycle Therapeutics Limited (for the purpose of 2017 Reorganization referred to as "BTL NewCo."), was incorporated as a limited liability company in England and Wales, and BicycleTx Limited was incorporated as a limited liability company in England and Wales as a wholly-owned subsidiary of BTL NewCo.</w:t>
      </w:r>
    </w:p>
    <w:p>
      <w:pPr>
        <w:spacing w:after="0" w:line="185" w:lineRule="exact"/>
        <w:rPr>
          <w:sz w:val="20"/>
          <w:szCs w:val="20"/>
          <w:color w:val="auto"/>
        </w:rPr>
      </w:pPr>
    </w:p>
    <w:p>
      <w:pPr>
        <w:ind w:right="140" w:firstLine="442"/>
        <w:spacing w:after="0" w:line="241" w:lineRule="auto"/>
        <w:rPr>
          <w:sz w:val="20"/>
          <w:szCs w:val="20"/>
          <w:color w:val="auto"/>
        </w:rPr>
      </w:pPr>
      <w:r>
        <w:rPr>
          <w:rFonts w:ascii="Arial" w:cs="Arial" w:eastAsia="Arial" w:hAnsi="Arial"/>
          <w:sz w:val="16"/>
          <w:szCs w:val="16"/>
          <w:color w:val="auto"/>
        </w:rPr>
        <w:t>On December 4, 2017, a share-for-share exchange was enacted pursuant to which the shareholders of BTL OldCo. exchanged their shares for equivalent shares of BTL NewCo. (both in terms of share class and number). As a result, the BTL NewCo. became the sole shareholder of BTL OldCo. In addition, the holders of warrants and/or share options to subscribe for shares in BTL OldCo. terminated or surrendered their warrants and/or share options in BTL OldCo. and were issued with warrants and share options on the same terms to subscribe for equivalent shares in BTL NewCo. (both in terms of share class and number). Those holders of restricted shares in BTL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58" w:name="page259"/>
    <w:bookmarkEnd w:id="2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the business and basis of presentation (Continued)</w:t>
      </w:r>
    </w:p>
    <w:p>
      <w:pPr>
        <w:spacing w:after="0" w:line="21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OldCo. pursuant to share vesting agreements terminated their existing share vesting agreements with BTL OldCo. and entered into share vesting agreements on the same terms and in respect of equivalent shares with BTL NewCo. (both in terms of share class and number).</w:t>
      </w:r>
    </w:p>
    <w:p>
      <w:pPr>
        <w:spacing w:after="0" w:line="181"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On December 5, 2017, BTL OldCo. transferred the entire issued share capital in Bicycle Therapeutics Inc. to BTL NewCo. and certain of its assets, including all employees, were transferred to BicycleTx Limited.</w:t>
      </w:r>
    </w:p>
    <w:p>
      <w:pPr>
        <w:spacing w:after="0" w:line="181" w:lineRule="exact"/>
        <w:rPr>
          <w:sz w:val="20"/>
          <w:szCs w:val="20"/>
          <w:color w:val="auto"/>
        </w:rPr>
      </w:pPr>
    </w:p>
    <w:p>
      <w:pPr>
        <w:ind w:right="80" w:firstLine="439"/>
        <w:spacing w:after="0" w:line="241" w:lineRule="auto"/>
        <w:rPr>
          <w:sz w:val="20"/>
          <w:szCs w:val="20"/>
          <w:color w:val="auto"/>
        </w:rPr>
      </w:pPr>
      <w:r>
        <w:rPr>
          <w:rFonts w:ascii="Arial" w:cs="Arial" w:eastAsia="Arial" w:hAnsi="Arial"/>
          <w:sz w:val="16"/>
          <w:szCs w:val="16"/>
          <w:color w:val="auto"/>
        </w:rPr>
        <w:t>The 2017 Reorganization was accounted for as a transaction of entities under common control. Upon completion of the 2017 Reorganization, the historical consolidated financial statements of BTL OldCo. became the historical consolidated financial statements of the Company, which had nominal assets and liabilities and had not conducted any operations other than the actions incidental to the share exchange and its incorporation. The Company concluded that the reorganization resulted in no change in the material rights and preferences of each respective class of equity interests and no change in the fair value of each respective class of equity interests before and after the reorganization.</w:t>
      </w:r>
    </w:p>
    <w:p>
      <w:pPr>
        <w:spacing w:after="0" w:line="189" w:lineRule="exact"/>
        <w:rPr>
          <w:sz w:val="20"/>
          <w:szCs w:val="20"/>
          <w:color w:val="auto"/>
        </w:rPr>
      </w:pPr>
    </w:p>
    <w:p>
      <w:pPr>
        <w:ind w:right="40" w:firstLine="439"/>
        <w:spacing w:after="0"/>
        <w:rPr>
          <w:sz w:val="20"/>
          <w:szCs w:val="20"/>
          <w:color w:val="auto"/>
        </w:rPr>
      </w:pPr>
      <w:r>
        <w:rPr>
          <w:rFonts w:ascii="Arial" w:cs="Arial" w:eastAsia="Arial" w:hAnsi="Arial"/>
          <w:sz w:val="16"/>
          <w:szCs w:val="16"/>
          <w:color w:val="auto"/>
        </w:rPr>
        <w:t>The Company is subject to risks common to companies in the biotechnology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w:t>
      </w:r>
    </w:p>
    <w:p>
      <w:pPr>
        <w:spacing w:after="0" w:line="211" w:lineRule="exact"/>
        <w:rPr>
          <w:sz w:val="20"/>
          <w:szCs w:val="20"/>
          <w:color w:val="auto"/>
        </w:rPr>
      </w:pPr>
    </w:p>
    <w:p>
      <w:pPr>
        <w:ind w:right="120" w:firstLine="439"/>
        <w:spacing w:after="0" w:line="241" w:lineRule="auto"/>
        <w:rPr>
          <w:sz w:val="20"/>
          <w:szCs w:val="20"/>
          <w:color w:val="auto"/>
        </w:rPr>
      </w:pPr>
      <w:r>
        <w:rPr>
          <w:rFonts w:ascii="Arial" w:cs="Arial" w:eastAsia="Arial" w:hAnsi="Arial"/>
          <w:sz w:val="16"/>
          <w:szCs w:val="16"/>
          <w:color w:val="auto"/>
        </w:rPr>
        <w:t>The accompanying consolidated financial statements have been prepared on the basis of continuity of operations, realization of assets and the satisfaction of liabilities and commitments in the ordinary course of business. Through December 31, 2018, the Company has funded its operations with proceeds from sales of convertible preferred shares (Note 6) and proceeds received from its collaboration arrangements (Note 10). Since inception, the Company has incurred recurring losses, including net losses of $16.3 million for the year ended December 31, 2017 (restated) and $21.8 million for the year ended December 31, 2018. As of December 31, 2018, the Company had an accumulated deficit of $69.9 million. The Company expects to continue to generate operating losses in the foreseeable future.</w:t>
      </w:r>
    </w:p>
    <w:p>
      <w:pPr>
        <w:spacing w:after="0" w:line="172" w:lineRule="exact"/>
        <w:rPr>
          <w:sz w:val="20"/>
          <w:szCs w:val="20"/>
          <w:color w:val="auto"/>
        </w:rPr>
      </w:pPr>
    </w:p>
    <w:p>
      <w:pPr>
        <w:ind w:right="120" w:firstLine="442"/>
        <w:spacing w:after="0" w:line="247" w:lineRule="auto"/>
        <w:rPr>
          <w:sz w:val="20"/>
          <w:szCs w:val="20"/>
          <w:color w:val="auto"/>
        </w:rPr>
      </w:pPr>
      <w:r>
        <w:rPr>
          <w:rFonts w:ascii="Arial" w:cs="Arial" w:eastAsia="Arial" w:hAnsi="Arial"/>
          <w:sz w:val="16"/>
          <w:szCs w:val="16"/>
          <w:color w:val="auto"/>
        </w:rPr>
        <w:t xml:space="preserve">In accordance with Accounting Standards Update ("ASU") No.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xml:space="preserve"> the Company has evaluated whether there are certain conditions and events, considered in the aggregate, that raise substantial doubt and the Company's ability to continue as a going concern within one year after the date that the consolidated financial statements are issued. As of March 22, 2019, the issuance date of the annual consolidated financial statements for the year ended December 31, 2018, the Company expects that its cash, will be sufficient to fund its operating expenses and capital expenditure requirements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9" w:name="page260"/>
    <w:bookmarkEnd w:id="2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the business and basis of presentation (Continued)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through at least twelve months from the issuance date of the annual consolidated financial statements and the interim consolidated financial statements.</w:t>
      </w:r>
    </w:p>
    <w:p>
      <w:pPr>
        <w:spacing w:after="0" w:line="195" w:lineRule="exact"/>
        <w:rPr>
          <w:sz w:val="20"/>
          <w:szCs w:val="20"/>
          <w:color w:val="auto"/>
        </w:rPr>
      </w:pPr>
    </w:p>
    <w:p>
      <w:pPr>
        <w:ind w:firstLine="439"/>
        <w:spacing w:after="0" w:line="242" w:lineRule="auto"/>
        <w:rPr>
          <w:sz w:val="20"/>
          <w:szCs w:val="20"/>
          <w:color w:val="auto"/>
        </w:rPr>
      </w:pPr>
      <w:r>
        <w:rPr>
          <w:rFonts w:ascii="Arial" w:cs="Arial" w:eastAsia="Arial" w:hAnsi="Arial"/>
          <w:sz w:val="16"/>
          <w:szCs w:val="16"/>
          <w:color w:val="auto"/>
        </w:rPr>
        <w:t>The Company is seeking to complete an initial public offering ("IPO") of its ordinary shares in the form of American Depositary Shares. Upon the completion of a public offering with at least £50.0 million of gross proceeds and at a price of at least £31.10 per share, subject to appropriate adjustment in the event of any share split or other similar recapitalization (a "Qualified IPO"), the Company's outstanding convertible preferred shares will automatically convert into ordinary shares (Note 6).</w:t>
      </w:r>
    </w:p>
    <w:p>
      <w:pPr>
        <w:spacing w:after="0" w:line="187"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In the event the Company does not complete an IPO, the Company expects to seek additional funding through private equity financings, collaborations, government grants, strategic alliances and or licensing arrangements. The Company may not be able to obtain financing on acceptable terms, or at all, and the Company may not be able to enter into collaborations. The terms of any future financing may adversely affect the rights or interests of the Company's shareholders. If the Company is unable to obtain funding, the Company could be forced to delay, reduce or eliminate some or all of its research and development programs, product portfolio expansion or commercialization efforts, which could adversely affect its business prospects.</w:t>
      </w:r>
    </w:p>
    <w:p>
      <w:pPr>
        <w:spacing w:after="0" w:line="189" w:lineRule="exact"/>
        <w:rPr>
          <w:sz w:val="20"/>
          <w:szCs w:val="20"/>
          <w:color w:val="auto"/>
        </w:rPr>
      </w:pPr>
    </w:p>
    <w:p>
      <w:pPr>
        <w:ind w:right="180" w:firstLine="433"/>
        <w:spacing w:after="0" w:line="249" w:lineRule="auto"/>
        <w:rPr>
          <w:sz w:val="20"/>
          <w:szCs w:val="20"/>
          <w:color w:val="auto"/>
        </w:rPr>
      </w:pPr>
      <w:r>
        <w:rPr>
          <w:rFonts w:ascii="Arial" w:cs="Arial" w:eastAsia="Arial" w:hAnsi="Arial"/>
          <w:sz w:val="16"/>
          <w:szCs w:val="16"/>
          <w:color w:val="auto"/>
        </w:rPr>
        <w:t>Although management continues to pursue these plans, there can be no assurance that the Company will be successful in obtaining sufficient funding on terms acceptable to the Company to fund continuing operations, if at all.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Restatement of previously reported financial statements</w:t>
      </w:r>
    </w:p>
    <w:p>
      <w:pPr>
        <w:spacing w:after="0" w:line="211"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In connection with the December 31, 2018 year-end financial statement close process, the Company identified misstatements in the historical consolidated financial statements, related to the fair value determination of (i) the warrant liability (Note 7) and (ii) ordinary shares utilized to calculate share based compensation expense. The fair value of the warrant liability and ordinary shares, which was derived from an independent third-party valuation report, included an error in an input to the valuation model related to the payment that would be made to the Series A and Series B1 preferred warrants holders in a sale liquidity event, following the exercise of the warrants.</w:t>
      </w:r>
    </w:p>
    <w:p>
      <w:pPr>
        <w:spacing w:after="0" w:line="189" w:lineRule="exact"/>
        <w:rPr>
          <w:sz w:val="20"/>
          <w:szCs w:val="20"/>
          <w:color w:val="auto"/>
        </w:rPr>
      </w:pPr>
    </w:p>
    <w:p>
      <w:pPr>
        <w:ind w:right="140" w:firstLine="439"/>
        <w:spacing w:after="0" w:line="249" w:lineRule="auto"/>
        <w:rPr>
          <w:sz w:val="20"/>
          <w:szCs w:val="20"/>
          <w:color w:val="auto"/>
        </w:rPr>
      </w:pPr>
      <w:r>
        <w:rPr>
          <w:rFonts w:ascii="Arial" w:cs="Arial" w:eastAsia="Arial" w:hAnsi="Arial"/>
          <w:sz w:val="16"/>
          <w:szCs w:val="16"/>
          <w:color w:val="auto"/>
        </w:rPr>
        <w:t>The Company has corrected the misstatement by reflecting the impact of the revised valuation on the fair value of ordinary shares and the warrant liability for the periods that the warrants were outstanding which impacts all of the following:</w:t>
      </w:r>
    </w:p>
    <w:p>
      <w:pPr>
        <w:spacing w:after="0" w:line="181" w:lineRule="exact"/>
        <w:rPr>
          <w:sz w:val="20"/>
          <w:szCs w:val="20"/>
          <w:color w:val="auto"/>
        </w:rPr>
      </w:pPr>
    </w:p>
    <w:p>
      <w:pPr>
        <w:ind w:left="980" w:hanging="493"/>
        <w:spacing w:after="0"/>
        <w:tabs>
          <w:tab w:leader="none" w:pos="9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fair value allocation between the Series B1 convertible preferred shares carrying amount and warrant liability on the date of issuance;</w:t>
      </w:r>
    </w:p>
    <w:p>
      <w:pPr>
        <w:spacing w:after="0" w:line="195" w:lineRule="exact"/>
        <w:rPr>
          <w:rFonts w:ascii="Arial" w:cs="Arial" w:eastAsia="Arial" w:hAnsi="Arial"/>
          <w:sz w:val="16"/>
          <w:szCs w:val="16"/>
          <w:color w:val="auto"/>
        </w:rPr>
      </w:pPr>
    </w:p>
    <w:p>
      <w:pPr>
        <w:ind w:left="980" w:hanging="493"/>
        <w:spacing w:after="0"/>
        <w:tabs>
          <w:tab w:leader="none" w:pos="9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measurement of Series A convertible preferred share warrants recorded as research and development expense on issuance;</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impact to the change in fair value of the warrant liability recorded as other expense;</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impact of exchange rates on the translation of the warrant liability to USD included in accumulated other comprehensive income (loss);</w:t>
      </w:r>
    </w:p>
    <w:p>
      <w:pPr>
        <w:spacing w:after="0" w:line="195" w:lineRule="exact"/>
        <w:rPr>
          <w:rFonts w:ascii="Arial" w:cs="Arial" w:eastAsia="Arial" w:hAnsi="Arial"/>
          <w:sz w:val="16"/>
          <w:szCs w:val="16"/>
          <w:color w:val="auto"/>
        </w:rPr>
      </w:pPr>
    </w:p>
    <w:p>
      <w:pPr>
        <w:ind w:left="5600"/>
        <w:spacing w:after="0"/>
        <w:rPr>
          <w:rFonts w:ascii="Arial" w:cs="Arial" w:eastAsia="Arial" w:hAnsi="Arial"/>
          <w:sz w:val="16"/>
          <w:szCs w:val="16"/>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60" w:name="page261"/>
    <w:bookmarkEnd w:id="260"/>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ind w:left="182" w:hanging="182"/>
        <w:spacing w:after="0"/>
        <w:tabs>
          <w:tab w:leader="none" w:pos="182"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the business and basis of presentation (Continued)</w:t>
      </w:r>
    </w:p>
    <w:p>
      <w:pPr>
        <w:spacing w:after="0" w:line="215" w:lineRule="exact"/>
        <w:rPr>
          <w:rFonts w:ascii="Arial" w:cs="Arial" w:eastAsia="Arial" w:hAnsi="Arial"/>
          <w:sz w:val="16"/>
          <w:szCs w:val="16"/>
          <w:b w:val="1"/>
          <w:bCs w:val="1"/>
          <w:color w:val="auto"/>
        </w:rPr>
      </w:pPr>
    </w:p>
    <w:p>
      <w:pPr>
        <w:ind w:left="982" w:right="260" w:hanging="493"/>
        <w:spacing w:after="0" w:line="249" w:lineRule="auto"/>
        <w:tabs>
          <w:tab w:leader="none" w:pos="982"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impact of the revised valuation to share based compensation expense recorded as research and development and general and administrative expenses and additional paid-in capital; and</w:t>
      </w:r>
    </w:p>
    <w:p>
      <w:pPr>
        <w:spacing w:after="0" w:line="180" w:lineRule="exact"/>
        <w:rPr>
          <w:rFonts w:ascii="Arial" w:cs="Arial" w:eastAsia="Arial" w:hAnsi="Arial"/>
          <w:sz w:val="16"/>
          <w:szCs w:val="16"/>
          <w:color w:val="auto"/>
        </w:rPr>
      </w:pPr>
    </w:p>
    <w:p>
      <w:pPr>
        <w:ind w:left="982" w:hanging="493"/>
        <w:spacing w:after="0"/>
        <w:tabs>
          <w:tab w:leader="none" w:pos="982"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associated benefit from income taxes and respective deferred tax assets as recorded as other assets.</w:t>
      </w:r>
    </w:p>
    <w:p>
      <w:pPr>
        <w:spacing w:after="0" w:line="195" w:lineRule="exact"/>
        <w:rPr>
          <w:sz w:val="20"/>
          <w:szCs w:val="20"/>
          <w:color w:val="auto"/>
        </w:rPr>
      </w:pPr>
    </w:p>
    <w:p>
      <w:pPr>
        <w:ind w:left="2" w:right="300" w:firstLine="433"/>
        <w:spacing w:after="0" w:line="244" w:lineRule="auto"/>
        <w:rPr>
          <w:sz w:val="20"/>
          <w:szCs w:val="20"/>
          <w:color w:val="auto"/>
        </w:rPr>
      </w:pPr>
      <w:r>
        <w:rPr>
          <w:rFonts w:ascii="Arial" w:cs="Arial" w:eastAsia="Arial" w:hAnsi="Arial"/>
          <w:sz w:val="16"/>
          <w:szCs w:val="16"/>
          <w:color w:val="auto"/>
        </w:rPr>
        <w:t>As a result, the Company has restated its consolidated balance sheet as of December 31, 2017, the related consolidated statement of operations and comprehensive loss, consolidated statement of convertible preferred shares and shareholders' (deficit) equity, and consolidated statement of cash flows for the year ended December 31, 2017. The impact of these adjustments is detailed in the tables below.</w:t>
      </w:r>
    </w:p>
    <w:p>
      <w:pPr>
        <w:spacing w:after="0" w:line="16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Consolidated Balance Sheet</w:t>
      </w:r>
    </w:p>
    <w:p>
      <w:pPr>
        <w:spacing w:after="0" w:line="390"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Previously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reported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3"/>
          </w:tcPr>
          <w:p>
            <w:pPr>
              <w:ind w:left="300"/>
              <w:spacing w:after="0"/>
              <w:rPr>
                <w:sz w:val="20"/>
                <w:szCs w:val="20"/>
                <w:color w:val="auto"/>
              </w:rPr>
            </w:pPr>
            <w:r>
              <w:rPr>
                <w:rFonts w:ascii="Arial" w:cs="Arial" w:eastAsia="Arial" w:hAnsi="Arial"/>
                <w:sz w:val="16"/>
                <w:szCs w:val="16"/>
                <w:b w:val="1"/>
                <w:bCs w:val="1"/>
                <w:color w:val="auto"/>
              </w:rPr>
              <w:t>As restated</w:t>
            </w: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99"/>
              </w:rPr>
              <w:t>Adjustment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December 31, 2017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December 31, 2017</w:t>
            </w:r>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87"/>
              </w:rPr>
              <w:t>(in thousands)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20" w:type="dxa"/>
            <w:vAlign w:val="bottom"/>
            <w:gridSpan w:val="2"/>
          </w:tcPr>
          <w:p>
            <w:pPr>
              <w:ind w:left="1140"/>
              <w:spacing w:after="0"/>
              <w:rPr>
                <w:sz w:val="20"/>
                <w:szCs w:val="20"/>
                <w:color w:val="auto"/>
              </w:rPr>
            </w:pPr>
            <w:r>
              <w:rPr>
                <w:rFonts w:ascii="Arial" w:cs="Arial" w:eastAsia="Arial" w:hAnsi="Arial"/>
                <w:sz w:val="16"/>
                <w:szCs w:val="16"/>
                <w:color w:val="auto"/>
              </w:rPr>
              <w:t>Total assets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73,932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74,001</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Warrant liability</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10,497</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(6,086)</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20" w:type="dxa"/>
            <w:vAlign w:val="bottom"/>
            <w:gridSpan w:val="2"/>
          </w:tcPr>
          <w:p>
            <w:pPr>
              <w:ind w:left="1140"/>
              <w:spacing w:after="0"/>
              <w:rPr>
                <w:sz w:val="20"/>
                <w:szCs w:val="20"/>
                <w:color w:val="auto"/>
              </w:rPr>
            </w:pPr>
            <w:r>
              <w:rPr>
                <w:rFonts w:ascii="Arial" w:cs="Arial" w:eastAsia="Arial" w:hAnsi="Arial"/>
                <w:sz w:val="16"/>
                <w:szCs w:val="16"/>
                <w:color w:val="auto"/>
              </w:rPr>
              <w:t>Total liabilities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30,830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(6,086)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24,744</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Series B1 convertible preferred shares</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49,328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54,621</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20" w:type="dxa"/>
            <w:vAlign w:val="bottom"/>
            <w:gridSpan w:val="2"/>
          </w:tcPr>
          <w:p>
            <w:pPr>
              <w:ind w:left="11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839</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20" w:type="dxa"/>
            <w:vAlign w:val="bottom"/>
            <w:gridSpan w:val="2"/>
          </w:tcPr>
          <w:p>
            <w:pPr>
              <w:ind w:left="114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6"/>
                <w:szCs w:val="16"/>
                <w:color w:val="auto"/>
              </w:rPr>
              <w:t>(48,661)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(48,096)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(deficit) equity</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(48,046)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(47,184)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1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1101"/>
              <w:spacing w:after="0"/>
              <w:rPr>
                <w:sz w:val="20"/>
                <w:szCs w:val="20"/>
                <w:color w:val="auto"/>
              </w:rPr>
            </w:pPr>
            <w:r>
              <w:rPr>
                <w:rFonts w:ascii="Arial" w:cs="Arial" w:eastAsia="Arial" w:hAnsi="Arial"/>
                <w:sz w:val="16"/>
                <w:szCs w:val="16"/>
                <w:color w:val="auto"/>
              </w:rPr>
              <w:t>F-10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40" w:type="dxa"/>
            <w:vAlign w:val="bottom"/>
            <w:tcBorders>
              <w:bottom w:val="single" w:sz="8" w:color="808080"/>
            </w:tcBorders>
          </w:tcPr>
          <w:p>
            <w:pPr>
              <w:spacing w:after="0"/>
              <w:rPr>
                <w:sz w:val="16"/>
                <w:szCs w:val="16"/>
                <w:color w:val="auto"/>
              </w:rPr>
            </w:pPr>
          </w:p>
        </w:tc>
        <w:tc>
          <w:tcPr>
            <w:tcW w:w="378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2"/>
          </w:cols>
          <w:pgMar w:left="238" w:top="142" w:right="219" w:bottom="1440" w:gutter="0" w:footer="0" w:header="0"/>
        </w:sectPr>
      </w:pPr>
    </w:p>
    <w:bookmarkStart w:id="261" w:name="page262"/>
    <w:bookmarkEnd w:id="261"/>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361"/>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ind w:left="2" w:right="6180" w:hanging="2"/>
        <w:spacing w:after="0" w:line="582" w:lineRule="auto"/>
        <w:tabs>
          <w:tab w:leader="none" w:pos="179" w:val="left"/>
        </w:tabs>
        <w:numPr>
          <w:ilvl w:val="0"/>
          <w:numId w:val="149"/>
        </w:numPr>
        <w:rPr>
          <w:rFonts w:ascii="Arial" w:cs="Arial" w:eastAsia="Arial" w:hAnsi="Arial"/>
          <w:sz w:val="15"/>
          <w:szCs w:val="15"/>
          <w:b w:val="1"/>
          <w:bCs w:val="1"/>
          <w:color w:val="auto"/>
        </w:rPr>
      </w:pPr>
      <w:r>
        <w:rPr>
          <w:rFonts w:ascii="Arial" w:cs="Arial" w:eastAsia="Arial" w:hAnsi="Arial"/>
          <w:sz w:val="15"/>
          <w:szCs w:val="15"/>
          <w:b w:val="1"/>
          <w:bCs w:val="1"/>
          <w:color w:val="auto"/>
        </w:rPr>
        <w:t>Nature of the business and basis of presentation (Continued) Consolidated Statement of Operations and Comprehensive Loss</w:t>
      </w:r>
    </w:p>
    <w:p>
      <w:pPr>
        <w:spacing w:after="0" w:line="117" w:lineRule="exact"/>
        <w:rPr>
          <w:sz w:val="20"/>
          <w:szCs w:val="20"/>
          <w:color w:val="auto"/>
        </w:rPr>
      </w:pPr>
    </w:p>
    <w:tbl>
      <w:tblPr>
        <w:tblLayout w:type="fixed"/>
        <w:tblInd w:w="1142"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Previously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2"/>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reported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As restated</w:t>
            </w:r>
          </w:p>
        </w:tc>
      </w:tr>
      <w:tr>
        <w:trPr>
          <w:trHeight w:val="213"/>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66"/>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w w:val="97"/>
              </w:rPr>
              <w:t>Year Ended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1"/>
              <w:spacing w:after="0" w:line="166" w:lineRule="exact"/>
              <w:rPr>
                <w:sz w:val="20"/>
                <w:szCs w:val="20"/>
                <w:color w:val="auto"/>
              </w:rPr>
            </w:pPr>
            <w:r>
              <w:rPr>
                <w:rFonts w:ascii="Arial" w:cs="Arial" w:eastAsia="Arial" w:hAnsi="Arial"/>
                <w:sz w:val="16"/>
                <w:szCs w:val="16"/>
                <w:b w:val="1"/>
                <w:bCs w:val="1"/>
                <w:color w:val="auto"/>
              </w:rPr>
              <w:t>Year Ended</w:t>
            </w:r>
          </w:p>
        </w:tc>
        <w:tc>
          <w:tcPr>
            <w:tcW w:w="160" w:type="dxa"/>
            <w:vAlign w:val="bottom"/>
          </w:tcPr>
          <w:p>
            <w:pPr>
              <w:spacing w:after="0"/>
              <w:rPr>
                <w:sz w:val="14"/>
                <w:szCs w:val="14"/>
                <w:color w:val="auto"/>
              </w:rPr>
            </w:pPr>
          </w:p>
        </w:tc>
      </w:tr>
      <w:tr>
        <w:trPr>
          <w:trHeight w:val="183"/>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December 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December 31,</w:t>
            </w:r>
          </w:p>
        </w:tc>
      </w:tr>
      <w:tr>
        <w:trPr>
          <w:trHeight w:val="205"/>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Adjustment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7"/>
                <w:szCs w:val="17"/>
                <w:color w:val="auto"/>
              </w:rPr>
            </w:pPr>
          </w:p>
        </w:tc>
      </w:tr>
      <w:tr>
        <w:trPr>
          <w:trHeight w:val="196"/>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10"/>
          </w:tcPr>
          <w:p>
            <w:pPr>
              <w:jc w:val="right"/>
              <w:ind w:right="520"/>
              <w:spacing w:after="0"/>
              <w:rPr>
                <w:sz w:val="20"/>
                <w:szCs w:val="20"/>
                <w:color w:val="auto"/>
              </w:rPr>
            </w:pPr>
            <w:r>
              <w:rPr>
                <w:rFonts w:ascii="Arial" w:cs="Arial" w:eastAsia="Arial" w:hAnsi="Arial"/>
                <w:sz w:val="16"/>
                <w:szCs w:val="16"/>
                <w:b w:val="1"/>
                <w:bCs w:val="1"/>
                <w:color w:val="auto"/>
              </w:rPr>
              <w:t>(in thousands, except per share data)</w:t>
            </w:r>
          </w:p>
        </w:tc>
      </w:tr>
      <w:tr>
        <w:trPr>
          <w:trHeight w:val="183"/>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12,242</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11,866</w:t>
            </w:r>
          </w:p>
        </w:tc>
        <w:tc>
          <w:tcPr>
            <w:tcW w:w="160" w:type="dxa"/>
            <w:vAlign w:val="bottom"/>
            <w:shd w:val="clear" w:color="auto" w:fill="CCEEFF"/>
          </w:tcPr>
          <w:p>
            <w:pPr>
              <w:spacing w:after="0"/>
              <w:rPr>
                <w:sz w:val="15"/>
                <w:szCs w:val="15"/>
                <w:color w:val="auto"/>
              </w:rPr>
            </w:pPr>
          </w:p>
        </w:tc>
      </w:tr>
      <w:tr>
        <w:trPr>
          <w:trHeight w:val="183"/>
        </w:trPr>
        <w:tc>
          <w:tcPr>
            <w:tcW w:w="526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6,346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6,407</w:t>
            </w:r>
          </w:p>
        </w:tc>
        <w:tc>
          <w:tcPr>
            <w:tcW w:w="160" w:type="dxa"/>
            <w:vAlign w:val="bottom"/>
          </w:tcPr>
          <w:p>
            <w:pPr>
              <w:spacing w:after="0"/>
              <w:rPr>
                <w:sz w:val="15"/>
                <w:szCs w:val="15"/>
                <w:color w:val="auto"/>
              </w:rPr>
            </w:pPr>
          </w:p>
        </w:tc>
      </w:tr>
      <w:tr>
        <w:trPr>
          <w:trHeight w:val="183"/>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18,273</w:t>
            </w:r>
          </w:p>
        </w:tc>
        <w:tc>
          <w:tcPr>
            <w:tcW w:w="160" w:type="dxa"/>
            <w:vAlign w:val="bottom"/>
            <w:shd w:val="clear" w:color="auto" w:fill="CCEEFF"/>
          </w:tcPr>
          <w:p>
            <w:pPr>
              <w:spacing w:after="0"/>
              <w:rPr>
                <w:sz w:val="15"/>
                <w:szCs w:val="15"/>
                <w:color w:val="auto"/>
              </w:rPr>
            </w:pPr>
          </w:p>
        </w:tc>
      </w:tr>
      <w:tr>
        <w:trPr>
          <w:trHeight w:val="183"/>
        </w:trPr>
        <w:tc>
          <w:tcPr>
            <w:tcW w:w="5260" w:type="dxa"/>
            <w:vAlign w:val="bottom"/>
          </w:tcPr>
          <w:p>
            <w:pPr>
              <w:spacing w:after="0"/>
              <w:rPr>
                <w:sz w:val="20"/>
                <w:szCs w:val="20"/>
                <w:color w:val="auto"/>
              </w:rPr>
            </w:pPr>
            <w:r>
              <w:rPr>
                <w:rFonts w:ascii="Arial" w:cs="Arial" w:eastAsia="Arial" w:hAnsi="Arial"/>
                <w:sz w:val="16"/>
                <w:szCs w:val="16"/>
                <w:color w:val="auto"/>
              </w:rPr>
              <w:t>Loss from operations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(16,528)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(16,213)</w:t>
            </w:r>
          </w:p>
        </w:tc>
      </w:tr>
      <w:tr>
        <w:trPr>
          <w:trHeight w:val="183"/>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Other expense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w:t>
            </w:r>
          </w:p>
        </w:tc>
      </w:tr>
      <w:tr>
        <w:trPr>
          <w:trHeight w:val="183"/>
        </w:trPr>
        <w:tc>
          <w:tcPr>
            <w:tcW w:w="5260" w:type="dxa"/>
            <w:vAlign w:val="bottom"/>
          </w:tcPr>
          <w:p>
            <w:pPr>
              <w:spacing w:after="0"/>
              <w:rPr>
                <w:sz w:val="20"/>
                <w:szCs w:val="20"/>
                <w:color w:val="auto"/>
              </w:rPr>
            </w:pPr>
            <w:r>
              <w:rPr>
                <w:rFonts w:ascii="Arial" w:cs="Arial" w:eastAsia="Arial" w:hAnsi="Arial"/>
                <w:sz w:val="16"/>
                <w:szCs w:val="16"/>
                <w:color w:val="auto"/>
              </w:rPr>
              <w:t>Total other expense, net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(69)</w:t>
            </w:r>
          </w:p>
        </w:tc>
      </w:tr>
      <w:tr>
        <w:trPr>
          <w:trHeight w:val="183"/>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Net loss before income tax provision</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(16,778)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(16,282)</w:t>
            </w:r>
          </w:p>
        </w:tc>
      </w:tr>
      <w:tr>
        <w:trPr>
          <w:trHeight w:val="183"/>
        </w:trPr>
        <w:tc>
          <w:tcPr>
            <w:tcW w:w="526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r>
      <w:tr>
        <w:trPr>
          <w:trHeight w:val="183"/>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(16,824)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(16,259)</w:t>
            </w:r>
          </w:p>
        </w:tc>
      </w:tr>
      <w:tr>
        <w:trPr>
          <w:trHeight w:val="183"/>
        </w:trPr>
        <w:tc>
          <w:tcPr>
            <w:tcW w:w="5260" w:type="dxa"/>
            <w:vAlign w:val="bottom"/>
          </w:tcPr>
          <w:p>
            <w:pPr>
              <w:spacing w:after="0"/>
              <w:rPr>
                <w:sz w:val="20"/>
                <w:szCs w:val="20"/>
                <w:color w:val="auto"/>
              </w:rPr>
            </w:pPr>
            <w:r>
              <w:rPr>
                <w:rFonts w:ascii="Arial" w:cs="Arial" w:eastAsia="Arial" w:hAnsi="Arial"/>
                <w:sz w:val="16"/>
                <w:szCs w:val="16"/>
                <w:color w:val="auto"/>
              </w:rPr>
              <w:t>Net loss attributable to ordinary shareholders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(16,824)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(16,259)</w:t>
            </w:r>
          </w:p>
        </w:tc>
      </w:tr>
      <w:tr>
        <w:trPr>
          <w:trHeight w:val="183"/>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attributable to ordinary shareholders, basic and diluted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(72.16)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(69.74)</w:t>
            </w:r>
          </w:p>
        </w:tc>
      </w:tr>
      <w:tr>
        <w:trPr>
          <w:trHeight w:val="183"/>
        </w:trPr>
        <w:tc>
          <w:tcPr>
            <w:tcW w:w="526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2,355</w:t>
            </w:r>
          </w:p>
        </w:tc>
        <w:tc>
          <w:tcPr>
            <w:tcW w:w="160" w:type="dxa"/>
            <w:vAlign w:val="bottom"/>
          </w:tcPr>
          <w:p>
            <w:pPr>
              <w:spacing w:after="0"/>
              <w:rPr>
                <w:sz w:val="15"/>
                <w:szCs w:val="15"/>
                <w:color w:val="auto"/>
              </w:rPr>
            </w:pPr>
          </w:p>
        </w:tc>
      </w:tr>
      <w:tr>
        <w:trPr>
          <w:trHeight w:val="183"/>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Total comprehensive loss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(14,703)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(13,904)</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9"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7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 of Cash flows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546"/>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Previously</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1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reported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As restated</w:t>
            </w:r>
          </w:p>
        </w:tc>
      </w:tr>
      <w:tr>
        <w:trPr>
          <w:trHeight w:val="213"/>
        </w:trPr>
        <w:tc>
          <w:tcPr>
            <w:tcW w:w="1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66"/>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361"/>
              <w:spacing w:after="0" w:line="166" w:lineRule="exact"/>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ind w:right="361"/>
              <w:spacing w:after="0" w:line="166" w:lineRule="exact"/>
              <w:rPr>
                <w:sz w:val="20"/>
                <w:szCs w:val="20"/>
                <w:color w:val="auto"/>
              </w:rPr>
            </w:pPr>
            <w:r>
              <w:rPr>
                <w:rFonts w:ascii="Arial" w:cs="Arial" w:eastAsia="Arial" w:hAnsi="Arial"/>
                <w:sz w:val="16"/>
                <w:szCs w:val="16"/>
                <w:b w:val="1"/>
                <w:bCs w:val="1"/>
                <w:color w:val="auto"/>
              </w:rPr>
              <w:t>Year Ended</w:t>
            </w:r>
          </w:p>
        </w:tc>
        <w:tc>
          <w:tcPr>
            <w:tcW w:w="160" w:type="dxa"/>
            <w:vAlign w:val="bottom"/>
          </w:tcPr>
          <w:p>
            <w:pPr>
              <w:spacing w:after="0"/>
              <w:rPr>
                <w:sz w:val="14"/>
                <w:szCs w:val="14"/>
                <w:color w:val="auto"/>
              </w:rPr>
            </w:pPr>
          </w:p>
        </w:tc>
      </w:tr>
      <w:tr>
        <w:trPr>
          <w:trHeight w:val="205"/>
        </w:trPr>
        <w:tc>
          <w:tcPr>
            <w:tcW w:w="11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December 31, 2017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9"/>
              </w:rPr>
              <w:t>Adjustment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December 31, 2017</w:t>
            </w:r>
          </w:p>
        </w:tc>
      </w:tr>
      <w:tr>
        <w:trPr>
          <w:trHeight w:val="196"/>
        </w:trPr>
        <w:tc>
          <w:tcPr>
            <w:tcW w:w="11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87"/>
              </w:rPr>
              <w:t>(in thousands)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3"/>
        </w:trPr>
        <w:tc>
          <w:tcPr>
            <w:tcW w:w="4780" w:type="dxa"/>
            <w:vAlign w:val="bottom"/>
            <w:gridSpan w:val="2"/>
          </w:tcPr>
          <w:p>
            <w:pPr>
              <w:ind w:left="1140"/>
              <w:spacing w:after="0"/>
              <w:rPr>
                <w:sz w:val="20"/>
                <w:szCs w:val="20"/>
                <w:color w:val="auto"/>
              </w:rPr>
            </w:pPr>
            <w:r>
              <w:rPr>
                <w:rFonts w:ascii="Arial" w:cs="Arial" w:eastAsia="Arial" w:hAnsi="Arial"/>
                <w:sz w:val="16"/>
                <w:szCs w:val="16"/>
                <w:color w:val="auto"/>
              </w:rPr>
              <w:t>Net loss</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40"/>
              <w:spacing w:after="0"/>
              <w:rPr>
                <w:sz w:val="20"/>
                <w:szCs w:val="20"/>
                <w:color w:val="auto"/>
              </w:rPr>
            </w:pPr>
            <w:r>
              <w:rPr>
                <w:rFonts w:ascii="Arial" w:cs="Arial" w:eastAsia="Arial" w:hAnsi="Arial"/>
                <w:sz w:val="16"/>
                <w:szCs w:val="16"/>
                <w:color w:val="auto"/>
              </w:rPr>
              <w:t>(16,824)</w:t>
            </w: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(16,259)</w:t>
            </w:r>
          </w:p>
        </w:tc>
      </w:tr>
      <w:tr>
        <w:trPr>
          <w:trHeight w:val="183"/>
        </w:trPr>
        <w:tc>
          <w:tcPr>
            <w:tcW w:w="114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60" w:type="dxa"/>
            <w:vAlign w:val="bottom"/>
            <w:shd w:val="clear" w:color="auto" w:fill="CCEEFF"/>
          </w:tcPr>
          <w:p>
            <w:pPr>
              <w:spacing w:after="0"/>
              <w:rPr>
                <w:sz w:val="15"/>
                <w:szCs w:val="15"/>
                <w:color w:val="auto"/>
              </w:rPr>
            </w:pPr>
          </w:p>
        </w:tc>
      </w:tr>
      <w:tr>
        <w:trPr>
          <w:trHeight w:val="183"/>
        </w:trPr>
        <w:tc>
          <w:tcPr>
            <w:tcW w:w="4780" w:type="dxa"/>
            <w:vAlign w:val="bottom"/>
            <w:gridSpan w:val="2"/>
          </w:tcPr>
          <w:p>
            <w:pPr>
              <w:ind w:left="1140"/>
              <w:spacing w:after="0"/>
              <w:rPr>
                <w:sz w:val="20"/>
                <w:szCs w:val="20"/>
                <w:color w:val="auto"/>
              </w:rPr>
            </w:pPr>
            <w:r>
              <w:rPr>
                <w:rFonts w:ascii="Arial" w:cs="Arial" w:eastAsia="Arial" w:hAnsi="Arial"/>
                <w:sz w:val="16"/>
                <w:szCs w:val="16"/>
                <w:color w:val="auto"/>
              </w:rPr>
              <w:t>Non-cash research and development expense</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(378)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856</w:t>
            </w:r>
          </w:p>
        </w:tc>
        <w:tc>
          <w:tcPr>
            <w:tcW w:w="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warrant liability</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(181)</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60" w:type="dxa"/>
            <w:vAlign w:val="bottom"/>
            <w:shd w:val="clear" w:color="auto" w:fill="CCEEFF"/>
          </w:tcPr>
          <w:p>
            <w:pPr>
              <w:spacing w:after="0"/>
              <w:rPr>
                <w:sz w:val="15"/>
                <w:szCs w:val="15"/>
                <w:color w:val="auto"/>
              </w:rPr>
            </w:pPr>
          </w:p>
        </w:tc>
      </w:tr>
      <w:tr>
        <w:trPr>
          <w:trHeight w:val="183"/>
        </w:trPr>
        <w:tc>
          <w:tcPr>
            <w:tcW w:w="4780" w:type="dxa"/>
            <w:vAlign w:val="bottom"/>
            <w:gridSpan w:val="2"/>
          </w:tcPr>
          <w:p>
            <w:pPr>
              <w:ind w:left="114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6"/>
                <w:szCs w:val="16"/>
                <w:color w:val="auto"/>
              </w:rPr>
              <w:t>(970)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(1,039)</w:t>
            </w: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3"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Basis of presentation</w:t>
      </w:r>
    </w:p>
    <w:p>
      <w:pPr>
        <w:spacing w:after="0" w:line="211" w:lineRule="exact"/>
        <w:rPr>
          <w:sz w:val="20"/>
          <w:szCs w:val="20"/>
          <w:color w:val="auto"/>
        </w:rPr>
      </w:pPr>
    </w:p>
    <w:p>
      <w:pPr>
        <w:ind w:left="2" w:firstLine="439"/>
        <w:spacing w:after="0" w:line="249" w:lineRule="auto"/>
        <w:rPr>
          <w:sz w:val="20"/>
          <w:szCs w:val="20"/>
          <w:color w:val="auto"/>
        </w:rPr>
      </w:pPr>
      <w:r>
        <w:rPr>
          <w:rFonts w:ascii="Arial" w:cs="Arial" w:eastAsia="Arial" w:hAnsi="Arial"/>
          <w:sz w:val="16"/>
          <w:szCs w:val="16"/>
          <w:color w:val="auto"/>
        </w:rPr>
        <w:t>The accompanying consolidated financial statements include the accounts of Bicycle Therapeutics Limited and its wholly owned subsidiaries, BicycleTx Limited, BicycleRD Limited and Bicycle Therapeutics Inc. All intercompany balances and transactions have been eliminated on consolidation.</w:t>
      </w:r>
    </w:p>
    <w:p>
      <w:pPr>
        <w:spacing w:after="0" w:line="181" w:lineRule="exact"/>
        <w:rPr>
          <w:sz w:val="20"/>
          <w:szCs w:val="20"/>
          <w:color w:val="auto"/>
        </w:rPr>
      </w:pPr>
    </w:p>
    <w:p>
      <w:pPr>
        <w:jc w:val="center"/>
        <w:ind w:right="-361"/>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062"/>
          </w:cols>
          <w:pgMar w:left="238" w:top="142" w:right="599" w:bottom="1440" w:gutter="0" w:footer="0" w:header="0"/>
        </w:sectPr>
      </w:pPr>
    </w:p>
    <w:bookmarkStart w:id="262" w:name="page263"/>
    <w:bookmarkEnd w:id="2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the business and basis of presentation (Continued)</w:t>
      </w:r>
    </w:p>
    <w:p>
      <w:pPr>
        <w:spacing w:after="0" w:line="215" w:lineRule="exact"/>
        <w:rPr>
          <w:sz w:val="20"/>
          <w:szCs w:val="20"/>
          <w:color w:val="auto"/>
        </w:rPr>
      </w:pPr>
    </w:p>
    <w:p>
      <w:pPr>
        <w:ind w:right="40" w:firstLine="439"/>
        <w:spacing w:after="0" w:line="249"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13" w:lineRule="exact"/>
        <w:rPr>
          <w:sz w:val="20"/>
          <w:szCs w:val="20"/>
          <w:color w:val="auto"/>
        </w:rPr>
      </w:pPr>
    </w:p>
    <w:p>
      <w:pPr>
        <w:ind w:right="60" w:firstLine="439"/>
        <w:spacing w:after="0"/>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for research and development expenses, revenue recognition, the fair value of ordinary shares and share based compensation, the valuation of the warrant liability, and income taxes. The Company bases its estimates on historical experience, known trends and other market-specific or other relevant factors that it believes to be reasonable under the circumstances. Estimates are periodically reviewed in light of reasonable changes in circumstances, facts and experience. Changes in estimates are recorded in the period in which they become known. Actual results could differ from those estimates or assumptions.</w:t>
      </w:r>
    </w:p>
    <w:p>
      <w:pPr>
        <w:spacing w:after="0" w:line="191"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 xml:space="preserve">The Company utilizes significant estimates and assumptions in determining the fair value of its ordinary shares. The Company has utilized various valuation methodologies in accordance with the framework of the 2004 American Institute of Certified Public Accountants Technical Practice Aid, </w:t>
      </w:r>
      <w:r>
        <w:rPr>
          <w:rFonts w:ascii="Arial" w:cs="Arial" w:eastAsia="Arial" w:hAnsi="Arial"/>
          <w:sz w:val="16"/>
          <w:szCs w:val="16"/>
          <w:i w:val="1"/>
          <w:iCs w:val="1"/>
          <w:color w:val="auto"/>
        </w:rPr>
        <w:t>Valuation of Privately-Held</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Equity Securities Issued as Compensation</w:t>
      </w:r>
      <w:r>
        <w:rPr>
          <w:rFonts w:ascii="Arial" w:cs="Arial" w:eastAsia="Arial" w:hAnsi="Arial"/>
          <w:sz w:val="16"/>
          <w:szCs w:val="16"/>
          <w:color w:val="auto"/>
        </w:rPr>
        <w:t>, to estimate the fair value of its ordinary shares. Each valuation methodology includes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require the exercise of judgment by the Company. These estimates and assumptions include a number of objective and subjective factors, including external market conditions, the prices at which the Company sold convertible preferred shares, the superior rights and preferences of securities senior to the Company's ordinary shares at the time of, and the likelihood of, achieving a liquidity event, such as an initial public offering or sale. Significant changes to the key assumptions used in the valuations could result in different fair values of the Company's ordinary shares at each valuation date.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Unaudited pro forma information</w:t>
      </w:r>
    </w:p>
    <w:p>
      <w:pPr>
        <w:spacing w:after="0" w:line="213"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On March 7, 2019, the holders of the Series B1 warrants to subscribe for Series B1 Preferred Shares agreed that 50% of the warrants will be exercised in conjunction with the IPO and 50% of the warrants will be extinguished (Note 7). The accompanying unaudited pro forma consolidated balance sheet and consolidated statements of convertible preferred shares and shareholders' (deficit) equity as of December 31, 2018 has been prepared to give effect, upon the closing of a Qualified IPO, to (i) the automatic conversion of all outstanding convertible preferred shares as of December 31, 2018 into ordinary shares, and (ii) the exercise of 200,000 warrants to subscribe for Series A convertible preferred shares immediately prior to an IPO, and (iii) the exercise of the 371,645 warrants to subscribe for Series B1 convertible preferred shares, as well as (iv) the resulting reclassification of the warrant liability to additional paid-in capital, as if the proposed IPO had occurred on December 31, 2018.</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63" w:name="page264"/>
    <w:bookmarkEnd w:id="2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5" w:lineRule="exact"/>
        <w:rPr>
          <w:sz w:val="20"/>
          <w:szCs w:val="20"/>
          <w:color w:val="auto"/>
        </w:rPr>
      </w:pPr>
    </w:p>
    <w:p>
      <w:pPr>
        <w:ind w:right="140" w:firstLine="442"/>
        <w:spacing w:after="0" w:line="241" w:lineRule="auto"/>
        <w:rPr>
          <w:sz w:val="20"/>
          <w:szCs w:val="20"/>
          <w:color w:val="auto"/>
        </w:rPr>
      </w:pPr>
      <w:r>
        <w:rPr>
          <w:rFonts w:ascii="Arial" w:cs="Arial" w:eastAsia="Arial" w:hAnsi="Arial"/>
          <w:sz w:val="16"/>
          <w:szCs w:val="16"/>
          <w:color w:val="auto"/>
        </w:rPr>
        <w:t>In the accompanying consolidated statements of operations and comprehensive loss, the unaudited pro forma basic and diluted net loss per share attributable to ordinary shareholders for the year ended December 31, 2018 have been prepared to give effect, upon the closing of a Qualified IPO, to (i) the automatic conversion of all outstanding shares of convertible preferred shares into ordinary shares, and (ii) the exercise of 200,000 warrants to subscribe for Series A convertible preferred shares immediately prior to an IPO, and (iii) the exercise of the warrants to subscribe for 371,645 Series B1 convertible preferred shares which would otherwise expire upon the completion of an IPO, as if the proposed IPO had occurred on the later of January 1, 2018 or the issuance date of the convertible preferred shares or preferred share warrants.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and currency translation</w:t>
      </w:r>
    </w:p>
    <w:p>
      <w:pPr>
        <w:spacing w:after="0" w:line="213" w:lineRule="exact"/>
        <w:rPr>
          <w:sz w:val="20"/>
          <w:szCs w:val="20"/>
          <w:color w:val="auto"/>
        </w:rPr>
      </w:pPr>
    </w:p>
    <w:p>
      <w:pPr>
        <w:ind w:right="100" w:firstLine="439"/>
        <w:spacing w:after="0" w:line="242" w:lineRule="auto"/>
        <w:rPr>
          <w:sz w:val="20"/>
          <w:szCs w:val="20"/>
          <w:color w:val="auto"/>
        </w:rPr>
      </w:pPr>
      <w:r>
        <w:rPr>
          <w:rFonts w:ascii="Arial" w:cs="Arial" w:eastAsia="Arial" w:hAnsi="Arial"/>
          <w:sz w:val="16"/>
          <w:szCs w:val="16"/>
          <w:color w:val="auto"/>
        </w:rPr>
        <w:t>The functional currency of Bicycle Therapeutics Limited and its wholly owned non-U.S. subsidiaries, BicycleTx Limited and BicycleRD Limited, is the British Pound Sterling and the consolidated financial statements are presented in United States dollars ("USD"). The functional currency of Bicycle Therapeutics Inc. is the USD. The functional currency is the currency of the primary economic environment in which an entity's operations are conducted. The functional currency of the Company's subsidiaries is the same as the local currency.</w:t>
      </w:r>
    </w:p>
    <w:p>
      <w:pPr>
        <w:spacing w:after="0" w:line="187"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Monetary assets and liabilities denominated in currencies other than the functional currency are remeasured into the functional currency at rates of exchange prevailing at the balance sheet dates. Non-monetary assets and liabilities denominated in foreign currencies are remeasured into the functional currency at the exchange rates prevailing at the date of the transaction. Exchange gains or losses arising from foreign currency transactions are included in the determination of net loss for the respective periods. Adjustments that arise from exchange rate changes on transactions denominated in a currency other than the local currency are included in general and administrative expense in the consolidated statements of operations and comprehensive loss as incurred. The Company recorded a foreign exchange loss of $0.6 million and a foreign exchange gain of $0.3 million for the years ended December 31, 2017 and 2018, respectively.</w:t>
      </w:r>
    </w:p>
    <w:p>
      <w:pPr>
        <w:spacing w:after="0" w:line="192" w:lineRule="exact"/>
        <w:rPr>
          <w:sz w:val="20"/>
          <w:szCs w:val="20"/>
          <w:color w:val="auto"/>
        </w:rPr>
      </w:pPr>
    </w:p>
    <w:p>
      <w:pPr>
        <w:ind w:right="140" w:firstLine="439"/>
        <w:spacing w:after="0" w:line="242" w:lineRule="auto"/>
        <w:rPr>
          <w:sz w:val="20"/>
          <w:szCs w:val="20"/>
          <w:color w:val="auto"/>
        </w:rPr>
      </w:pPr>
      <w:r>
        <w:rPr>
          <w:rFonts w:ascii="Arial" w:cs="Arial" w:eastAsia="Arial" w:hAnsi="Arial"/>
          <w:sz w:val="16"/>
          <w:szCs w:val="16"/>
          <w:color w:val="auto"/>
        </w:rPr>
        <w:t>The Company translates the assets and liabilities of Bicycle Therapeutics Limited, BicycleTx Limited and BicycleRD Limited into USD at the exchange rate in effect on the balance sheet date. Revenues and expenses are translated at the average exchange rate in effect during the period. Unrealized translation gains and losses are recorded as a cumulative translation adjustment, which is included in the consolidated statements of convertible preferred shares and shareholders' (deficit) equity as a component of accumulated other comprehensive income (loss).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Concentrations of credit risk and of significant suppliers</w:t>
      </w:r>
    </w:p>
    <w:p>
      <w:pPr>
        <w:spacing w:after="0" w:line="213" w:lineRule="exact"/>
        <w:rPr>
          <w:sz w:val="20"/>
          <w:szCs w:val="20"/>
          <w:color w:val="auto"/>
        </w:rPr>
      </w:pPr>
    </w:p>
    <w:p>
      <w:pPr>
        <w:jc w:val="both"/>
        <w:ind w:right="60" w:firstLine="442"/>
        <w:spacing w:after="0" w:line="244"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accounts receivable. The Company deposits its cash in financial institutions in amounts that may exceed federally insured limits and has not experienced any losses on such accounts. The Company does not believe it is exposed to any unusual credit risk beyond the normal credit risk associated with commercial banking relationships.</w:t>
      </w:r>
    </w:p>
    <w:p>
      <w:pPr>
        <w:spacing w:after="0" w:line="185" w:lineRule="exact"/>
        <w:rPr>
          <w:sz w:val="20"/>
          <w:szCs w:val="20"/>
          <w:color w:val="auto"/>
        </w:rPr>
      </w:pPr>
    </w:p>
    <w:p>
      <w:pPr>
        <w:ind w:right="100" w:firstLine="433"/>
        <w:spacing w:after="0" w:line="249" w:lineRule="auto"/>
        <w:rPr>
          <w:sz w:val="20"/>
          <w:szCs w:val="20"/>
          <w:color w:val="auto"/>
        </w:rPr>
      </w:pPr>
      <w:r>
        <w:rPr>
          <w:rFonts w:ascii="Arial" w:cs="Arial" w:eastAsia="Arial" w:hAnsi="Arial"/>
          <w:sz w:val="16"/>
          <w:szCs w:val="16"/>
          <w:color w:val="auto"/>
        </w:rPr>
        <w:t>Accounts receivable primarily consist of amounts due under the collaboration agreements between BicycleTx Limited and AstraZeneca AB ("AstraZeneca") and Bioverativ, Inc. ("Bioverativ") and between BicycleRD Limited and Oxurion NV. ("Oxurion"), formerly ThromboGenics NV.</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4" w:name="page265"/>
    <w:bookmarkEnd w:id="2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5"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(Note 10), for which the Company does not obtain collateral. As of December 31, 2017 and 2018, all of the Company's revenue to date has been generated from the collaboration agreements with AstraZeneca, Bioverativ, and Oxurion.</w:t>
      </w:r>
    </w:p>
    <w:p>
      <w:pPr>
        <w:spacing w:after="0" w:line="181" w:lineRule="exact"/>
        <w:rPr>
          <w:sz w:val="20"/>
          <w:szCs w:val="20"/>
          <w:color w:val="auto"/>
        </w:rPr>
      </w:pPr>
    </w:p>
    <w:p>
      <w:pPr>
        <w:ind w:right="740" w:firstLine="439"/>
        <w:spacing w:after="0" w:line="282" w:lineRule="auto"/>
        <w:rPr>
          <w:sz w:val="20"/>
          <w:szCs w:val="20"/>
          <w:color w:val="auto"/>
        </w:rPr>
      </w:pPr>
      <w:r>
        <w:rPr>
          <w:rFonts w:ascii="Arial" w:cs="Arial" w:eastAsia="Arial" w:hAnsi="Arial"/>
          <w:sz w:val="15"/>
          <w:szCs w:val="15"/>
          <w:color w:val="auto"/>
        </w:rPr>
        <w:t>The Company relies, and expects to continue to rely, on a small number of vendors to manufacture supplies and raw materials for its development programs. These programs could be adversely affected by a significant interruption in these manufacturing services or the availability of raw materials.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13" w:lineRule="exact"/>
        <w:rPr>
          <w:sz w:val="20"/>
          <w:szCs w:val="20"/>
          <w:color w:val="auto"/>
        </w:rPr>
      </w:pPr>
    </w:p>
    <w:p>
      <w:pPr>
        <w:ind w:right="640" w:firstLine="439"/>
        <w:spacing w:after="0" w:line="249"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date of purchase to be cash equivalents. The Company had no cash equivalents at December 31, 2017 and 2018.</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213" w:lineRule="exact"/>
        <w:rPr>
          <w:sz w:val="20"/>
          <w:szCs w:val="20"/>
          <w:color w:val="auto"/>
        </w:rPr>
      </w:pPr>
    </w:p>
    <w:p>
      <w:pPr>
        <w:ind w:right="280" w:firstLine="439"/>
        <w:spacing w:after="0" w:line="244" w:lineRule="auto"/>
        <w:rPr>
          <w:sz w:val="20"/>
          <w:szCs w:val="20"/>
          <w:color w:val="auto"/>
        </w:rPr>
      </w:pPr>
      <w:r>
        <w:rPr>
          <w:rFonts w:ascii="Arial" w:cs="Arial" w:eastAsia="Arial" w:hAnsi="Arial"/>
          <w:sz w:val="16"/>
          <w:szCs w:val="16"/>
          <w:color w:val="auto"/>
        </w:rPr>
        <w:t>The Company makes judgments as to its ability to collect outstanding receivables and provides an allowance for receivables when collection becomes doubtful. Provisions are made based upon a specific review of all significant outstanding invoices and the overall quality and age of those invoices. To date, the Company has not had any write-offs of bad debt, and the Company did not have an allowance for doubtful accounts as of December 31, 2017 and 2018.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offering costs</w:t>
      </w:r>
    </w:p>
    <w:p>
      <w:pPr>
        <w:spacing w:after="0" w:line="213" w:lineRule="exact"/>
        <w:rPr>
          <w:sz w:val="20"/>
          <w:szCs w:val="20"/>
          <w:color w:val="auto"/>
        </w:rPr>
      </w:pPr>
    </w:p>
    <w:p>
      <w:pPr>
        <w:ind w:right="260" w:firstLine="439"/>
        <w:spacing w:after="0" w:line="24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(deficit) equity as a reduction of proceeds generated as a result of the offering. Should an in-process equity financing be abandoned, the deferred offering costs will be expensed immediately as a charge to operating expenses in the consolidated statements of operations and comprehensive loss. At December 31, 2018, the Company capitalized $1.6 million of offering costs, which are recorded within other assets in the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213" w:lineRule="exact"/>
        <w:rPr>
          <w:sz w:val="20"/>
          <w:szCs w:val="20"/>
          <w:color w:val="auto"/>
        </w:rPr>
      </w:pPr>
    </w:p>
    <w:p>
      <w:pPr>
        <w:ind w:right="80" w:firstLine="442"/>
        <w:spacing w:after="0" w:line="249"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and amortization expense is recognized using the straight-line method over the estimated useful lives of the respective assets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56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Estimated Useful Life</w:t>
            </w:r>
          </w:p>
        </w:tc>
        <w:tc>
          <w:tcPr>
            <w:tcW w:w="1720" w:type="dxa"/>
            <w:vAlign w:val="bottom"/>
          </w:tcPr>
          <w:p>
            <w:pPr>
              <w:spacing w:after="0"/>
              <w:rPr>
                <w:sz w:val="17"/>
                <w:szCs w:val="17"/>
                <w:color w:val="auto"/>
              </w:rPr>
            </w:pPr>
          </w:p>
        </w:tc>
      </w:tr>
      <w:tr>
        <w:trPr>
          <w:trHeight w:val="183"/>
        </w:trPr>
        <w:tc>
          <w:tcPr>
            <w:tcW w:w="17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Laboratory equipment</w:t>
            </w:r>
          </w:p>
        </w:tc>
        <w:tc>
          <w:tcPr>
            <w:tcW w:w="5020" w:type="dxa"/>
            <w:vAlign w:val="bottom"/>
            <w:gridSpan w:val="2"/>
            <w:shd w:val="clear" w:color="auto" w:fill="CCEEFF"/>
          </w:tcPr>
          <w:p>
            <w:pPr>
              <w:ind w:left="2460"/>
              <w:spacing w:after="0"/>
              <w:rPr>
                <w:sz w:val="20"/>
                <w:szCs w:val="20"/>
                <w:color w:val="auto"/>
              </w:rPr>
            </w:pPr>
            <w:r>
              <w:rPr>
                <w:rFonts w:ascii="Arial" w:cs="Arial" w:eastAsia="Arial" w:hAnsi="Arial"/>
                <w:sz w:val="16"/>
                <w:szCs w:val="16"/>
                <w:color w:val="auto"/>
              </w:rPr>
              <w:t>3 to 5 years</w:t>
            </w:r>
          </w:p>
        </w:tc>
        <w:tc>
          <w:tcPr>
            <w:tcW w:w="1720" w:type="dxa"/>
            <w:vAlign w:val="bottom"/>
          </w:tcPr>
          <w:p>
            <w:pPr>
              <w:spacing w:after="0"/>
              <w:rPr>
                <w:sz w:val="15"/>
                <w:szCs w:val="15"/>
                <w:color w:val="auto"/>
              </w:rPr>
            </w:pPr>
          </w:p>
        </w:tc>
      </w:tr>
      <w:tr>
        <w:trPr>
          <w:trHeight w:val="403"/>
        </w:trPr>
        <w:tc>
          <w:tcPr>
            <w:tcW w:w="4700" w:type="dxa"/>
            <w:vAlign w:val="bottom"/>
            <w:gridSpan w:val="2"/>
          </w:tcPr>
          <w:p>
            <w:pPr>
              <w:ind w:left="1720"/>
              <w:spacing w:after="0"/>
              <w:rPr>
                <w:sz w:val="20"/>
                <w:szCs w:val="20"/>
                <w:color w:val="auto"/>
              </w:rPr>
            </w:pPr>
            <w:r>
              <w:rPr>
                <w:rFonts w:ascii="Arial" w:cs="Arial" w:eastAsia="Arial" w:hAnsi="Arial"/>
                <w:sz w:val="16"/>
                <w:szCs w:val="16"/>
                <w:color w:val="auto"/>
              </w:rPr>
              <w:t>Leasehold improvements</w:t>
            </w:r>
          </w:p>
        </w:tc>
        <w:tc>
          <w:tcPr>
            <w:tcW w:w="6740" w:type="dxa"/>
            <w:vAlign w:val="bottom"/>
            <w:gridSpan w:val="3"/>
          </w:tcPr>
          <w:p>
            <w:pPr>
              <w:ind w:left="2460"/>
              <w:spacing w:after="0"/>
              <w:rPr>
                <w:sz w:val="20"/>
                <w:szCs w:val="20"/>
                <w:color w:val="auto"/>
              </w:rPr>
            </w:pPr>
            <w:r>
              <w:rPr>
                <w:rFonts w:ascii="Arial" w:cs="Arial" w:eastAsia="Arial" w:hAnsi="Arial"/>
                <w:sz w:val="16"/>
                <w:szCs w:val="16"/>
                <w:color w:val="auto"/>
              </w:rPr>
              <w:t>Lesser of lease term or useful life</w:t>
            </w:r>
          </w:p>
        </w:tc>
      </w:tr>
      <w:tr>
        <w:trPr>
          <w:trHeight w:val="403"/>
        </w:trPr>
        <w:tc>
          <w:tcPr>
            <w:tcW w:w="1720" w:type="dxa"/>
            <w:vAlign w:val="bottom"/>
          </w:tcPr>
          <w:p>
            <w:pPr>
              <w:spacing w:after="0"/>
              <w:rPr>
                <w:sz w:val="24"/>
                <w:szCs w:val="2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5020" w:type="dxa"/>
            <w:vAlign w:val="bottom"/>
            <w:gridSpan w:val="2"/>
            <w:shd w:val="clear" w:color="auto" w:fill="CCEEFF"/>
          </w:tcPr>
          <w:p>
            <w:pPr>
              <w:ind w:left="2460"/>
              <w:spacing w:after="0"/>
              <w:rPr>
                <w:sz w:val="20"/>
                <w:szCs w:val="20"/>
                <w:color w:val="auto"/>
              </w:rPr>
            </w:pPr>
            <w:r>
              <w:rPr>
                <w:rFonts w:ascii="Arial" w:cs="Arial" w:eastAsia="Arial" w:hAnsi="Arial"/>
                <w:sz w:val="16"/>
                <w:szCs w:val="16"/>
                <w:color w:val="auto"/>
              </w:rPr>
              <w:t>3 years</w:t>
            </w:r>
          </w:p>
        </w:tc>
        <w:tc>
          <w:tcPr>
            <w:tcW w:w="1720" w:type="dxa"/>
            <w:vAlign w:val="bottom"/>
          </w:tcPr>
          <w:p>
            <w:pPr>
              <w:spacing w:after="0"/>
              <w:rPr>
                <w:sz w:val="24"/>
                <w:szCs w:val="24"/>
                <w:color w:val="auto"/>
              </w:rPr>
            </w:pPr>
          </w:p>
        </w:tc>
      </w:tr>
      <w:tr>
        <w:trPr>
          <w:trHeight w:val="415"/>
        </w:trPr>
        <w:tc>
          <w:tcPr>
            <w:tcW w:w="4700" w:type="dxa"/>
            <w:vAlign w:val="bottom"/>
            <w:gridSpan w:val="2"/>
          </w:tcPr>
          <w:p>
            <w:pPr>
              <w:ind w:left="1720"/>
              <w:spacing w:after="0"/>
              <w:rPr>
                <w:sz w:val="20"/>
                <w:szCs w:val="20"/>
                <w:color w:val="auto"/>
              </w:rPr>
            </w:pPr>
            <w:r>
              <w:rPr>
                <w:rFonts w:ascii="Arial" w:cs="Arial" w:eastAsia="Arial" w:hAnsi="Arial"/>
                <w:sz w:val="16"/>
                <w:szCs w:val="16"/>
                <w:color w:val="auto"/>
              </w:rPr>
              <w:t>Furniture and office equipment</w:t>
            </w:r>
          </w:p>
        </w:tc>
        <w:tc>
          <w:tcPr>
            <w:tcW w:w="6740" w:type="dxa"/>
            <w:vAlign w:val="bottom"/>
            <w:gridSpan w:val="3"/>
          </w:tcPr>
          <w:p>
            <w:pPr>
              <w:ind w:left="2460"/>
              <w:spacing w:after="0"/>
              <w:rPr>
                <w:sz w:val="20"/>
                <w:szCs w:val="20"/>
                <w:color w:val="auto"/>
              </w:rPr>
            </w:pPr>
            <w:r>
              <w:rPr>
                <w:rFonts w:ascii="Arial" w:cs="Arial" w:eastAsia="Arial" w:hAnsi="Arial"/>
                <w:sz w:val="16"/>
                <w:szCs w:val="16"/>
                <w:color w:val="auto"/>
              </w:rPr>
              <w:t>5 years</w:t>
            </w:r>
          </w:p>
        </w:tc>
      </w:tr>
      <w:tr>
        <w:trPr>
          <w:trHeight w:val="379"/>
        </w:trPr>
        <w:tc>
          <w:tcPr>
            <w:tcW w:w="1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740" w:type="dxa"/>
            <w:vAlign w:val="bottom"/>
            <w:gridSpan w:val="3"/>
          </w:tcPr>
          <w:p>
            <w:pPr>
              <w:ind w:left="860"/>
              <w:spacing w:after="0"/>
              <w:rPr>
                <w:sz w:val="20"/>
                <w:szCs w:val="20"/>
                <w:color w:val="auto"/>
              </w:rPr>
            </w:pPr>
            <w:r>
              <w:rPr>
                <w:rFonts w:ascii="Arial" w:cs="Arial" w:eastAsia="Arial" w:hAnsi="Arial"/>
                <w:sz w:val="16"/>
                <w:szCs w:val="16"/>
                <w:color w:val="auto"/>
              </w:rPr>
              <w:t>F-14</w:t>
            </w:r>
          </w:p>
        </w:tc>
      </w:tr>
      <w:tr>
        <w:trPr>
          <w:trHeight w:val="193"/>
        </w:trPr>
        <w:tc>
          <w:tcPr>
            <w:tcW w:w="1720" w:type="dxa"/>
            <w:vAlign w:val="bottom"/>
            <w:tcBorders>
              <w:bottom w:val="single" w:sz="8" w:color="808080"/>
            </w:tcBorders>
          </w:tcPr>
          <w:p>
            <w:pPr>
              <w:spacing w:after="0"/>
              <w:rPr>
                <w:sz w:val="16"/>
                <w:szCs w:val="16"/>
                <w:color w:val="auto"/>
              </w:rPr>
            </w:pPr>
          </w:p>
        </w:tc>
        <w:tc>
          <w:tcPr>
            <w:tcW w:w="2980" w:type="dxa"/>
            <w:vAlign w:val="bottom"/>
            <w:tcBorders>
              <w:bottom w:val="single" w:sz="8" w:color="808080"/>
            </w:tcBorders>
          </w:tcPr>
          <w:p>
            <w:pPr>
              <w:spacing w:after="0"/>
              <w:rPr>
                <w:sz w:val="16"/>
                <w:szCs w:val="16"/>
                <w:color w:val="auto"/>
              </w:rPr>
            </w:pPr>
          </w:p>
        </w:tc>
        <w:tc>
          <w:tcPr>
            <w:tcW w:w="2460" w:type="dxa"/>
            <w:vAlign w:val="bottom"/>
            <w:tcBorders>
              <w:bottom w:val="single" w:sz="8" w:color="808080"/>
            </w:tcBorders>
          </w:tcPr>
          <w:p>
            <w:pPr>
              <w:spacing w:after="0"/>
              <w:rPr>
                <w:sz w:val="16"/>
                <w:szCs w:val="16"/>
                <w:color w:val="auto"/>
              </w:rPr>
            </w:pPr>
          </w:p>
        </w:tc>
        <w:tc>
          <w:tcPr>
            <w:tcW w:w="256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65" w:name="page266"/>
    <w:bookmarkEnd w:id="2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5" w:lineRule="exact"/>
        <w:rPr>
          <w:sz w:val="20"/>
          <w:szCs w:val="20"/>
          <w:color w:val="auto"/>
        </w:rPr>
      </w:pPr>
    </w:p>
    <w:p>
      <w:pPr>
        <w:ind w:right="280" w:firstLine="442"/>
        <w:spacing w:after="0" w:line="242" w:lineRule="auto"/>
        <w:rPr>
          <w:sz w:val="20"/>
          <w:szCs w:val="20"/>
          <w:color w:val="auto"/>
        </w:rPr>
      </w:pPr>
      <w:r>
        <w:rPr>
          <w:rFonts w:ascii="Arial" w:cs="Arial" w:eastAsia="Arial" w:hAnsi="Arial"/>
          <w:sz w:val="16"/>
          <w:szCs w:val="16"/>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are removed from the accounts and any resulting gain or loss is included in loss from operations. As of December 31, 2017 and 2018, there have been no significant asset retirements to date. Expenditures for repairs and maintenance are charged to expense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213" w:lineRule="exact"/>
        <w:rPr>
          <w:sz w:val="20"/>
          <w:szCs w:val="20"/>
          <w:color w:val="auto"/>
        </w:rPr>
      </w:pPr>
    </w:p>
    <w:p>
      <w:pPr>
        <w:ind w:right="60" w:firstLine="442"/>
        <w:spacing w:after="0"/>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rent</w:t>
      </w:r>
    </w:p>
    <w:p>
      <w:pPr>
        <w:spacing w:after="0" w:line="213" w:lineRule="exact"/>
        <w:rPr>
          <w:sz w:val="20"/>
          <w:szCs w:val="20"/>
          <w:color w:val="auto"/>
        </w:rPr>
      </w:pPr>
    </w:p>
    <w:p>
      <w:pPr>
        <w:ind w:right="20" w:firstLine="439"/>
        <w:spacing w:after="0" w:line="249" w:lineRule="auto"/>
        <w:rPr>
          <w:sz w:val="20"/>
          <w:szCs w:val="20"/>
          <w:color w:val="auto"/>
        </w:rPr>
      </w:pPr>
      <w:r>
        <w:rPr>
          <w:rFonts w:ascii="Arial" w:cs="Arial" w:eastAsia="Arial" w:hAnsi="Arial"/>
          <w:sz w:val="16"/>
          <w:szCs w:val="16"/>
          <w:color w:val="auto"/>
        </w:rPr>
        <w:t>The Company recognizes rent expense on a straight-line basis over the respective lease terms and has recorded deferred rent for rent expense incurred but not yet paid.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13"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9" w:lineRule="exact"/>
        <w:rPr>
          <w:sz w:val="20"/>
          <w:szCs w:val="20"/>
          <w:color w:val="auto"/>
        </w:rPr>
      </w:pPr>
    </w:p>
    <w:p>
      <w:pPr>
        <w:ind w:left="980" w:hanging="493"/>
        <w:spacing w:after="0"/>
        <w:tabs>
          <w:tab w:leader="none" w:pos="9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195" w:lineRule="exact"/>
        <w:rPr>
          <w:rFonts w:ascii="Arial" w:cs="Arial" w:eastAsia="Arial" w:hAnsi="Arial"/>
          <w:sz w:val="16"/>
          <w:szCs w:val="16"/>
          <w:color w:val="auto"/>
        </w:rPr>
      </w:pPr>
    </w:p>
    <w:p>
      <w:pPr>
        <w:ind w:left="980" w:hanging="493"/>
        <w:spacing w:after="0" w:line="244" w:lineRule="auto"/>
        <w:tabs>
          <w:tab w:leader="none" w:pos="9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6" w:name="page267"/>
    <w:bookmarkEnd w:id="2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5" w:lineRule="exact"/>
        <w:rPr>
          <w:sz w:val="20"/>
          <w:szCs w:val="20"/>
          <w:color w:val="auto"/>
        </w:rPr>
      </w:pPr>
    </w:p>
    <w:p>
      <w:pPr>
        <w:ind w:left="980" w:right="400" w:hanging="493"/>
        <w:spacing w:after="0" w:line="249" w:lineRule="auto"/>
        <w:tabs>
          <w:tab w:leader="none" w:pos="9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81" w:lineRule="exact"/>
        <w:rPr>
          <w:sz w:val="20"/>
          <w:szCs w:val="20"/>
          <w:color w:val="auto"/>
        </w:rPr>
      </w:pPr>
    </w:p>
    <w:p>
      <w:pPr>
        <w:ind w:right="140" w:firstLine="439"/>
        <w:spacing w:after="0" w:line="244" w:lineRule="auto"/>
        <w:rPr>
          <w:sz w:val="20"/>
          <w:szCs w:val="20"/>
          <w:color w:val="auto"/>
        </w:rPr>
      </w:pPr>
      <w:r>
        <w:rPr>
          <w:rFonts w:ascii="Arial" w:cs="Arial" w:eastAsia="Arial" w:hAnsi="Arial"/>
          <w:sz w:val="16"/>
          <w:szCs w:val="16"/>
          <w:color w:val="auto"/>
        </w:rPr>
        <w:t>The Company's warrant liability is carried at fair value, determined according to the fair value hierarchy described above (Note 3). The carrying values of accounts receivable, research and development incentives receivable, other current assets, accounts payable and accrued expenses and other current liabilities approximate their fair values due to the short-term nature of these assets and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 liability</w:t>
      </w:r>
    </w:p>
    <w:p>
      <w:pPr>
        <w:spacing w:after="0" w:line="213" w:lineRule="exact"/>
        <w:rPr>
          <w:sz w:val="20"/>
          <w:szCs w:val="20"/>
          <w:color w:val="auto"/>
        </w:rPr>
      </w:pPr>
    </w:p>
    <w:p>
      <w:pPr>
        <w:ind w:right="80" w:firstLine="439"/>
        <w:spacing w:after="0" w:line="241" w:lineRule="auto"/>
        <w:rPr>
          <w:sz w:val="20"/>
          <w:szCs w:val="20"/>
          <w:color w:val="auto"/>
        </w:rPr>
      </w:pPr>
      <w:r>
        <w:rPr>
          <w:rFonts w:ascii="Arial" w:cs="Arial" w:eastAsia="Arial" w:hAnsi="Arial"/>
          <w:sz w:val="16"/>
          <w:szCs w:val="16"/>
          <w:color w:val="auto"/>
        </w:rPr>
        <w:t>The Company classifies warrants to subscribe for Series A and Series B1 convertible preferred shares (Note 6) as a liability on its consolidated balance sheets as these warrants to subscribe for Series A and Series B1 convertible preferred shares are free-standing financial instruments that may require the Company to transfer assets upon exercise. The warrant liability was initially recorded at fair value upon the date of the warrants' issuance and is subsequently remeasured to fair value at each reporting date. Changes in the fair value of the warrant liability are recognized as a component of other income (expense), net in the consolidated statements of operations and comprehensive loss. Changes in the fair value of the warrant liability will continue to be recognized until the warrants to subscribe for Series A and Series B1 convertible preferred shares are exercised or expire.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and geographic information</w:t>
      </w:r>
    </w:p>
    <w:p>
      <w:pPr>
        <w:spacing w:after="0" w:line="213" w:lineRule="exact"/>
        <w:rPr>
          <w:sz w:val="20"/>
          <w:szCs w:val="20"/>
          <w:color w:val="auto"/>
        </w:rPr>
      </w:pPr>
    </w:p>
    <w:p>
      <w:pPr>
        <w:ind w:right="260" w:firstLine="442"/>
        <w:spacing w:after="0" w:line="242" w:lineRule="auto"/>
        <w:rPr>
          <w:sz w:val="20"/>
          <w:szCs w:val="20"/>
          <w:color w:val="auto"/>
        </w:rPr>
      </w:pPr>
      <w:r>
        <w:rPr>
          <w:rFonts w:ascii="Arial" w:cs="Arial" w:eastAsia="Arial" w:hAnsi="Arial"/>
          <w:sz w:val="16"/>
          <w:szCs w:val="16"/>
          <w:color w:val="auto"/>
        </w:rPr>
        <w:t>Operating segments are defined as components of a business for which separate discrete financial information is available for evaluation by the chief operating decision maker in deciding how to allocate resources and assess performance. The Company and its chief operating decision maker, the Company's Chief Executive Officer, view the Company's operations and manages its business as a single operating segment, which is developing a unique class of chemically synthesized medicines based on its proprietary constrained peptides.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operates in two geographic regions: the United Kingdom and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13" w:lineRule="exact"/>
        <w:rPr>
          <w:sz w:val="20"/>
          <w:szCs w:val="20"/>
          <w:color w:val="auto"/>
        </w:rPr>
      </w:pPr>
    </w:p>
    <w:p>
      <w:pPr>
        <w:ind w:firstLine="439"/>
        <w:spacing w:after="0" w:line="242" w:lineRule="auto"/>
        <w:rPr>
          <w:sz w:val="20"/>
          <w:szCs w:val="20"/>
          <w:color w:val="auto"/>
        </w:rPr>
      </w:pPr>
      <w:r>
        <w:rPr>
          <w:rFonts w:ascii="Arial" w:cs="Arial" w:eastAsia="Arial" w:hAnsi="Arial"/>
          <w:sz w:val="16"/>
          <w:szCs w:val="16"/>
          <w:color w:val="auto"/>
        </w:rPr>
        <w:t>The Company's revenues are generated primarily through collaborative arrangements and license agreements with pharmaceutical companies. The terms of these arrangements may include (i) performing research and development services using the Company's bicyclic peptide screening platform with the goal of identifying compounds for further development and commercialization, (ii) options to obtain additional research and development services or licenses for additional targets, or to optimize product candidates, upon the payment of option fees, or (iii) the transfer of intellectual property rights (licenses).</w:t>
      </w:r>
    </w:p>
    <w:p>
      <w:pPr>
        <w:spacing w:after="0" w:line="187" w:lineRule="exact"/>
        <w:rPr>
          <w:sz w:val="20"/>
          <w:szCs w:val="20"/>
          <w:color w:val="auto"/>
        </w:rPr>
      </w:pPr>
    </w:p>
    <w:p>
      <w:pPr>
        <w:ind w:right="60" w:firstLine="439"/>
        <w:spacing w:after="0" w:line="249" w:lineRule="auto"/>
        <w:rPr>
          <w:sz w:val="20"/>
          <w:szCs w:val="20"/>
          <w:color w:val="auto"/>
        </w:rPr>
      </w:pPr>
      <w:r>
        <w:rPr>
          <w:rFonts w:ascii="Arial" w:cs="Arial" w:eastAsia="Arial" w:hAnsi="Arial"/>
          <w:sz w:val="16"/>
          <w:szCs w:val="16"/>
          <w:color w:val="auto"/>
        </w:rPr>
        <w:t>The terms of these arrangements typically include payment to the Company of one or more of the following: non-refundable, upfront license fees; payments for research and development services; fees upon the exercise of options to obtain additional services or licenses; payments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7" w:name="page268"/>
    <w:bookmarkEnd w:id="267"/>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5" w:lineRule="exact"/>
        <w:rPr>
          <w:sz w:val="20"/>
          <w:szCs w:val="20"/>
          <w:color w:val="auto"/>
        </w:rPr>
      </w:pPr>
    </w:p>
    <w:p>
      <w:pPr>
        <w:ind w:left="2" w:right="500"/>
        <w:spacing w:after="0" w:line="249" w:lineRule="auto"/>
        <w:rPr>
          <w:sz w:val="20"/>
          <w:szCs w:val="20"/>
          <w:color w:val="auto"/>
        </w:rPr>
      </w:pPr>
      <w:r>
        <w:rPr>
          <w:rFonts w:ascii="Arial" w:cs="Arial" w:eastAsia="Arial" w:hAnsi="Arial"/>
          <w:sz w:val="16"/>
          <w:szCs w:val="16"/>
          <w:color w:val="auto"/>
        </w:rPr>
        <w:t>based upon the achievement of defined collaboration objectives; future regulatory and sales-based milestone payments; and royalties on net sales of future products.</w:t>
      </w:r>
    </w:p>
    <w:p>
      <w:pPr>
        <w:spacing w:after="0" w:line="165" w:lineRule="exact"/>
        <w:rPr>
          <w:sz w:val="20"/>
          <w:szCs w:val="20"/>
          <w:color w:val="auto"/>
        </w:rPr>
      </w:pPr>
    </w:p>
    <w:p>
      <w:pPr>
        <w:ind w:left="2" w:right="80" w:firstLine="439"/>
        <w:spacing w:after="0" w:line="254" w:lineRule="auto"/>
        <w:rPr>
          <w:sz w:val="20"/>
          <w:szCs w:val="20"/>
          <w:color w:val="auto"/>
        </w:rPr>
      </w:pPr>
      <w:r>
        <w:rPr>
          <w:rFonts w:ascii="Arial" w:cs="Arial" w:eastAsia="Arial" w:hAnsi="Arial"/>
          <w:sz w:val="16"/>
          <w:szCs w:val="16"/>
          <w:color w:val="auto"/>
        </w:rPr>
        <w:t xml:space="preserve">The Company has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("ASC 606") and all subsequent amendments using the full retrospective transition method for all periods presented. This standard applies to all contracts with customers, except for contracts that are within the scope of other standards, such as leases, insurance, collaboration arrangements and financial instruments.</w:t>
      </w:r>
    </w:p>
    <w:p>
      <w:pPr>
        <w:spacing w:after="0" w:line="178" w:lineRule="exact"/>
        <w:rPr>
          <w:sz w:val="20"/>
          <w:szCs w:val="20"/>
          <w:color w:val="auto"/>
        </w:rPr>
      </w:pPr>
    </w:p>
    <w:p>
      <w:pPr>
        <w:ind w:left="2" w:right="40" w:firstLine="442"/>
        <w:spacing w:after="0" w:line="249"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w:t>
      </w:r>
    </w:p>
    <w:p>
      <w:pPr>
        <w:spacing w:after="0" w:line="180" w:lineRule="exact"/>
        <w:rPr>
          <w:sz w:val="20"/>
          <w:szCs w:val="20"/>
          <w:color w:val="auto"/>
        </w:rPr>
      </w:pPr>
    </w:p>
    <w:p>
      <w:pPr>
        <w:ind w:left="442"/>
        <w:spacing w:after="0"/>
        <w:rPr>
          <w:sz w:val="20"/>
          <w:szCs w:val="20"/>
          <w:color w:val="auto"/>
        </w:rPr>
      </w:pPr>
      <w:r>
        <w:rPr>
          <w:rFonts w:ascii="Arial" w:cs="Arial" w:eastAsia="Arial" w:hAnsi="Arial"/>
          <w:sz w:val="16"/>
          <w:szCs w:val="16"/>
          <w:color w:val="auto"/>
        </w:rPr>
        <w:t>To determine revenue recognition for arrangements that the Company determines are within the scope of ASC 606, it performs the following five steps:</w:t>
      </w:r>
    </w:p>
    <w:p>
      <w:pPr>
        <w:ind w:left="2" w:hanging="2"/>
        <w:spacing w:after="0" w:line="241" w:lineRule="auto"/>
        <w:tabs>
          <w:tab w:leader="none" w:pos="18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entity will collect substantially all of the consideration it is entitled to in exchange for the goods or services it transfers to the customer.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88" w:lineRule="exact"/>
        <w:rPr>
          <w:sz w:val="20"/>
          <w:szCs w:val="20"/>
          <w:color w:val="auto"/>
        </w:rPr>
      </w:pPr>
    </w:p>
    <w:p>
      <w:pPr>
        <w:ind w:left="2" w:right="20" w:firstLine="442"/>
        <w:spacing w:after="0" w:line="242" w:lineRule="auto"/>
        <w:rPr>
          <w:sz w:val="20"/>
          <w:szCs w:val="20"/>
          <w:color w:val="auto"/>
        </w:rPr>
      </w:pPr>
      <w:r>
        <w:rPr>
          <w:rFonts w:ascii="Arial" w:cs="Arial" w:eastAsia="Arial" w:hAnsi="Arial"/>
          <w:sz w:val="16"/>
          <w:szCs w:val="16"/>
          <w:color w:val="auto"/>
        </w:rPr>
        <w:t>Once a contract is determined to be within the scope of ASC 606, the Company assesses the goods or services promised within the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pacing w:after="0" w:line="187" w:lineRule="exact"/>
        <w:rPr>
          <w:sz w:val="20"/>
          <w:szCs w:val="20"/>
          <w:color w:val="auto"/>
        </w:rPr>
      </w:pPr>
    </w:p>
    <w:p>
      <w:pPr>
        <w:ind w:left="2" w:right="40" w:firstLine="442"/>
        <w:spacing w:after="0"/>
        <w:rPr>
          <w:sz w:val="20"/>
          <w:szCs w:val="20"/>
          <w:color w:val="auto"/>
        </w:rPr>
      </w:pPr>
      <w:r>
        <w:rPr>
          <w:rFonts w:ascii="Arial" w:cs="Arial" w:eastAsia="Arial" w:hAnsi="Arial"/>
          <w:sz w:val="16"/>
          <w:szCs w:val="16"/>
          <w:color w:val="auto"/>
        </w:rPr>
        <w:t>Performance obligations are promised goods or services in a contract to transfer a distinct good or service to the customer. The promised goods or services in the Company's contracts with customers primarily consist of license rights to the Company's intellectual property for research and development, research and development services, options to acquire additional research and development services, and options to obtain additional licenses, such as a commercialization license for a potential product candidate.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their own and whether the required expertise is readily available. In addition, the Company considers whether the collaboration partner can benefit from a promise for its intended purpose without the receipt of the remaining promises, whether the value of the promise is dependent on the unsatisfied promises, whether there are other vendors that could provide the remaining promises, and whether it is separately identifiable from the remaining promises.</w:t>
      </w:r>
    </w:p>
    <w:p>
      <w:pPr>
        <w:spacing w:after="0" w:line="19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142" w:right="259" w:bottom="1440" w:gutter="0" w:footer="0" w:header="0"/>
        </w:sectPr>
      </w:pPr>
    </w:p>
    <w:bookmarkStart w:id="268" w:name="page269"/>
    <w:bookmarkEnd w:id="2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5"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The Company estimates the transaction price based on the amount of consideration the Company expects to receive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 The Company utilizes either the most likely amount method or expected value method to estimate variable consideration to include in the transaction price based on which method better predicts the amount of consideration expected to be received.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191" w:lineRule="exact"/>
        <w:rPr>
          <w:sz w:val="20"/>
          <w:szCs w:val="20"/>
          <w:color w:val="auto"/>
        </w:rPr>
      </w:pPr>
    </w:p>
    <w:p>
      <w:pPr>
        <w:ind w:firstLine="433"/>
        <w:spacing w:after="0" w:line="260" w:lineRule="auto"/>
        <w:rPr>
          <w:sz w:val="20"/>
          <w:szCs w:val="20"/>
          <w:color w:val="auto"/>
        </w:rPr>
      </w:pPr>
      <w:r>
        <w:rPr>
          <w:rFonts w:ascii="Arial" w:cs="Arial" w:eastAsia="Arial" w:hAnsi="Arial"/>
          <w:sz w:val="15"/>
          <w:szCs w:val="15"/>
          <w:color w:val="auto"/>
        </w:rPr>
        <w:t>After the transaction price is determined it is allocated to the identified performance obligations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probabilities of technical and regulatory success and the estimated costs.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the Company would expect to receive for each performance obligation.</w:t>
      </w:r>
    </w:p>
    <w:p>
      <w:pPr>
        <w:spacing w:after="0" w:line="175" w:lineRule="exact"/>
        <w:rPr>
          <w:sz w:val="20"/>
          <w:szCs w:val="20"/>
          <w:color w:val="auto"/>
        </w:rPr>
      </w:pPr>
    </w:p>
    <w:p>
      <w:pPr>
        <w:ind w:firstLine="439"/>
        <w:spacing w:after="0" w:line="249" w:lineRule="auto"/>
        <w:rPr>
          <w:sz w:val="20"/>
          <w:szCs w:val="20"/>
          <w:color w:val="auto"/>
        </w:rPr>
      </w:pPr>
      <w:r>
        <w:rPr>
          <w:rFonts w:ascii="Arial" w:cs="Arial" w:eastAsia="Arial" w:hAnsi="Arial"/>
          <w:sz w:val="16"/>
          <w:szCs w:val="16"/>
          <w:color w:val="auto"/>
        </w:rPr>
        <w:t>The Company then recognizes as revenue in the amount of the transaction price that is allocated to the respective performance obligation when (or as) each performance obligation is satisfied at a point in time or over time, and if over time based on the use of an input method.</w:t>
      </w:r>
    </w:p>
    <w:p>
      <w:pPr>
        <w:spacing w:after="0" w:line="165" w:lineRule="exact"/>
        <w:rPr>
          <w:sz w:val="20"/>
          <w:szCs w:val="20"/>
          <w:color w:val="auto"/>
        </w:rPr>
      </w:pPr>
    </w:p>
    <w:p>
      <w:pPr>
        <w:ind w:right="120" w:firstLine="442"/>
        <w:spacing w:after="0" w:line="243"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a license to the Company's intellectual property is determined to be distinct from the other promises or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identified in the arrangement, the Company recognizes revenue from non-refundable, upfront fees allocated to the license when the license is transferred to the customer and the customer is able to use and benefit from the license. For licenses that are combined with other promises, such as research and development services and a research license,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w:t>
      </w:r>
    </w:p>
    <w:p>
      <w:pPr>
        <w:spacing w:after="0" w:line="173" w:lineRule="exact"/>
        <w:rPr>
          <w:sz w:val="20"/>
          <w:szCs w:val="20"/>
          <w:color w:val="auto"/>
        </w:rPr>
      </w:pPr>
    </w:p>
    <w:p>
      <w:pPr>
        <w:ind w:right="180" w:firstLine="442"/>
        <w:spacing w:after="0" w:line="270"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promises under the Company's collaboration agreements may include research and development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performed by the Company on behalf of the partner. Payments or reimbursements resulting from the Company's research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9" w:name="page270"/>
    <w:bookmarkEnd w:id="2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development efforts are recognized as the services are performed and presented on a gross basis because the Company is the principal for such efforts.</w:t>
      </w:r>
    </w:p>
    <w:p>
      <w:pPr>
        <w:spacing w:after="0" w:line="179" w:lineRule="exact"/>
        <w:rPr>
          <w:sz w:val="20"/>
          <w:szCs w:val="20"/>
          <w:color w:val="auto"/>
        </w:rPr>
      </w:pPr>
    </w:p>
    <w:p>
      <w:pPr>
        <w:ind w:firstLine="442"/>
        <w:spacing w:after="0" w:line="245" w:lineRule="auto"/>
        <w:rPr>
          <w:sz w:val="20"/>
          <w:szCs w:val="20"/>
          <w:color w:val="auto"/>
        </w:rPr>
      </w:pPr>
      <w:r>
        <w:rPr>
          <w:rFonts w:ascii="Arial" w:cs="Arial" w:eastAsia="Arial" w:hAnsi="Arial"/>
          <w:sz w:val="16"/>
          <w:szCs w:val="16"/>
          <w:i w:val="1"/>
          <w:iCs w:val="1"/>
          <w:color w:val="auto"/>
        </w:rPr>
        <w:t xml:space="preserve">Customer Options: </w:t>
      </w:r>
      <w:r>
        <w:rPr>
          <w:rFonts w:ascii="Arial" w:cs="Arial" w:eastAsia="Arial" w:hAnsi="Arial"/>
          <w:sz w:val="16"/>
          <w:szCs w:val="16"/>
          <w:color w:val="auto"/>
        </w:rPr>
        <w:t>The Company evaluates the customer options to obtain additional items (i.e. additional license rights) for material rights, or options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acquire additional goods or services for free or at a discount. Optional future services that reflect their standalone selling prices do not provide the customer with a material right and, therefore, are not considered performance obligations and are accounted for as separate contracts. If optional future services include a material right, they are accounted for as performance obligations. The Company determines an estimated standalone selling price of any material rights for the purpose of allocating the transaction price. The Company considers factors such as the identified discount and the probability that the customer will exercise the option. Amounts allocated to a material right are not recognized as revenue until, at the earliest, the option is exercised or expires.</w:t>
      </w:r>
    </w:p>
    <w:p>
      <w:pPr>
        <w:spacing w:after="0" w:line="169" w:lineRule="exact"/>
        <w:rPr>
          <w:sz w:val="20"/>
          <w:szCs w:val="20"/>
          <w:color w:val="auto"/>
        </w:rPr>
      </w:pPr>
    </w:p>
    <w:p>
      <w:pPr>
        <w:ind w:firstLine="442"/>
        <w:spacing w:after="0" w:line="24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The Company's collaboration agreements may include development and regulatory milestones. The Company evaluates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are considered probable of being reached and estimates the amount to be included in the transaction price using the most likely amount method. The Company evaluates factors such as the scientific, clinical, regulatory, commercial, and other risks that must be overcome to achieve the particular milestone in making this assessment. If it is probable that a significant revenue reversal would not occur, the associated milestone value is included in the transaction price.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milestones and any related constraint, and if necessary, adjusts the estimate of the overall transaction price. Any such adjustments are recorded on a cumulative catch-up basis, which would affect collaboration revenue and net loss in the period of adjustment.</w:t>
      </w:r>
    </w:p>
    <w:p>
      <w:pPr>
        <w:spacing w:after="0" w:line="173" w:lineRule="exact"/>
        <w:rPr>
          <w:sz w:val="20"/>
          <w:szCs w:val="20"/>
          <w:color w:val="auto"/>
        </w:rPr>
      </w:pPr>
    </w:p>
    <w:p>
      <w:pPr>
        <w:ind w:right="20" w:firstLine="442"/>
        <w:spacing w:after="0" w:line="247"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For sales-based royalties, including milestone payments based on the level of sales, the Company determines whether the sole or predominant</w:t>
      </w:r>
      <w:r>
        <w:rPr>
          <w:rFonts w:ascii="Arial" w:cs="Arial" w:eastAsia="Arial" w:hAnsi="Arial"/>
          <w:sz w:val="16"/>
          <w:szCs w:val="16"/>
          <w:i w:val="1"/>
          <w:iCs w:val="1"/>
          <w:color w:val="auto"/>
        </w:rPr>
        <w:t xml:space="preserve"> </w:t>
      </w:r>
      <w:r>
        <w:rPr>
          <w:rFonts w:ascii="Arial" w:cs="Arial" w:eastAsia="Arial" w:hAnsi="Arial"/>
          <w:sz w:val="16"/>
          <w:szCs w:val="16"/>
          <w:color w:val="auto"/>
        </w:rPr>
        <w:t>item to which the royalties relate is a license. When the license is the sole or predominant item to which the sales-based royalty relates, the Company recognizes revenue at the later of: (i) when the related sales occur, or (ii) when the performance obligation to which some or all of the royalty has been allocated has been satisfied (or partially satisfied). To date, the Company has not recognized any sales-based royalty revenue resulting from the Company's collaboration agreements.</w:t>
      </w:r>
    </w:p>
    <w:p>
      <w:pPr>
        <w:spacing w:after="0" w:line="182" w:lineRule="exact"/>
        <w:rPr>
          <w:sz w:val="20"/>
          <w:szCs w:val="20"/>
          <w:color w:val="auto"/>
        </w:rPr>
      </w:pPr>
    </w:p>
    <w:p>
      <w:pPr>
        <w:ind w:right="120" w:firstLine="439"/>
        <w:spacing w:after="0" w:line="268" w:lineRule="auto"/>
        <w:rPr>
          <w:sz w:val="20"/>
          <w:szCs w:val="20"/>
          <w:color w:val="auto"/>
        </w:rPr>
      </w:pPr>
      <w:r>
        <w:rPr>
          <w:rFonts w:ascii="Arial" w:cs="Arial" w:eastAsia="Arial" w:hAnsi="Arial"/>
          <w:sz w:val="15"/>
          <w:szCs w:val="15"/>
          <w:color w:val="auto"/>
        </w:rPr>
        <w:t>The Company receives payments from customers based on billing schedules established in each contract. Up-front payments and fees are recorded as deferred revenue upon receipt or when due until the Company performs its obligations under these arrangements. Amounts are recorded as accounts receivable when the Company's right to consideration is unconditional, such as when the Company has a contractual right to payment per the terms of the contract.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a complete discussion of accounting for collaboration revenues, see Note 10, "Significant Agreements"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70" w:name="page271"/>
    <w:bookmarkEnd w:id="2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costs</w:t>
      </w:r>
    </w:p>
    <w:p>
      <w:pPr>
        <w:spacing w:after="0" w:line="213" w:lineRule="exact"/>
        <w:rPr>
          <w:sz w:val="20"/>
          <w:szCs w:val="20"/>
          <w:color w:val="auto"/>
        </w:rPr>
      </w:pPr>
    </w:p>
    <w:p>
      <w:pPr>
        <w:ind w:right="60" w:firstLine="442"/>
        <w:spacing w:after="0" w:line="242"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share-based compensation and benefits, travel, facilities costs, materials and laboratory supplies, and external costs of outside vendors engaged to conduct preclinical development, clinical development activities, as well as to manufacture clinical trial materials. Facilities costs primarily include the allocation of rent, utilities, and depreciation.</w:t>
      </w:r>
    </w:p>
    <w:p>
      <w:pPr>
        <w:spacing w:after="0" w:line="187" w:lineRule="exact"/>
        <w:rPr>
          <w:sz w:val="20"/>
          <w:szCs w:val="20"/>
          <w:color w:val="auto"/>
        </w:rPr>
      </w:pPr>
    </w:p>
    <w:p>
      <w:pPr>
        <w:ind w:right="20" w:firstLine="442"/>
        <w:spacing w:after="0" w:line="244" w:lineRule="auto"/>
        <w:rPr>
          <w:sz w:val="20"/>
          <w:szCs w:val="20"/>
          <w:color w:val="auto"/>
        </w:rPr>
      </w:pPr>
      <w:r>
        <w:rPr>
          <w:rFonts w:ascii="Arial" w:cs="Arial" w:eastAsia="Arial" w:hAnsi="Arial"/>
          <w:sz w:val="16"/>
          <w:szCs w:val="16"/>
          <w:color w:val="auto"/>
        </w:rPr>
        <w:t>Non-refundable prepayments for goods or services that will be used or rendered for future research and development activities are deferred and capitalized until the related goods are delivered or the related services are performed, or until it is no longer expected that the goods will be delivered, or the services rendered.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manufacturing contract costs and accruals</w:t>
      </w:r>
    </w:p>
    <w:p>
      <w:pPr>
        <w:spacing w:after="0" w:line="213"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The Company has entered into various research and development and manufacturing contracts, including contracts with respect to preclinical studies and clinical trials, with companies both inside and outside of the United States. These agreements are generally cancelable with 90 days or less notice, and related costs are recorded as research and development expenses as incurred. The Company records accruals for estimated ongoing costs. When evaluating the adequacy of the accrued liabilities, the Company analyzes progress of the research and development and manufacturing activities,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incentives and receivable</w:t>
      </w:r>
    </w:p>
    <w:p>
      <w:pPr>
        <w:spacing w:after="0" w:line="213" w:lineRule="exact"/>
        <w:rPr>
          <w:sz w:val="20"/>
          <w:szCs w:val="20"/>
          <w:color w:val="auto"/>
        </w:rPr>
      </w:pPr>
    </w:p>
    <w:p>
      <w:pPr>
        <w:ind w:firstLine="439"/>
        <w:spacing w:after="0" w:line="242" w:lineRule="auto"/>
        <w:rPr>
          <w:sz w:val="20"/>
          <w:szCs w:val="20"/>
          <w:color w:val="auto"/>
        </w:rPr>
      </w:pPr>
      <w:r>
        <w:rPr>
          <w:rFonts w:ascii="Arial" w:cs="Arial" w:eastAsia="Arial" w:hAnsi="Arial"/>
          <w:sz w:val="16"/>
          <w:szCs w:val="16"/>
          <w:color w:val="auto"/>
        </w:rPr>
        <w:t>The Company, through its subsidiaries in the United Kingdom, receives reimbursements of certain research and development expenditures as part of a United Kingdom government's research and development tax reliefs program. Under the program, the Company is able to surrender trading losses that arise from qualifying research and development expenses incurred by the Company's subsidiaries in the United Kingdom for a tax credit of up to 14.5% of the surrendable losses.</w:t>
      </w:r>
    </w:p>
    <w:p>
      <w:pPr>
        <w:spacing w:after="0" w:line="187" w:lineRule="exact"/>
        <w:rPr>
          <w:sz w:val="20"/>
          <w:szCs w:val="20"/>
          <w:color w:val="auto"/>
        </w:rPr>
      </w:pPr>
    </w:p>
    <w:p>
      <w:pPr>
        <w:jc w:val="both"/>
        <w:ind w:right="60" w:firstLine="442"/>
        <w:spacing w:after="0" w:line="244" w:lineRule="auto"/>
        <w:rPr>
          <w:sz w:val="20"/>
          <w:szCs w:val="20"/>
          <w:color w:val="auto"/>
        </w:rPr>
      </w:pPr>
      <w:r>
        <w:rPr>
          <w:rFonts w:ascii="Arial" w:cs="Arial" w:eastAsia="Arial" w:hAnsi="Arial"/>
          <w:sz w:val="16"/>
          <w:szCs w:val="16"/>
          <w:color w:val="auto"/>
        </w:rPr>
        <w:t>Management has assessed the Company's research and development activities and expenditures to determine which activities and expenditures are likely to be eligible under the research and development incentive program described above. At each period end, management estimates the reimbursement available to the Company based on available information at the time.</w:t>
      </w:r>
    </w:p>
    <w:p>
      <w:pPr>
        <w:spacing w:after="0" w:line="185" w:lineRule="exact"/>
        <w:rPr>
          <w:sz w:val="20"/>
          <w:szCs w:val="20"/>
          <w:color w:val="auto"/>
        </w:rPr>
      </w:pPr>
    </w:p>
    <w:p>
      <w:pPr>
        <w:ind w:right="360" w:firstLine="439"/>
        <w:spacing w:after="0" w:line="241" w:lineRule="auto"/>
        <w:rPr>
          <w:sz w:val="20"/>
          <w:szCs w:val="20"/>
          <w:color w:val="auto"/>
        </w:rPr>
      </w:pPr>
      <w:r>
        <w:rPr>
          <w:rFonts w:ascii="Arial" w:cs="Arial" w:eastAsia="Arial" w:hAnsi="Arial"/>
          <w:sz w:val="16"/>
          <w:szCs w:val="16"/>
          <w:color w:val="auto"/>
        </w:rPr>
        <w:t>The Company recognizes income from the research and development incentives when the relevant expenditure has been incurred, the associated conditions have been satisfied and there is reasonable assurance that the reimbursement will be received. The Company records these research and development incentives as a reduction to research and development expenses in the statements of operations and comprehensive loss, as the research and development tax credits are not dependent on us generating future taxable income, the Company's ongoing tax status, or tax position. The research and development incentives receivable represent an amount due in</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71" w:name="page272"/>
    <w:bookmarkEnd w:id="2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5"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connection with the above program. The Company recorded a reduction to research and development expense of $2.9 million and $5.9 million during the years ended December 31, 2017 and 2018,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costs</w:t>
      </w:r>
    </w:p>
    <w:p>
      <w:pPr>
        <w:spacing w:after="0" w:line="213" w:lineRule="exact"/>
        <w:rPr>
          <w:sz w:val="20"/>
          <w:szCs w:val="20"/>
          <w:color w:val="auto"/>
        </w:rPr>
      </w:pPr>
    </w:p>
    <w:p>
      <w:pPr>
        <w:ind w:right="140" w:firstLine="433"/>
        <w:spacing w:after="0" w:line="244" w:lineRule="auto"/>
        <w:rPr>
          <w:sz w:val="20"/>
          <w:szCs w:val="20"/>
          <w:color w:val="auto"/>
        </w:rPr>
      </w:pPr>
      <w:r>
        <w:rPr>
          <w:rFonts w:ascii="Arial" w:cs="Arial" w:eastAsia="Arial" w:hAnsi="Arial"/>
          <w:sz w:val="16"/>
          <w:szCs w:val="16"/>
          <w:color w:val="auto"/>
        </w:rPr>
        <w:t>All patent-related costs incurred in connection with preparing, filing and prosecuting patent applications are expensed as incurred due to the uncertainty about the recovery of the expenditure. Amounts incurred are classified as general and administrative expenses in the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13" w:lineRule="exact"/>
        <w:rPr>
          <w:sz w:val="20"/>
          <w:szCs w:val="20"/>
          <w:color w:val="auto"/>
        </w:rPr>
      </w:pPr>
    </w:p>
    <w:p>
      <w:pPr>
        <w:ind w:firstLine="439"/>
        <w:spacing w:after="0" w:line="244" w:lineRule="auto"/>
        <w:rPr>
          <w:sz w:val="20"/>
          <w:szCs w:val="20"/>
          <w:color w:val="auto"/>
        </w:rPr>
      </w:pPr>
      <w:r>
        <w:rPr>
          <w:rFonts w:ascii="Arial" w:cs="Arial" w:eastAsia="Arial" w:hAnsi="Arial"/>
          <w:sz w:val="16"/>
          <w:szCs w:val="16"/>
          <w:color w:val="auto"/>
        </w:rPr>
        <w:t>The Company measures all equity awards granted to employees and directors based on the fair value on the date of grant. Compensation expense of those awards is recognized over the requisite service period, which is generally the vesting period of the respective award. The Company records the expense for awards with only service-based vesting conditions using the straight-line method. The Company accounts for forfeitures as they occur.</w:t>
      </w:r>
    </w:p>
    <w:p>
      <w:pPr>
        <w:spacing w:after="0" w:line="185" w:lineRule="exact"/>
        <w:rPr>
          <w:sz w:val="20"/>
          <w:szCs w:val="20"/>
          <w:color w:val="auto"/>
        </w:rPr>
      </w:pPr>
    </w:p>
    <w:p>
      <w:pPr>
        <w:ind w:right="260" w:firstLine="439"/>
        <w:spacing w:after="0" w:line="242" w:lineRule="auto"/>
        <w:rPr>
          <w:sz w:val="20"/>
          <w:szCs w:val="20"/>
          <w:color w:val="auto"/>
        </w:rPr>
      </w:pPr>
      <w:r>
        <w:rPr>
          <w:rFonts w:ascii="Arial" w:cs="Arial" w:eastAsia="Arial" w:hAnsi="Arial"/>
          <w:sz w:val="16"/>
          <w:szCs w:val="16"/>
          <w:color w:val="auto"/>
        </w:rPr>
        <w:t>The Company has granted awards with both a service condition that vest over time and a performance condition that will accelerate vesting upon the achievement of a specified collaboration revenue threshold. For equity awards that contain both performance and service conditions, the Company recognizes share-based compensation expense using an accelerated attribution model over the requisite service period when the achievement of a performance-based milestone is probable based on the relative satisfaction of the performance condition as of the reporting date.</w:t>
      </w:r>
    </w:p>
    <w:p>
      <w:pPr>
        <w:spacing w:after="0" w:line="187" w:lineRule="exact"/>
        <w:rPr>
          <w:sz w:val="20"/>
          <w:szCs w:val="20"/>
          <w:color w:val="auto"/>
        </w:rPr>
      </w:pPr>
    </w:p>
    <w:p>
      <w:pPr>
        <w:ind w:right="20" w:firstLine="442"/>
        <w:spacing w:after="0" w:line="244" w:lineRule="auto"/>
        <w:rPr>
          <w:sz w:val="20"/>
          <w:szCs w:val="20"/>
          <w:color w:val="auto"/>
        </w:rPr>
      </w:pPr>
      <w:r>
        <w:rPr>
          <w:rFonts w:ascii="Arial" w:cs="Arial" w:eastAsia="Arial" w:hAnsi="Arial"/>
          <w:sz w:val="16"/>
          <w:szCs w:val="16"/>
          <w:color w:val="auto"/>
        </w:rPr>
        <w:t>For share-based awards granted to non-employee consultants, compensation expense is recognized over the period during which services are rendered by such consultants until completed. At the end of each financial reporting period prior to completion of the service, the fair value of these awards is remeasured using the then-current fair value of the Company's ordinary shares and updated assumption inputs in the Black-Scholes option-pricing model, as applicable.</w:t>
      </w:r>
    </w:p>
    <w:p>
      <w:pPr>
        <w:spacing w:after="0" w:line="185" w:lineRule="exact"/>
        <w:rPr>
          <w:sz w:val="20"/>
          <w:szCs w:val="20"/>
          <w:color w:val="auto"/>
        </w:rPr>
      </w:pPr>
    </w:p>
    <w:p>
      <w:pPr>
        <w:ind w:right="80" w:firstLine="439"/>
        <w:spacing w:after="0" w:line="268" w:lineRule="auto"/>
        <w:rPr>
          <w:sz w:val="20"/>
          <w:szCs w:val="20"/>
          <w:color w:val="auto"/>
        </w:rPr>
      </w:pPr>
      <w:r>
        <w:rPr>
          <w:rFonts w:ascii="Arial" w:cs="Arial" w:eastAsia="Arial" w:hAnsi="Arial"/>
          <w:sz w:val="15"/>
          <w:szCs w:val="15"/>
          <w:color w:val="auto"/>
        </w:rPr>
        <w:t>The fair value of each restricted ordinary share award is based on the fair value of the Company's ordinary shares, less any applicable purchase price. The fair value of each share option is estimated using the Black-Scholes option-pricing model, which requires inputs based on certain subjective assumptions, including the fair value of ordinary shares, the expected share price volatility, the expected term of the award, the risk-free interest rate, and expected dividends.</w:t>
      </w:r>
    </w:p>
    <w:p>
      <w:pPr>
        <w:spacing w:after="0" w:line="168" w:lineRule="exact"/>
        <w:rPr>
          <w:sz w:val="20"/>
          <w:szCs w:val="20"/>
          <w:color w:val="auto"/>
        </w:rPr>
      </w:pPr>
    </w:p>
    <w:p>
      <w:pPr>
        <w:ind w:right="40" w:firstLine="442"/>
        <w:spacing w:after="0"/>
        <w:rPr>
          <w:sz w:val="20"/>
          <w:szCs w:val="20"/>
          <w:color w:val="auto"/>
        </w:rPr>
      </w:pPr>
      <w:r>
        <w:rPr>
          <w:rFonts w:ascii="Arial" w:cs="Arial" w:eastAsia="Arial" w:hAnsi="Arial"/>
          <w:sz w:val="16"/>
          <w:szCs w:val="16"/>
          <w:color w:val="auto"/>
        </w:rPr>
        <w:t xml:space="preserve">Given the absence of an active market for the Company's ordinary shares, the board of directors determined the estimated fair value of the Company's equity instruments based on input from management which utilized the most recently available independent third-party valuation, and considering a number of objective and subjective factors, including external market conditions affecting the biotechnology industry sector. The third party valuation reports performed utilized various valuation methodologies in accordance with the framework of the American Institute of Certified Public Accountants' Technical Practice Aid,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to estimate the fair value of its ordinary shares. Each valuation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estimates and assumptions that require judgment. These estimates and assumptions include a number of objective and subjective factors in determining the value of the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72" w:name="page273"/>
    <w:bookmarkEnd w:id="2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Company's ordinary shares at each grant date, including the following: (1) prices paid for the Company's convertible preferred shares, which the Company had sold to outside investors in arm's-length transactions, and the rights, preferences, and privileges of the Company's convertible preferred shares and ordinary shares; (2) the Company's stage of development; (3) the fact that the grants of share-based awards involved illiquid securities in a private company; and (4) the likelihood of achieving a liquidity event for the ordinary shares underlying the share-based awards, such as an IPO or sale of the Company, given prevailing market conditions.</w:t>
      </w:r>
    </w:p>
    <w:p>
      <w:pPr>
        <w:spacing w:after="0" w:line="189" w:lineRule="exact"/>
        <w:rPr>
          <w:sz w:val="20"/>
          <w:szCs w:val="20"/>
          <w:color w:val="auto"/>
        </w:rPr>
      </w:pPr>
    </w:p>
    <w:p>
      <w:pPr>
        <w:ind w:right="60" w:firstLine="442"/>
        <w:spacing w:after="0"/>
        <w:rPr>
          <w:sz w:val="20"/>
          <w:szCs w:val="20"/>
          <w:color w:val="auto"/>
        </w:rPr>
      </w:pPr>
      <w:r>
        <w:rPr>
          <w:rFonts w:ascii="Arial" w:cs="Arial" w:eastAsia="Arial" w:hAnsi="Arial"/>
          <w:sz w:val="16"/>
          <w:szCs w:val="16"/>
          <w:color w:val="auto"/>
        </w:rPr>
        <w:t>Expected volatility is calculated based on reported volatility data for a representative group of publicly traded companies for which historical information was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share-based awards. The Company uses the remaining contractual term for the expected life of non-employee awards. The expected dividend yield is assumed to be zero as the Company has never paid dividends and has no current plans to pay any dividends on ordinary shares.</w:t>
      </w:r>
    </w:p>
    <w:p>
      <w:pPr>
        <w:spacing w:after="0" w:line="192" w:lineRule="exact"/>
        <w:rPr>
          <w:sz w:val="20"/>
          <w:szCs w:val="20"/>
          <w:color w:val="auto"/>
        </w:rPr>
      </w:pPr>
    </w:p>
    <w:p>
      <w:pPr>
        <w:ind w:right="220" w:firstLine="439"/>
        <w:spacing w:after="0" w:line="249" w:lineRule="auto"/>
        <w:rPr>
          <w:sz w:val="20"/>
          <w:szCs w:val="20"/>
          <w:color w:val="auto"/>
        </w:rPr>
      </w:pPr>
      <w:r>
        <w:rPr>
          <w:rFonts w:ascii="Arial" w:cs="Arial" w:eastAsia="Arial" w:hAnsi="Arial"/>
          <w:sz w:val="16"/>
          <w:szCs w:val="16"/>
          <w:color w:val="auto"/>
        </w:rPr>
        <w:t>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213" w:lineRule="exact"/>
        <w:rPr>
          <w:sz w:val="20"/>
          <w:szCs w:val="20"/>
          <w:color w:val="auto"/>
        </w:rPr>
      </w:pPr>
    </w:p>
    <w:p>
      <w:pPr>
        <w:jc w:val="both"/>
        <w:ind w:right="20" w:firstLine="442"/>
        <w:spacing w:after="0" w:line="244" w:lineRule="auto"/>
        <w:rPr>
          <w:sz w:val="20"/>
          <w:szCs w:val="20"/>
          <w:color w:val="auto"/>
        </w:rPr>
      </w:pPr>
      <w:r>
        <w:rPr>
          <w:rFonts w:ascii="Arial" w:cs="Arial" w:eastAsia="Arial" w:hAnsi="Arial"/>
          <w:sz w:val="16"/>
          <w:szCs w:val="16"/>
          <w:color w:val="auto"/>
        </w:rPr>
        <w:t>Comprehensive loss includes net loss as well as other changes in shareholders' (deficit) equity that result from transactions and economic events other than those with shareholders. The Company recorded unrealized gains and losses related to foreign currency translation as a component of other comprehensive loss as of December 31, 2017 and 2018.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Contingencies</w:t>
      </w:r>
    </w:p>
    <w:p>
      <w:pPr>
        <w:spacing w:after="0" w:line="213"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Liabilities for loss contingencies arising from claims, assessments, litigation, fines, penalties and other sources are recorded when it is probable that a liability has been incurred and the amount can be reasonably estimated. At each reporting date, the Company evaluates whether or not a potential loss amount or a potential loss range is probable and reasonably estimable under the provisions of the authoritative guidelines that address accounting for contingencies. The Company expenses costs as incurred in relation to such legal proceedings as general and administrative expense within the consolidated statements of operations and comprehensive loss.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13" w:lineRule="exact"/>
        <w:rPr>
          <w:sz w:val="20"/>
          <w:szCs w:val="20"/>
          <w:color w:val="auto"/>
        </w:rPr>
      </w:pPr>
    </w:p>
    <w:p>
      <w:pPr>
        <w:jc w:val="both"/>
        <w:ind w:right="360" w:firstLine="439"/>
        <w:spacing w:after="0" w:line="242"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consolidated financial statements and tax basis of assets and liabilities using enacted tax rates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3" w:name="page274"/>
    <w:bookmarkEnd w:id="2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5"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9" w:lineRule="exact"/>
        <w:rPr>
          <w:sz w:val="20"/>
          <w:szCs w:val="20"/>
          <w:color w:val="auto"/>
        </w:rPr>
      </w:pPr>
    </w:p>
    <w:p>
      <w:pPr>
        <w:ind w:right="20" w:firstLine="439"/>
        <w:spacing w:after="0" w:line="241"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will more likely than not be realized upon ultimate settlement. The provision for income taxes includes the effects of any resulting tax reserves, or unrecognized tax benefits, that are considered appropriate as well as the related net interest and penalties.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213" w:lineRule="exact"/>
        <w:rPr>
          <w:sz w:val="20"/>
          <w:szCs w:val="20"/>
          <w:color w:val="auto"/>
        </w:rPr>
      </w:pPr>
    </w:p>
    <w:p>
      <w:pPr>
        <w:ind w:firstLine="439"/>
        <w:spacing w:after="0" w:line="242" w:lineRule="auto"/>
        <w:rPr>
          <w:sz w:val="20"/>
          <w:szCs w:val="20"/>
          <w:color w:val="auto"/>
        </w:rPr>
      </w:pPr>
      <w:r>
        <w:rPr>
          <w:rFonts w:ascii="Arial" w:cs="Arial" w:eastAsia="Arial" w:hAnsi="Arial"/>
          <w:sz w:val="16"/>
          <w:szCs w:val="16"/>
          <w:color w:val="auto"/>
        </w:rPr>
        <w:t>The Company follows the two-class method when computing net loss per share as the Company has issued shares that meet the definition of participating securities. The two-class method determines net loss per share for each class of ordinary and preferred securities according to dividends declared or accumulated and participation rights in undistributed earnings. The two-class method requires income available to ordinary shareholders for the period to be allocated between ordinary and preferred securities based upon their respective rights to receive dividends as if all income for the period had been distributed.</w:t>
      </w:r>
    </w:p>
    <w:p>
      <w:pPr>
        <w:spacing w:after="0" w:line="187"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Basic net loss per share attributable to ordinary shareholders is computed by dividing the net loss attributable to ordinary shareholders by the weighted average number of ordinary shares outstanding for the period. Diluted net loss attributable to ordinary shareholders is computed by adjusting net loss attributable to ordinary shareholders to reallocate undistributed earnings based on the potential impact of dilutive securities. Diluted net loss per share attributable to ordinary shareholders is computed by dividing the diluted net loss attributable to ordinary shareholders by the weighted average number of ordinary shares outstanding for the period, including potential dilutive ordinary shares assuming the dilutive effect of ordinary share equivalents.</w:t>
      </w:r>
    </w:p>
    <w:p>
      <w:pPr>
        <w:spacing w:after="0" w:line="189" w:lineRule="exact"/>
        <w:rPr>
          <w:sz w:val="20"/>
          <w:szCs w:val="20"/>
          <w:color w:val="auto"/>
        </w:rPr>
      </w:pPr>
    </w:p>
    <w:p>
      <w:pPr>
        <w:ind w:right="160" w:firstLine="439"/>
        <w:spacing w:after="0" w:line="241" w:lineRule="auto"/>
        <w:rPr>
          <w:sz w:val="20"/>
          <w:szCs w:val="20"/>
          <w:color w:val="auto"/>
        </w:rPr>
      </w:pPr>
      <w:r>
        <w:rPr>
          <w:rFonts w:ascii="Arial" w:cs="Arial" w:eastAsia="Arial" w:hAnsi="Arial"/>
          <w:sz w:val="16"/>
          <w:szCs w:val="16"/>
          <w:color w:val="auto"/>
        </w:rPr>
        <w:t>The Company's convertible preferred shares contractually entitle the holders of such shares to participate in dividends but contractually do not require the holders of such shares to participate in losses of the Company. Accordingly, in periods in which the Company reports a net loss, such losses are not allocated to such preferred securities. In periods in which the Company reports a net loss attributable to ordinary shareholders, diluted net loss per share attributable to ordinary shareholders is the same as basic net loss per share attributable to ordinary shareholders, since dilutive ordinary shares are not assumed to have been issued if their effect is anti-dilutive.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74" w:name="page275"/>
    <w:bookmarkEnd w:id="2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97" w:lineRule="exact"/>
        <w:rPr>
          <w:sz w:val="20"/>
          <w:szCs w:val="20"/>
          <w:color w:val="auto"/>
        </w:rPr>
      </w:pPr>
    </w:p>
    <w:p>
      <w:pPr>
        <w:ind w:firstLine="442"/>
        <w:spacing w:after="0" w:line="247"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("ASU 2016-09")</w:t>
      </w:r>
      <w:r>
        <w:rPr>
          <w:rFonts w:ascii="Arial" w:cs="Arial" w:eastAsia="Arial" w:hAnsi="Arial"/>
          <w:sz w:val="16"/>
          <w:szCs w:val="16"/>
          <w:color w:val="auto"/>
        </w:rPr>
        <w:t>. ASU 2016-09 addresses several aspects of the accounting for share-based payment transactions, including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taxes, forfeitures, and statutory tax withholding requirements, as well as classification in the statement of cash flows. Certain of these changes are required to be applied retrospectively, while other changes are required to be applied prospectively. The Company adopted this standard for all periods presented and its adoption did not have a material impact on the Company's financial position, results of operations or cash flows.</w:t>
      </w:r>
    </w:p>
    <w:p>
      <w:pPr>
        <w:spacing w:after="0" w:line="166" w:lineRule="exact"/>
        <w:rPr>
          <w:sz w:val="20"/>
          <w:szCs w:val="20"/>
          <w:color w:val="auto"/>
        </w:rPr>
      </w:pPr>
    </w:p>
    <w:p>
      <w:pPr>
        <w:ind w:right="40" w:firstLine="442"/>
        <w:spacing w:after="0" w:line="243" w:lineRule="auto"/>
        <w:rPr>
          <w:sz w:val="20"/>
          <w:szCs w:val="20"/>
          <w:color w:val="auto"/>
        </w:rPr>
      </w:pPr>
      <w:r>
        <w:rPr>
          <w:rFonts w:ascii="Arial" w:cs="Arial" w:eastAsia="Arial" w:hAnsi="Arial"/>
          <w:sz w:val="16"/>
          <w:szCs w:val="16"/>
          <w:color w:val="auto"/>
        </w:rPr>
        <w:t xml:space="preserve">In March 2018, the FASB issued ASU No. 2018-05, </w:t>
      </w:r>
      <w:r>
        <w:rPr>
          <w:rFonts w:ascii="Arial" w:cs="Arial" w:eastAsia="Arial" w:hAnsi="Arial"/>
          <w:sz w:val="16"/>
          <w:szCs w:val="16"/>
          <w:i w:val="1"/>
          <w:iCs w:val="1"/>
          <w:color w:val="auto"/>
        </w:rPr>
        <w:t>Income Taxes (Topic 740): Amendments to SEC Paragraphs Pursuant to SEC Staff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Bulletin No. 118 </w:t>
      </w:r>
      <w:r>
        <w:rPr>
          <w:rFonts w:ascii="Arial" w:cs="Arial" w:eastAsia="Arial" w:hAnsi="Arial"/>
          <w:sz w:val="16"/>
          <w:szCs w:val="16"/>
          <w:color w:val="auto"/>
        </w:rPr>
        <w:t>("ASU 2018-05"). ASU 2018-05 amends SEC paragraphs in ASC 740 to reflect SEC Staff Accounting Bulletin (SAB) No.118. When the 2017 Tax</w:t>
      </w:r>
      <w:r>
        <w:rPr>
          <w:rFonts w:ascii="Arial" w:cs="Arial" w:eastAsia="Arial" w:hAnsi="Arial"/>
          <w:sz w:val="16"/>
          <w:szCs w:val="16"/>
          <w:i w:val="1"/>
          <w:iCs w:val="1"/>
          <w:color w:val="auto"/>
        </w:rPr>
        <w:t xml:space="preserve"> </w:t>
      </w:r>
      <w:r>
        <w:rPr>
          <w:rFonts w:ascii="Arial" w:cs="Arial" w:eastAsia="Arial" w:hAnsi="Arial"/>
          <w:sz w:val="16"/>
          <w:szCs w:val="16"/>
          <w:color w:val="auto"/>
        </w:rPr>
        <w:t>Cuts and Jobs Act (the "Act") was signed into law, the SEC staff released SAB 118 for applying Topic 740 as it relates to the Act. SAB 118 outlines the approach companies may take if they determine that the necessary information is not available (in reasonable detail) to evaluate, compute, and prepare accounting entries to recognize the effect(s) of the Act by the time the financial statements are required to be filed. Companies may use this approach when the timely determination of some or all of the income tax effect(s) from the Act is incomplete by the due date of the financial statements. SAB 118 also prescribes disclosures that reporting entities must provide in these circumstances. The amendments to the Accounting Standards Codification ("ASC") became effective upon issuance. During the year ended December 31, 2018, the Company did not make any adjustments to the provisional amounts recorded as a result of the Act in the year ended December 31, 2017 and the Company considers the accounting related to the Act to be final.</w:t>
      </w:r>
    </w:p>
    <w:p>
      <w:pPr>
        <w:spacing w:after="0" w:line="170"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 ("ASU 2015-17")</w:t>
      </w:r>
      <w:r>
        <w:rPr>
          <w:rFonts w:ascii="Arial" w:cs="Arial" w:eastAsia="Arial" w:hAnsi="Arial"/>
          <w:sz w:val="16"/>
          <w:szCs w:val="16"/>
          <w:color w:val="auto"/>
        </w:rPr>
        <w:t>. ASU 2015-17 requires deferred tax liabilities and assets to be classified as non-current in the consolidated balance sheet. The Company adopted ASU 2015-17 retrospectively to all periods presented as of December 31, 2016, and its adoption had no impact on the Company's financial position, results of operations or cash flows.</w:t>
      </w:r>
    </w:p>
    <w:p>
      <w:pPr>
        <w:spacing w:after="0" w:line="166" w:lineRule="exact"/>
        <w:rPr>
          <w:sz w:val="20"/>
          <w:szCs w:val="20"/>
          <w:color w:val="auto"/>
        </w:rPr>
      </w:pPr>
    </w:p>
    <w:p>
      <w:pPr>
        <w:ind w:firstLine="442"/>
        <w:spacing w:after="0" w:line="247" w:lineRule="auto"/>
        <w:rPr>
          <w:sz w:val="20"/>
          <w:szCs w:val="20"/>
          <w:color w:val="auto"/>
        </w:rPr>
      </w:pPr>
      <w:r>
        <w:rPr>
          <w:rFonts w:ascii="Arial" w:cs="Arial" w:eastAsia="Arial" w:hAnsi="Arial"/>
          <w:sz w:val="16"/>
          <w:szCs w:val="16"/>
          <w:color w:val="auto"/>
        </w:rPr>
        <w:t xml:space="preserve">In November 2014, the FASB issued ASU No. 2014-16, </w:t>
      </w:r>
      <w:r>
        <w:rPr>
          <w:rFonts w:ascii="Arial" w:cs="Arial" w:eastAsia="Arial" w:hAnsi="Arial"/>
          <w:sz w:val="16"/>
          <w:szCs w:val="16"/>
          <w:i w:val="1"/>
          <w:iCs w:val="1"/>
          <w:color w:val="auto"/>
        </w:rPr>
        <w:t>Determining Whether the Host Contract in a Hybrid Financial Instrument Issued in the Form of a</w:t>
      </w:r>
      <w:r>
        <w:rPr>
          <w:rFonts w:ascii="Arial" w:cs="Arial" w:eastAsia="Arial" w:hAnsi="Arial"/>
          <w:sz w:val="16"/>
          <w:szCs w:val="16"/>
          <w:color w:val="auto"/>
        </w:rPr>
        <w:t xml:space="preserve"> </w:t>
      </w:r>
      <w:r>
        <w:rPr>
          <w:rFonts w:ascii="Arial" w:cs="Arial" w:eastAsia="Arial" w:hAnsi="Arial"/>
          <w:sz w:val="16"/>
          <w:szCs w:val="16"/>
          <w:i w:val="1"/>
          <w:iCs w:val="1"/>
          <w:color w:val="auto"/>
        </w:rPr>
        <w:t>Share Is More Akin to Debt or to Equity ("ASU 2014-16")</w:t>
      </w:r>
      <w:r>
        <w:rPr>
          <w:rFonts w:ascii="Arial" w:cs="Arial" w:eastAsia="Arial" w:hAnsi="Arial"/>
          <w:sz w:val="16"/>
          <w:szCs w:val="16"/>
          <w:color w:val="auto"/>
        </w:rPr>
        <w:t>. The guidance requires an entity to determine the nature of the host contract by considering all stated and</w:t>
      </w:r>
      <w:r>
        <w:rPr>
          <w:rFonts w:ascii="Arial" w:cs="Arial" w:eastAsia="Arial" w:hAnsi="Arial"/>
          <w:sz w:val="16"/>
          <w:szCs w:val="16"/>
          <w:i w:val="1"/>
          <w:iCs w:val="1"/>
          <w:color w:val="auto"/>
        </w:rPr>
        <w:t xml:space="preserve"> </w:t>
      </w:r>
      <w:r>
        <w:rPr>
          <w:rFonts w:ascii="Arial" w:cs="Arial" w:eastAsia="Arial" w:hAnsi="Arial"/>
          <w:sz w:val="16"/>
          <w:szCs w:val="16"/>
          <w:color w:val="auto"/>
        </w:rPr>
        <w:t>implied substantive terms and features of the hybrid financial instrument, weighing each term and feature on the basis of the relevant facts and circumstances (commonly referred to as the whole-instrument approach). The Company adopted ASU 2014-16 as of the required effective date of January 1, 2016 and reflected the adoption on a retrospective basis, and its adoption had no impact on the Company's financial position, results of operations or cash flows.</w:t>
      </w:r>
    </w:p>
    <w:p>
      <w:pPr>
        <w:spacing w:after="0" w:line="166" w:lineRule="exact"/>
        <w:rPr>
          <w:sz w:val="20"/>
          <w:szCs w:val="20"/>
          <w:color w:val="auto"/>
        </w:rPr>
      </w:pPr>
    </w:p>
    <w:p>
      <w:pPr>
        <w:ind w:right="260" w:firstLine="442"/>
        <w:spacing w:after="0" w:line="249"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 to address diversity in practice in how certain cash receipts and cash payments are presented and classified in the consolidated statements of cash flows. The Company adopted ASU 2016-15 retrospectively to all periods presented, and its adoption had no impact on the Company's financial position, results of operations or cash flows.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5" w:name="page276"/>
    <w:bookmarkEnd w:id="2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199" w:lineRule="exact"/>
        <w:rPr>
          <w:sz w:val="20"/>
          <w:szCs w:val="20"/>
          <w:color w:val="auto"/>
        </w:rPr>
      </w:pPr>
    </w:p>
    <w:p>
      <w:pPr>
        <w:ind w:right="40" w:firstLine="442"/>
        <w:spacing w:after="0" w:line="245"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("ASU 2016-18")</w:t>
      </w:r>
      <w:r>
        <w:rPr>
          <w:rFonts w:ascii="Arial" w:cs="Arial" w:eastAsia="Arial" w:hAnsi="Arial"/>
          <w:sz w:val="16"/>
          <w:szCs w:val="16"/>
          <w:color w:val="auto"/>
        </w:rPr>
        <w:t>. ASU 2016-18 requires that the statement of cash flows explain the change during the period in the total of cash, cash equivalents and amounts generally described as restricted cash or restricted cash equivalents. Entities will also be required to reconcile such total to amounts on the balance sheet and disclose the nature of the restrictions. For public entities, this guidance is effective for annual reporting periods beginning after December 15, 2017 and interim periods within those fiscal years. As early adoption was permitted, the Company adopted this standard retrospectively as of January 1, 2016. The Company does not have any restricted cash, and as such the adoption of this standard had no impact on the Company's financial position, results of operations or cash flows.</w:t>
      </w:r>
    </w:p>
    <w:p>
      <w:pPr>
        <w:spacing w:after="0" w:line="169" w:lineRule="exact"/>
        <w:rPr>
          <w:sz w:val="20"/>
          <w:szCs w:val="20"/>
          <w:color w:val="auto"/>
        </w:rPr>
      </w:pPr>
    </w:p>
    <w:p>
      <w:pPr>
        <w:ind w:right="20" w:firstLine="442"/>
        <w:spacing w:after="0" w:line="247"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xml:space="preserve"> ("ASU 2017-09"). The amendments in ASU 2017-09 clarify that modification accounting is required only if the fair value, the vesting conditions, or the classification of the awards (as equity or liability) changes as a result of the changes in terms or conditions. This guidance is effective for all entities for annual reporting periods beginning after December 15, 2017 and interim periods within those fiscal years. As early adoption was permitted, the Company adopted this standard as of January 1, 2016. The adoption of this guidance had no impact on the Company's financial position, results of operations or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97"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This guidance revises existing practice related to accounting for leases under ASC Topic 840 Leases ("ASC 840"). ASU 2016-02 will require lessees to recognize most leases on their balance sheet as a right-of-use asset and a lease liability. The lease liability will be equal to the present value of lease payments and the right-of-use asset will be based on the lease liability, subject to adjustment such as for initial direct costs. For income statement purposes, the new standard retains a dual model similar to ASC 840, requiring leases to be classified as either operating or finance. For lessees, operating leases will result in straight-line expense (similar to current accounting by lessees for operating leases under ASC 840).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provides an additional transition method that allows entities to initially apply the new standard at the adoption date and recognize a cumulative-effect adjustment to the opening balance of retained earnings in the period of adoption without restating prior periods. The guidance is effective for annual reporting periods beginning after December 15, 2018 and interim periods within those fiscal years, and early adoption is permitted. The Company intends to adopt the requirements of the new standard via a cumulative-effect adjustment without restating prior periods. The Company is evaluating the impact that this standard has on the lease of its corporate headquarters in the U.K., the lease of its office and laboratory space in Lexington, MA, and is currently in the process of reviewing its clinical material manufacturing contracts for any embedded leases.</w:t>
      </w:r>
    </w:p>
    <w:p>
      <w:pPr>
        <w:spacing w:after="0" w:line="186" w:lineRule="exact"/>
        <w:rPr>
          <w:sz w:val="20"/>
          <w:szCs w:val="20"/>
          <w:color w:val="auto"/>
        </w:rPr>
      </w:pPr>
    </w:p>
    <w:p>
      <w:pPr>
        <w:ind w:right="120" w:firstLine="442"/>
        <w:spacing w:after="0" w:line="242"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("ASU 2016-13"). ASU 2016-13 provides for a new impairment model that requires measurement and recognition of expected credit losses for most financial assets and certain other instruments, including but not limited to accounts receivable and available for sale debt securities. ASU 2016-13 is effective for the Company for fiscal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6" w:name="page277"/>
    <w:bookmarkEnd w:id="2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years beginning after December 15, 2019, and interim periods within those years, with early adoption permitted. The Company is currently evaluating the impact of this guidance on its consolidated financial statements and disclosures.</w:t>
      </w:r>
    </w:p>
    <w:p>
      <w:pPr>
        <w:spacing w:after="0" w:line="165" w:lineRule="exact"/>
        <w:rPr>
          <w:sz w:val="20"/>
          <w:szCs w:val="20"/>
          <w:color w:val="auto"/>
        </w:rPr>
      </w:pPr>
    </w:p>
    <w:p>
      <w:pPr>
        <w:ind w:right="20" w:firstLine="442"/>
        <w:spacing w:after="0" w:line="244"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2018-07") to simplify the accounting for share-based payments to non-employees by aligning it with the accounting for share-based payments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employees, with certain exceptions. The new guidance expands the scope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to include share-based payments granted to non-employees in exchange for goods or services used or consumed in an entity's own operations and supersedes the guidance in ASC 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The guidance is effective for public business entities in annual periods beginning after December 15, 2018 and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within those years. Early adoption is permitted. The Company is currently evaluating the effect of this guidance on the Company's consolidated financial statements and disclosures.</w:t>
      </w:r>
    </w:p>
    <w:p>
      <w:pPr>
        <w:spacing w:after="0" w:line="170" w:lineRule="exact"/>
        <w:rPr>
          <w:sz w:val="20"/>
          <w:szCs w:val="20"/>
          <w:color w:val="auto"/>
        </w:rPr>
      </w:pPr>
    </w:p>
    <w:p>
      <w:pPr>
        <w:ind w:right="60" w:firstLine="442"/>
        <w:spacing w:after="0" w:line="263" w:lineRule="auto"/>
        <w:rPr>
          <w:sz w:val="20"/>
          <w:szCs w:val="20"/>
          <w:color w:val="auto"/>
        </w:rPr>
      </w:pPr>
      <w:r>
        <w:rPr>
          <w:rFonts w:ascii="Arial" w:cs="Arial" w:eastAsia="Arial" w:hAnsi="Arial"/>
          <w:sz w:val="15"/>
          <w:szCs w:val="15"/>
          <w:color w:val="auto"/>
        </w:rPr>
        <w:t xml:space="preserve">In August 2018, the FASB issued ASU No. 2018-13, </w:t>
      </w:r>
      <w:r>
        <w:rPr>
          <w:rFonts w:ascii="Arial" w:cs="Arial" w:eastAsia="Arial" w:hAnsi="Arial"/>
          <w:sz w:val="15"/>
          <w:szCs w:val="15"/>
          <w:i w:val="1"/>
          <w:iCs w:val="1"/>
          <w:color w:val="auto"/>
        </w:rPr>
        <w:t>Fair Value Measurement (Topic 820)</w:t>
      </w:r>
      <w:r>
        <w:rPr>
          <w:rFonts w:ascii="Arial" w:cs="Arial" w:eastAsia="Arial" w:hAnsi="Arial"/>
          <w:sz w:val="15"/>
          <w:szCs w:val="15"/>
          <w:color w:val="auto"/>
        </w:rPr>
        <w:t xml:space="preserve">, which modifies, removes and adds certain disclosure requirements on fair value measurements based on the FASB Concepts Statement, </w:t>
      </w:r>
      <w:r>
        <w:rPr>
          <w:rFonts w:ascii="Arial" w:cs="Arial" w:eastAsia="Arial" w:hAnsi="Arial"/>
          <w:sz w:val="15"/>
          <w:szCs w:val="15"/>
          <w:i w:val="1"/>
          <w:iCs w:val="1"/>
          <w:color w:val="auto"/>
        </w:rPr>
        <w:t>Conceptual Framework for Financial Reporting — Chapter 8: Notes to</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Statements</w:t>
      </w:r>
      <w:r>
        <w:rPr>
          <w:rFonts w:ascii="Arial" w:cs="Arial" w:eastAsia="Arial" w:hAnsi="Arial"/>
          <w:sz w:val="15"/>
          <w:szCs w:val="15"/>
          <w:color w:val="auto"/>
        </w:rPr>
        <w:t>. The ASU is effective for all entities for fiscal years, and interim periods within those fiscal years, beginning after December 15, 2019. The</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The Company is in the process of evaluating the impact of the adoption of the ASU on its consolidated financial statements and disclosures.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of financial assets and liabilities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tables present information about the Company's financial assets and liabilities measured at fair value on a recurring basis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ind w:left="420"/>
              <w:spacing w:after="0"/>
              <w:rPr>
                <w:sz w:val="20"/>
                <w:szCs w:val="20"/>
                <w:color w:val="auto"/>
              </w:rPr>
            </w:pPr>
            <w:r>
              <w:rPr>
                <w:rFonts w:ascii="Arial" w:cs="Arial" w:eastAsia="Arial" w:hAnsi="Arial"/>
                <w:sz w:val="16"/>
                <w:szCs w:val="16"/>
                <w:b w:val="1"/>
                <w:bCs w:val="1"/>
                <w:color w:val="auto"/>
                <w:w w:val="99"/>
              </w:rPr>
              <w:t>Fair Value Measurement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1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00" w:type="dxa"/>
            <w:vAlign w:val="bottom"/>
            <w:gridSpan w:val="10"/>
          </w:tcPr>
          <w:p>
            <w:pPr>
              <w:ind w:left="160"/>
              <w:spacing w:after="0"/>
              <w:rPr>
                <w:sz w:val="20"/>
                <w:szCs w:val="20"/>
                <w:color w:val="auto"/>
              </w:rPr>
            </w:pPr>
            <w:r>
              <w:rPr>
                <w:rFonts w:ascii="Arial" w:cs="Arial" w:eastAsia="Arial" w:hAnsi="Arial"/>
                <w:sz w:val="16"/>
                <w:szCs w:val="16"/>
                <w:b w:val="1"/>
                <w:bCs w:val="1"/>
                <w:color w:val="auto"/>
              </w:rPr>
              <w:t>as of December 31, 2017 using:</w:t>
            </w:r>
          </w:p>
        </w:tc>
      </w:tr>
      <w:tr>
        <w:trPr>
          <w:trHeight w:val="200"/>
        </w:trPr>
        <w:tc>
          <w:tcPr>
            <w:tcW w:w="1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w w:val="99"/>
              </w:rPr>
              <w:t>Level 1</w:t>
            </w: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w w:val="99"/>
              </w:rPr>
              <w:t>Level 2</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Level 3</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Total</w:t>
            </w:r>
          </w:p>
        </w:tc>
        <w:tc>
          <w:tcPr>
            <w:tcW w:w="1300" w:type="dxa"/>
            <w:vAlign w:val="bottom"/>
            <w:gridSpan w:val="2"/>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(as restated)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(as restated)</w:t>
            </w:r>
          </w:p>
        </w:tc>
        <w:tc>
          <w:tcPr>
            <w:tcW w:w="1300" w:type="dxa"/>
            <w:vAlign w:val="bottom"/>
            <w:gridSpan w:val="2"/>
          </w:tcPr>
          <w:p>
            <w:pPr>
              <w:spacing w:after="0"/>
              <w:rPr>
                <w:sz w:val="18"/>
                <w:szCs w:val="18"/>
                <w:color w:val="auto"/>
              </w:rPr>
            </w:pPr>
          </w:p>
        </w:tc>
      </w:tr>
      <w:tr>
        <w:trPr>
          <w:trHeight w:val="192"/>
        </w:trPr>
        <w:tc>
          <w:tcPr>
            <w:tcW w:w="3840" w:type="dxa"/>
            <w:vAlign w:val="bottom"/>
            <w:gridSpan w:val="2"/>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3"/>
        </w:trPr>
        <w:tc>
          <w:tcPr>
            <w:tcW w:w="114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700" w:type="dxa"/>
            <w:vAlign w:val="bottom"/>
          </w:tcPr>
          <w:p>
            <w:pPr>
              <w:ind w:left="160"/>
              <w:spacing w:after="0"/>
              <w:rPr>
                <w:sz w:val="20"/>
                <w:szCs w:val="20"/>
                <w:color w:val="auto"/>
              </w:rPr>
            </w:pPr>
            <w:r>
              <w:rPr>
                <w:rFonts w:ascii="Arial" w:cs="Arial" w:eastAsia="Arial" w:hAnsi="Arial"/>
                <w:sz w:val="16"/>
                <w:szCs w:val="16"/>
                <w:color w:val="auto"/>
              </w:rPr>
              <w:t>Warrant liability</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87"/>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4,411</w:t>
            </w:r>
          </w:p>
        </w:tc>
        <w:tc>
          <w:tcPr>
            <w:tcW w:w="12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4,411</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80"/>
              <w:spacing w:after="0"/>
              <w:rPr>
                <w:sz w:val="20"/>
                <w:szCs w:val="20"/>
                <w:color w:val="auto"/>
              </w:rPr>
            </w:pPr>
            <w:r>
              <w:rPr>
                <w:rFonts w:ascii="Arial" w:cs="Arial" w:eastAsia="Arial" w:hAnsi="Arial"/>
                <w:sz w:val="16"/>
                <w:szCs w:val="16"/>
                <w:color w:val="auto"/>
                <w:w w:val="87"/>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87"/>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w:t>
            </w: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w:t>
            </w: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390"/>
        </w:trPr>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6"/>
                <w:szCs w:val="16"/>
                <w:color w:val="auto"/>
              </w:rPr>
              <w:t>F-26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1140" w:type="dxa"/>
            <w:vAlign w:val="bottom"/>
            <w:tcBorders>
              <w:bottom w:val="single" w:sz="8" w:color="808080"/>
            </w:tcBorders>
          </w:tcPr>
          <w:p>
            <w:pPr>
              <w:spacing w:after="0"/>
              <w:rPr>
                <w:sz w:val="16"/>
                <w:szCs w:val="16"/>
                <w:color w:val="auto"/>
              </w:rPr>
            </w:pPr>
          </w:p>
        </w:tc>
        <w:tc>
          <w:tcPr>
            <w:tcW w:w="2700" w:type="dxa"/>
            <w:vAlign w:val="bottom"/>
            <w:tcBorders>
              <w:bottom w:val="single" w:sz="8" w:color="808080"/>
            </w:tcBorders>
          </w:tcPr>
          <w:p>
            <w:pPr>
              <w:spacing w:after="0"/>
              <w:rPr>
                <w:sz w:val="16"/>
                <w:szCs w:val="16"/>
                <w:color w:val="auto"/>
              </w:rPr>
            </w:pPr>
          </w:p>
        </w:tc>
        <w:tc>
          <w:tcPr>
            <w:tcW w:w="14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1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77" w:name="page278"/>
    <w:bookmarkEnd w:id="2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of financial assets and liabilities (Continued)</w:t>
      </w:r>
    </w:p>
    <w:p>
      <w:pPr>
        <w:spacing w:after="0" w:line="200" w:lineRule="exact"/>
        <w:rPr>
          <w:sz w:val="20"/>
          <w:szCs w:val="20"/>
          <w:color w:val="auto"/>
        </w:rPr>
      </w:pPr>
    </w:p>
    <w:p>
      <w:pPr>
        <w:spacing w:after="0" w:line="374"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5"/>
          </w:tcPr>
          <w:p>
            <w:pPr>
              <w:ind w:left="100"/>
              <w:spacing w:after="0"/>
              <w:rPr>
                <w:sz w:val="20"/>
                <w:szCs w:val="20"/>
                <w:color w:val="auto"/>
              </w:rPr>
            </w:pPr>
            <w:r>
              <w:rPr>
                <w:rFonts w:ascii="Arial" w:cs="Arial" w:eastAsia="Arial" w:hAnsi="Arial"/>
                <w:sz w:val="16"/>
                <w:szCs w:val="16"/>
                <w:b w:val="1"/>
                <w:bCs w:val="1"/>
                <w:color w:val="auto"/>
                <w:w w:val="99"/>
              </w:rPr>
              <w:t>Fair Value Measurement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5"/>
        </w:trPr>
        <w:tc>
          <w:tcPr>
            <w:tcW w:w="30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9"/>
          </w:tcPr>
          <w:p>
            <w:pPr>
              <w:ind w:left="120"/>
              <w:spacing w:after="0"/>
              <w:rPr>
                <w:sz w:val="20"/>
                <w:szCs w:val="20"/>
                <w:color w:val="auto"/>
              </w:rPr>
            </w:pPr>
            <w:r>
              <w:rPr>
                <w:rFonts w:ascii="Arial" w:cs="Arial" w:eastAsia="Arial" w:hAnsi="Arial"/>
                <w:sz w:val="16"/>
                <w:szCs w:val="16"/>
                <w:b w:val="1"/>
                <w:bCs w:val="1"/>
                <w:color w:val="auto"/>
              </w:rPr>
              <w:t>as of December 31, 2018 using:</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30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ind w:left="220"/>
              <w:spacing w:after="0"/>
              <w:rPr>
                <w:sz w:val="20"/>
                <w:szCs w:val="20"/>
                <w:color w:val="auto"/>
              </w:rPr>
            </w:pPr>
            <w:r>
              <w:rPr>
                <w:rFonts w:ascii="Arial" w:cs="Arial" w:eastAsia="Arial" w:hAnsi="Arial"/>
                <w:sz w:val="16"/>
                <w:szCs w:val="16"/>
                <w:b w:val="1"/>
                <w:bCs w:val="1"/>
                <w:color w:val="auto"/>
                <w:w w:val="99"/>
              </w:rPr>
              <w:t>Level 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7"/>
                <w:szCs w:val="17"/>
                <w:color w:val="auto"/>
              </w:rPr>
            </w:pPr>
          </w:p>
        </w:tc>
      </w:tr>
      <w:tr>
        <w:trPr>
          <w:trHeight w:val="18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18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3"/>
        </w:trPr>
        <w:tc>
          <w:tcPr>
            <w:tcW w:w="3040" w:type="dxa"/>
            <w:vAlign w:val="bottom"/>
          </w:tcPr>
          <w:p>
            <w:pPr>
              <w:ind w:left="160"/>
              <w:spacing w:after="0"/>
              <w:rPr>
                <w:sz w:val="20"/>
                <w:szCs w:val="20"/>
                <w:color w:val="auto"/>
              </w:rPr>
            </w:pPr>
            <w:r>
              <w:rPr>
                <w:rFonts w:ascii="Arial" w:cs="Arial" w:eastAsia="Arial" w:hAnsi="Arial"/>
                <w:sz w:val="16"/>
                <w:szCs w:val="16"/>
                <w:color w:val="auto"/>
              </w:rPr>
              <w:t>Warrant liability</w:t>
            </w:r>
          </w:p>
        </w:tc>
        <w:tc>
          <w:tcPr>
            <w:tcW w:w="1800" w:type="dxa"/>
            <w:vAlign w:val="bottom"/>
          </w:tcPr>
          <w:p>
            <w:pPr>
              <w:spacing w:after="0"/>
              <w:rPr>
                <w:sz w:val="15"/>
                <w:szCs w:val="15"/>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4,804</w:t>
            </w:r>
          </w:p>
        </w:tc>
        <w:tc>
          <w:tcPr>
            <w:tcW w:w="100" w:type="dxa"/>
            <w:vAlign w:val="bottom"/>
          </w:tcPr>
          <w:p>
            <w:pPr>
              <w:spacing w:after="0"/>
              <w:rPr>
                <w:sz w:val="15"/>
                <w:szCs w:val="15"/>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4,804</w:t>
            </w:r>
          </w:p>
        </w:tc>
        <w:tc>
          <w:tcPr>
            <w:tcW w:w="160" w:type="dxa"/>
            <w:vAlign w:val="bottom"/>
          </w:tcPr>
          <w:p>
            <w:pPr>
              <w:spacing w:after="0"/>
              <w:rPr>
                <w:sz w:val="15"/>
                <w:szCs w:val="15"/>
                <w:color w:val="auto"/>
              </w:rPr>
            </w:pPr>
          </w:p>
        </w:tc>
      </w:tr>
      <w:tr>
        <w:trPr>
          <w:trHeight w:val="20"/>
        </w:trPr>
        <w:tc>
          <w:tcPr>
            <w:tcW w:w="3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30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87"/>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1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160" w:type="dxa"/>
            <w:vAlign w:val="bottom"/>
            <w:shd w:val="clear" w:color="auto" w:fill="CCEEFF"/>
          </w:tcPr>
          <w:p>
            <w:pPr>
              <w:spacing w:after="0"/>
              <w:rPr>
                <w:sz w:val="16"/>
                <w:szCs w:val="16"/>
                <w:color w:val="auto"/>
              </w:rPr>
            </w:pPr>
          </w:p>
        </w:tc>
      </w:tr>
    </w:tbl>
    <w:p>
      <w:pPr>
        <w:spacing w:after="0" w:line="199" w:lineRule="exact"/>
        <w:rPr>
          <w:sz w:val="20"/>
          <w:szCs w:val="20"/>
          <w:color w:val="auto"/>
        </w:rPr>
      </w:pPr>
    </w:p>
    <w:p>
      <w:pPr>
        <w:ind w:right="660" w:firstLine="439"/>
        <w:spacing w:after="0" w:line="249" w:lineRule="auto"/>
        <w:rPr>
          <w:sz w:val="20"/>
          <w:szCs w:val="20"/>
          <w:color w:val="auto"/>
        </w:rPr>
      </w:pPr>
      <w:r>
        <w:rPr>
          <w:rFonts w:ascii="Arial" w:cs="Arial" w:eastAsia="Arial" w:hAnsi="Arial"/>
          <w:sz w:val="16"/>
          <w:szCs w:val="16"/>
          <w:color w:val="auto"/>
        </w:rPr>
        <w:t>The warrant liability was initially recorded at fair value upon the date of the warrants' issuance and is subsequently remeasured to fair value at each reporting date (Note 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gridSpan w:val="2"/>
          </w:tcPr>
          <w:p>
            <w:pPr>
              <w:ind w:left="440"/>
              <w:spacing w:after="0"/>
              <w:rPr>
                <w:sz w:val="20"/>
                <w:szCs w:val="20"/>
                <w:color w:val="auto"/>
              </w:rPr>
            </w:pPr>
            <w:r>
              <w:rPr>
                <w:rFonts w:ascii="Arial" w:cs="Arial" w:eastAsia="Arial" w:hAnsi="Arial"/>
                <w:sz w:val="16"/>
                <w:szCs w:val="16"/>
                <w:color w:val="auto"/>
              </w:rPr>
              <w:t>During the years ended December 31, 2017 and 2018, there were no transfers between levels.</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79"/>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4. Property and equipment, net</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9"/>
        </w:trPr>
        <w:tc>
          <w:tcPr>
            <w:tcW w:w="7780" w:type="dxa"/>
            <w:vAlign w:val="bottom"/>
            <w:gridSpan w:val="2"/>
          </w:tcPr>
          <w:p>
            <w:pPr>
              <w:ind w:left="440"/>
              <w:spacing w:after="0"/>
              <w:rPr>
                <w:sz w:val="20"/>
                <w:szCs w:val="20"/>
                <w:color w:val="auto"/>
              </w:rPr>
            </w:pPr>
            <w:r>
              <w:rPr>
                <w:rFonts w:ascii="Arial" w:cs="Arial" w:eastAsia="Arial" w:hAnsi="Arial"/>
                <w:sz w:val="16"/>
                <w:szCs w:val="16"/>
                <w:color w:val="auto"/>
              </w:rPr>
              <w:t>Property and equipment, net consisted of the following (in thousands):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4"/>
        </w:trPr>
        <w:tc>
          <w:tcPr>
            <w:tcW w:w="11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9"/>
              </w:rPr>
              <w:t>December 31,</w:t>
            </w:r>
          </w:p>
        </w:tc>
      </w:tr>
      <w:tr>
        <w:trPr>
          <w:trHeight w:val="200"/>
        </w:trPr>
        <w:tc>
          <w:tcPr>
            <w:tcW w:w="114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Laboratory equipment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160" w:type="dxa"/>
            <w:vAlign w:val="bottom"/>
            <w:shd w:val="clear" w:color="auto" w:fill="CCEEFF"/>
          </w:tcPr>
          <w:p>
            <w:pPr>
              <w:spacing w:after="0"/>
              <w:rPr>
                <w:sz w:val="15"/>
                <w:szCs w:val="15"/>
                <w:color w:val="auto"/>
              </w:rPr>
            </w:pPr>
          </w:p>
        </w:tc>
      </w:tr>
      <w:tr>
        <w:trPr>
          <w:trHeight w:val="183"/>
        </w:trPr>
        <w:tc>
          <w:tcPr>
            <w:tcW w:w="7780" w:type="dxa"/>
            <w:vAlign w:val="bottom"/>
            <w:gridSpan w:val="2"/>
          </w:tcPr>
          <w:p>
            <w:pPr>
              <w:ind w:left="1140"/>
              <w:spacing w:after="0"/>
              <w:rPr>
                <w:sz w:val="20"/>
                <w:szCs w:val="20"/>
                <w:color w:val="auto"/>
              </w:rPr>
            </w:pPr>
            <w:r>
              <w:rPr>
                <w:rFonts w:ascii="Arial" w:cs="Arial" w:eastAsia="Arial" w:hAnsi="Arial"/>
                <w:sz w:val="16"/>
                <w:szCs w:val="16"/>
                <w:color w:val="auto"/>
              </w:rPr>
              <w:t>Leasehold improvements</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60" w:type="dxa"/>
            <w:vAlign w:val="bottom"/>
            <w:shd w:val="clear" w:color="auto" w:fill="CCEEFF"/>
          </w:tcPr>
          <w:p>
            <w:pPr>
              <w:spacing w:after="0"/>
              <w:rPr>
                <w:sz w:val="15"/>
                <w:szCs w:val="15"/>
                <w:color w:val="auto"/>
              </w:rPr>
            </w:pPr>
          </w:p>
        </w:tc>
      </w:tr>
      <w:tr>
        <w:trPr>
          <w:trHeight w:val="183"/>
        </w:trPr>
        <w:tc>
          <w:tcPr>
            <w:tcW w:w="7780" w:type="dxa"/>
            <w:vAlign w:val="bottom"/>
            <w:gridSpan w:val="2"/>
          </w:tcPr>
          <w:p>
            <w:pPr>
              <w:ind w:left="1140"/>
              <w:spacing w:after="0"/>
              <w:rPr>
                <w:sz w:val="20"/>
                <w:szCs w:val="20"/>
                <w:color w:val="auto"/>
              </w:rPr>
            </w:pPr>
            <w:r>
              <w:rPr>
                <w:rFonts w:ascii="Arial" w:cs="Arial" w:eastAsia="Arial" w:hAnsi="Arial"/>
                <w:sz w:val="16"/>
                <w:szCs w:val="16"/>
                <w:color w:val="auto"/>
              </w:rPr>
              <w:t>Furniture and office equipment</w:t>
            </w:r>
          </w:p>
        </w:tc>
        <w:tc>
          <w:tcPr>
            <w:tcW w:w="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15"/>
                <w:szCs w:val="15"/>
                <w:color w:val="auto"/>
              </w:rPr>
            </w:pPr>
          </w:p>
        </w:tc>
      </w:tr>
      <w:tr>
        <w:trPr>
          <w:trHeight w:val="188"/>
        </w:trPr>
        <w:tc>
          <w:tcPr>
            <w:tcW w:w="1140" w:type="dxa"/>
            <w:vAlign w:val="bottom"/>
          </w:tcPr>
          <w:p>
            <w:pPr>
              <w:spacing w:after="0"/>
              <w:rPr>
                <w:sz w:val="16"/>
                <w:szCs w:val="16"/>
                <w:color w:val="auto"/>
              </w:rPr>
            </w:pPr>
          </w:p>
        </w:tc>
        <w:tc>
          <w:tcPr>
            <w:tcW w:w="66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160" w:type="dxa"/>
            <w:vAlign w:val="bottom"/>
            <w:shd w:val="clear" w:color="auto" w:fill="CCEEFF"/>
          </w:tcPr>
          <w:p>
            <w:pPr>
              <w:spacing w:after="0"/>
              <w:rPr>
                <w:sz w:val="16"/>
                <w:szCs w:val="16"/>
                <w:color w:val="auto"/>
              </w:rPr>
            </w:pPr>
          </w:p>
        </w:tc>
      </w:tr>
      <w:tr>
        <w:trPr>
          <w:trHeight w:val="183"/>
        </w:trPr>
        <w:tc>
          <w:tcPr>
            <w:tcW w:w="7780" w:type="dxa"/>
            <w:vAlign w:val="bottom"/>
            <w:gridSpan w:val="2"/>
          </w:tcPr>
          <w:p>
            <w:pPr>
              <w:ind w:left="1140"/>
              <w:spacing w:after="0"/>
              <w:rPr>
                <w:sz w:val="20"/>
                <w:szCs w:val="20"/>
                <w:color w:val="auto"/>
              </w:rPr>
            </w:pPr>
            <w:r>
              <w:rPr>
                <w:rFonts w:ascii="Arial" w:cs="Arial" w:eastAsia="Arial" w:hAnsi="Arial"/>
                <w:sz w:val="16"/>
                <w:szCs w:val="16"/>
                <w:color w:val="auto"/>
              </w:rPr>
              <w:t>Less: Accumulated depreciation and amortization</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(1,339)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(1,933)</w:t>
            </w:r>
          </w:p>
        </w:tc>
      </w:tr>
      <w:tr>
        <w:trPr>
          <w:trHeight w:val="20"/>
        </w:trPr>
        <w:tc>
          <w:tcPr>
            <w:tcW w:w="1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66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160" w:type="dxa"/>
            <w:vAlign w:val="bottom"/>
            <w:shd w:val="clear" w:color="auto" w:fill="CCEEFF"/>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expense was $0.3 million and $0.7 million for the years ended December 31, 2017 and 2018,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Accrued expenses and other current liabilities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6"/>
          </w:tcPr>
          <w:p>
            <w:pPr>
              <w:jc w:val="center"/>
              <w:ind w:right="1280"/>
              <w:spacing w:after="0"/>
              <w:rPr>
                <w:sz w:val="20"/>
                <w:szCs w:val="20"/>
                <w:color w:val="auto"/>
              </w:rPr>
            </w:pPr>
            <w:r>
              <w:rPr>
                <w:rFonts w:ascii="Arial" w:cs="Arial" w:eastAsia="Arial" w:hAnsi="Arial"/>
                <w:sz w:val="16"/>
                <w:szCs w:val="16"/>
                <w:b w:val="1"/>
                <w:bCs w:val="1"/>
                <w:color w:val="auto"/>
                <w:w w:val="99"/>
              </w:rPr>
              <w:t>December 31,</w:t>
            </w:r>
          </w:p>
        </w:tc>
      </w:tr>
      <w:tr>
        <w:trPr>
          <w:trHeight w:val="200"/>
        </w:trPr>
        <w:tc>
          <w:tcPr>
            <w:tcW w:w="11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Accrued employee compensation and benefits</w:t>
            </w:r>
          </w:p>
        </w:tc>
        <w:tc>
          <w:tcPr>
            <w:tcW w:w="3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5260" w:type="dxa"/>
            <w:vAlign w:val="bottom"/>
            <w:gridSpan w:val="2"/>
          </w:tcPr>
          <w:p>
            <w:pPr>
              <w:ind w:left="1140"/>
              <w:spacing w:after="0"/>
              <w:rPr>
                <w:sz w:val="20"/>
                <w:szCs w:val="20"/>
                <w:color w:val="auto"/>
              </w:rPr>
            </w:pPr>
            <w:r>
              <w:rPr>
                <w:rFonts w:ascii="Arial" w:cs="Arial" w:eastAsia="Arial" w:hAnsi="Arial"/>
                <w:sz w:val="16"/>
                <w:szCs w:val="16"/>
                <w:color w:val="auto"/>
              </w:rPr>
              <w:t>Accrued external research and development expenses</w:t>
            </w:r>
          </w:p>
        </w:tc>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1,995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3,814</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3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5260" w:type="dxa"/>
            <w:vAlign w:val="bottom"/>
            <w:gridSpan w:val="2"/>
          </w:tcPr>
          <w:p>
            <w:pPr>
              <w:ind w:left="1140"/>
              <w:spacing w:after="0"/>
              <w:rPr>
                <w:sz w:val="20"/>
                <w:szCs w:val="20"/>
                <w:color w:val="auto"/>
              </w:rPr>
            </w:pPr>
            <w:r>
              <w:rPr>
                <w:rFonts w:ascii="Arial" w:cs="Arial" w:eastAsia="Arial" w:hAnsi="Arial"/>
                <w:sz w:val="16"/>
                <w:szCs w:val="16"/>
                <w:color w:val="auto"/>
              </w:rPr>
              <w:t>Accrued professional fees</w:t>
            </w:r>
          </w:p>
        </w:tc>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1,494</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3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11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3,405</w:t>
            </w:r>
          </w:p>
        </w:tc>
        <w:tc>
          <w:tcPr>
            <w:tcW w:w="3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7,032</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7"/>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500" w:type="dxa"/>
            <w:vAlign w:val="bottom"/>
            <w:gridSpan w:val="2"/>
          </w:tcPr>
          <w:p>
            <w:pPr>
              <w:jc w:val="right"/>
              <w:ind w:right="2880"/>
              <w:spacing w:after="0"/>
              <w:rPr>
                <w:sz w:val="20"/>
                <w:szCs w:val="20"/>
                <w:color w:val="auto"/>
              </w:rPr>
            </w:pPr>
            <w:r>
              <w:rPr>
                <w:rFonts w:ascii="Arial" w:cs="Arial" w:eastAsia="Arial" w:hAnsi="Arial"/>
                <w:sz w:val="16"/>
                <w:szCs w:val="16"/>
                <w:color w:val="auto"/>
              </w:rPr>
              <w:t>F-27</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1140" w:type="dxa"/>
            <w:vAlign w:val="bottom"/>
            <w:tcBorders>
              <w:bottom w:val="single" w:sz="8" w:color="808080"/>
            </w:tcBorders>
          </w:tcPr>
          <w:p>
            <w:pPr>
              <w:spacing w:after="0"/>
              <w:rPr>
                <w:sz w:val="16"/>
                <w:szCs w:val="16"/>
                <w:color w:val="auto"/>
              </w:rPr>
            </w:pPr>
          </w:p>
        </w:tc>
        <w:tc>
          <w:tcPr>
            <w:tcW w:w="4120" w:type="dxa"/>
            <w:vAlign w:val="bottom"/>
            <w:tcBorders>
              <w:bottom w:val="single" w:sz="8" w:color="808080"/>
            </w:tcBorders>
          </w:tcPr>
          <w:p>
            <w:pPr>
              <w:spacing w:after="0"/>
              <w:rPr>
                <w:sz w:val="16"/>
                <w:szCs w:val="16"/>
                <w:color w:val="auto"/>
              </w:rPr>
            </w:pPr>
          </w:p>
        </w:tc>
        <w:tc>
          <w:tcPr>
            <w:tcW w:w="334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78" w:name="page279"/>
    <w:bookmarkEnd w:id="2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w:t>
      </w:r>
    </w:p>
    <w:p>
      <w:pPr>
        <w:spacing w:after="0" w:line="215" w:lineRule="exact"/>
        <w:rPr>
          <w:sz w:val="20"/>
          <w:szCs w:val="20"/>
          <w:color w:val="auto"/>
        </w:rPr>
      </w:pPr>
    </w:p>
    <w:p>
      <w:pPr>
        <w:jc w:val="both"/>
        <w:ind w:right="20" w:firstLine="439"/>
        <w:spacing w:after="0" w:line="249" w:lineRule="auto"/>
        <w:rPr>
          <w:sz w:val="20"/>
          <w:szCs w:val="20"/>
          <w:color w:val="auto"/>
        </w:rPr>
      </w:pPr>
      <w:r>
        <w:rPr>
          <w:rFonts w:ascii="Arial" w:cs="Arial" w:eastAsia="Arial" w:hAnsi="Arial"/>
          <w:sz w:val="16"/>
          <w:szCs w:val="16"/>
          <w:color w:val="auto"/>
        </w:rPr>
        <w:t>The Company has issued Series A convertible preferred shares ("Series A Preferred Shares"), Series B1 convertible preferred shares ("Series B1 Preferred Shares"), and Series B2 convertible preferred shares ("Series B2 Preferred Shares") (collectively the "Preferred Shares").</w:t>
      </w:r>
    </w:p>
    <w:p>
      <w:pPr>
        <w:spacing w:after="0" w:line="181" w:lineRule="exact"/>
        <w:rPr>
          <w:sz w:val="20"/>
          <w:szCs w:val="20"/>
          <w:color w:val="auto"/>
        </w:rPr>
      </w:pPr>
    </w:p>
    <w:p>
      <w:pPr>
        <w:jc w:val="both"/>
        <w:ind w:right="40" w:firstLine="442"/>
        <w:spacing w:after="0" w:line="241" w:lineRule="auto"/>
        <w:rPr>
          <w:sz w:val="20"/>
          <w:szCs w:val="20"/>
          <w:color w:val="auto"/>
        </w:rPr>
      </w:pPr>
      <w:r>
        <w:rPr>
          <w:rFonts w:ascii="Arial" w:cs="Arial" w:eastAsia="Arial" w:hAnsi="Arial"/>
          <w:sz w:val="16"/>
          <w:szCs w:val="16"/>
          <w:color w:val="auto"/>
        </w:rPr>
        <w:t>On May 26, 2017 the Company completed the issue of 3,562,583 Series B1 Preferred Shares at a price per share of £11.2278, for gross cash proceeds of $51.9 million. In addition, on October 27, 2017, an additional unaffiliated investor subscribed for a further 384,615 Series B1 Preferred Shares at a price per share of £13, for gross cash proceeds of $6.6 million. These two transactions are collectively referred to as "the Series B1 Financing". In conjunction with the Series B1 Financing, the Company also issued warrants to subscribe for 743,287 Series B1 Preferred Shares to the subscribers of the Series B1 Preferred Shares (Note 7). The Company allocated a portion of the proceeds equal to the fair value of the warrants at the date of grant to the warrant liability, and the remaining amount was allocated to the Series B1 Preferred Shares.</w:t>
      </w:r>
    </w:p>
    <w:p>
      <w:pPr>
        <w:spacing w:after="0" w:line="188" w:lineRule="exact"/>
        <w:rPr>
          <w:sz w:val="20"/>
          <w:szCs w:val="20"/>
          <w:color w:val="auto"/>
        </w:rPr>
      </w:pPr>
    </w:p>
    <w:p>
      <w:pPr>
        <w:ind w:right="100" w:firstLine="442"/>
        <w:spacing w:after="0" w:line="241" w:lineRule="auto"/>
        <w:rPr>
          <w:sz w:val="20"/>
          <w:szCs w:val="20"/>
          <w:color w:val="auto"/>
        </w:rPr>
      </w:pPr>
      <w:r>
        <w:rPr>
          <w:rFonts w:ascii="Arial" w:cs="Arial" w:eastAsia="Arial" w:hAnsi="Arial"/>
          <w:sz w:val="16"/>
          <w:szCs w:val="16"/>
          <w:color w:val="auto"/>
        </w:rPr>
        <w:t>On December 20, 2018, the Company completed the issue of 1,323,248 Series B2 preferred shares at a price per Series B2 preferred share of £15.55, for gross cash proceeds of $26.1 million (the "Series B2 Financing"). In conjunction with the Series B2 Financing, the existing holders of warrants to subscribe for Series B1 preferred shares surrendered 194,911 warrants to subscribe for the same number of Series B1 preferred shares and the Company issued a further 194,911 warrants to subscribe for the same number of Series B1 preferred shares to the new investor. In conjunction with the Series B2 Financing, the Company designated all previously outstanding Series B preferred shares as Series B1 preferred shares.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rights, preferences, and privileges of the Preferred Shares are described below:</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1" w:lineRule="exact"/>
        <w:rPr>
          <w:sz w:val="20"/>
          <w:szCs w:val="20"/>
          <w:color w:val="auto"/>
        </w:rPr>
      </w:pPr>
    </w:p>
    <w:p>
      <w:pPr>
        <w:ind w:firstLine="439"/>
        <w:spacing w:after="0" w:line="244" w:lineRule="auto"/>
        <w:rPr>
          <w:sz w:val="20"/>
          <w:szCs w:val="20"/>
          <w:color w:val="auto"/>
        </w:rPr>
      </w:pPr>
      <w:r>
        <w:rPr>
          <w:rFonts w:ascii="Arial" w:cs="Arial" w:eastAsia="Arial" w:hAnsi="Arial"/>
          <w:sz w:val="16"/>
          <w:szCs w:val="16"/>
          <w:color w:val="auto"/>
        </w:rPr>
        <w:t>The holders of Preferred Shares are entitled to vote, together with the holders of ordinary shares, on all matters submitted to shareholders for a vote, except as required by law. Each preferred shareholder is entitled to the number of votes equal to the number of ordinary shares into which each preferred share is convertible as of the date of the vote.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preferences</w:t>
      </w:r>
    </w:p>
    <w:p>
      <w:pPr>
        <w:spacing w:after="0" w:line="211"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In the event that the Company liquidates, dissolves or winds up, whether voluntarily or involuntarily, the Company sells all or substantially all of its assets or businesses, or the Company sells the whole or any part of the issued share capital of a subsidiary, the shareholders of the Company sell a controlling interest in the Company, or if certain events deemed to be a liquidation occur, then the holders of the Series B2 Preferred Shares are entitled to receive in preference to the holders of the Series B1 Preferred Shares, the Series A Preferred Shares and the ordinary shares an amount per share equal to the original purchase price of the Series B2 Preferred Shares, plus any dividends, if declared but unpaid thereon. In addition, following payment of the preference to the holders of Series B2 Preferred Shares, the holders of the Series B1 Preferred Shares are entitled to receive in preference to the holders of the Series A Preferred Shares and the ordinary shares an amount per share equal to the original purchase price of each respective Series B1 Preferred Share, plus any dividends, if declared but unpaid thereon. In addition, following payment of the preference to the holders of Series B1 Preferred Shares, the holders of the Series A Preferred Shares are entitled to receive in preference to the holders of the ordinary shares, an amount per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79" w:name="page280"/>
    <w:bookmarkEnd w:id="2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 (Continued)</w:t>
      </w:r>
    </w:p>
    <w:p>
      <w:pPr>
        <w:spacing w:after="0" w:line="215" w:lineRule="exact"/>
        <w:rPr>
          <w:sz w:val="20"/>
          <w:szCs w:val="20"/>
          <w:color w:val="auto"/>
        </w:rPr>
      </w:pPr>
    </w:p>
    <w:p>
      <w:pPr>
        <w:ind w:right="460"/>
        <w:spacing w:after="0" w:line="244" w:lineRule="auto"/>
        <w:rPr>
          <w:sz w:val="20"/>
          <w:szCs w:val="20"/>
          <w:color w:val="auto"/>
        </w:rPr>
      </w:pPr>
      <w:r>
        <w:rPr>
          <w:rFonts w:ascii="Arial" w:cs="Arial" w:eastAsia="Arial" w:hAnsi="Arial"/>
          <w:sz w:val="16"/>
          <w:szCs w:val="16"/>
          <w:color w:val="auto"/>
        </w:rPr>
        <w:t>share equal to the original purchase price of each respective Series A Preferred Share, plus any dividends, if declared but unpaid thereon. Following all preferential payments to holders of the Preferred Shares, as required, any remaining undistributed assets are shared ratably with the holders of the ordinary shares and the convertible preferred shares with the latter's share number being determined on an "as-if-converted" basis.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11" w:lineRule="exact"/>
        <w:rPr>
          <w:sz w:val="20"/>
          <w:szCs w:val="20"/>
          <w:color w:val="auto"/>
        </w:rPr>
      </w:pPr>
    </w:p>
    <w:p>
      <w:pPr>
        <w:ind w:right="140" w:firstLine="439"/>
        <w:spacing w:after="0" w:line="244" w:lineRule="auto"/>
        <w:rPr>
          <w:sz w:val="20"/>
          <w:szCs w:val="20"/>
          <w:color w:val="auto"/>
        </w:rPr>
      </w:pPr>
      <w:r>
        <w:rPr>
          <w:rFonts w:ascii="Arial" w:cs="Arial" w:eastAsia="Arial" w:hAnsi="Arial"/>
          <w:sz w:val="16"/>
          <w:szCs w:val="16"/>
          <w:color w:val="auto"/>
        </w:rPr>
        <w:t>The holders of the Preferred Shares rank pari passu in all respects as to dividends with the holders of the ordinary shares. The Company may not pay any dividends on ordinary shares of the Company unless the holders of Preferred Shares then outstanding simultaneously receive dividends at the same rate and same time as dividends paid with respect to ordinary shares. Through December 31, 2017 and 2018, no dividends have been declared or paid.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 rights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Preferred Shares are not redeemable at the option of the holder.</w:t>
      </w:r>
    </w:p>
    <w:p>
      <w:pPr>
        <w:spacing w:after="0" w:line="195" w:lineRule="exact"/>
        <w:rPr>
          <w:sz w:val="20"/>
          <w:szCs w:val="20"/>
          <w:color w:val="auto"/>
        </w:rPr>
      </w:pPr>
    </w:p>
    <w:p>
      <w:pPr>
        <w:ind w:right="240" w:firstLine="439"/>
        <w:spacing w:after="0" w:line="249" w:lineRule="auto"/>
        <w:rPr>
          <w:sz w:val="20"/>
          <w:szCs w:val="20"/>
          <w:color w:val="auto"/>
        </w:rPr>
      </w:pPr>
      <w:r>
        <w:rPr>
          <w:rFonts w:ascii="Arial" w:cs="Arial" w:eastAsia="Arial" w:hAnsi="Arial"/>
          <w:sz w:val="16"/>
          <w:szCs w:val="16"/>
          <w:color w:val="auto"/>
        </w:rPr>
        <w:t>The holders of Preferred Shares have liquidation rights in the event of a deemed liquidation that, in certain situations such as a change in control, are not solely within the control of the Company. Therefore, convertible preferred shares are classified outside of shareholders' (deficit) equity.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rights</w:t>
      </w:r>
    </w:p>
    <w:p>
      <w:pPr>
        <w:spacing w:after="0" w:line="211"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Each Preferred Share is convertible at any time at the option of the shareholder into fully paid ordinary shares. Each Preferred Share will be automatically converted into such number of ordinary shares, at the applicable conversion ratio then in effect, upon either (i) the closing of a firm commitment public offering with at least £50.0 million of gross proceeds and at a price of at least £31.10 per share, subject to appropriate adjustment in the event of any share split, share dividend, combination or other similar recapitalization, or (ii) the vote or written consent of the holders of at least a 77% of the outstanding Preferred Shares on an as converted basis, voting together as a single class.</w:t>
      </w:r>
    </w:p>
    <w:p>
      <w:pPr>
        <w:spacing w:after="0" w:line="189" w:lineRule="exact"/>
        <w:rPr>
          <w:sz w:val="20"/>
          <w:szCs w:val="20"/>
          <w:color w:val="auto"/>
        </w:rPr>
      </w:pPr>
    </w:p>
    <w:p>
      <w:pPr>
        <w:ind w:right="160" w:firstLine="439"/>
        <w:spacing w:after="0" w:line="249" w:lineRule="auto"/>
        <w:rPr>
          <w:sz w:val="20"/>
          <w:szCs w:val="20"/>
          <w:color w:val="auto"/>
        </w:rPr>
      </w:pPr>
      <w:r>
        <w:rPr>
          <w:rFonts w:ascii="Arial" w:cs="Arial" w:eastAsia="Arial" w:hAnsi="Arial"/>
          <w:sz w:val="16"/>
          <w:szCs w:val="16"/>
          <w:color w:val="auto"/>
        </w:rPr>
        <w:t>The Preferred Shares are initially convertible to ordinary shares on a one for one basis, subject to adjustment for certain dilutive events and certain capital reorganizations in accordance with the terms of the articles of association of the Company.</w:t>
      </w:r>
    </w:p>
    <w:p>
      <w:pPr>
        <w:spacing w:after="0" w:line="181" w:lineRule="exact"/>
        <w:rPr>
          <w:sz w:val="20"/>
          <w:szCs w:val="20"/>
          <w:color w:val="auto"/>
        </w:rPr>
      </w:pPr>
    </w:p>
    <w:p>
      <w:pPr>
        <w:ind w:right="120" w:firstLine="442"/>
        <w:spacing w:after="0" w:line="242" w:lineRule="auto"/>
        <w:rPr>
          <w:sz w:val="20"/>
          <w:szCs w:val="20"/>
          <w:color w:val="auto"/>
        </w:rPr>
      </w:pPr>
      <w:r>
        <w:rPr>
          <w:rFonts w:ascii="Arial" w:cs="Arial" w:eastAsia="Arial" w:hAnsi="Arial"/>
          <w:sz w:val="16"/>
          <w:szCs w:val="16"/>
          <w:color w:val="auto"/>
        </w:rPr>
        <w:t>Upon issuance of each class of Preferred Shares, the Company assessed the embedded conversion and liquidation features of the securities. The Company determined that each class of Preferred Shares does not require the Company to separately account for the conversion or liquidation features. The Company also concluded that no beneficial conversion features existed upon the issuance date of the Series A Preferred Shares, Series B1 Preferred Shares, or Series B2 Preferred Shares.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80" w:name="page281"/>
    <w:bookmarkEnd w:id="280"/>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7. Warrant liability (restated)</w:t>
      </w:r>
    </w:p>
    <w:p>
      <w:pPr>
        <w:spacing w:after="0" w:line="215" w:lineRule="exact"/>
        <w:rPr>
          <w:sz w:val="20"/>
          <w:szCs w:val="20"/>
          <w:color w:val="auto"/>
        </w:rPr>
      </w:pPr>
    </w:p>
    <w:p>
      <w:pPr>
        <w:ind w:left="2" w:right="120" w:firstLine="442"/>
        <w:spacing w:after="0" w:line="241" w:lineRule="auto"/>
        <w:rPr>
          <w:sz w:val="20"/>
          <w:szCs w:val="20"/>
          <w:color w:val="auto"/>
        </w:rPr>
      </w:pPr>
      <w:r>
        <w:rPr>
          <w:rFonts w:ascii="Arial" w:cs="Arial" w:eastAsia="Arial" w:hAnsi="Arial"/>
          <w:sz w:val="16"/>
          <w:szCs w:val="16"/>
          <w:color w:val="auto"/>
        </w:rPr>
        <w:t>On May 26, 2017, the Company issued 200,000 warrants to subscribe for Series A Preferred Shares at £0.01 each which are exercisable at any time after May 26, 2017 provided that they have not otherwise lapsed in accordance with their terms. The warrants were issued as consideration to amend a royalty arrangement (Note 12) with certain founders of the Company. The Company recorded the fair value of the warrants to subscribe for Series A Preferred Shares to the founders of $0.9 million as research and development expense at the time of issuance in May 2017, as the underlying license rights do not have alternative future use, in accordance with ASC Topic 730, Research and Development.</w:t>
      </w:r>
    </w:p>
    <w:p>
      <w:pPr>
        <w:spacing w:after="0" w:line="189" w:lineRule="exact"/>
        <w:rPr>
          <w:sz w:val="20"/>
          <w:szCs w:val="20"/>
          <w:color w:val="auto"/>
        </w:rPr>
      </w:pPr>
    </w:p>
    <w:p>
      <w:pPr>
        <w:ind w:left="2" w:right="40" w:firstLine="439"/>
        <w:spacing w:after="0" w:line="249" w:lineRule="auto"/>
        <w:rPr>
          <w:sz w:val="20"/>
          <w:szCs w:val="20"/>
          <w:color w:val="auto"/>
        </w:rPr>
      </w:pPr>
      <w:r>
        <w:rPr>
          <w:rFonts w:ascii="Arial" w:cs="Arial" w:eastAsia="Arial" w:hAnsi="Arial"/>
          <w:sz w:val="16"/>
          <w:szCs w:val="16"/>
          <w:color w:val="auto"/>
        </w:rPr>
        <w:t>The warrants to subscribe for Series A Preferred Shares expire upon the earlier of (i) 10 years from their issuance date, or (ii) upon an IPO or exit unless an exercise delay notice is provided by the Series A warrant holder, in which case they will expire 12 months following an IPO or exit.</w:t>
      </w:r>
    </w:p>
    <w:p>
      <w:pPr>
        <w:spacing w:after="0" w:line="181" w:lineRule="exact"/>
        <w:rPr>
          <w:sz w:val="20"/>
          <w:szCs w:val="20"/>
          <w:color w:val="auto"/>
        </w:rPr>
      </w:pPr>
    </w:p>
    <w:p>
      <w:pPr>
        <w:jc w:val="both"/>
        <w:ind w:left="2" w:firstLine="442"/>
        <w:spacing w:after="0" w:line="241" w:lineRule="auto"/>
        <w:rPr>
          <w:sz w:val="20"/>
          <w:szCs w:val="20"/>
          <w:color w:val="auto"/>
        </w:rPr>
      </w:pPr>
      <w:r>
        <w:rPr>
          <w:rFonts w:ascii="Arial" w:cs="Arial" w:eastAsia="Arial" w:hAnsi="Arial"/>
          <w:sz w:val="16"/>
          <w:szCs w:val="16"/>
          <w:color w:val="auto"/>
        </w:rPr>
        <w:t>On May 26, 2017, in conjunction with the issuance of 3,562,583 Series B1 Preferred Shares at a price per share of £11.2278 (Note 6), the Company issued 627,903 warrants to subscribe for Series B1 Preferred Shares with an exercise price of £0.01. In addition, on October 27, 2017, in conjunction with the issuance of 384,615 Series B1 Preferred Shares the Company issued a further 115,384 warrants to subscribe for Series B1 Preferred Shares with an exercise price of £0.01. In conjunction with the Series B2 Financing (Note 6), the existing holders of warrants to subscribe for Series B1 preferred shares surrendered 194,911 warrants to subscribe for the same number of Series B1 preferred shares and the Company issued a further 194,911 warrants to subscribe for the same number of Series B1 preferred shares to the new investor.</w:t>
      </w:r>
    </w:p>
    <w:p>
      <w:pPr>
        <w:spacing w:after="0" w:line="188" w:lineRule="exact"/>
        <w:rPr>
          <w:sz w:val="20"/>
          <w:szCs w:val="20"/>
          <w:color w:val="auto"/>
        </w:rPr>
      </w:pPr>
    </w:p>
    <w:p>
      <w:pPr>
        <w:ind w:left="2" w:right="240" w:firstLine="439"/>
        <w:spacing w:after="0" w:line="255" w:lineRule="auto"/>
        <w:rPr>
          <w:sz w:val="20"/>
          <w:szCs w:val="20"/>
          <w:color w:val="auto"/>
        </w:rPr>
      </w:pPr>
      <w:r>
        <w:rPr>
          <w:rFonts w:ascii="Arial" w:cs="Arial" w:eastAsia="Arial" w:hAnsi="Arial"/>
          <w:sz w:val="15"/>
          <w:szCs w:val="15"/>
          <w:color w:val="auto"/>
        </w:rPr>
        <w:t>The warrants to subscribe for Series B1 Preferred Shares may be exercised from the first to occur of (i) March 31, 2020, (ii) upon notification of an equity fund raise for aggregate proceeds of a minimum amount to be determined by the board of directors of the Company, (iii) the notification of initiation of an IPO,</w:t>
      </w:r>
    </w:p>
    <w:p>
      <w:pPr>
        <w:ind w:left="2" w:hanging="2"/>
        <w:spacing w:after="0"/>
        <w:tabs>
          <w:tab w:leader="none" w:pos="26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notification of an exit (being either: (a) a sale or other transfer of the whole or any part of the issued share capital of the Company or any subsidiary on an arm's length basis that results in such person (along with any persons acting in concert) holding a controlling interest in the Company or any subsidiary; or (b) the disposition of all or substantially all of the assets or business of the Company to a third party (either by way of a sale, license and/or other transfer), or (v) upon an unfavorable outcome related to a patent complaint (Note 12). The Series B1 Warrants expire upon five years from becoming exercisable, or immediately prior to an exit (having the meaning set out above in this paragraph), IPO, an equity fund raise (having the meaning set out above in this paragraph), upon a favorable judgment related to a patent complaint (Note 12), or upon the winding up of the Company. The warrants to purchase Series B1 preferred shares contain limitations on their ability to be exercised based on the status of the patent complaint, in accordance with the terms of the warrant agreement.</w:t>
      </w:r>
    </w:p>
    <w:p>
      <w:pPr>
        <w:spacing w:after="0" w:line="192" w:lineRule="exact"/>
        <w:rPr>
          <w:sz w:val="20"/>
          <w:szCs w:val="20"/>
          <w:color w:val="auto"/>
        </w:rPr>
      </w:pPr>
    </w:p>
    <w:p>
      <w:pPr>
        <w:ind w:left="2" w:right="500" w:firstLine="439"/>
        <w:spacing w:after="0" w:line="249" w:lineRule="auto"/>
        <w:rPr>
          <w:sz w:val="20"/>
          <w:szCs w:val="20"/>
          <w:color w:val="auto"/>
        </w:rPr>
      </w:pPr>
      <w:r>
        <w:rPr>
          <w:rFonts w:ascii="Arial" w:cs="Arial" w:eastAsia="Arial" w:hAnsi="Arial"/>
          <w:sz w:val="16"/>
          <w:szCs w:val="16"/>
          <w:color w:val="auto"/>
        </w:rPr>
        <w:t>The warrants to subscribe for Series A and Series B1 Preferred Shares are recorded as a liability and remeasured to fair value at each reporting date (Note 3). Changes in the fair value of the warrant liability are recognized as other expense, net in the consolidated statements of</w:t>
      </w:r>
    </w:p>
    <w:p>
      <w:pPr>
        <w:spacing w:after="0" w:line="18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143" w:right="259" w:bottom="1440" w:gutter="0" w:footer="0" w:header="0"/>
        </w:sectPr>
      </w:pPr>
    </w:p>
    <w:bookmarkStart w:id="281" w:name="page282"/>
    <w:bookmarkEnd w:id="2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Warrant liability (restated) (Continued)</w:t>
      </w:r>
    </w:p>
    <w:p>
      <w:pPr>
        <w:spacing w:after="0" w:line="215" w:lineRule="exact"/>
        <w:rPr>
          <w:sz w:val="20"/>
          <w:szCs w:val="20"/>
          <w:color w:val="auto"/>
        </w:rPr>
      </w:pPr>
    </w:p>
    <w:p>
      <w:pPr>
        <w:ind w:right="760"/>
        <w:spacing w:after="0" w:line="249" w:lineRule="auto"/>
        <w:rPr>
          <w:sz w:val="20"/>
          <w:szCs w:val="20"/>
          <w:color w:val="auto"/>
        </w:rPr>
      </w:pPr>
      <w:r>
        <w:rPr>
          <w:rFonts w:ascii="Arial" w:cs="Arial" w:eastAsia="Arial" w:hAnsi="Arial"/>
          <w:sz w:val="16"/>
          <w:szCs w:val="16"/>
          <w:color w:val="auto"/>
        </w:rPr>
        <w:t>operations and comprehensive loss. The following table provides a roll-forward of the fair values of the Company's warrant liability for which fair value is determined by Level 3 inputs (in thousands):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5"/>
              </w:rPr>
              <w:t>Warrant</w:t>
            </w:r>
          </w:p>
        </w:tc>
      </w:tr>
      <w:tr>
        <w:trPr>
          <w:trHeight w:val="205"/>
        </w:trPr>
        <w:tc>
          <w:tcPr>
            <w:tcW w:w="8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Liability</w:t>
            </w:r>
          </w:p>
        </w:tc>
        <w:tc>
          <w:tcPr>
            <w:tcW w:w="160" w:type="dxa"/>
            <w:vAlign w:val="bottom"/>
          </w:tcPr>
          <w:p>
            <w:pPr>
              <w:spacing w:after="0"/>
              <w:rPr>
                <w:sz w:val="17"/>
                <w:szCs w:val="17"/>
                <w:color w:val="auto"/>
              </w:rPr>
            </w:pPr>
          </w:p>
        </w:tc>
      </w:tr>
      <w:tr>
        <w:trPr>
          <w:trHeight w:val="183"/>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Fair value at December 31, 2016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183"/>
        </w:trPr>
        <w:tc>
          <w:tcPr>
            <w:tcW w:w="8160" w:type="dxa"/>
            <w:vAlign w:val="bottom"/>
          </w:tcPr>
          <w:p>
            <w:pPr>
              <w:ind w:left="160"/>
              <w:spacing w:after="0"/>
              <w:rPr>
                <w:sz w:val="20"/>
                <w:szCs w:val="20"/>
                <w:color w:val="auto"/>
              </w:rPr>
            </w:pPr>
            <w:r>
              <w:rPr>
                <w:rFonts w:ascii="Arial" w:cs="Arial" w:eastAsia="Arial" w:hAnsi="Arial"/>
                <w:sz w:val="16"/>
                <w:szCs w:val="16"/>
                <w:color w:val="auto"/>
              </w:rPr>
              <w:t>Issuance of warrants to subscribe for Series A convertible preferred shares (as restated)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856</w:t>
            </w:r>
          </w:p>
        </w:tc>
        <w:tc>
          <w:tcPr>
            <w:tcW w:w="160" w:type="dxa"/>
            <w:vAlign w:val="bottom"/>
          </w:tcPr>
          <w:p>
            <w:pPr>
              <w:spacing w:after="0"/>
              <w:rPr>
                <w:sz w:val="15"/>
                <w:szCs w:val="15"/>
                <w:color w:val="auto"/>
              </w:rPr>
            </w:pPr>
          </w:p>
        </w:tc>
      </w:tr>
      <w:tr>
        <w:trPr>
          <w:trHeight w:val="18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warrants to subscribe for Series B1 convertible preferred shares (as restated)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w:t>
            </w:r>
          </w:p>
        </w:tc>
        <w:tc>
          <w:tcPr>
            <w:tcW w:w="160" w:type="dxa"/>
            <w:vAlign w:val="bottom"/>
            <w:shd w:val="clear" w:color="auto" w:fill="CCEEFF"/>
          </w:tcPr>
          <w:p>
            <w:pPr>
              <w:spacing w:after="0"/>
              <w:rPr>
                <w:sz w:val="15"/>
                <w:szCs w:val="15"/>
                <w:color w:val="auto"/>
              </w:rPr>
            </w:pPr>
          </w:p>
        </w:tc>
      </w:tr>
      <w:tr>
        <w:trPr>
          <w:trHeight w:val="183"/>
        </w:trPr>
        <w:tc>
          <w:tcPr>
            <w:tcW w:w="8160" w:type="dxa"/>
            <w:vAlign w:val="bottom"/>
          </w:tcPr>
          <w:p>
            <w:pPr>
              <w:ind w:left="160"/>
              <w:spacing w:after="0"/>
              <w:rPr>
                <w:sz w:val="20"/>
                <w:szCs w:val="20"/>
                <w:color w:val="auto"/>
              </w:rPr>
            </w:pPr>
            <w:r>
              <w:rPr>
                <w:rFonts w:ascii="Arial" w:cs="Arial" w:eastAsia="Arial" w:hAnsi="Arial"/>
                <w:sz w:val="16"/>
                <w:szCs w:val="16"/>
                <w:color w:val="auto"/>
              </w:rPr>
              <w:t>Change in fair value of warrant liability recorded as other expense (as restated)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119</w:t>
            </w:r>
          </w:p>
        </w:tc>
        <w:tc>
          <w:tcPr>
            <w:tcW w:w="160" w:type="dxa"/>
            <w:vAlign w:val="bottom"/>
          </w:tcPr>
          <w:p>
            <w:pPr>
              <w:spacing w:after="0"/>
              <w:rPr>
                <w:sz w:val="15"/>
                <w:szCs w:val="15"/>
                <w:color w:val="auto"/>
              </w:rPr>
            </w:pPr>
          </w:p>
        </w:tc>
      </w:tr>
      <w:tr>
        <w:trPr>
          <w:trHeight w:val="186"/>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exchange rates on translation of warrant liability to USD included in accumulated other comprehensive</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1"/>
        </w:trPr>
        <w:tc>
          <w:tcPr>
            <w:tcW w:w="8160" w:type="dxa"/>
            <w:vAlign w:val="bottom"/>
            <w:shd w:val="clear" w:color="auto" w:fill="CCEEFF"/>
          </w:tcPr>
          <w:p>
            <w:pPr>
              <w:ind w:left="320"/>
              <w:spacing w:after="0" w:line="181" w:lineRule="exact"/>
              <w:rPr>
                <w:sz w:val="20"/>
                <w:szCs w:val="20"/>
                <w:color w:val="auto"/>
              </w:rPr>
            </w:pPr>
            <w:r>
              <w:rPr>
                <w:rFonts w:ascii="Arial" w:cs="Arial" w:eastAsia="Arial" w:hAnsi="Arial"/>
                <w:sz w:val="16"/>
                <w:szCs w:val="16"/>
                <w:color w:val="auto"/>
              </w:rPr>
              <w:t>income (loss) (as restated)</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182</w:t>
            </w:r>
          </w:p>
        </w:tc>
        <w:tc>
          <w:tcPr>
            <w:tcW w:w="160" w:type="dxa"/>
            <w:vAlign w:val="bottom"/>
            <w:shd w:val="clear" w:color="auto" w:fill="CCEEFF"/>
          </w:tcPr>
          <w:p>
            <w:pPr>
              <w:spacing w:after="0"/>
              <w:rPr>
                <w:sz w:val="15"/>
                <w:szCs w:val="15"/>
                <w:color w:val="auto"/>
              </w:rPr>
            </w:pPr>
          </w:p>
        </w:tc>
      </w:tr>
      <w:tr>
        <w:trPr>
          <w:trHeight w:val="176"/>
        </w:trPr>
        <w:tc>
          <w:tcPr>
            <w:tcW w:w="8160" w:type="dxa"/>
            <w:vAlign w:val="bottom"/>
          </w:tcPr>
          <w:p>
            <w:pPr>
              <w:spacing w:after="0" w:line="176" w:lineRule="exact"/>
              <w:rPr>
                <w:sz w:val="20"/>
                <w:szCs w:val="20"/>
                <w:color w:val="auto"/>
              </w:rPr>
            </w:pPr>
            <w:r>
              <w:rPr>
                <w:rFonts w:ascii="Arial" w:cs="Arial" w:eastAsia="Arial" w:hAnsi="Arial"/>
                <w:sz w:val="16"/>
                <w:szCs w:val="16"/>
                <w:color w:val="auto"/>
              </w:rPr>
              <w:t>Fair value at December 31, 2017 (as restated)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4,411</w:t>
            </w:r>
          </w:p>
        </w:tc>
        <w:tc>
          <w:tcPr>
            <w:tcW w:w="160" w:type="dxa"/>
            <w:vAlign w:val="bottom"/>
          </w:tcPr>
          <w:p>
            <w:pPr>
              <w:spacing w:after="0"/>
              <w:rPr>
                <w:sz w:val="15"/>
                <w:szCs w:val="15"/>
                <w:color w:val="auto"/>
              </w:rPr>
            </w:pPr>
          </w:p>
        </w:tc>
      </w:tr>
      <w:tr>
        <w:trPr>
          <w:trHeight w:val="176"/>
        </w:trPr>
        <w:tc>
          <w:tcPr>
            <w:tcW w:w="8160" w:type="dxa"/>
            <w:vAlign w:val="bottom"/>
            <w:shd w:val="clear" w:color="auto" w:fill="CCEEFF"/>
          </w:tcPr>
          <w:p>
            <w:pPr>
              <w:ind w:left="160"/>
              <w:spacing w:after="0" w:line="176" w:lineRule="exact"/>
              <w:rPr>
                <w:sz w:val="20"/>
                <w:szCs w:val="20"/>
                <w:color w:val="auto"/>
              </w:rPr>
            </w:pPr>
            <w:r>
              <w:rPr>
                <w:rFonts w:ascii="Arial" w:cs="Arial" w:eastAsia="Arial" w:hAnsi="Arial"/>
                <w:sz w:val="16"/>
                <w:szCs w:val="16"/>
                <w:color w:val="auto"/>
              </w:rPr>
              <w:t>Change in fair value of warrant liability recorded as other expense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665</w:t>
            </w:r>
          </w:p>
        </w:tc>
        <w:tc>
          <w:tcPr>
            <w:tcW w:w="160" w:type="dxa"/>
            <w:vAlign w:val="bottom"/>
            <w:shd w:val="clear" w:color="auto" w:fill="CCEEFF"/>
          </w:tcPr>
          <w:p>
            <w:pPr>
              <w:spacing w:after="0"/>
              <w:rPr>
                <w:sz w:val="15"/>
                <w:szCs w:val="15"/>
                <w:color w:val="auto"/>
              </w:rPr>
            </w:pPr>
          </w:p>
        </w:tc>
      </w:tr>
      <w:tr>
        <w:trPr>
          <w:trHeight w:val="186"/>
        </w:trPr>
        <w:tc>
          <w:tcPr>
            <w:tcW w:w="8160" w:type="dxa"/>
            <w:vAlign w:val="bottom"/>
          </w:tcPr>
          <w:p>
            <w:pPr>
              <w:ind w:left="160"/>
              <w:spacing w:after="0"/>
              <w:rPr>
                <w:sz w:val="20"/>
                <w:szCs w:val="20"/>
                <w:color w:val="auto"/>
              </w:rPr>
            </w:pPr>
            <w:r>
              <w:rPr>
                <w:rFonts w:ascii="Arial" w:cs="Arial" w:eastAsia="Arial" w:hAnsi="Arial"/>
                <w:sz w:val="16"/>
                <w:szCs w:val="16"/>
                <w:color w:val="auto"/>
              </w:rPr>
              <w:t>Impact of exchange rates on translation of warrant liability to USD included in accumulated other comprehensive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1"/>
        </w:trPr>
        <w:tc>
          <w:tcPr>
            <w:tcW w:w="8160" w:type="dxa"/>
            <w:vAlign w:val="bottom"/>
          </w:tcPr>
          <w:p>
            <w:pPr>
              <w:ind w:left="320"/>
              <w:spacing w:after="0" w:line="181" w:lineRule="exact"/>
              <w:rPr>
                <w:sz w:val="20"/>
                <w:szCs w:val="20"/>
                <w:color w:val="auto"/>
              </w:rPr>
            </w:pPr>
            <w:r>
              <w:rPr>
                <w:rFonts w:ascii="Arial" w:cs="Arial" w:eastAsia="Arial" w:hAnsi="Arial"/>
                <w:sz w:val="16"/>
                <w:szCs w:val="16"/>
                <w:color w:val="auto"/>
              </w:rPr>
              <w:t>income (loss)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(272)</w:t>
            </w: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81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Fair value at December 31, 2018</w:t>
            </w:r>
          </w:p>
        </w:tc>
        <w:tc>
          <w:tcPr>
            <w:tcW w:w="22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4,804</w:t>
            </w:r>
          </w:p>
        </w:tc>
        <w:tc>
          <w:tcPr>
            <w:tcW w:w="160" w:type="dxa"/>
            <w:vAlign w:val="bottom"/>
            <w:shd w:val="clear" w:color="auto" w:fill="CCEEFF"/>
          </w:tcPr>
          <w:p>
            <w:pPr>
              <w:spacing w:after="0"/>
              <w:rPr>
                <w:sz w:val="15"/>
                <w:szCs w:val="15"/>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 w:firstLine="442"/>
        <w:spacing w:after="0" w:line="241" w:lineRule="auto"/>
        <w:rPr>
          <w:sz w:val="20"/>
          <w:szCs w:val="20"/>
          <w:color w:val="auto"/>
        </w:rPr>
      </w:pPr>
      <w:r>
        <w:rPr>
          <w:rFonts w:ascii="Arial" w:cs="Arial" w:eastAsia="Arial" w:hAnsi="Arial"/>
          <w:sz w:val="16"/>
          <w:szCs w:val="16"/>
          <w:color w:val="auto"/>
        </w:rPr>
        <w:t>In conjunction with the Series B2 Financing (Note 6), the existing holders of warrants to subscribe for Series B1 preferred shares surrendered 194,911 warrants to subscribe for the same number of Series B1 preferred shares and the Company issued a further 194,911 warrants to subscribe for the same number of Series B1 preferred shares to the new investor. The transfer of warrants between investors did not have an impact to the valuation of the warrant liability, as this represents a transaction between shareholders and the Company did not issue any new instruments or change the rights and preferences of the underlying warrants to subscribe for Series B1 preferred shares.</w:t>
      </w:r>
    </w:p>
    <w:p>
      <w:pPr>
        <w:spacing w:after="0" w:line="189" w:lineRule="exact"/>
        <w:rPr>
          <w:sz w:val="20"/>
          <w:szCs w:val="20"/>
          <w:color w:val="auto"/>
        </w:rPr>
      </w:pPr>
    </w:p>
    <w:p>
      <w:pPr>
        <w:ind w:firstLine="439"/>
        <w:spacing w:after="0" w:line="241" w:lineRule="auto"/>
        <w:rPr>
          <w:sz w:val="20"/>
          <w:szCs w:val="20"/>
          <w:color w:val="auto"/>
        </w:rPr>
      </w:pPr>
      <w:r>
        <w:rPr>
          <w:rFonts w:ascii="Arial" w:cs="Arial" w:eastAsia="Arial" w:hAnsi="Arial"/>
          <w:sz w:val="16"/>
          <w:szCs w:val="16"/>
          <w:color w:val="auto"/>
        </w:rPr>
        <w:t>The warrant liability in the table above consisted of the fair value of warrants to subscribe for Series A and Series B1 Preferred Shares (see Note 6) and was based on significant inputs not observable in the market, which represent a Level 3 measurement within the fair value hierarchy. The Company's valuation of the warrants to subscribe for Series A and Series B1 Preferred Shares utilized the Black-Scholes option-pricing model, which incorporates assumptions and estimates to value the warrant liability. The Company assesses these assumptions and estimates on a quarterly basis as additional information impacting the assumptions is obtained.</w:t>
      </w:r>
    </w:p>
    <w:p>
      <w:pPr>
        <w:spacing w:after="0" w:line="189" w:lineRule="exact"/>
        <w:rPr>
          <w:sz w:val="20"/>
          <w:szCs w:val="20"/>
          <w:color w:val="auto"/>
        </w:rPr>
      </w:pPr>
    </w:p>
    <w:p>
      <w:pPr>
        <w:ind w:right="40" w:firstLine="439"/>
        <w:spacing w:after="0" w:line="244" w:lineRule="auto"/>
        <w:rPr>
          <w:sz w:val="20"/>
          <w:szCs w:val="20"/>
          <w:color w:val="auto"/>
        </w:rPr>
      </w:pPr>
      <w:r>
        <w:rPr>
          <w:rFonts w:ascii="Arial" w:cs="Arial" w:eastAsia="Arial" w:hAnsi="Arial"/>
          <w:sz w:val="16"/>
          <w:szCs w:val="16"/>
          <w:color w:val="auto"/>
        </w:rPr>
        <w:t>The quantitative elements associated with the Company's Level 3 inputs impacting the fair value measurement of the warrant liability include the fair value per share of the underlying Series A and Series B1 preferred shares into which the warrant is exercisable, the remaining contractual term of the warrants, risk-free interest rate, expected dividend yield and expected volatility of the price of the underlying convertible preferred shares.</w:t>
      </w:r>
    </w:p>
    <w:p>
      <w:pPr>
        <w:spacing w:after="0" w:line="185" w:lineRule="exact"/>
        <w:rPr>
          <w:sz w:val="20"/>
          <w:szCs w:val="20"/>
          <w:color w:val="auto"/>
        </w:rPr>
      </w:pPr>
    </w:p>
    <w:p>
      <w:pPr>
        <w:jc w:val="both"/>
        <w:ind w:right="20" w:firstLine="439"/>
        <w:spacing w:after="0" w:line="244" w:lineRule="auto"/>
        <w:rPr>
          <w:sz w:val="20"/>
          <w:szCs w:val="20"/>
          <w:color w:val="auto"/>
        </w:rPr>
      </w:pPr>
      <w:r>
        <w:rPr>
          <w:rFonts w:ascii="Arial" w:cs="Arial" w:eastAsia="Arial" w:hAnsi="Arial"/>
          <w:sz w:val="16"/>
          <w:szCs w:val="16"/>
          <w:color w:val="auto"/>
        </w:rPr>
        <w:t>The most significant assumption in the Black-Scholes option-pricing model impacting the fair value of the warrant liability is the fair value of the Series A and Series B1 preferred shares into which the warrant is exercisable as of each remeasurement date. Given the absence of an active market for the Company's equity securities, Company determines the fair value per share of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2" w:name="page283"/>
    <w:bookmarkEnd w:id="28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Warrant liability (restated) (Continued)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shares underlying the warrants by taking into consideration the implied value derived from an independent third-party valuation of the Company's ordinary shares (Note 1), adjusted for certain restrictions on the exercise of the B1 warrants per their contractual terms. Assumptions related to the remaining term, free interest rate, expected dividend yield and expected volatility do not have an impact to the fair value of the warrants because the exercise price of the warrants is £0.01, and the fair value of the warrant is equal to the difference between the exercise price and the fair value regardless of the assumptions. The Company historically has been a private company and lacks company-specific historical and implied volatility information of its shares. Therefore, it estimates its expected share volatility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The Company has estimated a 0% dividend yield based on the expected dividend yield and the fact that the Company has never paid or declared dividends. The following table presents the unobservable inputs to the fair value measurement of the warrant liability:</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9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8"/>
              </w:rPr>
              <w:t>December 31, 2017</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right"/>
              <w:ind w:right="161"/>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Pr>
          <w:p>
            <w:pPr>
              <w:spacing w:after="0"/>
              <w:rPr>
                <w:sz w:val="17"/>
                <w:szCs w:val="17"/>
                <w:color w:val="auto"/>
              </w:rPr>
            </w:pPr>
          </w:p>
        </w:tc>
      </w:tr>
      <w:tr>
        <w:trPr>
          <w:trHeight w:val="183"/>
        </w:trPr>
        <w:tc>
          <w:tcPr>
            <w:tcW w:w="9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Series A</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Series B1</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Series A</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Series B1</w:t>
            </w:r>
          </w:p>
        </w:tc>
        <w:tc>
          <w:tcPr>
            <w:tcW w:w="160" w:type="dxa"/>
            <w:vAlign w:val="bottom"/>
          </w:tcPr>
          <w:p>
            <w:pPr>
              <w:spacing w:after="0"/>
              <w:rPr>
                <w:sz w:val="15"/>
                <w:szCs w:val="15"/>
                <w:color w:val="auto"/>
              </w:rPr>
            </w:pPr>
          </w:p>
        </w:tc>
      </w:tr>
      <w:tr>
        <w:trPr>
          <w:trHeight w:val="225"/>
        </w:trPr>
        <w:tc>
          <w:tcPr>
            <w:tcW w:w="9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Warrants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Warrants</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Warrants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15"/>
                <w:szCs w:val="15"/>
                <w:b w:val="1"/>
                <w:bCs w:val="1"/>
                <w:color w:val="auto"/>
              </w:rPr>
              <w:t>Warrants</w:t>
            </w:r>
            <w:r>
              <w:rPr>
                <w:rFonts w:ascii="Arial" w:cs="Arial" w:eastAsia="Arial" w:hAnsi="Arial"/>
                <w:sz w:val="25"/>
                <w:szCs w:val="25"/>
                <w:b w:val="1"/>
                <w:bCs w:val="1"/>
                <w:color w:val="auto"/>
                <w:vertAlign w:val="superscript"/>
              </w:rPr>
              <w:t>(1)</w:t>
            </w:r>
          </w:p>
        </w:tc>
        <w:tc>
          <w:tcPr>
            <w:tcW w:w="160" w:type="dxa"/>
            <w:vAlign w:val="bottom"/>
          </w:tcPr>
          <w:p>
            <w:pPr>
              <w:spacing w:after="0"/>
              <w:rPr>
                <w:sz w:val="19"/>
                <w:szCs w:val="19"/>
                <w:color w:val="auto"/>
              </w:rPr>
            </w:pPr>
          </w:p>
        </w:tc>
      </w:tr>
      <w:tr>
        <w:trPr>
          <w:trHeight w:val="183"/>
        </w:trPr>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 free rate</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183"/>
        </w:trPr>
        <w:tc>
          <w:tcPr>
            <w:tcW w:w="4180" w:type="dxa"/>
            <w:vAlign w:val="bottom"/>
            <w:gridSpan w:val="2"/>
          </w:tcPr>
          <w:p>
            <w:pPr>
              <w:spacing w:after="0"/>
              <w:rPr>
                <w:sz w:val="20"/>
                <w:szCs w:val="20"/>
                <w:color w:val="auto"/>
              </w:rPr>
            </w:pPr>
            <w:r>
              <w:rPr>
                <w:rFonts w:ascii="Arial" w:cs="Arial" w:eastAsia="Arial" w:hAnsi="Arial"/>
                <w:sz w:val="16"/>
                <w:szCs w:val="16"/>
                <w:color w:val="auto"/>
              </w:rPr>
              <w:t>Expected dividend yield</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3"/>
        </w:trPr>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term (years)</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60" w:type="dxa"/>
            <w:vAlign w:val="bottom"/>
            <w:shd w:val="clear" w:color="auto" w:fill="CCEEFF"/>
          </w:tcPr>
          <w:p>
            <w:pPr>
              <w:spacing w:after="0"/>
              <w:rPr>
                <w:sz w:val="15"/>
                <w:szCs w:val="15"/>
                <w:color w:val="auto"/>
              </w:rPr>
            </w:pPr>
          </w:p>
        </w:tc>
      </w:tr>
      <w:tr>
        <w:trPr>
          <w:trHeight w:val="183"/>
        </w:trPr>
        <w:tc>
          <w:tcPr>
            <w:tcW w:w="418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71.4%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75.4%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79.6%</w:t>
            </w:r>
          </w:p>
        </w:tc>
      </w:tr>
      <w:tr>
        <w:trPr>
          <w:trHeight w:val="183"/>
        </w:trPr>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5"/>
                <w:szCs w:val="15"/>
                <w:color w:val="auto"/>
              </w:rPr>
            </w:pPr>
          </w:p>
        </w:tc>
      </w:tr>
      <w:tr>
        <w:trPr>
          <w:trHeight w:val="195"/>
        </w:trPr>
        <w:tc>
          <w:tcPr>
            <w:tcW w:w="4180" w:type="dxa"/>
            <w:vAlign w:val="bottom"/>
            <w:gridSpan w:val="2"/>
          </w:tcPr>
          <w:p>
            <w:pPr>
              <w:spacing w:after="0"/>
              <w:rPr>
                <w:sz w:val="20"/>
                <w:szCs w:val="20"/>
                <w:color w:val="auto"/>
              </w:rPr>
            </w:pPr>
            <w:r>
              <w:rPr>
                <w:rFonts w:ascii="Arial" w:cs="Arial" w:eastAsia="Arial" w:hAnsi="Arial"/>
                <w:sz w:val="16"/>
                <w:szCs w:val="16"/>
                <w:color w:val="auto"/>
              </w:rPr>
              <w:t>Fair value preferred share underlying the warrant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4.68</w:t>
            </w:r>
          </w:p>
        </w:tc>
        <w:tc>
          <w:tcPr>
            <w:tcW w:w="140" w:type="dxa"/>
            <w:vAlign w:val="bottom"/>
          </w:tcPr>
          <w:p>
            <w:pPr>
              <w:spacing w:after="0"/>
              <w:rPr>
                <w:sz w:val="16"/>
                <w:szCs w:val="16"/>
                <w:color w:val="auto"/>
              </w:rPr>
            </w:pPr>
          </w:p>
        </w:tc>
        <w:tc>
          <w:tcPr>
            <w:tcW w:w="120" w:type="dxa"/>
            <w:vAlign w:val="bottom"/>
            <w:gridSpan w:val="2"/>
          </w:tcPr>
          <w:p>
            <w:pPr>
              <w:jc w:val="center"/>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4.68</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8.61</w:t>
            </w:r>
          </w:p>
        </w:tc>
        <w:tc>
          <w:tcPr>
            <w:tcW w:w="14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4.15</w:t>
            </w:r>
          </w:p>
        </w:tc>
        <w:tc>
          <w:tcPr>
            <w:tcW w:w="160" w:type="dxa"/>
            <w:vAlign w:val="bottom"/>
          </w:tcPr>
          <w:p>
            <w:pPr>
              <w:spacing w:after="0"/>
              <w:rPr>
                <w:sz w:val="16"/>
                <w:szCs w:val="16"/>
                <w:color w:val="auto"/>
              </w:rPr>
            </w:pPr>
          </w:p>
        </w:tc>
      </w:tr>
      <w:tr>
        <w:trPr>
          <w:trHeight w:val="86"/>
        </w:trPr>
        <w:tc>
          <w:tcPr>
            <w:tcW w:w="940" w:type="dxa"/>
            <w:vAlign w:val="bottom"/>
            <w:tcBorders>
              <w:bottom w:val="single" w:sz="8" w:color="auto"/>
            </w:tcBorders>
          </w:tcPr>
          <w:p>
            <w:pPr>
              <w:spacing w:after="0"/>
              <w:rPr>
                <w:sz w:val="7"/>
                <w:szCs w:val="7"/>
                <w:color w:val="auto"/>
              </w:rPr>
            </w:pPr>
          </w:p>
        </w:tc>
        <w:tc>
          <w:tcPr>
            <w:tcW w:w="3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0" w:lineRule="exact"/>
        <w:rPr>
          <w:sz w:val="20"/>
          <w:szCs w:val="20"/>
          <w:color w:val="auto"/>
        </w:rPr>
      </w:pPr>
    </w:p>
    <w:p>
      <w:pPr>
        <w:ind w:left="1640" w:hanging="499"/>
        <w:spacing w:after="0" w:line="191" w:lineRule="auto"/>
        <w:tabs>
          <w:tab w:leader="none" w:pos="1640" w:val="left"/>
        </w:tabs>
        <w:numPr>
          <w:ilvl w:val="0"/>
          <w:numId w:val="154"/>
        </w:numPr>
        <w:rPr>
          <w:rFonts w:ascii="Arial" w:cs="Arial" w:eastAsia="Arial" w:hAnsi="Arial"/>
          <w:sz w:val="20"/>
          <w:szCs w:val="20"/>
          <w:color w:val="auto"/>
          <w:vertAlign w:val="superscript"/>
        </w:rPr>
      </w:pPr>
      <w:r>
        <w:rPr>
          <w:rFonts w:ascii="Arial" w:cs="Arial" w:eastAsia="Arial" w:hAnsi="Arial"/>
          <w:sz w:val="13"/>
          <w:szCs w:val="13"/>
          <w:color w:val="auto"/>
        </w:rPr>
        <w:t>The fair value of the Series B1 preferred shares underlying the warrants to purchase Series B1 preferred shares at December 31, 2018 includes a 50% probability that the warrants will be not be exercisable prior to the IPO, based on their contractual terms.</w:t>
      </w:r>
    </w:p>
    <w:p>
      <w:pPr>
        <w:spacing w:after="0" w:line="186" w:lineRule="exact"/>
        <w:rPr>
          <w:sz w:val="20"/>
          <w:szCs w:val="20"/>
          <w:color w:val="auto"/>
        </w:rPr>
      </w:pPr>
    </w:p>
    <w:p>
      <w:pPr>
        <w:ind w:right="80" w:firstLine="442"/>
        <w:spacing w:after="0"/>
        <w:rPr>
          <w:sz w:val="20"/>
          <w:szCs w:val="20"/>
          <w:color w:val="auto"/>
        </w:rPr>
      </w:pPr>
      <w:r>
        <w:rPr>
          <w:rFonts w:ascii="Arial" w:cs="Arial" w:eastAsia="Arial" w:hAnsi="Arial"/>
          <w:sz w:val="16"/>
          <w:szCs w:val="16"/>
          <w:color w:val="auto"/>
        </w:rPr>
        <w:t>In connection with the December 31, 2018 year-end financial statement close process, the Company identified misstatements in the historical consolidated financial statements, related to the fair value determination of (i) the warrant liability and (ii) ordinary shares utilized to calculate share based compensation expense. The fair value of the warrant liability and ordinary shares, which was derived from an independent third-party valuation report, included an error in an input to the valuation model related to the payment that would be made to the Series A and Series B1 warrant holders in a sale liquidity event, following their exercise. Specifically, the payment to the warrant holders in a sale liquidity event, which is one of the exit scenarios in the valuation, is equal to the purchase price paid of £0.01 for each respective share, whereas it had previously utilized the original issuance price of the Series A Preferred shares of £10, and £11.2278 and £13.00 for the Series B1 preferred shares. The Company has corrected the misstatement by recording a decrease in the warrant liability, and the related impacts on the Series B1 convertible preferred shares carrying value, share-based compensation, additional paid-in-capital, benefit from income taxes and deferred tax assets for the impact of the revised valuation on the fair value of ordinary shares and the warrant liability for the periods that the warrants were outstanding (Note 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83" w:name="page284"/>
    <w:bookmarkEnd w:id="28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Warrant liability (restated) (Continued)</w:t>
      </w:r>
    </w:p>
    <w:p>
      <w:pPr>
        <w:spacing w:after="0" w:line="215" w:lineRule="exact"/>
        <w:rPr>
          <w:sz w:val="20"/>
          <w:szCs w:val="20"/>
          <w:color w:val="auto"/>
        </w:rPr>
      </w:pPr>
    </w:p>
    <w:p>
      <w:pPr>
        <w:ind w:right="200" w:firstLine="442"/>
        <w:spacing w:after="0" w:line="249" w:lineRule="auto"/>
        <w:rPr>
          <w:sz w:val="20"/>
          <w:szCs w:val="20"/>
          <w:color w:val="auto"/>
        </w:rPr>
      </w:pPr>
      <w:r>
        <w:rPr>
          <w:rFonts w:ascii="Arial" w:cs="Arial" w:eastAsia="Arial" w:hAnsi="Arial"/>
          <w:sz w:val="16"/>
          <w:szCs w:val="16"/>
          <w:color w:val="auto"/>
        </w:rPr>
        <w:t>On March 7, 2019, the holders of the Series B1 warrants to subscribe for Series B1 Preferred Shares agreed that 50% of the warrants will be exercised in conjunction with the IPO and 50% of the warrants will expire.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Ordinary shares</w:t>
      </w:r>
    </w:p>
    <w:p>
      <w:pPr>
        <w:spacing w:after="0" w:line="215" w:lineRule="exact"/>
        <w:rPr>
          <w:sz w:val="20"/>
          <w:szCs w:val="20"/>
          <w:color w:val="auto"/>
        </w:rPr>
      </w:pPr>
    </w:p>
    <w:p>
      <w:pPr>
        <w:ind w:right="420" w:firstLine="442"/>
        <w:spacing w:after="0" w:line="249" w:lineRule="auto"/>
        <w:rPr>
          <w:sz w:val="20"/>
          <w:szCs w:val="20"/>
          <w:color w:val="auto"/>
        </w:rPr>
      </w:pPr>
      <w:r>
        <w:rPr>
          <w:rFonts w:ascii="Arial" w:cs="Arial" w:eastAsia="Arial" w:hAnsi="Arial"/>
          <w:sz w:val="16"/>
          <w:szCs w:val="16"/>
          <w:color w:val="auto"/>
        </w:rPr>
        <w:t>Each holder of ordinary shares is entitled to one vote per ordinary share and to receive dividends when and if such dividends are recommended by the board of directors and declared by the shareholders. As of December 31, 2017 and 2018, the Company has not declared any dividends.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2017, the Company's authorized capital share capital consisted of 8,905,805 ordinary shares with a nominal value of £0.01 per share.</w:t>
      </w:r>
    </w:p>
    <w:p>
      <w:pPr>
        <w:spacing w:after="0"/>
        <w:rPr>
          <w:sz w:val="20"/>
          <w:szCs w:val="20"/>
          <w:color w:val="auto"/>
        </w:rPr>
      </w:pPr>
      <w:r>
        <w:rPr>
          <w:rFonts w:ascii="Arial" w:cs="Arial" w:eastAsia="Arial" w:hAnsi="Arial"/>
          <w:sz w:val="16"/>
          <w:szCs w:val="16"/>
          <w:color w:val="auto"/>
        </w:rPr>
        <w:t>As of December 31, 2018, the Company's authorized capital share capital consisted of 10,813,450 ordinary shares with a nominal value of £0.01 per share.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Share-based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incentive pool</w:t>
      </w:r>
    </w:p>
    <w:p>
      <w:pPr>
        <w:spacing w:after="0" w:line="211" w:lineRule="exact"/>
        <w:rPr>
          <w:sz w:val="20"/>
          <w:szCs w:val="20"/>
          <w:color w:val="auto"/>
        </w:rPr>
      </w:pPr>
    </w:p>
    <w:p>
      <w:pPr>
        <w:ind w:right="20" w:firstLine="439"/>
        <w:spacing w:after="0" w:line="241" w:lineRule="auto"/>
        <w:rPr>
          <w:sz w:val="20"/>
          <w:szCs w:val="20"/>
          <w:color w:val="auto"/>
        </w:rPr>
      </w:pPr>
      <w:r>
        <w:rPr>
          <w:rFonts w:ascii="Arial" w:cs="Arial" w:eastAsia="Arial" w:hAnsi="Arial"/>
          <w:sz w:val="16"/>
          <w:szCs w:val="16"/>
          <w:color w:val="auto"/>
        </w:rPr>
        <w:t>The Company is authorized to issue ordinary shares, as well as options and other securities exercisable for or convertible into ordinary shares, as incentives to its employees, consultants, and members of its board of directors. To the extent such incentives are in the form of share options, the options may have been granted pursuant to a potentially tax-favored Enterprise Management Incentive, or EMI, scheme available to U.K. employees, directors and consultants of the Company. The issuance of share options and ordinary shares is administered by the board of directors using standardized share option and share subscription agreements.</w:t>
      </w:r>
    </w:p>
    <w:p>
      <w:pPr>
        <w:spacing w:after="0" w:line="189" w:lineRule="exact"/>
        <w:rPr>
          <w:sz w:val="20"/>
          <w:szCs w:val="20"/>
          <w:color w:val="auto"/>
        </w:rPr>
      </w:pPr>
    </w:p>
    <w:p>
      <w:pPr>
        <w:ind w:right="120" w:firstLine="433"/>
        <w:spacing w:after="0" w:line="241" w:lineRule="auto"/>
        <w:rPr>
          <w:sz w:val="20"/>
          <w:szCs w:val="20"/>
          <w:color w:val="auto"/>
        </w:rPr>
      </w:pPr>
      <w:r>
        <w:rPr>
          <w:rFonts w:ascii="Arial" w:cs="Arial" w:eastAsia="Arial" w:hAnsi="Arial"/>
          <w:sz w:val="16"/>
          <w:szCs w:val="16"/>
          <w:color w:val="auto"/>
        </w:rPr>
        <w:t>As of December 31, 2017, the Company was authorized to issue a total of 1,107,214 ordinary shares under a reserve set aside for equity awards. As of December 31, 2018, the Company was authorized to issue a total of 1,611,226 ordinary shares under a reserve set aside for equity awards. As of December 31, 2017 and 2018, there were 168,398, and 485,985 ordinary shares available for future issuance to the Company's employees, consultants and members of the board of directors. Awards of restricted ordinary shares, which are referred to as employee shares, are subject to vesting. Unvested employee shares are subject to repurchase upon termination of employment.</w:t>
      </w:r>
    </w:p>
    <w:p>
      <w:pPr>
        <w:spacing w:after="0" w:line="189"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Options granted, as well as restricted shares granted as employee incentives, typically vest over a four-year service period with 25% of the award vesting on the first anniversary of the commencement date and the balance thereafter in 36 equal monthly instalments, and expire no later than 10 years from the date of grant.</w:t>
      </w:r>
    </w:p>
    <w:p>
      <w:pPr>
        <w:spacing w:after="0" w:line="185" w:lineRule="exact"/>
        <w:rPr>
          <w:sz w:val="20"/>
          <w:szCs w:val="20"/>
          <w:color w:val="auto"/>
        </w:rPr>
      </w:pPr>
    </w:p>
    <w:p>
      <w:pPr>
        <w:jc w:val="both"/>
        <w:ind w:right="140" w:firstLine="442"/>
        <w:spacing w:after="0" w:line="244" w:lineRule="auto"/>
        <w:rPr>
          <w:sz w:val="20"/>
          <w:szCs w:val="20"/>
          <w:color w:val="auto"/>
        </w:rPr>
      </w:pPr>
      <w:r>
        <w:rPr>
          <w:rFonts w:ascii="Arial" w:cs="Arial" w:eastAsia="Arial" w:hAnsi="Arial"/>
          <w:sz w:val="16"/>
          <w:szCs w:val="16"/>
          <w:color w:val="auto"/>
        </w:rPr>
        <w:t>Certain equity awards were issued in 2017 for which 20% of the award vests upon the first anniversary of the vesting start date, 60% vests thereafter in 36 equal monthly installments, and 20% vest upon the earlier of the fourth anniversary of the vesting start date, or the achievement of a specified revenue threshold from the Company's collaboration arrangements. Options granted generally expire 10 years from the date of grant.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84" w:name="page285"/>
    <w:bookmarkEnd w:id="2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Share-based compensation (Continued)</w:t>
      </w:r>
    </w:p>
    <w:p>
      <w:pPr>
        <w:spacing w:after="0" w:line="215"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Options issued to U.K. employees have an exercise price of £0.01 per share. The exercise price for share options granted to U.S. employees, which are not subject to the EMI schemes, have an exercise price that is not less than the fair value of ordinary shares as determined by the board of directors as of the date of grant. The Company's board of directors values the Company's ordinary shares based on input from management, considering the most recently available valuation of ordinary share performed by an independent third-party valuation firm as well as additional factors which may have changed since the date of the most recent contemporaneous valuation through the date of grant.</w:t>
      </w:r>
    </w:p>
    <w:p>
      <w:pPr>
        <w:spacing w:after="0" w:line="189" w:lineRule="exact"/>
        <w:rPr>
          <w:sz w:val="20"/>
          <w:szCs w:val="20"/>
          <w:color w:val="auto"/>
        </w:rPr>
      </w:pPr>
    </w:p>
    <w:p>
      <w:pPr>
        <w:ind w:right="80" w:firstLine="442"/>
        <w:spacing w:after="0"/>
        <w:rPr>
          <w:sz w:val="20"/>
          <w:szCs w:val="20"/>
          <w:color w:val="auto"/>
        </w:rPr>
      </w:pPr>
      <w:r>
        <w:rPr>
          <w:rFonts w:ascii="Arial" w:cs="Arial" w:eastAsia="Arial" w:hAnsi="Arial"/>
          <w:sz w:val="16"/>
          <w:szCs w:val="16"/>
          <w:color w:val="auto"/>
        </w:rPr>
        <w:t>On December 17, 2018, each of the U.K. employees that were holders of share options, each with an exercise price of £0.01 per share, surrendered all of their issued share options that had not lapsed or been exercised. Thereafter, such persons: (a) subscribed for ordinary shares equal to such number of ordinary shares as were vested under their surrendered option agreement at a subscription price of £0.01 per ordinary share; and (b) were granted options to subscribe for ordinary shares equal to such number of ordinary shares as were unvested under their surrendered option agreement at a subscription price of £0.01 per ordinary share, and with identical vesting terms as the original awards. In conjunction with the surrender of 238,443 vested share options, the Company issued 238,443 ordinary shares. The Company evaluated the surrender of share options and issuance of vested ordinary shares and unvested share options as a modification in accordance with ASU 2017-09. The modification did not have any accounting impact as there were no changes in the fair value, vesting conditions, or the classification of the awards (as equity or liability) in conjunction with the surrender of share options and issuance of vested ordinary shares and unvested share options.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13" w:lineRule="exact"/>
        <w:rPr>
          <w:sz w:val="20"/>
          <w:szCs w:val="20"/>
          <w:color w:val="auto"/>
        </w:rPr>
      </w:pPr>
    </w:p>
    <w:p>
      <w:pPr>
        <w:ind w:right="800" w:firstLine="439"/>
        <w:spacing w:after="0" w:line="249" w:lineRule="auto"/>
        <w:rPr>
          <w:sz w:val="20"/>
          <w:szCs w:val="20"/>
          <w:color w:val="auto"/>
        </w:rPr>
      </w:pPr>
      <w:r>
        <w:rPr>
          <w:rFonts w:ascii="Arial" w:cs="Arial" w:eastAsia="Arial" w:hAnsi="Arial"/>
          <w:sz w:val="16"/>
          <w:szCs w:val="16"/>
          <w:color w:val="auto"/>
        </w:rPr>
        <w:t>The Company recorded share-based compensation expense in the following expense categories of its consolidated statements of operations and comprehensive loss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3"/>
          </w:tcPr>
          <w:p>
            <w:pPr>
              <w:jc w:val="right"/>
              <w:ind w:right="21"/>
              <w:spacing w:after="0"/>
              <w:rPr>
                <w:sz w:val="20"/>
                <w:szCs w:val="20"/>
                <w:color w:val="auto"/>
              </w:rPr>
            </w:pPr>
            <w:r>
              <w:rPr>
                <w:rFonts w:ascii="Arial" w:cs="Arial" w:eastAsia="Arial" w:hAnsi="Arial"/>
                <w:sz w:val="16"/>
                <w:szCs w:val="16"/>
                <w:b w:val="1"/>
                <w:bCs w:val="1"/>
                <w:color w:val="auto"/>
              </w:rPr>
              <w:t>Year Ended</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11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(as restated)</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340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5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680" w:type="dxa"/>
            <w:vAlign w:val="bottom"/>
            <w:gridSpan w:val="2"/>
          </w:tcPr>
          <w:p>
            <w:pPr>
              <w:ind w:left="1140"/>
              <w:spacing w:after="0"/>
              <w:rPr>
                <w:sz w:val="20"/>
                <w:szCs w:val="20"/>
                <w:color w:val="auto"/>
              </w:rPr>
            </w:pPr>
            <w:r>
              <w:rPr>
                <w:rFonts w:ascii="Arial" w:cs="Arial" w:eastAsia="Arial" w:hAnsi="Arial"/>
                <w:sz w:val="16"/>
                <w:szCs w:val="16"/>
                <w:color w:val="auto"/>
              </w:rPr>
              <w:t>General and administrative expenses</w:t>
            </w:r>
          </w:p>
        </w:tc>
        <w:tc>
          <w:tcPr>
            <w:tcW w:w="3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1140" w:type="dxa"/>
            <w:vAlign w:val="bottom"/>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7"/>
        </w:trPr>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0" w:type="dxa"/>
            <w:vAlign w:val="bottom"/>
            <w:gridSpan w:val="2"/>
          </w:tcPr>
          <w:p>
            <w:pPr>
              <w:jc w:val="right"/>
              <w:ind w:right="2121"/>
              <w:spacing w:after="0"/>
              <w:rPr>
                <w:sz w:val="20"/>
                <w:szCs w:val="20"/>
                <w:color w:val="auto"/>
              </w:rPr>
            </w:pPr>
            <w:r>
              <w:rPr>
                <w:rFonts w:ascii="Arial" w:cs="Arial" w:eastAsia="Arial" w:hAnsi="Arial"/>
                <w:sz w:val="16"/>
                <w:szCs w:val="16"/>
                <w:color w:val="auto"/>
              </w:rPr>
              <w:t>F-34</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1140" w:type="dxa"/>
            <w:vAlign w:val="bottom"/>
            <w:tcBorders>
              <w:bottom w:val="single" w:sz="8" w:color="808080"/>
            </w:tcBorders>
          </w:tcPr>
          <w:p>
            <w:pPr>
              <w:spacing w:after="0"/>
              <w:rPr>
                <w:sz w:val="16"/>
                <w:szCs w:val="16"/>
                <w:color w:val="auto"/>
              </w:rPr>
            </w:pPr>
          </w:p>
        </w:tc>
        <w:tc>
          <w:tcPr>
            <w:tcW w:w="3540" w:type="dxa"/>
            <w:vAlign w:val="bottom"/>
            <w:tcBorders>
              <w:bottom w:val="single" w:sz="8" w:color="808080"/>
            </w:tcBorders>
          </w:tcPr>
          <w:p>
            <w:pPr>
              <w:spacing w:after="0"/>
              <w:rPr>
                <w:sz w:val="16"/>
                <w:szCs w:val="16"/>
                <w:color w:val="auto"/>
              </w:rPr>
            </w:pPr>
          </w:p>
        </w:tc>
        <w:tc>
          <w:tcPr>
            <w:tcW w:w="322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85" w:name="page286"/>
    <w:bookmarkEnd w:id="2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Share-based compensation (Continued)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option activity since December 31, 2017:</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left="1"/>
              <w:spacing w:after="0"/>
              <w:rPr>
                <w:sz w:val="20"/>
                <w:szCs w:val="20"/>
                <w:color w:val="auto"/>
              </w:rPr>
            </w:pPr>
            <w:r>
              <w:rPr>
                <w:rFonts w:ascii="Arial" w:cs="Arial" w:eastAsia="Arial" w:hAnsi="Arial"/>
                <w:sz w:val="16"/>
                <w:szCs w:val="16"/>
                <w:b w:val="1"/>
                <w:bCs w:val="1"/>
                <w:color w:val="auto"/>
                <w:w w:val="99"/>
              </w:rPr>
              <w:t>Weighted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7"/>
              </w:rPr>
              <w:t>Weighted</w:t>
            </w:r>
          </w:p>
        </w:tc>
        <w:tc>
          <w:tcPr>
            <w:tcW w:w="140" w:type="dxa"/>
            <w:vAlign w:val="bottom"/>
          </w:tcPr>
          <w:p>
            <w:pPr>
              <w:spacing w:after="0"/>
              <w:rPr>
                <w:sz w:val="15"/>
                <w:szCs w:val="15"/>
                <w:color w:val="auto"/>
              </w:rPr>
            </w:pPr>
          </w:p>
        </w:tc>
        <w:tc>
          <w:tcPr>
            <w:tcW w:w="1000" w:type="dxa"/>
            <w:vAlign w:val="bottom"/>
          </w:tcPr>
          <w:p>
            <w:pPr>
              <w:jc w:val="center"/>
              <w:ind w:left="1"/>
              <w:spacing w:after="0"/>
              <w:rPr>
                <w:sz w:val="20"/>
                <w:szCs w:val="20"/>
                <w:color w:val="auto"/>
              </w:rPr>
            </w:pPr>
            <w:r>
              <w:rPr>
                <w:rFonts w:ascii="Arial" w:cs="Arial" w:eastAsia="Arial" w:hAnsi="Arial"/>
                <w:sz w:val="16"/>
                <w:szCs w:val="16"/>
                <w:b w:val="1"/>
                <w:bCs w:val="1"/>
                <w:color w:val="auto"/>
              </w:rPr>
              <w:t>Average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5"/>
                <w:szCs w:val="15"/>
                <w:color w:val="auto"/>
              </w:rPr>
            </w:pPr>
          </w:p>
        </w:tc>
        <w:tc>
          <w:tcPr>
            <w:tcW w:w="1000" w:type="dxa"/>
            <w:vAlign w:val="bottom"/>
          </w:tcPr>
          <w:p>
            <w:pPr>
              <w:jc w:val="center"/>
              <w:ind w:left="1"/>
              <w:spacing w:after="0"/>
              <w:rPr>
                <w:sz w:val="20"/>
                <w:szCs w:val="20"/>
                <w:color w:val="auto"/>
              </w:rPr>
            </w:pPr>
            <w:r>
              <w:rPr>
                <w:rFonts w:ascii="Arial" w:cs="Arial" w:eastAsia="Arial" w:hAnsi="Arial"/>
                <w:sz w:val="16"/>
                <w:szCs w:val="16"/>
                <w:b w:val="1"/>
                <w:bCs w:val="1"/>
                <w:color w:val="auto"/>
                <w:w w:val="98"/>
              </w:rPr>
              <w:t>Contractual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205"/>
        </w:trPr>
        <w:tc>
          <w:tcPr>
            <w:tcW w:w="42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Exercise Price</w:t>
            </w:r>
          </w:p>
        </w:tc>
        <w:tc>
          <w:tcPr>
            <w:tcW w:w="140" w:type="dxa"/>
            <w:vAlign w:val="bottom"/>
          </w:tcPr>
          <w:p>
            <w:pPr>
              <w:spacing w:after="0"/>
              <w:rPr>
                <w:sz w:val="17"/>
                <w:szCs w:val="17"/>
                <w:color w:val="auto"/>
              </w:rPr>
            </w:pPr>
          </w:p>
        </w:tc>
        <w:tc>
          <w:tcPr>
            <w:tcW w:w="1000" w:type="dxa"/>
            <w:vAlign w:val="bottom"/>
          </w:tcPr>
          <w:p>
            <w:pPr>
              <w:jc w:val="center"/>
              <w:ind w:left="1"/>
              <w:spacing w:after="0"/>
              <w:rPr>
                <w:sz w:val="20"/>
                <w:szCs w:val="20"/>
                <w:color w:val="auto"/>
              </w:rPr>
            </w:pPr>
            <w:r>
              <w:rPr>
                <w:rFonts w:ascii="Arial" w:cs="Arial" w:eastAsia="Arial" w:hAnsi="Arial"/>
                <w:sz w:val="16"/>
                <w:szCs w:val="16"/>
                <w:b w:val="1"/>
                <w:bCs w:val="1"/>
                <w:color w:val="auto"/>
                <w:w w:val="91"/>
              </w:rPr>
              <w:t>Term</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top w:val="single" w:sz="8" w:color="auto"/>
            </w:tcBorders>
          </w:tcPr>
          <w:p>
            <w:pPr>
              <w:jc w:val="center"/>
              <w:ind w:left="1"/>
              <w:spacing w:after="0"/>
              <w:rPr>
                <w:sz w:val="20"/>
                <w:szCs w:val="20"/>
                <w:color w:val="auto"/>
              </w:rPr>
            </w:pPr>
            <w:r>
              <w:rPr>
                <w:rFonts w:ascii="Arial" w:cs="Arial" w:eastAsia="Arial" w:hAnsi="Arial"/>
                <w:sz w:val="16"/>
                <w:szCs w:val="16"/>
                <w:b w:val="1"/>
                <w:bCs w:val="1"/>
                <w:color w:val="auto"/>
              </w:rPr>
              <w:t>(in years)</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(in thousands)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December 31, 2017 (as restated)</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674,999</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Pr>
          <w:p>
            <w:pPr>
              <w:ind w:left="160"/>
              <w:spacing w:after="0"/>
              <w:rPr>
                <w:sz w:val="20"/>
                <w:szCs w:val="20"/>
                <w:color w:val="auto"/>
              </w:rPr>
            </w:pPr>
            <w:r>
              <w:rPr>
                <w:rFonts w:ascii="Arial" w:cs="Arial" w:eastAsia="Arial" w:hAnsi="Arial"/>
                <w:sz w:val="16"/>
                <w:szCs w:val="16"/>
                <w:color w:val="auto"/>
              </w:rPr>
              <w:t>Granted</w:t>
            </w:r>
          </w:p>
        </w:tc>
        <w:tc>
          <w:tcPr>
            <w:tcW w:w="920" w:type="dxa"/>
            <w:vAlign w:val="bottom"/>
          </w:tcPr>
          <w:p>
            <w:pPr>
              <w:jc w:val="right"/>
              <w:spacing w:after="0"/>
              <w:rPr>
                <w:sz w:val="20"/>
                <w:szCs w:val="20"/>
                <w:color w:val="auto"/>
              </w:rPr>
            </w:pPr>
            <w:r>
              <w:rPr>
                <w:rFonts w:ascii="Arial" w:cs="Arial" w:eastAsia="Arial" w:hAnsi="Arial"/>
                <w:sz w:val="16"/>
                <w:szCs w:val="16"/>
                <w:color w:val="auto"/>
              </w:rPr>
              <w:t>198,038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(6,552)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(23,598)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Surrendered of share options for subscription to vested</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320"/>
              <w:spacing w:after="0" w:line="181" w:lineRule="exact"/>
              <w:rPr>
                <w:sz w:val="20"/>
                <w:szCs w:val="20"/>
                <w:color w:val="auto"/>
              </w:rPr>
            </w:pPr>
            <w:r>
              <w:rPr>
                <w:rFonts w:ascii="Arial" w:cs="Arial" w:eastAsia="Arial" w:hAnsi="Arial"/>
                <w:sz w:val="16"/>
                <w:szCs w:val="16"/>
                <w:color w:val="auto"/>
              </w:rPr>
              <w:t>shares</w:t>
            </w:r>
          </w:p>
        </w:tc>
        <w:tc>
          <w:tcPr>
            <w:tcW w:w="100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(238,443)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ind w:left="160"/>
              <w:spacing w:after="0"/>
              <w:rPr>
                <w:sz w:val="20"/>
                <w:szCs w:val="20"/>
                <w:color w:val="auto"/>
              </w:rPr>
            </w:pPr>
            <w:r>
              <w:rPr>
                <w:rFonts w:ascii="Arial" w:cs="Arial" w:eastAsia="Arial" w:hAnsi="Arial"/>
                <w:sz w:val="16"/>
                <w:szCs w:val="16"/>
                <w:color w:val="auto"/>
              </w:rPr>
              <w:t>Outstanding as of December 31, 2018</w:t>
            </w: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color w:val="auto"/>
              </w:rPr>
              <w:t>8.75</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3,292</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vMerge w:val="continue"/>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6"/>
                <w:szCs w:val="16"/>
                <w:color w:val="auto"/>
              </w:rPr>
              <w:t>604,444</w:t>
            </w:r>
          </w:p>
        </w:tc>
        <w:tc>
          <w:tcPr>
            <w:tcW w:w="80" w:type="dxa"/>
            <w:vAlign w:val="bottom"/>
          </w:tcPr>
          <w:p>
            <w:pPr>
              <w:spacing w:after="0"/>
              <w:rPr>
                <w:sz w:val="15"/>
                <w:szCs w:val="15"/>
                <w:color w:val="auto"/>
              </w:rPr>
            </w:pPr>
          </w:p>
        </w:tc>
        <w:tc>
          <w:tcPr>
            <w:tcW w:w="16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auto"/>
              </w:rPr>
              <w:t>1.44</w:t>
            </w:r>
          </w:p>
        </w:tc>
        <w:tc>
          <w:tcPr>
            <w:tcW w:w="114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shd w:val="clear" w:color="auto" w:fill="CCEEFF"/>
          </w:tcPr>
          <w:p>
            <w:pPr>
              <w:ind w:left="160"/>
              <w:spacing w:after="0" w:line="176" w:lineRule="exact"/>
              <w:rPr>
                <w:sz w:val="20"/>
                <w:szCs w:val="20"/>
                <w:color w:val="auto"/>
              </w:rPr>
            </w:pPr>
            <w:r>
              <w:rPr>
                <w:rFonts w:ascii="Arial" w:cs="Arial" w:eastAsia="Arial" w:hAnsi="Arial"/>
                <w:sz w:val="16"/>
                <w:szCs w:val="16"/>
                <w:color w:val="auto"/>
              </w:rPr>
              <w:t>Vested and expected to vest as of December 31, 2018</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604,444</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1.44</w:t>
            </w:r>
          </w:p>
        </w:tc>
        <w:tc>
          <w:tcPr>
            <w:tcW w:w="1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8.75</w:t>
            </w:r>
          </w:p>
        </w:tc>
        <w:tc>
          <w:tcPr>
            <w:tcW w:w="2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3,292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80" w:type="dxa"/>
            <w:vAlign w:val="bottom"/>
          </w:tcPr>
          <w:p>
            <w:pPr>
              <w:spacing w:after="0"/>
              <w:rPr>
                <w:sz w:val="20"/>
                <w:szCs w:val="20"/>
                <w:color w:val="auto"/>
              </w:rPr>
            </w:pPr>
            <w:r>
              <w:rPr>
                <w:rFonts w:ascii="Arial" w:cs="Arial" w:eastAsia="Arial" w:hAnsi="Arial"/>
                <w:sz w:val="16"/>
                <w:szCs w:val="16"/>
                <w:color w:val="auto"/>
              </w:rPr>
              <w:t>Options exercisable as of December 31, 2018</w:t>
            </w:r>
          </w:p>
        </w:tc>
        <w:tc>
          <w:tcPr>
            <w:tcW w:w="920" w:type="dxa"/>
            <w:vAlign w:val="bottom"/>
          </w:tcPr>
          <w:p>
            <w:pPr>
              <w:jc w:val="right"/>
              <w:spacing w:after="0"/>
              <w:rPr>
                <w:sz w:val="20"/>
                <w:szCs w:val="20"/>
                <w:color w:val="auto"/>
              </w:rPr>
            </w:pPr>
            <w:r>
              <w:rPr>
                <w:rFonts w:ascii="Arial" w:cs="Arial" w:eastAsia="Arial" w:hAnsi="Arial"/>
                <w:sz w:val="16"/>
                <w:szCs w:val="16"/>
                <w:color w:val="auto"/>
              </w:rPr>
              <w:t>149,130</w:t>
            </w:r>
          </w:p>
        </w:tc>
        <w:tc>
          <w:tcPr>
            <w:tcW w:w="8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8.51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39"/>
        <w:spacing w:after="0" w:line="249" w:lineRule="auto"/>
        <w:rPr>
          <w:sz w:val="20"/>
          <w:szCs w:val="20"/>
          <w:color w:val="auto"/>
        </w:rPr>
      </w:pPr>
      <w:r>
        <w:rPr>
          <w:rFonts w:ascii="Arial" w:cs="Arial" w:eastAsia="Arial" w:hAnsi="Arial"/>
          <w:sz w:val="16"/>
          <w:szCs w:val="16"/>
          <w:color w:val="auto"/>
        </w:rPr>
        <w:t>The weighted average grant-date fair value of share options granted during the years ended December 31, 2017 (restated) and 2018 was $2.55 per share and $5.27 per share, respectively.</w:t>
      </w:r>
    </w:p>
    <w:p>
      <w:pPr>
        <w:spacing w:after="0" w:line="181" w:lineRule="exact"/>
        <w:rPr>
          <w:sz w:val="20"/>
          <w:szCs w:val="20"/>
          <w:color w:val="auto"/>
        </w:rPr>
      </w:pPr>
    </w:p>
    <w:p>
      <w:pPr>
        <w:ind w:right="100" w:firstLine="442"/>
        <w:spacing w:after="0" w:line="249" w:lineRule="auto"/>
        <w:rPr>
          <w:sz w:val="20"/>
          <w:szCs w:val="20"/>
          <w:color w:val="auto"/>
        </w:rPr>
      </w:pPr>
      <w:r>
        <w:rPr>
          <w:rFonts w:ascii="Arial" w:cs="Arial" w:eastAsia="Arial" w:hAnsi="Arial"/>
          <w:sz w:val="16"/>
          <w:szCs w:val="16"/>
          <w:color w:val="auto"/>
        </w:rPr>
        <w:t>For the years ended December 31, 2017 and 2018, the Company recorded share-based compensation expense for share options granted of $0.4 million and $0.8 million, respectively. Expense for non-employee consultants for the years ended December 31, 2017 and 2018, was immaterial.</w:t>
      </w:r>
    </w:p>
    <w:p>
      <w:pPr>
        <w:spacing w:after="0" w:line="181" w:lineRule="exact"/>
        <w:rPr>
          <w:sz w:val="20"/>
          <w:szCs w:val="20"/>
          <w:color w:val="auto"/>
        </w:rPr>
      </w:pPr>
    </w:p>
    <w:p>
      <w:pPr>
        <w:jc w:val="both"/>
        <w:ind w:right="320" w:firstLine="439"/>
        <w:spacing w:after="0" w:line="244" w:lineRule="auto"/>
        <w:rPr>
          <w:sz w:val="20"/>
          <w:szCs w:val="20"/>
          <w:color w:val="auto"/>
        </w:rPr>
      </w:pPr>
      <w:r>
        <w:rPr>
          <w:rFonts w:ascii="Arial" w:cs="Arial" w:eastAsia="Arial" w:hAnsi="Arial"/>
          <w:sz w:val="16"/>
          <w:szCs w:val="16"/>
          <w:color w:val="auto"/>
        </w:rPr>
        <w:t>The aggregate intrinsic value of share options is calculated as the difference between the exercise price of the share options and the fair value of the Company's ordinary shares. The aggregate intrinsic value of share options exercised during the years ended December 31, 2017 and 2018 was $7,000 and $23,000 respectively.</w:t>
      </w:r>
    </w:p>
    <w:p>
      <w:pPr>
        <w:spacing w:after="0" w:line="185"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During the year ended December 31, 2017 and 2018, the Company granted options for the purchase of an aggregate of 474,888 and 49,600 ordinary shares, respectively, for which 20% of the award vests upon the first anniversary of the vesting start date, 60% vests thereafter in 36 equal monthly installments, and 20% on the earlier of the fourth anniversary of the vesting start date, or the achievement of a specified revenue threshold from the Company's collaboration arrangements. The Company concluded that the accelerated vesting condition was not probable at December 31, 2017. In May 2018, the Company determined that the performance condition became probable of achievement and recorded a cumulative catch-up to reflect the expense as if the vesting condition was probable of achievement at the time of the grant of the award. The Company recorded expense of $0.3 million and $0.7 million, during the year ended December 31, 2017 (restated) and 2018, respectively, related to these awards, which includes the acceleration of vesting expense.</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286" w:name="page287"/>
    <w:bookmarkEnd w:id="2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Share-based compensation (Continued)</w:t>
      </w:r>
    </w:p>
    <w:p>
      <w:pPr>
        <w:spacing w:after="0" w:line="215" w:lineRule="exact"/>
        <w:rPr>
          <w:sz w:val="20"/>
          <w:szCs w:val="20"/>
          <w:color w:val="auto"/>
        </w:rPr>
      </w:pPr>
    </w:p>
    <w:p>
      <w:pPr>
        <w:ind w:right="100" w:firstLine="439"/>
        <w:spacing w:after="0" w:line="249" w:lineRule="auto"/>
        <w:rPr>
          <w:sz w:val="20"/>
          <w:szCs w:val="20"/>
          <w:color w:val="auto"/>
        </w:rPr>
      </w:pPr>
      <w:r>
        <w:rPr>
          <w:rFonts w:ascii="Arial" w:cs="Arial" w:eastAsia="Arial" w:hAnsi="Arial"/>
          <w:sz w:val="16"/>
          <w:szCs w:val="16"/>
          <w:color w:val="auto"/>
        </w:rPr>
        <w:t>The following table presents, on a weighted average basis, the assumptions used in the Black-Scholes option-pricing model to determine the fair value of share options granted to employees and directors:</w:t>
      </w:r>
    </w:p>
    <w:p>
      <w:pPr>
        <w:spacing w:after="0" w:line="161" w:lineRule="exact"/>
        <w:rPr>
          <w:sz w:val="20"/>
          <w:szCs w:val="20"/>
          <w:color w:val="auto"/>
        </w:rPr>
      </w:pPr>
    </w:p>
    <w:p>
      <w:pPr>
        <w:jc w:val="center"/>
        <w:ind w:left="7400"/>
        <w:spacing w:after="0"/>
        <w:rPr>
          <w:sz w:val="20"/>
          <w:szCs w:val="20"/>
          <w:color w:val="auto"/>
        </w:rPr>
      </w:pPr>
      <w:r>
        <w:rPr>
          <w:rFonts w:ascii="Arial" w:cs="Arial" w:eastAsia="Arial" w:hAnsi="Arial"/>
          <w:sz w:val="16"/>
          <w:szCs w:val="16"/>
          <w:b w:val="1"/>
          <w:bCs w:val="1"/>
          <w:color w:val="auto"/>
        </w:rPr>
        <w:t>Year Ended</w:t>
      </w:r>
    </w:p>
    <w:p>
      <w:pPr>
        <w:spacing w:after="0" w:line="16" w:lineRule="exact"/>
        <w:rPr>
          <w:sz w:val="20"/>
          <w:szCs w:val="20"/>
          <w:color w:val="auto"/>
        </w:rPr>
      </w:pPr>
    </w:p>
    <w:p>
      <w:pPr>
        <w:jc w:val="center"/>
        <w:ind w:left="7400"/>
        <w:spacing w:after="0"/>
        <w:rPr>
          <w:sz w:val="20"/>
          <w:szCs w:val="20"/>
          <w:color w:val="auto"/>
        </w:rPr>
      </w:pPr>
      <w:r>
        <w:rPr>
          <w:rFonts w:ascii="Arial" w:cs="Arial" w:eastAsia="Arial" w:hAnsi="Arial"/>
          <w:sz w:val="16"/>
          <w:szCs w:val="16"/>
          <w:b w:val="1"/>
          <w:bCs w:val="1"/>
          <w:color w:val="auto"/>
        </w:rPr>
        <w:t>December 31,</w:t>
      </w:r>
    </w:p>
    <w:tbl>
      <w:tblPr>
        <w:tblLayout w:type="fixed"/>
        <w:tblInd w:w="1140" w:type="dxa"/>
        <w:tblCellMar>
          <w:top w:w="0" w:type="dxa"/>
          <w:left w:w="0" w:type="dxa"/>
          <w:bottom w:w="0" w:type="dxa"/>
          <w:right w:w="0" w:type="dxa"/>
        </w:tblCellMar>
      </w:tblPr>
      <w:tr>
        <w:trPr>
          <w:trHeight w:val="205"/>
        </w:trPr>
        <w:tc>
          <w:tcPr>
            <w:tcW w:w="74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r>
      <w:tr>
        <w:trPr>
          <w:trHeight w:val="183"/>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r>
      <w:tr>
        <w:trPr>
          <w:trHeight w:val="183"/>
        </w:trPr>
        <w:tc>
          <w:tcPr>
            <w:tcW w:w="7460" w:type="dxa"/>
            <w:vAlign w:val="bottom"/>
          </w:tcPr>
          <w:p>
            <w:pPr>
              <w:spacing w:after="0"/>
              <w:rPr>
                <w:sz w:val="20"/>
                <w:szCs w:val="20"/>
                <w:color w:val="auto"/>
              </w:rPr>
            </w:pPr>
            <w:r>
              <w:rPr>
                <w:rFonts w:ascii="Arial" w:cs="Arial" w:eastAsia="Arial" w:hAnsi="Arial"/>
                <w:sz w:val="16"/>
                <w:szCs w:val="16"/>
                <w:color w:val="auto"/>
              </w:rPr>
              <w:t>Expected volatility</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79.7%</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78.6%</w:t>
            </w:r>
          </w:p>
        </w:tc>
      </w:tr>
      <w:tr>
        <w:trPr>
          <w:trHeight w:val="183"/>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195"/>
        </w:trPr>
        <w:tc>
          <w:tcPr>
            <w:tcW w:w="7460" w:type="dxa"/>
            <w:vAlign w:val="bottom"/>
          </w:tcPr>
          <w:p>
            <w:pPr>
              <w:spacing w:after="0"/>
              <w:rPr>
                <w:sz w:val="20"/>
                <w:szCs w:val="20"/>
                <w:color w:val="auto"/>
              </w:rPr>
            </w:pPr>
            <w:r>
              <w:rPr>
                <w:rFonts w:ascii="Arial" w:cs="Arial" w:eastAsia="Arial" w:hAnsi="Arial"/>
                <w:sz w:val="16"/>
                <w:szCs w:val="16"/>
                <w:color w:val="auto"/>
              </w:rPr>
              <w:t>Expected term (in years)</w:t>
            </w:r>
          </w:p>
        </w:tc>
        <w:tc>
          <w:tcPr>
            <w:tcW w:w="660" w:type="dxa"/>
            <w:vAlign w:val="bottom"/>
          </w:tcPr>
          <w:p>
            <w:pPr>
              <w:jc w:val="right"/>
              <w:spacing w:after="0"/>
              <w:rPr>
                <w:sz w:val="20"/>
                <w:szCs w:val="20"/>
                <w:color w:val="auto"/>
              </w:rPr>
            </w:pPr>
            <w:r>
              <w:rPr>
                <w:rFonts w:ascii="Arial" w:cs="Arial" w:eastAsia="Arial" w:hAnsi="Arial"/>
                <w:sz w:val="16"/>
                <w:szCs w:val="16"/>
                <w:color w:val="auto"/>
              </w:rPr>
              <w:t>6.07</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6.07</w:t>
            </w:r>
          </w:p>
        </w:tc>
        <w:tc>
          <w:tcPr>
            <w:tcW w:w="160" w:type="dxa"/>
            <w:vAlign w:val="bottom"/>
          </w:tcPr>
          <w:p>
            <w:pPr>
              <w:spacing w:after="0"/>
              <w:rPr>
                <w:sz w:val="16"/>
                <w:szCs w:val="16"/>
                <w:color w:val="auto"/>
              </w:rPr>
            </w:pPr>
          </w:p>
        </w:tc>
      </w:tr>
    </w:tbl>
    <w:p>
      <w:pPr>
        <w:spacing w:after="0" w:line="187" w:lineRule="exact"/>
        <w:rPr>
          <w:sz w:val="20"/>
          <w:szCs w:val="20"/>
          <w:color w:val="auto"/>
        </w:rPr>
      </w:pPr>
    </w:p>
    <w:p>
      <w:pPr>
        <w:ind w:firstLine="433"/>
        <w:spacing w:after="0" w:line="249" w:lineRule="auto"/>
        <w:rPr>
          <w:sz w:val="20"/>
          <w:szCs w:val="20"/>
          <w:color w:val="auto"/>
        </w:rPr>
      </w:pPr>
      <w:r>
        <w:rPr>
          <w:rFonts w:ascii="Arial" w:cs="Arial" w:eastAsia="Arial" w:hAnsi="Arial"/>
          <w:sz w:val="16"/>
          <w:szCs w:val="16"/>
          <w:color w:val="auto"/>
        </w:rPr>
        <w:t>As of December 31, 2018, total unrecognized compensation expense related to the unvested employee and director share-based awards was $1.0 million, which is expected to be recognized over a weighted average period of 3.1 year.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shares</w:t>
      </w:r>
    </w:p>
    <w:p>
      <w:pPr>
        <w:spacing w:after="0" w:line="211" w:lineRule="exact"/>
        <w:rPr>
          <w:sz w:val="20"/>
          <w:szCs w:val="20"/>
          <w:color w:val="auto"/>
        </w:rPr>
      </w:pPr>
    </w:p>
    <w:p>
      <w:pPr>
        <w:ind w:right="20" w:firstLine="439"/>
        <w:spacing w:after="0" w:line="241" w:lineRule="auto"/>
        <w:rPr>
          <w:sz w:val="20"/>
          <w:szCs w:val="20"/>
          <w:color w:val="auto"/>
        </w:rPr>
      </w:pPr>
      <w:r>
        <w:rPr>
          <w:rFonts w:ascii="Arial" w:cs="Arial" w:eastAsia="Arial" w:hAnsi="Arial"/>
          <w:sz w:val="16"/>
          <w:szCs w:val="16"/>
          <w:color w:val="auto"/>
        </w:rPr>
        <w:t>The Company has granted restricted shares with service-based vesting conditions. Shares of unvested restricted shares may not be sold or transferred by the holder. These restrictions lapse according to the time-based vesting conditions of each award. These restricted shares are subject to repurchase rights, for aggregate consideration of £1. Accordingly, the Company has recorded the proceeds from the issuance of restricted shares as a liability in the consolidated balance sheets included as a component of accrued expenses and other current liabilities. The restricted share liability is reclassified into shareholders' (deficit) equity as the restricted shares vest.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restricted ordinary share award activity since December 31, 2017:</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Weighted Average</w:t>
            </w:r>
          </w:p>
        </w:tc>
      </w:tr>
      <w:tr>
        <w:trPr>
          <w:trHeight w:val="183"/>
        </w:trPr>
        <w:tc>
          <w:tcPr>
            <w:tcW w:w="5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Grant-Date</w:t>
            </w:r>
          </w:p>
        </w:tc>
      </w:tr>
      <w:tr>
        <w:trPr>
          <w:trHeight w:val="205"/>
        </w:trPr>
        <w:tc>
          <w:tcPr>
            <w:tcW w:w="55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40" w:type="dxa"/>
            <w:vAlign w:val="bottom"/>
          </w:tcPr>
          <w:p>
            <w:pPr>
              <w:spacing w:after="0"/>
              <w:rPr>
                <w:sz w:val="17"/>
                <w:szCs w:val="17"/>
                <w:color w:val="auto"/>
              </w:rPr>
            </w:pPr>
          </w:p>
        </w:tc>
      </w:tr>
      <w:tr>
        <w:trPr>
          <w:trHeight w:val="183"/>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Unvested restricted ordinary shares as of December 31, 2017 (as restated)</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113,694</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40" w:type="dxa"/>
            <w:vAlign w:val="bottom"/>
            <w:shd w:val="clear" w:color="auto" w:fill="CCEEFF"/>
          </w:tcPr>
          <w:p>
            <w:pPr>
              <w:spacing w:after="0"/>
              <w:rPr>
                <w:sz w:val="15"/>
                <w:szCs w:val="15"/>
                <w:color w:val="auto"/>
              </w:rPr>
            </w:pPr>
          </w:p>
        </w:tc>
      </w:tr>
      <w:tr>
        <w:trPr>
          <w:trHeight w:val="183"/>
        </w:trPr>
        <w:tc>
          <w:tcPr>
            <w:tcW w:w="5500" w:type="dxa"/>
            <w:vAlign w:val="bottom"/>
          </w:tcPr>
          <w:p>
            <w:pPr>
              <w:ind w:left="160"/>
              <w:spacing w:after="0"/>
              <w:rPr>
                <w:sz w:val="20"/>
                <w:szCs w:val="20"/>
                <w:color w:val="auto"/>
              </w:rPr>
            </w:pPr>
            <w:r>
              <w:rPr>
                <w:rFonts w:ascii="Arial" w:cs="Arial" w:eastAsia="Arial" w:hAnsi="Arial"/>
                <w:sz w:val="16"/>
                <w:szCs w:val="16"/>
                <w:color w:val="auto"/>
              </w:rPr>
              <w:t>Issued</w:t>
            </w:r>
          </w:p>
        </w:tc>
        <w:tc>
          <w:tcPr>
            <w:tcW w:w="680" w:type="dxa"/>
            <w:vAlign w:val="bottom"/>
          </w:tcPr>
          <w:p>
            <w:pPr>
              <w:jc w:val="right"/>
              <w:spacing w:after="0"/>
              <w:rPr>
                <w:sz w:val="20"/>
                <w:szCs w:val="20"/>
                <w:color w:val="auto"/>
              </w:rPr>
            </w:pPr>
            <w:r>
              <w:rPr>
                <w:rFonts w:ascii="Arial" w:cs="Arial" w:eastAsia="Arial" w:hAnsi="Arial"/>
                <w:sz w:val="16"/>
                <w:szCs w:val="16"/>
                <w:color w:val="auto"/>
              </w:rPr>
              <w:t>20,286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5.75</w:t>
            </w:r>
          </w:p>
        </w:tc>
        <w:tc>
          <w:tcPr>
            <w:tcW w:w="140" w:type="dxa"/>
            <w:vAlign w:val="bottom"/>
          </w:tcPr>
          <w:p>
            <w:pPr>
              <w:spacing w:after="0"/>
              <w:rPr>
                <w:sz w:val="15"/>
                <w:szCs w:val="15"/>
                <w:color w:val="auto"/>
              </w:rPr>
            </w:pPr>
          </w:p>
        </w:tc>
      </w:tr>
      <w:tr>
        <w:trPr>
          <w:trHeight w:val="183"/>
        </w:trPr>
        <w:tc>
          <w:tcPr>
            <w:tcW w:w="5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Forfeited</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(8,301)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40" w:type="dxa"/>
            <w:vAlign w:val="bottom"/>
            <w:shd w:val="clear" w:color="auto" w:fill="CCEEFF"/>
          </w:tcPr>
          <w:p>
            <w:pPr>
              <w:spacing w:after="0"/>
              <w:rPr>
                <w:sz w:val="15"/>
                <w:szCs w:val="15"/>
                <w:color w:val="auto"/>
              </w:rPr>
            </w:pPr>
          </w:p>
        </w:tc>
      </w:tr>
      <w:tr>
        <w:trPr>
          <w:trHeight w:val="183"/>
        </w:trPr>
        <w:tc>
          <w:tcPr>
            <w:tcW w:w="5500" w:type="dxa"/>
            <w:vAlign w:val="bottom"/>
          </w:tcPr>
          <w:p>
            <w:pPr>
              <w:ind w:left="160"/>
              <w:spacing w:after="0"/>
              <w:rPr>
                <w:sz w:val="20"/>
                <w:szCs w:val="20"/>
                <w:color w:val="auto"/>
              </w:rPr>
            </w:pPr>
            <w:r>
              <w:rPr>
                <w:rFonts w:ascii="Arial" w:cs="Arial" w:eastAsia="Arial" w:hAnsi="Arial"/>
                <w:sz w:val="16"/>
                <w:szCs w:val="16"/>
                <w:color w:val="auto"/>
              </w:rPr>
              <w:t>Vested</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(66,933)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3.52</w:t>
            </w:r>
          </w:p>
        </w:tc>
        <w:tc>
          <w:tcPr>
            <w:tcW w:w="140" w:type="dxa"/>
            <w:vAlign w:val="bottom"/>
          </w:tcPr>
          <w:p>
            <w:pPr>
              <w:spacing w:after="0"/>
              <w:rPr>
                <w:sz w:val="15"/>
                <w:szCs w:val="15"/>
                <w:color w:val="auto"/>
              </w:rPr>
            </w:pPr>
          </w:p>
        </w:tc>
      </w:tr>
      <w:tr>
        <w:trPr>
          <w:trHeight w:val="176"/>
        </w:trPr>
        <w:tc>
          <w:tcPr>
            <w:tcW w:w="5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Unvested restricted ordinary shares as of December 31, 2018</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58,746</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2.76</w:t>
            </w:r>
          </w:p>
        </w:tc>
        <w:tc>
          <w:tcPr>
            <w:tcW w:w="140" w:type="dxa"/>
            <w:vAlign w:val="bottom"/>
            <w:shd w:val="clear" w:color="auto" w:fill="CCEEFF"/>
          </w:tcPr>
          <w:p>
            <w:pPr>
              <w:spacing w:after="0"/>
              <w:rPr>
                <w:sz w:val="15"/>
                <w:szCs w:val="15"/>
                <w:color w:val="auto"/>
              </w:rPr>
            </w:pPr>
          </w:p>
        </w:tc>
      </w:tr>
    </w:tbl>
    <w:p>
      <w:pPr>
        <w:spacing w:after="0" w:line="199" w:lineRule="exact"/>
        <w:rPr>
          <w:sz w:val="20"/>
          <w:szCs w:val="20"/>
          <w:color w:val="auto"/>
        </w:rPr>
      </w:pPr>
    </w:p>
    <w:p>
      <w:pPr>
        <w:ind w:right="680" w:firstLine="442"/>
        <w:spacing w:after="0" w:line="249" w:lineRule="auto"/>
        <w:rPr>
          <w:sz w:val="20"/>
          <w:szCs w:val="20"/>
          <w:color w:val="auto"/>
        </w:rPr>
      </w:pPr>
      <w:r>
        <w:rPr>
          <w:rFonts w:ascii="Arial" w:cs="Arial" w:eastAsia="Arial" w:hAnsi="Arial"/>
          <w:sz w:val="16"/>
          <w:szCs w:val="16"/>
          <w:color w:val="auto"/>
        </w:rPr>
        <w:t>For the years ended December 31, 2017 (as restated) and 2018, the Company recorded share-based compensation expense of $0.1 million and $0.2 million, respectively, for unvested restricted shares granted.</w:t>
      </w:r>
    </w:p>
    <w:p>
      <w:pPr>
        <w:spacing w:after="0" w:line="181" w:lineRule="exact"/>
        <w:rPr>
          <w:sz w:val="20"/>
          <w:szCs w:val="20"/>
          <w:color w:val="auto"/>
        </w:rPr>
      </w:pPr>
    </w:p>
    <w:p>
      <w:pPr>
        <w:ind w:right="260" w:firstLine="439"/>
        <w:spacing w:after="0" w:line="249" w:lineRule="auto"/>
        <w:rPr>
          <w:sz w:val="20"/>
          <w:szCs w:val="20"/>
          <w:color w:val="auto"/>
        </w:rPr>
      </w:pPr>
      <w:r>
        <w:rPr>
          <w:rFonts w:ascii="Arial" w:cs="Arial" w:eastAsia="Arial" w:hAnsi="Arial"/>
          <w:sz w:val="16"/>
          <w:szCs w:val="16"/>
          <w:color w:val="auto"/>
        </w:rPr>
        <w:t>The fair value of employee restricted share awards vested during the years ended December 31, 2017 (as restated) and 2018, based on estimated fair values of the ordinary shares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287" w:name="page288"/>
    <w:bookmarkEnd w:id="287"/>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9. Share-based compensation (Continued)</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16"/>
          <w:szCs w:val="16"/>
          <w:color w:val="auto"/>
        </w:rPr>
        <w:t>underlying the restricted share awards on the day of vesting, was $0.1 million and $0.2 million, respectively.</w:t>
      </w:r>
    </w:p>
    <w:p>
      <w:pPr>
        <w:spacing w:after="0" w:line="195" w:lineRule="exact"/>
        <w:rPr>
          <w:sz w:val="20"/>
          <w:szCs w:val="20"/>
          <w:color w:val="auto"/>
        </w:rPr>
      </w:pPr>
    </w:p>
    <w:p>
      <w:pPr>
        <w:ind w:left="2" w:right="240" w:firstLine="433"/>
        <w:spacing w:after="0" w:line="249" w:lineRule="auto"/>
        <w:rPr>
          <w:sz w:val="20"/>
          <w:szCs w:val="20"/>
          <w:color w:val="auto"/>
        </w:rPr>
      </w:pPr>
      <w:r>
        <w:rPr>
          <w:rFonts w:ascii="Arial" w:cs="Arial" w:eastAsia="Arial" w:hAnsi="Arial"/>
          <w:sz w:val="16"/>
          <w:szCs w:val="16"/>
          <w:color w:val="auto"/>
        </w:rPr>
        <w:t>As of December 31, 2018, total unrecognized compensation cost related to the unvested employee and director restricted share awards was $0.2 million, which is expected to be recognized over a weighted average period of 1.9 years.</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10. Significant Agreements</w:t>
      </w:r>
    </w:p>
    <w:p>
      <w:pPr>
        <w:spacing w:after="0" w:line="215" w:lineRule="exact"/>
        <w:rPr>
          <w:sz w:val="20"/>
          <w:szCs w:val="20"/>
          <w:color w:val="auto"/>
        </w:rPr>
      </w:pPr>
    </w:p>
    <w:p>
      <w:pPr>
        <w:ind w:left="2" w:right="180" w:firstLine="442"/>
        <w:spacing w:after="0" w:line="244" w:lineRule="auto"/>
        <w:rPr>
          <w:sz w:val="20"/>
          <w:szCs w:val="20"/>
          <w:color w:val="auto"/>
        </w:rPr>
      </w:pPr>
      <w:r>
        <w:rPr>
          <w:rFonts w:ascii="Arial" w:cs="Arial" w:eastAsia="Arial" w:hAnsi="Arial"/>
          <w:sz w:val="16"/>
          <w:szCs w:val="16"/>
          <w:color w:val="auto"/>
        </w:rPr>
        <w:t>For the years ended December 31, 2017 and 2018, the Company had collaboration agreements with AstraZeneca, Bioverativ, ("Bioverativ"), and Oxurion. The following table summarizes the revenue recognized in the Company's consolidated statements of operations and comprehensive loss from these arrangements (in thousands):</w:t>
      </w:r>
    </w:p>
    <w:p>
      <w:pPr>
        <w:spacing w:after="0" w:line="165" w:lineRule="exact"/>
        <w:rPr>
          <w:sz w:val="20"/>
          <w:szCs w:val="20"/>
          <w:color w:val="auto"/>
        </w:rPr>
      </w:pPr>
    </w:p>
    <w:p>
      <w:pPr>
        <w:jc w:val="center"/>
        <w:ind w:left="7300"/>
        <w:spacing w:after="0"/>
        <w:rPr>
          <w:sz w:val="20"/>
          <w:szCs w:val="20"/>
          <w:color w:val="auto"/>
        </w:rPr>
      </w:pPr>
      <w:r>
        <w:rPr>
          <w:rFonts w:ascii="Arial" w:cs="Arial" w:eastAsia="Arial" w:hAnsi="Arial"/>
          <w:sz w:val="16"/>
          <w:szCs w:val="16"/>
          <w:b w:val="1"/>
          <w:bCs w:val="1"/>
          <w:color w:val="auto"/>
        </w:rPr>
        <w:t>Year Ended</w:t>
      </w:r>
    </w:p>
    <w:p>
      <w:pPr>
        <w:spacing w:after="0" w:line="16" w:lineRule="exact"/>
        <w:rPr>
          <w:sz w:val="20"/>
          <w:szCs w:val="20"/>
          <w:color w:val="auto"/>
        </w:rPr>
      </w:pPr>
    </w:p>
    <w:p>
      <w:pPr>
        <w:jc w:val="center"/>
        <w:ind w:left="7300"/>
        <w:spacing w:after="0"/>
        <w:rPr>
          <w:sz w:val="20"/>
          <w:szCs w:val="20"/>
          <w:color w:val="auto"/>
        </w:rPr>
      </w:pPr>
      <w:r>
        <w:rPr>
          <w:rFonts w:ascii="Arial" w:cs="Arial" w:eastAsia="Arial" w:hAnsi="Arial"/>
          <w:sz w:val="16"/>
          <w:szCs w:val="16"/>
          <w:b w:val="1"/>
          <w:bCs w:val="1"/>
          <w:color w:val="auto"/>
        </w:rPr>
        <w:t>December 31,</w:t>
      </w:r>
    </w:p>
    <w:tbl>
      <w:tblPr>
        <w:tblLayout w:type="fixed"/>
        <w:tblInd w:w="1142"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Collaboration revenues</w:t>
            </w:r>
          </w:p>
        </w:tc>
        <w:tc>
          <w:tcPr>
            <w:tcW w:w="2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3"/>
        </w:trPr>
        <w:tc>
          <w:tcPr>
            <w:tcW w:w="4540" w:type="dxa"/>
            <w:vAlign w:val="bottom"/>
            <w:gridSpan w:val="2"/>
          </w:tcPr>
          <w:p>
            <w:pPr>
              <w:spacing w:after="0"/>
              <w:rPr>
                <w:sz w:val="20"/>
                <w:szCs w:val="20"/>
                <w:color w:val="auto"/>
              </w:rPr>
            </w:pPr>
            <w:r>
              <w:rPr>
                <w:rFonts w:ascii="Arial" w:cs="Arial" w:eastAsia="Arial" w:hAnsi="Arial"/>
                <w:sz w:val="16"/>
                <w:szCs w:val="16"/>
                <w:color w:val="auto"/>
              </w:rPr>
              <w:t>AstraZeneca</w:t>
            </w:r>
          </w:p>
        </w:tc>
        <w:tc>
          <w:tcPr>
            <w:tcW w:w="2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890</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1,386</w:t>
            </w:r>
          </w:p>
        </w:tc>
        <w:tc>
          <w:tcPr>
            <w:tcW w:w="1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Bioverativ</w:t>
            </w:r>
          </w:p>
        </w:tc>
        <w:tc>
          <w:tcPr>
            <w:tcW w:w="2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w:t>
            </w:r>
          </w:p>
        </w:tc>
        <w:tc>
          <w:tcPr>
            <w:tcW w:w="160" w:type="dxa"/>
            <w:vAlign w:val="bottom"/>
            <w:shd w:val="clear" w:color="auto" w:fill="CCEEFF"/>
          </w:tcPr>
          <w:p>
            <w:pPr>
              <w:spacing w:after="0"/>
              <w:rPr>
                <w:sz w:val="15"/>
                <w:szCs w:val="15"/>
                <w:color w:val="auto"/>
              </w:rPr>
            </w:pPr>
          </w:p>
        </w:tc>
      </w:tr>
      <w:tr>
        <w:trPr>
          <w:trHeight w:val="183"/>
        </w:trPr>
        <w:tc>
          <w:tcPr>
            <w:tcW w:w="4540" w:type="dxa"/>
            <w:vAlign w:val="bottom"/>
            <w:gridSpan w:val="2"/>
          </w:tcPr>
          <w:p>
            <w:pPr>
              <w:spacing w:after="0"/>
              <w:rPr>
                <w:sz w:val="20"/>
                <w:szCs w:val="20"/>
                <w:color w:val="auto"/>
              </w:rPr>
            </w:pPr>
            <w:r>
              <w:rPr>
                <w:rFonts w:ascii="Arial" w:cs="Arial" w:eastAsia="Arial" w:hAnsi="Arial"/>
                <w:sz w:val="16"/>
                <w:szCs w:val="16"/>
                <w:color w:val="auto"/>
              </w:rPr>
              <w:t>Oxurion</w:t>
            </w:r>
          </w:p>
        </w:tc>
        <w:tc>
          <w:tcPr>
            <w:tcW w:w="2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c>
          <w:tcPr>
            <w:tcW w:w="1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Total collaboration revenues</w:t>
            </w:r>
          </w:p>
        </w:tc>
        <w:tc>
          <w:tcPr>
            <w:tcW w:w="28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2,060</w:t>
            </w:r>
          </w:p>
        </w:tc>
        <w:tc>
          <w:tcPr>
            <w:tcW w:w="44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7,136</w:t>
            </w:r>
          </w:p>
        </w:tc>
        <w:tc>
          <w:tcPr>
            <w:tcW w:w="1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1"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AstraZeneca Collaboration Agreement</w:t>
      </w:r>
    </w:p>
    <w:p>
      <w:pPr>
        <w:spacing w:after="0" w:line="197" w:lineRule="exact"/>
        <w:rPr>
          <w:sz w:val="20"/>
          <w:szCs w:val="20"/>
          <w:color w:val="auto"/>
        </w:rPr>
      </w:pPr>
    </w:p>
    <w:p>
      <w:pPr>
        <w:ind w:left="482"/>
        <w:spacing w:after="0"/>
        <w:rPr>
          <w:sz w:val="20"/>
          <w:szCs w:val="20"/>
          <w:color w:val="auto"/>
        </w:rPr>
      </w:pPr>
      <w:r>
        <w:rPr>
          <w:rFonts w:ascii="Arial" w:cs="Arial" w:eastAsia="Arial" w:hAnsi="Arial"/>
          <w:sz w:val="16"/>
          <w:szCs w:val="16"/>
          <w:i w:val="1"/>
          <w:iCs w:val="1"/>
          <w:color w:val="auto"/>
        </w:rPr>
        <w:t>Summary of Agreement — 2016 Agreement</w:t>
      </w:r>
    </w:p>
    <w:p>
      <w:pPr>
        <w:spacing w:after="0" w:line="211" w:lineRule="exact"/>
        <w:rPr>
          <w:sz w:val="20"/>
          <w:szCs w:val="20"/>
          <w:color w:val="auto"/>
        </w:rPr>
      </w:pPr>
    </w:p>
    <w:p>
      <w:pPr>
        <w:ind w:left="2" w:firstLine="442"/>
        <w:spacing w:after="0"/>
        <w:rPr>
          <w:sz w:val="20"/>
          <w:szCs w:val="20"/>
          <w:color w:val="auto"/>
        </w:rPr>
      </w:pPr>
      <w:r>
        <w:rPr>
          <w:rFonts w:ascii="Arial" w:cs="Arial" w:eastAsia="Arial" w:hAnsi="Arial"/>
          <w:sz w:val="16"/>
          <w:szCs w:val="16"/>
          <w:color w:val="auto"/>
        </w:rPr>
        <w:t>In November 2016, the Company entered into a Research Collaboration Agreement (the "AstraZeneca Collaboration Agreement") with AstraZeneca. The collaboration is focused on the research and development of Bicycle peptides that bind to up to six biological targets. After discovery and initial optimization of such Bicycle peptides, AstraZeneca will be responsible for all research and development, including lead optimization and drug candidate selection. AstraZeneca has option rights, at drug candidate selection, which allow it to obtain development and exploitation license rights with regard to such drug candidate. The initial research obligation focuses on two targets within respiratory, cardiovascular and metabolic disease. AstraZeneca also has an option to nominate up to four additional targets at any point up to the second anniversary of the agreement ("Additional Four Target Option"). The exercise of this option right results in an option fee payable to the Company of $5.0 million and the research obligations and rights are consistent with the obligations and rights related to the initial two targets discussed below.</w:t>
      </w:r>
    </w:p>
    <w:p>
      <w:pPr>
        <w:spacing w:after="0" w:line="191" w:lineRule="exact"/>
        <w:rPr>
          <w:sz w:val="20"/>
          <w:szCs w:val="20"/>
          <w:color w:val="auto"/>
        </w:rPr>
      </w:pPr>
    </w:p>
    <w:p>
      <w:pPr>
        <w:ind w:left="2" w:right="60" w:firstLine="442"/>
        <w:spacing w:after="0" w:line="255" w:lineRule="auto"/>
        <w:rPr>
          <w:sz w:val="20"/>
          <w:szCs w:val="20"/>
          <w:color w:val="auto"/>
        </w:rPr>
      </w:pPr>
      <w:r>
        <w:rPr>
          <w:rFonts w:ascii="Arial" w:cs="Arial" w:eastAsia="Arial" w:hAnsi="Arial"/>
          <w:sz w:val="15"/>
          <w:szCs w:val="15"/>
          <w:color w:val="auto"/>
        </w:rPr>
        <w:t>Under the AstraZeneca Collaboration Agreement, the Company is obligated to use commercially reasonable efforts to perform research activities on the initial two targets, under mutually agreed upon research plans. The research plans includes two discrete parts, on a research program by research program basis:</w:t>
      </w:r>
    </w:p>
    <w:p>
      <w:pPr>
        <w:ind w:left="2" w:hanging="2"/>
        <w:spacing w:after="0" w:line="249" w:lineRule="auto"/>
        <w:tabs>
          <w:tab w:leader="none" w:pos="18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Bicycle Research Term, which is focused on the generation of Bicycle peptide libraries using the Company's peptide drug discovery platform, to be screened against selected biological targets and optimization of promising compounds, with the</w:t>
      </w:r>
    </w:p>
    <w:p>
      <w:pPr>
        <w:spacing w:after="0" w:line="18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42" w:right="239" w:bottom="1440" w:gutter="0" w:footer="0" w:header="0"/>
        </w:sectPr>
      </w:pPr>
    </w:p>
    <w:bookmarkStart w:id="288" w:name="page289"/>
    <w:bookmarkEnd w:id="2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15"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goal of identifying compounds that meet the criteria set by the parties, and (ii) the AZ Research Term, during which AstraZeneca may select certain compounds and continue research activities on those compounds, at its sole expense, with the goal of identifying compounds that satisfy the relevant pharmacological and pharmaceutical criteria for clinical testing. AstraZeneca may, at its sole discretion, approve any compound to be progressed into drug development and, upon the selection of each drug candidate, AstraZeneca is to pay $8.0 million as an option fee, in order to obtain worldwide development and exploitation rights.</w:t>
      </w:r>
    </w:p>
    <w:p>
      <w:pPr>
        <w:spacing w:after="0" w:line="187"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Each research program is to continue for an initial period of three years (the "Research Term"), including one year for the Bicycle Research Term and two for the AZ Research Term. AstraZeneca may extend the Research Term for each research program by twelve months (or fifteen months, if needed to complete certain toxicology studies). The Research Term for a specific program can be shorter if it is ceased due to a screening failure, a futility determination, abandonment by AstraZeneca, or upon selection of a drug candidate. AstraZeneca has certain substitution rights should a screening failure or futility determination be reached but is obligated to fund these additional efforts related to substitution.</w:t>
      </w:r>
    </w:p>
    <w:p>
      <w:pPr>
        <w:spacing w:after="0" w:line="189"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Under the terms of the AstraZeneca Collaboration Agreement, the Company granted to AstraZeneca, for each research program, a right and license (with the right to sublicense) certain background and platform intellectual property, for the duration of the applicable Research Term, to the extent necessary or useful for AstraZeneca to conduct the activities assigned to it in the applicable research plan, but for no other purpose.</w:t>
      </w:r>
    </w:p>
    <w:p>
      <w:pPr>
        <w:spacing w:after="0" w:line="185" w:lineRule="exact"/>
        <w:rPr>
          <w:sz w:val="20"/>
          <w:szCs w:val="20"/>
          <w:color w:val="auto"/>
        </w:rPr>
      </w:pPr>
    </w:p>
    <w:p>
      <w:pPr>
        <w:ind w:right="60" w:firstLine="439"/>
        <w:spacing w:after="0" w:line="244" w:lineRule="auto"/>
        <w:rPr>
          <w:sz w:val="20"/>
          <w:szCs w:val="20"/>
          <w:color w:val="auto"/>
        </w:rPr>
      </w:pPr>
      <w:r>
        <w:rPr>
          <w:rFonts w:ascii="Arial" w:cs="Arial" w:eastAsia="Arial" w:hAnsi="Arial"/>
          <w:sz w:val="16"/>
          <w:szCs w:val="16"/>
          <w:color w:val="auto"/>
        </w:rPr>
        <w:t>The activities under the AstraZeneca Collaboration Agreement are governed by a joint steering committee ("JSC") formed by an equal number of representatives from the Company and AstraZeneca. The JSC oversees and reviews each research program. Among other responsibilities, the JSC monitors and reports on research progress and ensure open and frequent exchange between the parties regarding research program activities.</w:t>
      </w:r>
    </w:p>
    <w:p>
      <w:pPr>
        <w:spacing w:after="0" w:line="185" w:lineRule="exact"/>
        <w:rPr>
          <w:sz w:val="20"/>
          <w:szCs w:val="20"/>
          <w:color w:val="auto"/>
        </w:rPr>
      </w:pPr>
    </w:p>
    <w:p>
      <w:pPr>
        <w:ind w:right="140" w:firstLine="433"/>
        <w:spacing w:after="0" w:line="249" w:lineRule="auto"/>
        <w:rPr>
          <w:sz w:val="20"/>
          <w:szCs w:val="20"/>
          <w:color w:val="auto"/>
        </w:rPr>
      </w:pPr>
      <w:r>
        <w:rPr>
          <w:rFonts w:ascii="Arial" w:cs="Arial" w:eastAsia="Arial" w:hAnsi="Arial"/>
          <w:sz w:val="16"/>
          <w:szCs w:val="16"/>
          <w:color w:val="auto"/>
        </w:rPr>
        <w:t>AstraZeneca is obligated to fund two full time equivalents ("FTE") during the Bicycle Research Term, for each research program, based on an agreed upon FTE reimbursement rate. Payment is made quarterly in advance of services being provided.</w:t>
      </w:r>
    </w:p>
    <w:p>
      <w:pPr>
        <w:spacing w:after="0" w:line="181" w:lineRule="exact"/>
        <w:rPr>
          <w:sz w:val="20"/>
          <w:szCs w:val="20"/>
          <w:color w:val="auto"/>
        </w:rPr>
      </w:pPr>
    </w:p>
    <w:p>
      <w:pPr>
        <w:ind w:right="180" w:firstLine="433"/>
        <w:spacing w:after="0"/>
        <w:rPr>
          <w:sz w:val="20"/>
          <w:szCs w:val="20"/>
          <w:color w:val="auto"/>
        </w:rPr>
      </w:pPr>
      <w:r>
        <w:rPr>
          <w:rFonts w:ascii="Arial" w:cs="Arial" w:eastAsia="Arial" w:hAnsi="Arial"/>
          <w:sz w:val="16"/>
          <w:szCs w:val="16"/>
          <w:color w:val="auto"/>
        </w:rPr>
        <w:t>AstraZeneca has the option to obtain development and commercialization licenses associated with each designated drug candidate in return for a fee of $8.0 million per drug candidate. In addition, AstraZeneca is required to make certain milestone payments to the Company upon the achievement of specified development, regulatory and commercial milestones. More specifically, for each research program, the Company is eligible to receive up to $29.0 million in development milestone payments and up to $23.0 million in regulatory milestone payments. The Company is also eligible for up to $110.0 million in commercial milestone payments, on a research program by research program basis. Development milestone payments are triggered upon initiation of a defined phase of clinical research for a drug candidate. Regulatory milestone payments are triggered upon approval to market a product candidate by the United States Food and Drug Administration ("FDA") or other global regulatory authorities. Commercial milestone payments are triggered when an approved pharmaceutical product reaches certain defined levels of net sales by the licensee. In addition, to the extent any of the product candidates covered by the licenses conveyed to AstraZeneca are commercialized, the Company would be entitled to receive tiered royalty payments of mid-single digits based on a percentage of net sales. Royalty payments are subject to certain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89" w:name="page290"/>
    <w:bookmarkEnd w:id="28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15" w:lineRule="exact"/>
        <w:rPr>
          <w:sz w:val="20"/>
          <w:szCs w:val="20"/>
          <w:color w:val="auto"/>
        </w:rPr>
      </w:pPr>
    </w:p>
    <w:p>
      <w:pPr>
        <w:ind w:right="300"/>
        <w:spacing w:after="0" w:line="244" w:lineRule="auto"/>
        <w:rPr>
          <w:sz w:val="20"/>
          <w:szCs w:val="20"/>
          <w:color w:val="auto"/>
        </w:rPr>
      </w:pPr>
      <w:r>
        <w:rPr>
          <w:rFonts w:ascii="Arial" w:cs="Arial" w:eastAsia="Arial" w:hAnsi="Arial"/>
          <w:sz w:val="16"/>
          <w:szCs w:val="16"/>
          <w:color w:val="auto"/>
        </w:rPr>
        <w:t>reductions, including in certain countries where AstraZeneca faces generic competition. Due to the uncertainty of pharmaceutical development and the high historical failure rates generally associated with drug development, the Company may not receive any additional milestone payments or royalty payments from AstraZeneca.</w:t>
      </w:r>
    </w:p>
    <w:p>
      <w:pPr>
        <w:spacing w:after="0" w:line="185"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Either party may terminate the AstraZeneca Collaboration Agreement if the other party has materially breached or defaulted in the performance of any of its material obligations and such breach or default continues after the specified cure period. Either party may terminate the AstraZeneca Collaboration Agreement in the event of the commencement of any proceeding in or for bankruptcy, insolvency, dissolution or winding up by or against the other party that is not dismissed or otherwise disposed of within a specified time period. AstraZeneca may terminate the AstraZeneca Collaboration Agreement, entirely or on a licensed product by licensed product or country by country basis, for convenience.</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Accounting Analysis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identified the following performance obligations:</w:t>
      </w:r>
    </w:p>
    <w:p>
      <w:pPr>
        <w:spacing w:after="0" w:line="195" w:lineRule="exact"/>
        <w:rPr>
          <w:sz w:val="20"/>
          <w:szCs w:val="20"/>
          <w:color w:val="auto"/>
        </w:rPr>
      </w:pPr>
    </w:p>
    <w:p>
      <w:pPr>
        <w:ind w:left="980" w:right="40" w:hanging="493"/>
        <w:spacing w:after="0" w:line="249" w:lineRule="auto"/>
        <w:tabs>
          <w:tab w:leader="none" w:pos="9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Bicycle Research Term for the first target (the "Target One Research License and Related Services"),</w:t>
      </w:r>
    </w:p>
    <w:p>
      <w:pPr>
        <w:spacing w:after="0" w:line="180" w:lineRule="exact"/>
        <w:rPr>
          <w:rFonts w:ascii="Arial" w:cs="Arial" w:eastAsia="Arial" w:hAnsi="Arial"/>
          <w:sz w:val="16"/>
          <w:szCs w:val="16"/>
          <w:color w:val="auto"/>
        </w:rPr>
      </w:pPr>
    </w:p>
    <w:p>
      <w:pPr>
        <w:ind w:left="980" w:right="500" w:hanging="493"/>
        <w:spacing w:after="0" w:line="249" w:lineRule="auto"/>
        <w:tabs>
          <w:tab w:leader="none" w:pos="9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Bicycle Research Term for the second target (the "Target Two Research License and Related Services").</w:t>
      </w:r>
    </w:p>
    <w:p>
      <w:pPr>
        <w:spacing w:after="0" w:line="181" w:lineRule="exact"/>
        <w:rPr>
          <w:sz w:val="20"/>
          <w:szCs w:val="20"/>
          <w:color w:val="auto"/>
        </w:rPr>
      </w:pPr>
    </w:p>
    <w:p>
      <w:pPr>
        <w:ind w:firstLine="439"/>
        <w:spacing w:after="0" w:line="241" w:lineRule="auto"/>
        <w:rPr>
          <w:sz w:val="20"/>
          <w:szCs w:val="20"/>
          <w:color w:val="auto"/>
        </w:rPr>
      </w:pPr>
      <w:r>
        <w:rPr>
          <w:rFonts w:ascii="Arial" w:cs="Arial" w:eastAsia="Arial" w:hAnsi="Arial"/>
          <w:sz w:val="16"/>
          <w:szCs w:val="16"/>
          <w:color w:val="auto"/>
        </w:rPr>
        <w:t>The Company concluded that the Additional Four Target Option is not a material right, as the option does not provide a discount that AstraZeneca otherwise would not have received. The Company's participation in the joint steering committee was assessed as immaterial in the context of the contract. The Company has concluded that the research license is not distinct from the research and development services during the Bicycle Research Term as AstraZeneca cannot obtain the benefit of the research license without the Company performing the research and development services. The services incorporate proprietary technology and unique skills and specialized expertise, particularly as it relates to constrained peptide technology that is not available in the marketplace. As a result, for each research program, the research license has been combined with the research and development services into a single performance obligation.</w:t>
      </w:r>
    </w:p>
    <w:p>
      <w:pPr>
        <w:spacing w:after="0" w:line="188" w:lineRule="exact"/>
        <w:rPr>
          <w:sz w:val="20"/>
          <w:szCs w:val="20"/>
          <w:color w:val="auto"/>
        </w:rPr>
      </w:pPr>
    </w:p>
    <w:p>
      <w:pPr>
        <w:ind w:right="40" w:firstLine="439"/>
        <w:spacing w:after="0" w:line="242" w:lineRule="auto"/>
        <w:rPr>
          <w:sz w:val="20"/>
          <w:szCs w:val="20"/>
          <w:color w:val="auto"/>
        </w:rPr>
      </w:pPr>
      <w:r>
        <w:rPr>
          <w:rFonts w:ascii="Arial" w:cs="Arial" w:eastAsia="Arial" w:hAnsi="Arial"/>
          <w:sz w:val="16"/>
          <w:szCs w:val="16"/>
          <w:color w:val="auto"/>
        </w:rPr>
        <w:t>The total transaction price was initially determined to be $1.2 million, consisting solely of research and development funding. The Company utilizes the most likely amount method to determine the amount of research and development funding to be received. Additional consideration to be paid to the Company upon the exercise of the license options by AstraZeneca or upon reaching certain milestones is excluded from the transaction price as they relate to option fees and milestones that can only be achieved subsequent to the option exercise or are outside of the initial contact term.</w:t>
      </w:r>
    </w:p>
    <w:p>
      <w:pPr>
        <w:spacing w:after="0" w:line="187" w:lineRule="exact"/>
        <w:rPr>
          <w:sz w:val="20"/>
          <w:szCs w:val="20"/>
          <w:color w:val="auto"/>
        </w:rPr>
      </w:pPr>
    </w:p>
    <w:p>
      <w:pPr>
        <w:ind w:firstLine="439"/>
        <w:spacing w:after="0" w:line="244" w:lineRule="auto"/>
        <w:rPr>
          <w:sz w:val="20"/>
          <w:szCs w:val="20"/>
          <w:color w:val="auto"/>
        </w:rPr>
      </w:pPr>
      <w:r>
        <w:rPr>
          <w:rFonts w:ascii="Arial" w:cs="Arial" w:eastAsia="Arial" w:hAnsi="Arial"/>
          <w:sz w:val="16"/>
          <w:szCs w:val="16"/>
          <w:color w:val="auto"/>
        </w:rPr>
        <w:t>The transaction price was allocated to the performance obligations based on the relative estimated standalone selling prices of each performance obligation. The estimated standalone selling prices for the Target One and Target Two Research License and Related Services is primarily based on the nature of the services to be performed and estimates of the associated effort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0" w:name="page291"/>
    <w:bookmarkEnd w:id="2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15" w:lineRule="exact"/>
        <w:rPr>
          <w:sz w:val="20"/>
          <w:szCs w:val="20"/>
          <w:color w:val="auto"/>
        </w:rPr>
      </w:pPr>
    </w:p>
    <w:p>
      <w:pPr>
        <w:ind w:right="360"/>
        <w:spacing w:after="0" w:line="249" w:lineRule="auto"/>
        <w:rPr>
          <w:sz w:val="20"/>
          <w:szCs w:val="20"/>
          <w:color w:val="auto"/>
        </w:rPr>
      </w:pPr>
      <w:r>
        <w:rPr>
          <w:rFonts w:ascii="Arial" w:cs="Arial" w:eastAsia="Arial" w:hAnsi="Arial"/>
          <w:sz w:val="16"/>
          <w:szCs w:val="16"/>
          <w:color w:val="auto"/>
        </w:rPr>
        <w:t>costs of the services, adjusted for a reasonable profit margin what would be expected to be realized under similar contracts. The transaction price allocated to each performance obligation was initially $0.6 million.</w:t>
      </w:r>
    </w:p>
    <w:p>
      <w:pPr>
        <w:spacing w:after="0" w:line="181" w:lineRule="exact"/>
        <w:rPr>
          <w:sz w:val="20"/>
          <w:szCs w:val="20"/>
          <w:color w:val="auto"/>
        </w:rPr>
      </w:pPr>
    </w:p>
    <w:p>
      <w:pPr>
        <w:jc w:val="both"/>
        <w:ind w:right="100" w:firstLine="439"/>
        <w:spacing w:after="0" w:line="242" w:lineRule="auto"/>
        <w:rPr>
          <w:sz w:val="20"/>
          <w:szCs w:val="20"/>
          <w:color w:val="auto"/>
        </w:rPr>
      </w:pPr>
      <w:r>
        <w:rPr>
          <w:rFonts w:ascii="Arial" w:cs="Arial" w:eastAsia="Arial" w:hAnsi="Arial"/>
          <w:sz w:val="16"/>
          <w:szCs w:val="16"/>
          <w:color w:val="auto"/>
        </w:rPr>
        <w:t>The Company will recognize revenue related to amounts allocated to the Research License and Related Services as the underlying services are performed over the one year Research Term using a proportional performance model over the period of service using input-based measurements of total full-time equivalent effort incurred to date as a percentage of total full-time equivalent time expected and will remeasure its progress towards completion at the end of each reporting period, which best reflects the progress towards satisfaction of the performance obligation.</w:t>
      </w:r>
    </w:p>
    <w:p>
      <w:pPr>
        <w:spacing w:after="0" w:line="187"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In October 2017, AstraZeneca selected a replacement target for the first target, and as such a new Research Term was started related to the Target One Research License and Related Services. In addition, both programs were extended. The total transaction price under the arrangement increased to $1.9 million for the additional research and development funding to be received.</w:t>
      </w:r>
    </w:p>
    <w:p>
      <w:pPr>
        <w:spacing w:after="0" w:line="185" w:lineRule="exact"/>
        <w:rPr>
          <w:sz w:val="20"/>
          <w:szCs w:val="20"/>
          <w:color w:val="auto"/>
        </w:rPr>
      </w:pPr>
    </w:p>
    <w:p>
      <w:pPr>
        <w:jc w:val="both"/>
        <w:ind w:right="140" w:firstLine="442"/>
        <w:spacing w:after="0" w:line="268" w:lineRule="auto"/>
        <w:rPr>
          <w:sz w:val="20"/>
          <w:szCs w:val="20"/>
          <w:color w:val="auto"/>
        </w:rPr>
      </w:pPr>
      <w:r>
        <w:rPr>
          <w:rFonts w:ascii="Arial" w:cs="Arial" w:eastAsia="Arial" w:hAnsi="Arial"/>
          <w:sz w:val="15"/>
          <w:szCs w:val="15"/>
          <w:color w:val="auto"/>
        </w:rPr>
        <w:t>For the years ended December 31, 2017 and 2018, the Company recognized $0.9 million and $1.0 million, respectively, of collaboration revenue related to the Target One and Target Two Research License and Related Services for its Collaboration Agreement with AstraZeneca. As of December 31, 2017 and 2018, the Company recorded no deferred revenue and $8,000 of deferred revenue, respectively, in connection with the 2016 AstraZeneca Collaboration Agreement.</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May 2018 AstraZeneca Option Exercise — Additional Four Targets</w:t>
      </w:r>
    </w:p>
    <w:p>
      <w:pPr>
        <w:spacing w:after="0" w:line="211"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Under the AstraZeneca Collaboration Agreement, AstraZeneca was granted an option to nominate up to four additional targets at any point up to the second anniversary of the agreement ("Additional Four Target Option"). In May 2018, AstraZeneca made an irrevocable election to exercise the Additional Four Target Option. As a result, AstraZeneca is entitled to obtain research and development services with respect to Bicycle peptides that bind to up to four additional targets, along with license rights to those selected targets, in exchange for an option fee of $5.0 million to be paid by AstraZeneca to the Company no later than January 31, 2019. AstraZeneca is obligated to fund two FTEs during the Bicycle Research Term, for each research program, based on an agreed upon FTE reimbursement rate. Payment is made quarterly in advance of services being provided. AstraZeneca has the option to obtain worldwide development and commercialization licenses associated with each designated drug candidate in return for a fee of $8.0 million per drug candidate, upon the selection of such drug candidate, after which AstraZeneca would be required to fund development and commercialization costs, and to pay regulatory and commercial milestone payments and royalties to BicycleTX as for the other products developed under the AstraZeneca Collaboration Agreement.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1" w:name="page292"/>
    <w:bookmarkEnd w:id="2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Accounting Analysis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the execution of the agreement, the Company has identified the following five performance obligations associated with the AstraZeneca May 2018</w:t>
      </w:r>
    </w:p>
    <w:p>
      <w:pPr>
        <w:spacing w:after="0"/>
        <w:rPr>
          <w:sz w:val="20"/>
          <w:szCs w:val="20"/>
          <w:color w:val="auto"/>
        </w:rPr>
      </w:pPr>
      <w:r>
        <w:rPr>
          <w:rFonts w:ascii="Arial" w:cs="Arial" w:eastAsia="Arial" w:hAnsi="Arial"/>
          <w:sz w:val="16"/>
          <w:szCs w:val="16"/>
          <w:color w:val="auto"/>
        </w:rPr>
        <w:t>Agreement:</w:t>
      </w:r>
    </w:p>
    <w:p>
      <w:pPr>
        <w:spacing w:after="0" w:line="195" w:lineRule="exact"/>
        <w:rPr>
          <w:sz w:val="20"/>
          <w:szCs w:val="20"/>
          <w:color w:val="auto"/>
        </w:rPr>
      </w:pPr>
    </w:p>
    <w:p>
      <w:pPr>
        <w:ind w:left="980" w:right="520" w:hanging="493"/>
        <w:spacing w:after="0" w:line="249" w:lineRule="auto"/>
        <w:tabs>
          <w:tab w:leader="none" w:pos="9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Bicycle Research Term for the third target (the "Target Three Research License and Related Services "),</w:t>
      </w:r>
    </w:p>
    <w:p>
      <w:pPr>
        <w:spacing w:after="0" w:line="180" w:lineRule="exact"/>
        <w:rPr>
          <w:rFonts w:ascii="Arial" w:cs="Arial" w:eastAsia="Arial" w:hAnsi="Arial"/>
          <w:sz w:val="16"/>
          <w:szCs w:val="16"/>
          <w:color w:val="auto"/>
        </w:rPr>
      </w:pPr>
    </w:p>
    <w:p>
      <w:pPr>
        <w:ind w:left="980" w:hanging="493"/>
        <w:spacing w:after="0"/>
        <w:tabs>
          <w:tab w:leader="none" w:pos="9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Material right associated with the development and exploitation license option for the third target ("Target Three Material Right"),</w:t>
      </w:r>
    </w:p>
    <w:p>
      <w:pPr>
        <w:spacing w:after="0" w:line="182" w:lineRule="exact"/>
        <w:rPr>
          <w:rFonts w:ascii="Arial" w:cs="Arial" w:eastAsia="Arial" w:hAnsi="Arial"/>
          <w:sz w:val="16"/>
          <w:szCs w:val="16"/>
          <w:color w:val="auto"/>
        </w:rPr>
      </w:pPr>
    </w:p>
    <w:p>
      <w:pPr>
        <w:ind w:left="980" w:right="80" w:hanging="493"/>
        <w:spacing w:after="0" w:line="249" w:lineRule="auto"/>
        <w:tabs>
          <w:tab w:leader="none" w:pos="9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Material right associated with the research services option, including the underlying development and exploitation license option for the fourth target ("Target Four Material Right"),</w:t>
      </w:r>
    </w:p>
    <w:p>
      <w:pPr>
        <w:spacing w:after="0" w:line="168" w:lineRule="exact"/>
        <w:rPr>
          <w:rFonts w:ascii="Arial" w:cs="Arial" w:eastAsia="Arial" w:hAnsi="Arial"/>
          <w:sz w:val="16"/>
          <w:szCs w:val="16"/>
          <w:color w:val="auto"/>
        </w:rPr>
      </w:pPr>
    </w:p>
    <w:p>
      <w:pPr>
        <w:ind w:left="980" w:right="240" w:hanging="493"/>
        <w:spacing w:after="0" w:line="249" w:lineRule="auto"/>
        <w:tabs>
          <w:tab w:leader="none" w:pos="9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Material right associated with the research services option, including the underlying development and exploitation license option for the fifth target ("Target Five Material Right"), and</w:t>
      </w:r>
    </w:p>
    <w:p>
      <w:pPr>
        <w:spacing w:after="0" w:line="180" w:lineRule="exact"/>
        <w:rPr>
          <w:rFonts w:ascii="Arial" w:cs="Arial" w:eastAsia="Arial" w:hAnsi="Arial"/>
          <w:sz w:val="16"/>
          <w:szCs w:val="16"/>
          <w:color w:val="auto"/>
        </w:rPr>
      </w:pPr>
    </w:p>
    <w:p>
      <w:pPr>
        <w:ind w:left="980" w:right="160" w:hanging="493"/>
        <w:spacing w:after="0" w:line="249" w:lineRule="auto"/>
        <w:tabs>
          <w:tab w:leader="none" w:pos="9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Material right associated with the research services option, including the underlying development and exploitation license option for the sixth target ("Target Six Material Right").</w:t>
      </w:r>
    </w:p>
    <w:p>
      <w:pPr>
        <w:spacing w:after="0" w:line="181" w:lineRule="exact"/>
        <w:rPr>
          <w:sz w:val="20"/>
          <w:szCs w:val="20"/>
          <w:color w:val="auto"/>
        </w:rPr>
      </w:pPr>
    </w:p>
    <w:p>
      <w:pPr>
        <w:ind w:right="60" w:firstLine="439"/>
        <w:spacing w:after="0" w:line="242" w:lineRule="auto"/>
        <w:rPr>
          <w:sz w:val="20"/>
          <w:szCs w:val="20"/>
          <w:color w:val="auto"/>
        </w:rPr>
      </w:pPr>
      <w:r>
        <w:rPr>
          <w:rFonts w:ascii="Arial" w:cs="Arial" w:eastAsia="Arial" w:hAnsi="Arial"/>
          <w:sz w:val="16"/>
          <w:szCs w:val="16"/>
          <w:color w:val="auto"/>
        </w:rPr>
        <w:t>The Company concluded that the fourth, fifth and sixth targets available for selection are options. Upon exercise, AstraZeneca will obtain a research license and the related research and development services and an option to a development and exploitation license. The Company has concluded that the research services option, including the underlying development and exploitation license options related to each respective target results in a material right as the option exercise fee related to the development and exploitation license contains a discount that AstraZeneca would not have otherwise received.</w:t>
      </w:r>
    </w:p>
    <w:p>
      <w:pPr>
        <w:spacing w:after="0" w:line="187" w:lineRule="exact"/>
        <w:rPr>
          <w:sz w:val="20"/>
          <w:szCs w:val="20"/>
          <w:color w:val="auto"/>
        </w:rPr>
      </w:pPr>
    </w:p>
    <w:p>
      <w:pPr>
        <w:ind w:firstLine="439"/>
        <w:spacing w:after="0" w:line="244" w:lineRule="auto"/>
        <w:rPr>
          <w:sz w:val="20"/>
          <w:szCs w:val="20"/>
          <w:color w:val="auto"/>
        </w:rPr>
      </w:pPr>
      <w:r>
        <w:rPr>
          <w:rFonts w:ascii="Arial" w:cs="Arial" w:eastAsia="Arial" w:hAnsi="Arial"/>
          <w:sz w:val="16"/>
          <w:szCs w:val="16"/>
          <w:color w:val="auto"/>
        </w:rPr>
        <w:t>The research license and the related research and development services related to the fourth, fifth and sixth targets are not performance obligations, as they are optional services that will be performed if AstraZeneca selects additional targets and they reflect their standalone selling prices and do not provide the customer with material rights. The Company's participation in the joint steering committee was assessed as immaterial in the context of the contract.</w:t>
      </w:r>
    </w:p>
    <w:p>
      <w:pPr>
        <w:spacing w:after="0" w:line="185" w:lineRule="exact"/>
        <w:rPr>
          <w:sz w:val="20"/>
          <w:szCs w:val="20"/>
          <w:color w:val="auto"/>
        </w:rPr>
      </w:pPr>
    </w:p>
    <w:p>
      <w:pPr>
        <w:ind w:right="80" w:firstLine="439"/>
        <w:spacing w:after="0" w:line="241" w:lineRule="auto"/>
        <w:rPr>
          <w:sz w:val="20"/>
          <w:szCs w:val="20"/>
          <w:color w:val="auto"/>
        </w:rPr>
      </w:pPr>
      <w:r>
        <w:rPr>
          <w:rFonts w:ascii="Arial" w:cs="Arial" w:eastAsia="Arial" w:hAnsi="Arial"/>
          <w:sz w:val="16"/>
          <w:szCs w:val="16"/>
          <w:color w:val="auto"/>
        </w:rPr>
        <w:t>The total transaction price was determined to be $5.7 million, consisting of the $5.0 million option exercise fee and research and development funding of an estimated $0.7 million. The research and development funding is being provided based on the costs that are incurred to conduct the research and development services. The Company utilizes the most likely amount method to determine the amount of research and development funding to be received. Additional consideration to be paid to the Company upon the exercise of the license options by AstraZeneca or upon reaching certain milestones are excluded from the transaction price as they relate to option fees and milestones that can only be achieved subsequent to the license option exercise or are outside of the initial contact term.</w:t>
      </w:r>
    </w:p>
    <w:p>
      <w:pPr>
        <w:spacing w:after="0" w:line="188" w:lineRule="exact"/>
        <w:rPr>
          <w:sz w:val="20"/>
          <w:szCs w:val="20"/>
          <w:color w:val="auto"/>
        </w:rPr>
      </w:pPr>
    </w:p>
    <w:p>
      <w:pPr>
        <w:ind w:firstLine="439"/>
        <w:spacing w:after="0" w:line="249" w:lineRule="auto"/>
        <w:rPr>
          <w:sz w:val="20"/>
          <w:szCs w:val="20"/>
          <w:color w:val="auto"/>
        </w:rPr>
      </w:pPr>
      <w:r>
        <w:rPr>
          <w:rFonts w:ascii="Arial" w:cs="Arial" w:eastAsia="Arial" w:hAnsi="Arial"/>
          <w:sz w:val="16"/>
          <w:szCs w:val="16"/>
          <w:color w:val="auto"/>
        </w:rPr>
        <w:t>The transaction price was allocated to the performance obligations based on the relative estimated standalone selling prices of each performance obligation. The estimated standalone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2" w:name="page293"/>
    <w:bookmarkEnd w:id="292"/>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01"/>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101"/>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10. Significant Agreements (Continued)</w:t>
      </w:r>
    </w:p>
    <w:p>
      <w:pPr>
        <w:spacing w:after="0" w:line="215" w:lineRule="exact"/>
        <w:rPr>
          <w:sz w:val="20"/>
          <w:szCs w:val="20"/>
          <w:color w:val="auto"/>
        </w:rPr>
      </w:pPr>
    </w:p>
    <w:p>
      <w:pPr>
        <w:ind w:left="2"/>
        <w:spacing w:after="0" w:line="241" w:lineRule="auto"/>
        <w:rPr>
          <w:sz w:val="20"/>
          <w:szCs w:val="20"/>
          <w:color w:val="auto"/>
        </w:rPr>
      </w:pPr>
      <w:r>
        <w:rPr>
          <w:rFonts w:ascii="Arial" w:cs="Arial" w:eastAsia="Arial" w:hAnsi="Arial"/>
          <w:sz w:val="16"/>
          <w:szCs w:val="16"/>
          <w:color w:val="auto"/>
        </w:rPr>
        <w:t>selling prices for each Research License and Related Services obligation is primarily based on the nature of the services to be performed and estimates of the associated effort and costs of the services, adjusted for a reasonable profit margin what would be expected to be realized under similar contracts. The estimated standalone selling price for the material rights was determined based on the fees AstraZeneca would pay to exercise the license options, the estimated value of the License Option using comparable transactions, and the probability that (i) AstraZeneca would opt into the target development, and (ii) the license options would be exercised by AstraZeneca. Based on the relative standalone selling price, the allocation of the transaction price to the separate performance obligations is as follows (in thousands):</w:t>
      </w:r>
    </w:p>
    <w:p>
      <w:pPr>
        <w:spacing w:after="0" w:line="167" w:lineRule="exact"/>
        <w:rPr>
          <w:sz w:val="20"/>
          <w:szCs w:val="20"/>
          <w:color w:val="auto"/>
        </w:rPr>
      </w:pPr>
    </w:p>
    <w:tbl>
      <w:tblPr>
        <w:tblLayout w:type="fixed"/>
        <w:tblInd w:w="1722"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2"/>
          </w:tcPr>
          <w:p>
            <w:pPr>
              <w:ind w:left="360"/>
              <w:spacing w:after="0"/>
              <w:rPr>
                <w:sz w:val="20"/>
                <w:szCs w:val="20"/>
                <w:color w:val="auto"/>
              </w:rPr>
            </w:pPr>
            <w:r>
              <w:rPr>
                <w:rFonts w:ascii="Arial" w:cs="Arial" w:eastAsia="Arial" w:hAnsi="Arial"/>
                <w:sz w:val="16"/>
                <w:szCs w:val="16"/>
                <w:b w:val="1"/>
                <w:bCs w:val="1"/>
                <w:color w:val="auto"/>
              </w:rPr>
              <w:t>Allocation of</w:t>
            </w:r>
          </w:p>
        </w:tc>
      </w:tr>
      <w:tr>
        <w:trPr>
          <w:trHeight w:val="205"/>
        </w:trPr>
        <w:tc>
          <w:tcPr>
            <w:tcW w:w="5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Performance Obligations</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Transaction Price</w:t>
            </w:r>
          </w:p>
        </w:tc>
        <w:tc>
          <w:tcPr>
            <w:tcW w:w="140" w:type="dxa"/>
            <w:vAlign w:val="bottom"/>
          </w:tcPr>
          <w:p>
            <w:pPr>
              <w:spacing w:after="0"/>
              <w:rPr>
                <w:sz w:val="17"/>
                <w:szCs w:val="17"/>
                <w:color w:val="auto"/>
              </w:rPr>
            </w:pPr>
          </w:p>
        </w:tc>
      </w:tr>
      <w:tr>
        <w:trPr>
          <w:trHeight w:val="183"/>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Target Three Research License and Related Services</w:t>
            </w:r>
          </w:p>
        </w:tc>
        <w:tc>
          <w:tcPr>
            <w:tcW w:w="420" w:type="dxa"/>
            <w:vAlign w:val="bottom"/>
            <w:gridSpan w:val="2"/>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40" w:type="dxa"/>
            <w:vAlign w:val="bottom"/>
            <w:shd w:val="clear" w:color="auto" w:fill="CCEEFF"/>
          </w:tcPr>
          <w:p>
            <w:pPr>
              <w:spacing w:after="0"/>
              <w:rPr>
                <w:sz w:val="15"/>
                <w:szCs w:val="15"/>
                <w:color w:val="auto"/>
              </w:rPr>
            </w:pPr>
          </w:p>
        </w:tc>
      </w:tr>
      <w:tr>
        <w:trPr>
          <w:trHeight w:val="183"/>
        </w:trPr>
        <w:tc>
          <w:tcPr>
            <w:tcW w:w="5580" w:type="dxa"/>
            <w:vAlign w:val="bottom"/>
          </w:tcPr>
          <w:p>
            <w:pPr>
              <w:spacing w:after="0"/>
              <w:rPr>
                <w:sz w:val="20"/>
                <w:szCs w:val="20"/>
                <w:color w:val="auto"/>
              </w:rPr>
            </w:pPr>
            <w:r>
              <w:rPr>
                <w:rFonts w:ascii="Arial" w:cs="Arial" w:eastAsia="Arial" w:hAnsi="Arial"/>
                <w:sz w:val="16"/>
                <w:szCs w:val="16"/>
                <w:color w:val="auto"/>
              </w:rPr>
              <w:t>Target 3 Material Right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1,504</w:t>
            </w:r>
          </w:p>
        </w:tc>
        <w:tc>
          <w:tcPr>
            <w:tcW w:w="140" w:type="dxa"/>
            <w:vAlign w:val="bottom"/>
          </w:tcPr>
          <w:p>
            <w:pPr>
              <w:spacing w:after="0"/>
              <w:rPr>
                <w:sz w:val="15"/>
                <w:szCs w:val="15"/>
                <w:color w:val="auto"/>
              </w:rPr>
            </w:pPr>
          </w:p>
        </w:tc>
      </w:tr>
      <w:tr>
        <w:trPr>
          <w:trHeight w:val="183"/>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Target 4 Material Right</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40" w:type="dxa"/>
            <w:vAlign w:val="bottom"/>
            <w:shd w:val="clear" w:color="auto" w:fill="CCEEFF"/>
          </w:tcPr>
          <w:p>
            <w:pPr>
              <w:spacing w:after="0"/>
              <w:rPr>
                <w:sz w:val="15"/>
                <w:szCs w:val="15"/>
                <w:color w:val="auto"/>
              </w:rPr>
            </w:pPr>
          </w:p>
        </w:tc>
      </w:tr>
      <w:tr>
        <w:trPr>
          <w:trHeight w:val="183"/>
        </w:trPr>
        <w:tc>
          <w:tcPr>
            <w:tcW w:w="5580" w:type="dxa"/>
            <w:vAlign w:val="bottom"/>
          </w:tcPr>
          <w:p>
            <w:pPr>
              <w:spacing w:after="0"/>
              <w:rPr>
                <w:sz w:val="20"/>
                <w:szCs w:val="20"/>
                <w:color w:val="auto"/>
              </w:rPr>
            </w:pPr>
            <w:r>
              <w:rPr>
                <w:rFonts w:ascii="Arial" w:cs="Arial" w:eastAsia="Arial" w:hAnsi="Arial"/>
                <w:sz w:val="16"/>
                <w:szCs w:val="16"/>
                <w:color w:val="auto"/>
              </w:rPr>
              <w:t>Target 5 Material Right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1,165</w:t>
            </w:r>
          </w:p>
        </w:tc>
        <w:tc>
          <w:tcPr>
            <w:tcW w:w="140" w:type="dxa"/>
            <w:vAlign w:val="bottom"/>
          </w:tcPr>
          <w:p>
            <w:pPr>
              <w:spacing w:after="0"/>
              <w:rPr>
                <w:sz w:val="15"/>
                <w:szCs w:val="15"/>
                <w:color w:val="auto"/>
              </w:rPr>
            </w:pPr>
          </w:p>
        </w:tc>
      </w:tr>
      <w:tr>
        <w:trPr>
          <w:trHeight w:val="183"/>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Target 6 Material Right</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140" w:type="dxa"/>
            <w:vAlign w:val="bottom"/>
            <w:shd w:val="clear" w:color="auto" w:fill="CCEEFF"/>
          </w:tcPr>
          <w:p>
            <w:pPr>
              <w:spacing w:after="0"/>
              <w:rPr>
                <w:sz w:val="15"/>
                <w:szCs w:val="15"/>
                <w:color w:val="auto"/>
              </w:rPr>
            </w:pPr>
          </w:p>
        </w:tc>
      </w:t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5,650</w:t>
            </w:r>
          </w:p>
        </w:tc>
        <w:tc>
          <w:tcPr>
            <w:tcW w:w="140" w:type="dxa"/>
            <w:vAlign w:val="bottom"/>
          </w:tcPr>
          <w:p>
            <w:pPr>
              <w:spacing w:after="0"/>
              <w:rPr>
                <w:sz w:val="17"/>
                <w:szCs w:val="17"/>
                <w:color w:val="auto"/>
              </w:rPr>
            </w:pPr>
          </w:p>
        </w:tc>
      </w:tr>
    </w:tbl>
    <w:p>
      <w:pPr>
        <w:spacing w:after="0" w:line="182" w:lineRule="exact"/>
        <w:rPr>
          <w:sz w:val="20"/>
          <w:szCs w:val="20"/>
          <w:color w:val="auto"/>
        </w:rPr>
      </w:pPr>
    </w:p>
    <w:p>
      <w:pPr>
        <w:ind w:left="2" w:right="80" w:firstLine="439"/>
        <w:spacing w:after="0" w:line="241" w:lineRule="auto"/>
        <w:rPr>
          <w:sz w:val="20"/>
          <w:szCs w:val="20"/>
          <w:color w:val="auto"/>
        </w:rPr>
      </w:pPr>
      <w:r>
        <w:rPr>
          <w:rFonts w:ascii="Arial" w:cs="Arial" w:eastAsia="Arial" w:hAnsi="Arial"/>
          <w:sz w:val="16"/>
          <w:szCs w:val="16"/>
          <w:color w:val="auto"/>
        </w:rPr>
        <w:t>The Company will recognize revenue related to amounts allocated to the Target Three Research License and Related Services as the underlying services are performed using a proportional performance model over the period of service using input-based measurements of total full-time equivalent effort incurred to date as a percentage of total full-time equivalent time expected, which best reflects the progress towards satisfaction of the performance obligation. The amount allocated to the material rights is recorded as deferred revenue and the Company will commence revenue recognition upon exercise of or upon expiry of the option.</w:t>
      </w:r>
    </w:p>
    <w:p>
      <w:pPr>
        <w:spacing w:after="0" w:line="189" w:lineRule="exact"/>
        <w:rPr>
          <w:sz w:val="20"/>
          <w:szCs w:val="20"/>
          <w:color w:val="auto"/>
        </w:rPr>
      </w:pPr>
    </w:p>
    <w:p>
      <w:pPr>
        <w:ind w:left="2" w:right="120" w:firstLine="442"/>
        <w:spacing w:after="0" w:line="244" w:lineRule="auto"/>
        <w:rPr>
          <w:sz w:val="20"/>
          <w:szCs w:val="20"/>
          <w:color w:val="auto"/>
        </w:rPr>
      </w:pPr>
      <w:r>
        <w:rPr>
          <w:rFonts w:ascii="Arial" w:cs="Arial" w:eastAsia="Arial" w:hAnsi="Arial"/>
          <w:sz w:val="16"/>
          <w:szCs w:val="16"/>
          <w:color w:val="auto"/>
        </w:rPr>
        <w:t>For the year ended December 31, 2018, the Company recognized $0.4 million of revenue related to the Target Three Research License and Related Service related to the May 2018 AstraZeneca Option Exercise. As of December 31, 2018, the Company recorded $4.7 million of deferred revenue in connection with the AstraZeneca Collaboration.</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Bioverativ Collaboration Agreement</w:t>
      </w:r>
    </w:p>
    <w:p>
      <w:pPr>
        <w:spacing w:after="0" w:line="197" w:lineRule="exact"/>
        <w:rPr>
          <w:sz w:val="20"/>
          <w:szCs w:val="20"/>
          <w:color w:val="auto"/>
        </w:rPr>
      </w:pPr>
    </w:p>
    <w:p>
      <w:pPr>
        <w:ind w:left="482"/>
        <w:spacing w:after="0"/>
        <w:rPr>
          <w:sz w:val="20"/>
          <w:szCs w:val="20"/>
          <w:color w:val="auto"/>
        </w:rPr>
      </w:pPr>
      <w:r>
        <w:rPr>
          <w:rFonts w:ascii="Arial" w:cs="Arial" w:eastAsia="Arial" w:hAnsi="Arial"/>
          <w:sz w:val="16"/>
          <w:szCs w:val="16"/>
          <w:i w:val="1"/>
          <w:iCs w:val="1"/>
          <w:color w:val="auto"/>
        </w:rPr>
        <w:t>Summary of Agreement</w:t>
      </w:r>
    </w:p>
    <w:p>
      <w:pPr>
        <w:spacing w:after="0" w:line="211" w:lineRule="exact"/>
        <w:rPr>
          <w:sz w:val="20"/>
          <w:szCs w:val="20"/>
          <w:color w:val="auto"/>
        </w:rPr>
      </w:pPr>
    </w:p>
    <w:p>
      <w:pPr>
        <w:ind w:left="2" w:right="60" w:firstLine="442"/>
        <w:spacing w:after="0" w:line="255" w:lineRule="auto"/>
        <w:rPr>
          <w:sz w:val="20"/>
          <w:szCs w:val="20"/>
          <w:color w:val="auto"/>
        </w:rPr>
      </w:pPr>
      <w:r>
        <w:rPr>
          <w:rFonts w:ascii="Arial" w:cs="Arial" w:eastAsia="Arial" w:hAnsi="Arial"/>
          <w:sz w:val="15"/>
          <w:szCs w:val="15"/>
          <w:color w:val="auto"/>
        </w:rPr>
        <w:t>In August 2017, the Company entered into a Collaboration Agreement (the "Bioverativ Collaboration Agreement") with Bioverativ. Under the Bioverativ Collaboration Agreement the Company will provide for research and development services focused on up to three collaboration programs; (i) Sickle cell disease,</w:t>
      </w:r>
    </w:p>
    <w:p>
      <w:pPr>
        <w:ind w:left="2" w:right="300" w:hanging="2"/>
        <w:spacing w:after="0" w:line="244" w:lineRule="auto"/>
        <w:tabs>
          <w:tab w:leader="none" w:pos="22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Hemophilia, and (iii) and a third program ("Program 3"), which is an optional program, to be defined. The Company will use its bicyclic peptide screening platform to perform research and development services for the programs and Bioverativ has the ability to select a collaboration product for each program and obtain a license to develop and exploit the selected collaboration product for an additional option fee.</w:t>
      </w:r>
    </w:p>
    <w:p>
      <w:pPr>
        <w:spacing w:after="0" w:line="185" w:lineRule="exact"/>
        <w:rPr>
          <w:sz w:val="20"/>
          <w:szCs w:val="20"/>
          <w:color w:val="auto"/>
        </w:rPr>
      </w:pPr>
    </w:p>
    <w:p>
      <w:pPr>
        <w:ind w:left="2" w:right="260" w:firstLine="442"/>
        <w:spacing w:after="0" w:line="249" w:lineRule="auto"/>
        <w:rPr>
          <w:sz w:val="20"/>
          <w:szCs w:val="20"/>
          <w:color w:val="auto"/>
        </w:rPr>
      </w:pPr>
      <w:r>
        <w:rPr>
          <w:rFonts w:ascii="Arial" w:cs="Arial" w:eastAsia="Arial" w:hAnsi="Arial"/>
          <w:sz w:val="16"/>
          <w:szCs w:val="16"/>
          <w:color w:val="auto"/>
        </w:rPr>
        <w:t>Under the Bioverativ Collaboration Agreement, the Company is obligated to perform research activities on the initial two named collaboration programs, under mutually agreed upon research</w:t>
      </w:r>
    </w:p>
    <w:p>
      <w:pPr>
        <w:spacing w:after="0" w:line="181" w:lineRule="exact"/>
        <w:rPr>
          <w:sz w:val="20"/>
          <w:szCs w:val="20"/>
          <w:color w:val="auto"/>
        </w:rPr>
      </w:pPr>
    </w:p>
    <w:p>
      <w:pPr>
        <w:jc w:val="center"/>
        <w:ind w:right="-101"/>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22"/>
          </w:cols>
          <w:pgMar w:left="238" w:top="142" w:right="339" w:bottom="1440" w:gutter="0" w:footer="0" w:header="0"/>
        </w:sectPr>
      </w:pPr>
    </w:p>
    <w:bookmarkStart w:id="293" w:name="page294"/>
    <w:bookmarkEnd w:id="2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15"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plans. The research and development services for each program consist of two stages. The first is an initial stage of screening for high affinity binders and affinity maturation of such binders to identify lead compounds led by the Company (the "BV Bicycle Research Term"). Upon the conclusion of the BV Bicycle Research Term, Bioverativ can, at is sole discretion, select a certain number of collaboration compounds to move forward into the Joint Research Term. Upon selection of the collaboration compounds, Bioverativ is required to pay an option fee. During the Joint Research Term, the Company and Bioverativ will jointly conduct research and development activities which will include lead optimization of lead compounds, in preparation for lead collaboration product nomination ("Joint Research Term"). Bioverativ may, at its sole discretion, approve any compound to be progressed into drug development and upon the selection of each collaboration product candidate, Bioverativ shall pay $5.0 million as an option fee, in order to obtain worldwide development and exploitation rights for that collaboration product.</w:t>
      </w:r>
    </w:p>
    <w:p>
      <w:pPr>
        <w:spacing w:after="0" w:line="191"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Each research program shall continue for an initial period of three years (the "Research Term") unless a program is abandoned by Bioverativ or extended for up to one year. The first year of each Research Term shall be the BV Bicycle Research Term and the remaining part of the Research Term, including any extensions of the Research Term, shall be the Joint Research Term.</w:t>
      </w:r>
    </w:p>
    <w:p>
      <w:pPr>
        <w:spacing w:after="0" w:line="185" w:lineRule="exact"/>
        <w:rPr>
          <w:sz w:val="20"/>
          <w:szCs w:val="20"/>
          <w:color w:val="auto"/>
        </w:rPr>
      </w:pPr>
    </w:p>
    <w:p>
      <w:pPr>
        <w:ind w:right="220" w:firstLine="442"/>
        <w:spacing w:after="0" w:line="244" w:lineRule="auto"/>
        <w:rPr>
          <w:sz w:val="20"/>
          <w:szCs w:val="20"/>
          <w:color w:val="auto"/>
        </w:rPr>
      </w:pPr>
      <w:r>
        <w:rPr>
          <w:rFonts w:ascii="Arial" w:cs="Arial" w:eastAsia="Arial" w:hAnsi="Arial"/>
          <w:sz w:val="16"/>
          <w:szCs w:val="16"/>
          <w:color w:val="auto"/>
        </w:rPr>
        <w:t>Under the terms of the Bioverativ Collaboration Agreement, the Company granted to Bioverativ, for each collaboration program, a non-exclusive, sublicensable (through multiple tiers), worldwide license under certain intellectual property of the Company to conduct the activities assigned to Bioverativ in the applicable research plan for the duration of the applicable Research Term, but for no other purpose.</w:t>
      </w:r>
    </w:p>
    <w:p>
      <w:pPr>
        <w:spacing w:after="0" w:line="185" w:lineRule="exact"/>
        <w:rPr>
          <w:sz w:val="20"/>
          <w:szCs w:val="20"/>
          <w:color w:val="auto"/>
        </w:rPr>
      </w:pPr>
    </w:p>
    <w:p>
      <w:pPr>
        <w:ind w:right="440" w:firstLine="439"/>
        <w:spacing w:after="0" w:line="244" w:lineRule="auto"/>
        <w:rPr>
          <w:sz w:val="20"/>
          <w:szCs w:val="20"/>
          <w:color w:val="auto"/>
        </w:rPr>
      </w:pPr>
      <w:r>
        <w:rPr>
          <w:rFonts w:ascii="Arial" w:cs="Arial" w:eastAsia="Arial" w:hAnsi="Arial"/>
          <w:sz w:val="16"/>
          <w:szCs w:val="16"/>
          <w:color w:val="auto"/>
        </w:rPr>
        <w:t>The activities under the Bioverativ Collaboration Agreement will be governed by a joint steering committee ("JSC") formed by an equal number of representatives from the Company and Bioverativ. The JSC will oversee, review and recommend direction of each collaboration program and variations of or modifications to the research plans.</w:t>
      </w:r>
    </w:p>
    <w:p>
      <w:pPr>
        <w:spacing w:after="0" w:line="185" w:lineRule="exact"/>
        <w:rPr>
          <w:sz w:val="20"/>
          <w:szCs w:val="20"/>
          <w:color w:val="auto"/>
        </w:rPr>
      </w:pPr>
    </w:p>
    <w:p>
      <w:pPr>
        <w:ind w:firstLine="442"/>
        <w:spacing w:after="0"/>
        <w:rPr>
          <w:sz w:val="20"/>
          <w:szCs w:val="20"/>
          <w:color w:val="auto"/>
        </w:rPr>
      </w:pPr>
      <w:r>
        <w:rPr>
          <w:rFonts w:ascii="Arial" w:cs="Arial" w:eastAsia="Arial" w:hAnsi="Arial"/>
          <w:sz w:val="16"/>
          <w:szCs w:val="16"/>
          <w:color w:val="auto"/>
        </w:rPr>
        <w:t>Under the terms of the Bioverativ Collaboration Agreement, the Company received a $10.0 million up-front cash payment. Additionally, prior to the initiation of the research plan for each collaboration program, Bioverativ made a non-refundable payment of $1.4 million for the Sickle cell program and $2.8 million for the Hemophilia program as payment for the Company's services during the BV Bicycle Research Term. During the Joint Research Term, Bioverativ is obligated to fund a minimum of two FTE's based on an agreed upon FTE reimbursement rate and fund certain external costs incurred by the Company. Bioverativ has the option to obtain development and commercialization licenses associated with each designated collaboration product candidate in return for a fee of $5.0 million per drug candidate. In addition, Bioverativ would be required to make certain milestone payments to the Company upon the achievement of specified development, regulatory and commercial events. More specifically, for each collaboration program, the Company is eligible to receive between $47.5 million and $67.0 million in development milestone payments for the Sickle Cell and Hemophilia programs, respectively, and up to $104.0 million in regulatory milestone payments for each program. In addition, the Company is eligible for up to $55.0 million in commercial milestone payments, on a research program by research program basis. Development milestone payments are triggered upon initiation of a defined phase of clinical research for a collaboration product. Regulatory milestone payments are triggered upon approval to market a product candidate by the FDA or other global regulatory authorities. Commercial milestone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4" w:name="page295"/>
    <w:bookmarkEnd w:id="29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15"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payments are triggered when an approved collaboration product reaches certain defined levels of net sales by the licensee. In addition, to the extent any of the collaboration products covered by the licenses conveyed to Bioverativ are commercialized, the Company would be entitled to receive tiered royalty payments of mid-single digits to low double digits based on a percentage of net sales. Royalty payments are subject to certain reductions, including for instances where Bioverativ faces generic competition in certain countries. Due to the uncertainty of pharmaceutical development and the high historical failure rates generally associated with drug development, the Company may not receive any additional milestone payments or royalty payments from Bioverativ.</w:t>
      </w:r>
    </w:p>
    <w:p>
      <w:pPr>
        <w:spacing w:after="0" w:line="189" w:lineRule="exact"/>
        <w:rPr>
          <w:sz w:val="20"/>
          <w:szCs w:val="20"/>
          <w:color w:val="auto"/>
        </w:rPr>
      </w:pPr>
    </w:p>
    <w:p>
      <w:pPr>
        <w:ind w:firstLine="442"/>
        <w:spacing w:after="0" w:line="244" w:lineRule="auto"/>
        <w:rPr>
          <w:sz w:val="20"/>
          <w:szCs w:val="20"/>
          <w:color w:val="auto"/>
        </w:rPr>
      </w:pPr>
      <w:r>
        <w:rPr>
          <w:rFonts w:ascii="Arial" w:cs="Arial" w:eastAsia="Arial" w:hAnsi="Arial"/>
          <w:sz w:val="16"/>
          <w:szCs w:val="16"/>
          <w:color w:val="auto"/>
        </w:rPr>
        <w:t>Under the terms of the Collaboration Agreement, Bioverativ was also provided with an option to obtain screening services on the additional Program 3 target upon making an option fee payment of $5.0 million in addition to a non-refundable payment of $1.4 million as payment for the Company's services related to Program 3 during the BV Bicycle Research Term. The option expired in November 2018 unexercised.</w:t>
      </w:r>
    </w:p>
    <w:p>
      <w:pPr>
        <w:spacing w:after="0" w:line="185"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Either party may terminate the Bioverativ Collaboration Agreement if the other party has materially breached or defaulted in the performance of any of its material obligations and such breach or default continues after the specified cure period. Either party may terminate the Bioverativ Collaboration Agreement in the event of the commencement of any proceeding in or for bankruptcy, insolvency, dissolution or winding up by or against the other party that is not dismissed or otherwise disposed of within a specified time period. Bioverativ may terminate the Bioverativ Collaboration Agreement, entirely or on a program by program, licensed product by licensed product or country by country basis, for convenience upon not less than 30 days prior written notice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Accounting Analysis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identified the following four performance obligations associated with the Bioverativ Collaboration Agreement:</w:t>
      </w:r>
    </w:p>
    <w:p>
      <w:pPr>
        <w:spacing w:after="0" w:line="195" w:lineRule="exact"/>
        <w:rPr>
          <w:sz w:val="20"/>
          <w:szCs w:val="20"/>
          <w:color w:val="auto"/>
        </w:rPr>
      </w:pPr>
    </w:p>
    <w:p>
      <w:pPr>
        <w:ind w:left="980" w:right="60" w:hanging="493"/>
        <w:spacing w:after="0" w:line="249" w:lineRule="auto"/>
        <w:tabs>
          <w:tab w:leader="none" w:pos="9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BV Bicycle Research Term for Sickle cell program (the "Sickle Cell Research License and Related Services "),</w:t>
      </w:r>
    </w:p>
    <w:p>
      <w:pPr>
        <w:spacing w:after="0" w:line="180" w:lineRule="exact"/>
        <w:rPr>
          <w:rFonts w:ascii="Arial" w:cs="Arial" w:eastAsia="Arial" w:hAnsi="Arial"/>
          <w:sz w:val="16"/>
          <w:szCs w:val="16"/>
          <w:color w:val="auto"/>
        </w:rPr>
      </w:pPr>
    </w:p>
    <w:p>
      <w:pPr>
        <w:ind w:left="980" w:right="820" w:hanging="493"/>
        <w:spacing w:after="0" w:line="249" w:lineRule="auto"/>
        <w:tabs>
          <w:tab w:leader="none" w:pos="9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Research License and the related research and development services during the BV Bicycle Research Term for Hemophilia program (the "Hemophilia Research License and Related Services "),</w:t>
      </w:r>
    </w:p>
    <w:p>
      <w:pPr>
        <w:spacing w:after="0" w:line="168" w:lineRule="exact"/>
        <w:rPr>
          <w:rFonts w:ascii="Arial" w:cs="Arial" w:eastAsia="Arial" w:hAnsi="Arial"/>
          <w:sz w:val="16"/>
          <w:szCs w:val="16"/>
          <w:color w:val="auto"/>
        </w:rPr>
      </w:pPr>
    </w:p>
    <w:p>
      <w:pPr>
        <w:ind w:left="980" w:hanging="493"/>
        <w:spacing w:after="0"/>
        <w:tabs>
          <w:tab w:leader="none" w:pos="9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Material right associated with the sickle cell program development and exploitation license option ("Sickle Cell License Option Material Right"), and</w:t>
      </w:r>
    </w:p>
    <w:p>
      <w:pPr>
        <w:spacing w:after="0" w:line="182" w:lineRule="exact"/>
        <w:rPr>
          <w:rFonts w:ascii="Arial" w:cs="Arial" w:eastAsia="Arial" w:hAnsi="Arial"/>
          <w:sz w:val="16"/>
          <w:szCs w:val="16"/>
          <w:color w:val="auto"/>
        </w:rPr>
      </w:pPr>
    </w:p>
    <w:p>
      <w:pPr>
        <w:ind w:left="980" w:hanging="493"/>
        <w:spacing w:after="0"/>
        <w:tabs>
          <w:tab w:leader="none" w:pos="9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Material right associated with the hemophilia program development and exploitation license option ("Hemophilia License Option Material Right").</w:t>
      </w:r>
    </w:p>
    <w:p>
      <w:pPr>
        <w:spacing w:after="0" w:line="195" w:lineRule="exact"/>
        <w:rPr>
          <w:sz w:val="20"/>
          <w:szCs w:val="20"/>
          <w:color w:val="auto"/>
        </w:rPr>
      </w:pPr>
    </w:p>
    <w:p>
      <w:pPr>
        <w:ind w:right="140" w:firstLine="439"/>
        <w:spacing w:after="0" w:line="244" w:lineRule="auto"/>
        <w:rPr>
          <w:sz w:val="20"/>
          <w:szCs w:val="20"/>
          <w:color w:val="auto"/>
        </w:rPr>
      </w:pPr>
      <w:r>
        <w:rPr>
          <w:rFonts w:ascii="Arial" w:cs="Arial" w:eastAsia="Arial" w:hAnsi="Arial"/>
          <w:sz w:val="16"/>
          <w:szCs w:val="16"/>
          <w:color w:val="auto"/>
        </w:rPr>
        <w:t>The Company concluded that the option to obtain screening services on the additional Program 3 target is not a material right, as the option does not provide a discount that Bioverativ otherwise would not have received. The Company's participation in the joint steering committee was assessed as immaterial in the context of the contract. Research license and the related research and development services related to the Joint Research Term are not performance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5" w:name="page296"/>
    <w:bookmarkEnd w:id="2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15"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obligations at the inception of the arrangement, as they are optional services that will be performed if Bioverativ selects collaboration compounds for lead optimization. The amount paid by Bioverativ for the services during the Joint Research Team do not reflect a discount that the customer would otherwise receive and do not provide the customer with material rights.</w:t>
      </w:r>
    </w:p>
    <w:p>
      <w:pPr>
        <w:spacing w:after="0" w:line="185" w:lineRule="exact"/>
        <w:rPr>
          <w:sz w:val="20"/>
          <w:szCs w:val="20"/>
          <w:color w:val="auto"/>
        </w:rPr>
      </w:pPr>
    </w:p>
    <w:p>
      <w:pPr>
        <w:ind w:right="220" w:firstLine="439"/>
        <w:spacing w:after="0" w:line="242" w:lineRule="auto"/>
        <w:rPr>
          <w:sz w:val="20"/>
          <w:szCs w:val="20"/>
          <w:color w:val="auto"/>
        </w:rPr>
      </w:pPr>
      <w:r>
        <w:rPr>
          <w:rFonts w:ascii="Arial" w:cs="Arial" w:eastAsia="Arial" w:hAnsi="Arial"/>
          <w:sz w:val="16"/>
          <w:szCs w:val="16"/>
          <w:color w:val="auto"/>
        </w:rPr>
        <w:t>The total transaction price was determined to be $14.2 million, consisting of the $10.0 million upfront payment and non-refundable research and development funding of $4.2 million. The Company may receive reimbursement of FTE costs and external costs associated with work under the Joint Research Term, milestone payments during the Joint Research Term, as well as upon exercise of the license options. These variable amounts are excluded from the transaction price as they relate to fees and milestones that can only be achieved subsequent to the exercise of an option.</w:t>
      </w:r>
    </w:p>
    <w:p>
      <w:pPr>
        <w:spacing w:after="0" w:line="187" w:lineRule="exact"/>
        <w:rPr>
          <w:sz w:val="20"/>
          <w:szCs w:val="20"/>
          <w:color w:val="auto"/>
        </w:rPr>
      </w:pPr>
    </w:p>
    <w:p>
      <w:pPr>
        <w:ind w:firstLine="439"/>
        <w:spacing w:after="0" w:line="241" w:lineRule="auto"/>
        <w:rPr>
          <w:sz w:val="20"/>
          <w:szCs w:val="20"/>
          <w:color w:val="auto"/>
        </w:rPr>
      </w:pPr>
      <w:r>
        <w:rPr>
          <w:rFonts w:ascii="Arial" w:cs="Arial" w:eastAsia="Arial" w:hAnsi="Arial"/>
          <w:sz w:val="16"/>
          <w:szCs w:val="16"/>
          <w:color w:val="auto"/>
        </w:rPr>
        <w:t>The transaction price was allocated to the performance obligations based on the relative estimated standalone selling prices of each performance obligation. The estimated standalone selling prices for the Research License and Related Services is primarily based on the nature of the services to be performed and estimates of the associated effort and costs of the services, adjusted for a reasonable profit margin what would be expected to be realized under similar contracts. The estimated standalone selling price for the material rights was determined based on the fees Bioverativ would pay to exercise the license options, the estimated value of the license option using comparable transactions, and the probability that the license options would be exercised by Bioverativ. Based on the relative standalone selling price, the allocation of the transaction price to the separate performance obligations is as follows (in thousands):</w:t>
      </w:r>
    </w:p>
    <w:p>
      <w:pPr>
        <w:spacing w:after="0" w:line="167"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2"/>
          </w:tcPr>
          <w:p>
            <w:pPr>
              <w:ind w:left="380"/>
              <w:spacing w:after="0"/>
              <w:rPr>
                <w:sz w:val="20"/>
                <w:szCs w:val="20"/>
                <w:color w:val="auto"/>
              </w:rPr>
            </w:pPr>
            <w:r>
              <w:rPr>
                <w:rFonts w:ascii="Arial" w:cs="Arial" w:eastAsia="Arial" w:hAnsi="Arial"/>
                <w:sz w:val="16"/>
                <w:szCs w:val="16"/>
                <w:b w:val="1"/>
                <w:bCs w:val="1"/>
                <w:color w:val="auto"/>
              </w:rPr>
              <w:t>Allocation of</w:t>
            </w:r>
          </w:p>
        </w:tc>
      </w:tr>
      <w:tr>
        <w:trPr>
          <w:trHeight w:val="205"/>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Performance Obligations</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Transaction Price</w:t>
            </w:r>
          </w:p>
        </w:tc>
        <w:tc>
          <w:tcPr>
            <w:tcW w:w="140" w:type="dxa"/>
            <w:vAlign w:val="bottom"/>
          </w:tcPr>
          <w:p>
            <w:pPr>
              <w:spacing w:after="0"/>
              <w:rPr>
                <w:sz w:val="17"/>
                <w:szCs w:val="17"/>
                <w:color w:val="auto"/>
              </w:rPr>
            </w:pPr>
          </w:p>
        </w:tc>
      </w:tr>
      <w:tr>
        <w:trPr>
          <w:trHeight w:val="183"/>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Sickle Cell Research License and Related Services</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40" w:type="dxa"/>
            <w:vAlign w:val="bottom"/>
            <w:shd w:val="clear" w:color="auto" w:fill="CCEEFF"/>
          </w:tcPr>
          <w:p>
            <w:pPr>
              <w:spacing w:after="0"/>
              <w:rPr>
                <w:sz w:val="15"/>
                <w:szCs w:val="15"/>
                <w:color w:val="auto"/>
              </w:rPr>
            </w:pPr>
          </w:p>
        </w:tc>
      </w:tr>
      <w:tr>
        <w:trPr>
          <w:trHeight w:val="183"/>
        </w:trPr>
        <w:tc>
          <w:tcPr>
            <w:tcW w:w="5540" w:type="dxa"/>
            <w:vAlign w:val="bottom"/>
          </w:tcPr>
          <w:p>
            <w:pPr>
              <w:spacing w:after="0"/>
              <w:rPr>
                <w:sz w:val="20"/>
                <w:szCs w:val="20"/>
                <w:color w:val="auto"/>
              </w:rPr>
            </w:pPr>
            <w:r>
              <w:rPr>
                <w:rFonts w:ascii="Arial" w:cs="Arial" w:eastAsia="Arial" w:hAnsi="Arial"/>
                <w:sz w:val="16"/>
                <w:szCs w:val="16"/>
                <w:color w:val="auto"/>
              </w:rPr>
              <w:t>Hemophilia Research License and Related Services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2,811</w:t>
            </w:r>
          </w:p>
        </w:tc>
        <w:tc>
          <w:tcPr>
            <w:tcW w:w="140" w:type="dxa"/>
            <w:vAlign w:val="bottom"/>
          </w:tcPr>
          <w:p>
            <w:pPr>
              <w:spacing w:after="0"/>
              <w:rPr>
                <w:sz w:val="15"/>
                <w:szCs w:val="15"/>
                <w:color w:val="auto"/>
              </w:rPr>
            </w:pPr>
          </w:p>
        </w:tc>
      </w:tr>
      <w:tr>
        <w:trPr>
          <w:trHeight w:val="183"/>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Sickle Cell License Option Material Right</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40" w:type="dxa"/>
            <w:vAlign w:val="bottom"/>
            <w:shd w:val="clear" w:color="auto" w:fill="CCEEFF"/>
          </w:tcPr>
          <w:p>
            <w:pPr>
              <w:spacing w:after="0"/>
              <w:rPr>
                <w:sz w:val="15"/>
                <w:szCs w:val="15"/>
                <w:color w:val="auto"/>
              </w:rPr>
            </w:pPr>
          </w:p>
        </w:tc>
      </w:tr>
      <w:tr>
        <w:trPr>
          <w:trHeight w:val="183"/>
        </w:trPr>
        <w:tc>
          <w:tcPr>
            <w:tcW w:w="5540" w:type="dxa"/>
            <w:vAlign w:val="bottom"/>
          </w:tcPr>
          <w:p>
            <w:pPr>
              <w:spacing w:after="0"/>
              <w:rPr>
                <w:sz w:val="20"/>
                <w:szCs w:val="20"/>
                <w:color w:val="auto"/>
              </w:rPr>
            </w:pPr>
            <w:r>
              <w:rPr>
                <w:rFonts w:ascii="Arial" w:cs="Arial" w:eastAsia="Arial" w:hAnsi="Arial"/>
                <w:sz w:val="16"/>
                <w:szCs w:val="16"/>
                <w:color w:val="auto"/>
              </w:rPr>
              <w:t>Hemophilia License Option Material Right</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4,698</w:t>
            </w:r>
          </w:p>
        </w:tc>
        <w:tc>
          <w:tcPr>
            <w:tcW w:w="140" w:type="dxa"/>
            <w:vAlign w:val="bottom"/>
          </w:tcPr>
          <w:p>
            <w:pPr>
              <w:spacing w:after="0"/>
              <w:rPr>
                <w:sz w:val="15"/>
                <w:szCs w:val="15"/>
                <w:color w:val="auto"/>
              </w:rPr>
            </w:pPr>
          </w:p>
        </w:tc>
      </w:tr>
      <w:tr>
        <w:trPr>
          <w:trHeight w:val="188"/>
        </w:trPr>
        <w:tc>
          <w:tcPr>
            <w:tcW w:w="55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14,200</w:t>
            </w:r>
          </w:p>
        </w:tc>
        <w:tc>
          <w:tcPr>
            <w:tcW w:w="140" w:type="dxa"/>
            <w:vAlign w:val="bottom"/>
            <w:shd w:val="clear" w:color="auto" w:fill="CCEEFF"/>
          </w:tcPr>
          <w:p>
            <w:pPr>
              <w:spacing w:after="0"/>
              <w:rPr>
                <w:sz w:val="16"/>
                <w:szCs w:val="16"/>
                <w:color w:val="auto"/>
              </w:rPr>
            </w:pPr>
          </w:p>
        </w:tc>
      </w:tr>
    </w:tbl>
    <w:p>
      <w:pPr>
        <w:spacing w:after="0" w:line="199" w:lineRule="exact"/>
        <w:rPr>
          <w:sz w:val="20"/>
          <w:szCs w:val="20"/>
          <w:color w:val="auto"/>
        </w:rPr>
      </w:pPr>
    </w:p>
    <w:p>
      <w:pPr>
        <w:ind w:right="60" w:firstLine="439"/>
        <w:spacing w:after="0" w:line="241" w:lineRule="auto"/>
        <w:rPr>
          <w:sz w:val="20"/>
          <w:szCs w:val="20"/>
          <w:color w:val="auto"/>
        </w:rPr>
      </w:pPr>
      <w:r>
        <w:rPr>
          <w:rFonts w:ascii="Arial" w:cs="Arial" w:eastAsia="Arial" w:hAnsi="Arial"/>
          <w:sz w:val="16"/>
          <w:szCs w:val="16"/>
          <w:color w:val="auto"/>
        </w:rPr>
        <w:t>The Company will recognize revenue related to amounts allocated to the Sickle Cell and Hemophilia Research License and Related Services obligations as the underlying services are performed using a proportional performance model, over the period of service using input-based measurements of total full-time equivalent effort incurred to date as a percentage of total full-time equivalent time expected, which best reflects the progress towards satisfaction of the performance obligation. The amount allocated to the material rights is recorded as deferred revenue and the Company will commence revenue recognition when the underlying option is exercised or upon expiry of the option.</w:t>
      </w:r>
    </w:p>
    <w:p>
      <w:pPr>
        <w:spacing w:after="0" w:line="189" w:lineRule="exact"/>
        <w:rPr>
          <w:sz w:val="20"/>
          <w:szCs w:val="20"/>
          <w:color w:val="auto"/>
        </w:rPr>
      </w:pPr>
    </w:p>
    <w:p>
      <w:pPr>
        <w:ind w:right="140" w:firstLine="442"/>
        <w:spacing w:after="0" w:line="244" w:lineRule="auto"/>
        <w:rPr>
          <w:sz w:val="20"/>
          <w:szCs w:val="20"/>
          <w:color w:val="auto"/>
        </w:rPr>
      </w:pPr>
      <w:r>
        <w:rPr>
          <w:rFonts w:ascii="Arial" w:cs="Arial" w:eastAsia="Arial" w:hAnsi="Arial"/>
          <w:sz w:val="16"/>
          <w:szCs w:val="16"/>
          <w:color w:val="auto"/>
        </w:rPr>
        <w:t>For the years ended December 31, 2017 and 2018, the Company recognized $0.4 million and $4.0 million, respectively, of collaboration revenue related to its collaboration with Bioverativ. As of December 31, 2017 and 2018, the Company recorded deferred revenue of $14.5 million and $9.9 million, respectively, related to its collaboration with Bioverativ,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6" w:name="page297"/>
    <w:bookmarkEnd w:id="2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Oxurion Collaboration Agreement</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Summary of Agreement</w:t>
      </w:r>
    </w:p>
    <w:p>
      <w:pPr>
        <w:spacing w:after="0" w:line="211" w:lineRule="exact"/>
        <w:rPr>
          <w:sz w:val="20"/>
          <w:szCs w:val="20"/>
          <w:color w:val="auto"/>
        </w:rPr>
      </w:pPr>
    </w:p>
    <w:p>
      <w:pPr>
        <w:ind w:firstLine="442"/>
        <w:spacing w:after="0" w:line="242" w:lineRule="auto"/>
        <w:rPr>
          <w:sz w:val="20"/>
          <w:szCs w:val="20"/>
          <w:color w:val="auto"/>
        </w:rPr>
      </w:pPr>
      <w:r>
        <w:rPr>
          <w:rFonts w:ascii="Arial" w:cs="Arial" w:eastAsia="Arial" w:hAnsi="Arial"/>
          <w:sz w:val="16"/>
          <w:szCs w:val="16"/>
          <w:color w:val="auto"/>
        </w:rPr>
        <w:t>In August 2013, the Company entered into a Research Collaboration and License Agreement (the "Oxurion Collaboration Agreement") with Oxurion . Under the Oxurion Collaboration Agreement, the Company is responsible for identifying Bicycle peptides related to the collaboration target, plasma kallikrein, for use in various ophthalmic indications. Oxurion is responsible for further development and product commercialization after the defined research screening is performed by the Company.</w:t>
      </w:r>
    </w:p>
    <w:p>
      <w:pPr>
        <w:spacing w:after="0" w:line="187" w:lineRule="exact"/>
        <w:rPr>
          <w:sz w:val="20"/>
          <w:szCs w:val="20"/>
          <w:color w:val="auto"/>
        </w:rPr>
      </w:pPr>
    </w:p>
    <w:p>
      <w:pPr>
        <w:ind w:right="60" w:firstLine="442"/>
        <w:spacing w:after="0" w:line="241" w:lineRule="auto"/>
        <w:rPr>
          <w:sz w:val="20"/>
          <w:szCs w:val="20"/>
          <w:color w:val="auto"/>
        </w:rPr>
      </w:pPr>
      <w:r>
        <w:rPr>
          <w:rFonts w:ascii="Arial" w:cs="Arial" w:eastAsia="Arial" w:hAnsi="Arial"/>
          <w:sz w:val="16"/>
          <w:szCs w:val="16"/>
          <w:color w:val="auto"/>
        </w:rPr>
        <w:t>Under the Oxurion Collaboration Agreement, the Company is obligated to perform specified research activities in accordance with the research plan, which includes two stages. Stage I, now completed, focused on the screening of targets using the Company's Bicycle peptide discovery platform with the goal of identifying compounds that meet the criteria set by the parties, and Stage II, now underway, during which Oxurion has continued research activities on selected Bicycle peptides with the goal of identifying compounds for further development and commercialization. The Company is not obligated or expected to perform any research services during Stage II of the research plan.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granted certain worldwide intellectual property rights to Oxurion for the development, manufacture and commercialization of licensed</w:t>
      </w:r>
    </w:p>
    <w:p>
      <w:pPr>
        <w:spacing w:after="0"/>
        <w:rPr>
          <w:sz w:val="20"/>
          <w:szCs w:val="20"/>
          <w:color w:val="auto"/>
        </w:rPr>
      </w:pPr>
      <w:r>
        <w:rPr>
          <w:rFonts w:ascii="Arial" w:cs="Arial" w:eastAsia="Arial" w:hAnsi="Arial"/>
          <w:sz w:val="16"/>
          <w:szCs w:val="16"/>
          <w:color w:val="auto"/>
        </w:rPr>
        <w:t>compounds associated with plasma kallikrein. The Oxurion Collaboration Agreement provided for an upfront payment of €1.0 million and potential additional R&amp;D</w:t>
      </w:r>
    </w:p>
    <w:p>
      <w:pPr>
        <w:spacing w:after="0"/>
        <w:rPr>
          <w:sz w:val="20"/>
          <w:szCs w:val="20"/>
          <w:color w:val="auto"/>
        </w:rPr>
      </w:pPr>
      <w:r>
        <w:rPr>
          <w:rFonts w:ascii="Arial" w:cs="Arial" w:eastAsia="Arial" w:hAnsi="Arial"/>
          <w:sz w:val="15"/>
          <w:szCs w:val="15"/>
          <w:color w:val="auto"/>
        </w:rPr>
        <w:t>funding, at an agreed upon FTE rate, should the research effort require more than one FTE or the research plan be amended or extended by Oxurion. In addition,</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Oxurion is required to make certain milestone payments to the Company upon the achievement of specified research, development, regulatory and commercial</w:t>
      </w:r>
    </w:p>
    <w:p>
      <w:pPr>
        <w:spacing w:after="0"/>
        <w:rPr>
          <w:sz w:val="20"/>
          <w:szCs w:val="20"/>
          <w:color w:val="auto"/>
        </w:rPr>
      </w:pPr>
      <w:r>
        <w:rPr>
          <w:rFonts w:ascii="Arial" w:cs="Arial" w:eastAsia="Arial" w:hAnsi="Arial"/>
          <w:sz w:val="16"/>
          <w:szCs w:val="16"/>
          <w:color w:val="auto"/>
        </w:rPr>
        <w:t>events. More specifically, for each collaboration program, the Company is eligible to receive up to €8.3 million in research and development milestones of which</w:t>
      </w:r>
    </w:p>
    <w:p>
      <w:pPr>
        <w:spacing w:after="0"/>
        <w:rPr>
          <w:sz w:val="20"/>
          <w:szCs w:val="20"/>
          <w:color w:val="auto"/>
        </w:rPr>
      </w:pPr>
      <w:r>
        <w:rPr>
          <w:rFonts w:ascii="Arial" w:cs="Arial" w:eastAsia="Arial" w:hAnsi="Arial"/>
          <w:sz w:val="15"/>
          <w:szCs w:val="15"/>
          <w:color w:val="auto"/>
        </w:rPr>
        <w:t>€1.8 million has been received as of December 31, 2018. In addition, the Company is eligible to receive up to €16.5 million upon achievement of certain regulatory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(e.g. €5 million for granting first regulatory approval in either the United States or EU for the first indication). In addition, to the extent any of</w:t>
      </w:r>
    </w:p>
    <w:p>
      <w:pPr>
        <w:spacing w:after="0"/>
        <w:rPr>
          <w:sz w:val="20"/>
          <w:szCs w:val="20"/>
          <w:color w:val="auto"/>
        </w:rPr>
      </w:pPr>
      <w:r>
        <w:rPr>
          <w:rFonts w:ascii="Arial" w:cs="Arial" w:eastAsia="Arial" w:hAnsi="Arial"/>
          <w:sz w:val="16"/>
          <w:szCs w:val="16"/>
          <w:color w:val="auto"/>
        </w:rPr>
        <w:t>the collaboration products covered by the licenses granted to Oxurion are commercialized, the Company would be entitled to receive tiered royalty payments of</w:t>
      </w:r>
    </w:p>
    <w:p>
      <w:pPr>
        <w:spacing w:after="0"/>
        <w:rPr>
          <w:sz w:val="20"/>
          <w:szCs w:val="20"/>
          <w:color w:val="auto"/>
        </w:rPr>
      </w:pPr>
      <w:r>
        <w:rPr>
          <w:rFonts w:ascii="Arial" w:cs="Arial" w:eastAsia="Arial" w:hAnsi="Arial"/>
          <w:sz w:val="16"/>
          <w:szCs w:val="16"/>
          <w:color w:val="auto"/>
        </w:rPr>
        <w:t>mid-single digits based on a percentage of net sales. Due to the uncertainty of pharmaceutical development and the high historical failure rates generally</w:t>
      </w:r>
    </w:p>
    <w:p>
      <w:pPr>
        <w:spacing w:after="0"/>
        <w:rPr>
          <w:sz w:val="20"/>
          <w:szCs w:val="20"/>
          <w:color w:val="auto"/>
        </w:rPr>
      </w:pPr>
      <w:r>
        <w:rPr>
          <w:rFonts w:ascii="Arial" w:cs="Arial" w:eastAsia="Arial" w:hAnsi="Arial"/>
          <w:sz w:val="16"/>
          <w:szCs w:val="16"/>
          <w:color w:val="auto"/>
        </w:rPr>
        <w:t>associated with drug development, the Company may not receive any additional milestone payments or royalty payments from Oxurion.</w:t>
      </w:r>
    </w:p>
    <w:p>
      <w:pPr>
        <w:spacing w:after="0" w:line="195"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Either party may terminate the Oxurion Collaboration Agreement if the other party has materially breached any of its material obligations and such breach continues after the specified cure period. Either party may terminate the Oxurion Collaboration Agreement in the event of the commencement of any proceeding in or for bankruptcy, insolvency, dissolution or winding up by or against the other party that is not dismissed or otherwise disposed of within a specified time period. Oxurion may terminate the Oxurion Collaboration Agreement, entirely or on a program by program, licensed product by licensed product or country by country basis, for convenience upon not less than 90 days prior written notice to the Company.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7" w:name="page298"/>
    <w:bookmarkEnd w:id="2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15" w:lineRule="exact"/>
        <w:rPr>
          <w:sz w:val="20"/>
          <w:szCs w:val="20"/>
          <w:color w:val="auto"/>
        </w:rPr>
      </w:pPr>
    </w:p>
    <w:p>
      <w:pPr>
        <w:ind w:right="100" w:firstLine="442"/>
        <w:spacing w:after="0"/>
        <w:rPr>
          <w:sz w:val="20"/>
          <w:szCs w:val="20"/>
          <w:color w:val="auto"/>
        </w:rPr>
      </w:pPr>
      <w:r>
        <w:rPr>
          <w:rFonts w:ascii="Arial" w:cs="Arial" w:eastAsia="Arial" w:hAnsi="Arial"/>
          <w:sz w:val="16"/>
          <w:szCs w:val="16"/>
          <w:color w:val="auto"/>
        </w:rPr>
        <w:t>In November 2017, the parties executed the First Deed of Amendment to the Oxurion Collaboration Agreement ("First Amendment"). The First Amendment confirms that THR-149 has been selected as a development compound under the Oxurion Collaboration Agreement and that Stage II of the research plan has been completed. The First Amendment provided for additional research services to be performed by the Company related to the identification of two additional compounds for Oxurion, in its discretion, to select as development compounds. As for the work under the Oxurion Collaboration Agreement, the Company will perform the work under Stage I of the research plan which will be funded at a specified FTE rate, plus any direct out of pocket expenses, and Oxurion will be responsible for Stage II research and any development after the selection of a development compound. Additional milestones and royalties were added for the potential additional licensed compounds, consistent with those of the initial Oxurion Collaboration Agreement. The Company is not obligated or expected to perform any research services during Stage II of the research plan.</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Accounting Analysis</w:t>
      </w:r>
    </w:p>
    <w:p>
      <w:pPr>
        <w:spacing w:after="0" w:line="211" w:lineRule="exact"/>
        <w:rPr>
          <w:sz w:val="20"/>
          <w:szCs w:val="20"/>
          <w:color w:val="auto"/>
        </w:rPr>
      </w:pPr>
    </w:p>
    <w:p>
      <w:pPr>
        <w:ind w:right="300" w:firstLine="442"/>
        <w:spacing w:after="0"/>
        <w:rPr>
          <w:sz w:val="20"/>
          <w:szCs w:val="20"/>
          <w:color w:val="auto"/>
        </w:rPr>
      </w:pPr>
      <w:r>
        <w:rPr>
          <w:rFonts w:ascii="Arial" w:cs="Arial" w:eastAsia="Arial" w:hAnsi="Arial"/>
          <w:sz w:val="16"/>
          <w:szCs w:val="16"/>
          <w:color w:val="auto"/>
        </w:rPr>
        <w:t>Under the Oxurion Collaboration Agreement, all licenses were granted and research services to be provided by the Company were fully completed and revenue associated with those obligations was fully recognized prior to January 1, 2016. Under the First Amendment, the Company has identified a single performance obligation associated with the performance of research services associated with Stage I of the research plan for which the Company will be reimbursed for its services at a specified FTE reimbursement rate plus out of pocket costs which will be recognized on a proportional performance basis as the associated FTE efforts and costs are incurred, which best reflects the progress towards satisfaction of the performance obligation. None of the unpaid development or regulatory milestones have been included in the transaction price, as all milestone are not considered probable at December 31, 2017 and December 31, 2018.</w:t>
      </w:r>
    </w:p>
    <w:p>
      <w:pPr>
        <w:spacing w:after="0" w:line="192"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For the years ended December 31, 2017 and 2018, the Company recognized $0.8 million and $1.7 million, respectively, of revenue related to its agreements with Oxurion. As of December 31, 2018, the research services under the First Amendment were complete. The revenue recognized for the twelve months ended December 31, 2017 and 2018 includes $0.8 million and $1.2 million, respectively, related to the achievement of developmental milestones during the advancement of the research by Oxurion into a Phase I clinical study. There was no deferred revenue recorded as of December 31, 2017 and 2018 in connection with the agreements with Oxurion.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Summary of Contract Assets and Liabilities</w:t>
      </w:r>
    </w:p>
    <w:p>
      <w:pPr>
        <w:spacing w:after="0" w:line="211" w:lineRule="exact"/>
        <w:rPr>
          <w:sz w:val="20"/>
          <w:szCs w:val="20"/>
          <w:color w:val="auto"/>
        </w:rPr>
      </w:pPr>
    </w:p>
    <w:p>
      <w:pPr>
        <w:ind w:right="80" w:firstLine="442"/>
        <w:spacing w:after="0" w:line="244" w:lineRule="auto"/>
        <w:rPr>
          <w:sz w:val="20"/>
          <w:szCs w:val="20"/>
          <w:color w:val="auto"/>
        </w:rPr>
      </w:pPr>
      <w:r>
        <w:rPr>
          <w:rFonts w:ascii="Arial" w:cs="Arial" w:eastAsia="Arial" w:hAnsi="Arial"/>
          <w:sz w:val="16"/>
          <w:szCs w:val="16"/>
          <w:color w:val="auto"/>
        </w:rPr>
        <w:t>Up-front payments and fees are recorded as deferred revenue upon receipt or when due until such time as the Company satisfies its performance obligations under these arrangements. A contract asset is a conditional right to consideration in exchange for goods or services that the Company has transferred to a customer. Amounts are recorded as accounts receivable when the Company's right to consideration is unconditional.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8" w:name="page299"/>
    <w:bookmarkEnd w:id="29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changes in the balances of the Company's contract assets and liabilities (in thousands):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9"/>
              </w:rPr>
              <w:t>Balance at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8"/>
              </w:rPr>
              <w:t>Impact of</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Balance at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8"/>
              </w:rPr>
              <w:t>Beginning of</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Exchange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End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Period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7"/>
              </w:rPr>
              <w:t>Additions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8"/>
              </w:rPr>
              <w:t>Deductions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Rates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Period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Period ended December 31, 2017</w:t>
            </w: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gridSpan w:val="2"/>
          </w:tcPr>
          <w:p>
            <w:pPr>
              <w:spacing w:after="0"/>
              <w:rPr>
                <w:sz w:val="20"/>
                <w:szCs w:val="20"/>
                <w:color w:val="auto"/>
              </w:rPr>
            </w:pPr>
            <w:r>
              <w:rPr>
                <w:rFonts w:ascii="Arial" w:cs="Arial" w:eastAsia="Arial" w:hAnsi="Arial"/>
                <w:sz w:val="16"/>
                <w:szCs w:val="16"/>
                <w:color w:val="auto"/>
              </w:rPr>
              <w:t>Contract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840"/>
              <w:spacing w:after="0"/>
              <w:rPr>
                <w:sz w:val="20"/>
                <w:szCs w:val="20"/>
                <w:color w:val="auto"/>
              </w:rPr>
            </w:pPr>
            <w:r>
              <w:rPr>
                <w:rFonts w:ascii="Arial" w:cs="Arial" w:eastAsia="Arial" w:hAnsi="Arial"/>
                <w:sz w:val="16"/>
                <w:szCs w:val="16"/>
                <w:color w:val="auto"/>
                <w:w w:val="87"/>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jc w:val="center"/>
              <w:ind w:right="2041"/>
              <w:spacing w:after="0"/>
              <w:rPr>
                <w:sz w:val="20"/>
                <w:szCs w:val="20"/>
                <w:color w:val="auto"/>
              </w:rPr>
            </w:pPr>
            <w:r>
              <w:rPr>
                <w:rFonts w:ascii="Arial" w:cs="Arial" w:eastAsia="Arial" w:hAnsi="Arial"/>
                <w:sz w:val="16"/>
                <w:szCs w:val="16"/>
                <w:color w:val="auto"/>
                <w:w w:val="99"/>
              </w:rPr>
              <w:t>Deferred revenue</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Bioverativ collaboration deferred</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CCEEFF"/>
          </w:tcPr>
          <w:p>
            <w:pPr>
              <w:jc w:val="center"/>
              <w:ind w:right="2041"/>
              <w:spacing w:after="0" w:line="181" w:lineRule="exact"/>
              <w:rPr>
                <w:sz w:val="20"/>
                <w:szCs w:val="20"/>
                <w:color w:val="auto"/>
              </w:rPr>
            </w:pPr>
            <w:r>
              <w:rPr>
                <w:rFonts w:ascii="Arial" w:cs="Arial" w:eastAsia="Arial" w:hAnsi="Arial"/>
                <w:sz w:val="16"/>
                <w:szCs w:val="16"/>
                <w:color w:val="auto"/>
                <w:w w:val="96"/>
              </w:rPr>
              <w:t>revenue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ind w:left="840"/>
              <w:spacing w:after="0" w:line="181" w:lineRule="exact"/>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14,200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(355)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622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14,467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6"/>
                <w:szCs w:val="16"/>
                <w:color w:val="auto"/>
              </w:rPr>
              <w:t>Total deferred revenue</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60" w:type="dxa"/>
            <w:vAlign w:val="bottom"/>
            <w:gridSpan w:val="2"/>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840"/>
              <w:spacing w:after="0" w:line="176" w:lineRule="exact"/>
              <w:rPr>
                <w:sz w:val="20"/>
                <w:szCs w:val="20"/>
                <w:color w:val="auto"/>
              </w:rPr>
            </w:pPr>
            <w:r>
              <w:rPr>
                <w:rFonts w:ascii="Arial" w:cs="Arial" w:eastAsia="Arial" w:hAnsi="Arial"/>
                <w:sz w:val="16"/>
                <w:szCs w:val="16"/>
                <w:color w:val="auto"/>
                <w:w w:val="87"/>
              </w:rPr>
              <w:t>—</w:t>
            </w:r>
          </w:p>
        </w:tc>
        <w:tc>
          <w:tcPr>
            <w:tcW w:w="2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14,200</w:t>
            </w:r>
          </w:p>
        </w:tc>
        <w:tc>
          <w:tcPr>
            <w:tcW w:w="2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(355)</w:t>
            </w:r>
          </w:p>
        </w:tc>
        <w:tc>
          <w:tcPr>
            <w:tcW w:w="1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622</w:t>
            </w:r>
          </w:p>
        </w:tc>
        <w:tc>
          <w:tcPr>
            <w:tcW w:w="2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14,467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9"/>
              </w:rPr>
              <w:t>Balance at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line="166" w:lineRule="exact"/>
              <w:rPr>
                <w:sz w:val="20"/>
                <w:szCs w:val="20"/>
                <w:color w:val="auto"/>
              </w:rPr>
            </w:pPr>
            <w:r>
              <w:rPr>
                <w:rFonts w:ascii="Arial" w:cs="Arial" w:eastAsia="Arial" w:hAnsi="Arial"/>
                <w:sz w:val="16"/>
                <w:szCs w:val="16"/>
                <w:b w:val="1"/>
                <w:bCs w:val="1"/>
                <w:color w:val="auto"/>
                <w:w w:val="98"/>
              </w:rPr>
              <w:t>Impact of</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40"/>
              <w:spacing w:after="0" w:line="166" w:lineRule="exact"/>
              <w:rPr>
                <w:sz w:val="20"/>
                <w:szCs w:val="20"/>
                <w:color w:val="auto"/>
              </w:rPr>
            </w:pPr>
            <w:r>
              <w:rPr>
                <w:rFonts w:ascii="Arial" w:cs="Arial" w:eastAsia="Arial" w:hAnsi="Arial"/>
                <w:sz w:val="16"/>
                <w:szCs w:val="16"/>
                <w:b w:val="1"/>
                <w:bCs w:val="1"/>
                <w:color w:val="auto"/>
                <w:w w:val="99"/>
              </w:rPr>
              <w:t>Balance at</w:t>
            </w:r>
          </w:p>
        </w:tc>
      </w:tr>
      <w:tr>
        <w:trPr>
          <w:trHeight w:val="18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8"/>
              </w:rPr>
              <w:t>Beginning of</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Exchange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End of</w:t>
            </w:r>
          </w:p>
        </w:tc>
      </w:tr>
      <w:tr>
        <w:trPr>
          <w:trHeight w:val="205"/>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Period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7"/>
              </w:rPr>
              <w:t>Additions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8"/>
              </w:rPr>
              <w:t>Deductions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Rates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Period</w:t>
            </w:r>
          </w:p>
        </w:tc>
      </w:tr>
      <w:tr>
        <w:trPr>
          <w:trHeight w:val="183"/>
        </w:trPr>
        <w:tc>
          <w:tcPr>
            <w:tcW w:w="20" w:type="dxa"/>
            <w:vAlign w:val="bottom"/>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Period ended December 31, 2018</w:t>
            </w:r>
          </w:p>
        </w:tc>
        <w:tc>
          <w:tcPr>
            <w:tcW w:w="4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3240" w:type="dxa"/>
            <w:vAlign w:val="bottom"/>
            <w:gridSpan w:val="2"/>
          </w:tcPr>
          <w:p>
            <w:pPr>
              <w:spacing w:after="0"/>
              <w:rPr>
                <w:sz w:val="20"/>
                <w:szCs w:val="20"/>
                <w:color w:val="auto"/>
              </w:rPr>
            </w:pPr>
            <w:r>
              <w:rPr>
                <w:rFonts w:ascii="Arial" w:cs="Arial" w:eastAsia="Arial" w:hAnsi="Arial"/>
                <w:sz w:val="16"/>
                <w:szCs w:val="16"/>
                <w:color w:val="auto"/>
              </w:rPr>
              <w:t>Contract assets</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(91)</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3"/>
        </w:trPr>
        <w:tc>
          <w:tcPr>
            <w:tcW w:w="20" w:type="dxa"/>
            <w:vAlign w:val="bottom"/>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220" w:type="dxa"/>
            <w:vAlign w:val="bottom"/>
          </w:tcPr>
          <w:p>
            <w:pPr>
              <w:jc w:val="center"/>
              <w:ind w:right="1621"/>
              <w:spacing w:after="0"/>
              <w:rPr>
                <w:sz w:val="20"/>
                <w:szCs w:val="20"/>
                <w:color w:val="auto"/>
              </w:rPr>
            </w:pPr>
            <w:r>
              <w:rPr>
                <w:rFonts w:ascii="Arial" w:cs="Arial" w:eastAsia="Arial" w:hAnsi="Arial"/>
                <w:sz w:val="16"/>
                <w:szCs w:val="16"/>
                <w:color w:val="auto"/>
                <w:w w:val="99"/>
              </w:rPr>
              <w:t>Deferred revenue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Bioverativ collaboration deferred</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3220" w:type="dxa"/>
            <w:vAlign w:val="bottom"/>
            <w:shd w:val="clear" w:color="auto" w:fill="CCEEFF"/>
          </w:tcPr>
          <w:p>
            <w:pPr>
              <w:jc w:val="center"/>
              <w:ind w:right="1621"/>
              <w:spacing w:after="0" w:line="181" w:lineRule="exact"/>
              <w:rPr>
                <w:sz w:val="20"/>
                <w:szCs w:val="20"/>
                <w:color w:val="auto"/>
              </w:rPr>
            </w:pPr>
            <w:r>
              <w:rPr>
                <w:rFonts w:ascii="Arial" w:cs="Arial" w:eastAsia="Arial" w:hAnsi="Arial"/>
                <w:sz w:val="16"/>
                <w:szCs w:val="16"/>
                <w:color w:val="auto"/>
                <w:w w:val="96"/>
              </w:rPr>
              <w:t>revenue</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14,467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(4,006)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(553)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9,908</w:t>
            </w:r>
          </w:p>
        </w:tc>
        <w:tc>
          <w:tcPr>
            <w:tcW w:w="1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220" w:type="dxa"/>
            <w:vAlign w:val="bottom"/>
          </w:tcPr>
          <w:p>
            <w:pPr>
              <w:ind w:left="300"/>
              <w:spacing w:after="0"/>
              <w:rPr>
                <w:sz w:val="20"/>
                <w:szCs w:val="20"/>
                <w:color w:val="auto"/>
              </w:rPr>
            </w:pPr>
            <w:r>
              <w:rPr>
                <w:rFonts w:ascii="Arial" w:cs="Arial" w:eastAsia="Arial" w:hAnsi="Arial"/>
                <w:sz w:val="16"/>
                <w:szCs w:val="16"/>
                <w:color w:val="auto"/>
              </w:rPr>
              <w:t>AstraZeneca collaboration deferred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3220" w:type="dxa"/>
            <w:vAlign w:val="bottom"/>
          </w:tcPr>
          <w:p>
            <w:pPr>
              <w:jc w:val="center"/>
              <w:ind w:right="1621"/>
              <w:spacing w:after="0" w:line="181" w:lineRule="exact"/>
              <w:rPr>
                <w:sz w:val="20"/>
                <w:szCs w:val="20"/>
                <w:color w:val="auto"/>
              </w:rPr>
            </w:pPr>
            <w:r>
              <w:rPr>
                <w:rFonts w:ascii="Arial" w:cs="Arial" w:eastAsia="Arial" w:hAnsi="Arial"/>
                <w:sz w:val="16"/>
                <w:szCs w:val="16"/>
                <w:color w:val="auto"/>
                <w:w w:val="96"/>
              </w:rPr>
              <w:t>revenue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5,350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(466)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(157)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4,727</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Total deferred revenue</w:t>
            </w:r>
          </w:p>
        </w:tc>
        <w:tc>
          <w:tcPr>
            <w:tcW w:w="52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14,467</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5,350</w:t>
            </w:r>
          </w:p>
        </w:tc>
        <w:tc>
          <w:tcPr>
            <w:tcW w:w="2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(4,472)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(710)</w:t>
            </w:r>
          </w:p>
        </w:tc>
        <w:tc>
          <w:tcPr>
            <w:tcW w:w="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14,635</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0" w:firstLine="439"/>
        <w:spacing w:after="0" w:line="249" w:lineRule="auto"/>
        <w:rPr>
          <w:sz w:val="20"/>
          <w:szCs w:val="20"/>
          <w:color w:val="auto"/>
        </w:rPr>
      </w:pPr>
      <w:r>
        <w:rPr>
          <w:rFonts w:ascii="Arial" w:cs="Arial" w:eastAsia="Arial" w:hAnsi="Arial"/>
          <w:sz w:val="16"/>
          <w:szCs w:val="16"/>
          <w:color w:val="auto"/>
        </w:rPr>
        <w:t>The contract assets represents research and development services which have been performed but have not yet been billed, and are reduced when they are subsequently billed.</w:t>
      </w:r>
    </w:p>
    <w:p>
      <w:pPr>
        <w:spacing w:after="0" w:line="181" w:lineRule="exact"/>
        <w:rPr>
          <w:sz w:val="20"/>
          <w:szCs w:val="20"/>
          <w:color w:val="auto"/>
        </w:rPr>
      </w:pPr>
    </w:p>
    <w:p>
      <w:pPr>
        <w:ind w:firstLine="439"/>
        <w:spacing w:after="0" w:line="244" w:lineRule="auto"/>
        <w:rPr>
          <w:sz w:val="20"/>
          <w:szCs w:val="20"/>
          <w:color w:val="auto"/>
        </w:rPr>
      </w:pPr>
      <w:r>
        <w:rPr>
          <w:rFonts w:ascii="Arial" w:cs="Arial" w:eastAsia="Arial" w:hAnsi="Arial"/>
          <w:sz w:val="16"/>
          <w:szCs w:val="16"/>
          <w:color w:val="auto"/>
        </w:rPr>
        <w:t>The Bioverativ deferred revenue balance at December 31, 2018 is comprised of $9.9 million allocated to the Sickle Cell License Option Material Right and Hemophilia License Option Material Right, which will commence revenue recognition when the respective option is exercised at the end of Joint Research Term or when the option expires.</w:t>
      </w:r>
    </w:p>
    <w:p>
      <w:pPr>
        <w:spacing w:after="0" w:line="185" w:lineRule="exact"/>
        <w:rPr>
          <w:sz w:val="20"/>
          <w:szCs w:val="20"/>
          <w:color w:val="auto"/>
        </w:rPr>
      </w:pPr>
    </w:p>
    <w:p>
      <w:pPr>
        <w:ind w:right="440" w:firstLine="439"/>
        <w:spacing w:after="0" w:line="244" w:lineRule="auto"/>
        <w:rPr>
          <w:sz w:val="20"/>
          <w:szCs w:val="20"/>
          <w:color w:val="auto"/>
        </w:rPr>
      </w:pPr>
      <w:r>
        <w:rPr>
          <w:rFonts w:ascii="Arial" w:cs="Arial" w:eastAsia="Arial" w:hAnsi="Arial"/>
          <w:sz w:val="16"/>
          <w:szCs w:val="16"/>
          <w:color w:val="auto"/>
        </w:rPr>
        <w:t>The AstraZeneca deferred revenue balance includes $4.7 million allocated to the Target 3, Target 4, Target 5 and Target 6 Material Rights, which will commence revenue recognition when the respective option is exercised at the end of AZ Research Term or when the option expires. The remaining balance relates to research and development services billed in advance that will be recognized over the Bicycle Research Term.</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99" w:name="page300"/>
    <w:bookmarkEnd w:id="2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15" w:lineRule="exact"/>
        <w:rPr>
          <w:sz w:val="20"/>
          <w:szCs w:val="20"/>
          <w:color w:val="auto"/>
        </w:rPr>
      </w:pPr>
    </w:p>
    <w:p>
      <w:pPr>
        <w:ind w:right="60" w:firstLine="442"/>
        <w:spacing w:after="0" w:line="249" w:lineRule="auto"/>
        <w:rPr>
          <w:sz w:val="20"/>
          <w:szCs w:val="20"/>
          <w:color w:val="auto"/>
        </w:rPr>
      </w:pPr>
      <w:r>
        <w:rPr>
          <w:rFonts w:ascii="Arial" w:cs="Arial" w:eastAsia="Arial" w:hAnsi="Arial"/>
          <w:sz w:val="16"/>
          <w:szCs w:val="16"/>
          <w:color w:val="auto"/>
        </w:rPr>
        <w:t>During the year ended December 31, 2017 and 2018, the Company recognized the following revenues as a result of changes in the contract asset and the contract liability balances in the respective periods (in thousands):</w:t>
      </w:r>
    </w:p>
    <w:p>
      <w:pPr>
        <w:spacing w:after="0" w:line="161"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Year Ended</w:t>
      </w:r>
    </w:p>
    <w:p>
      <w:pPr>
        <w:spacing w:after="0" w:line="16"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December 31,</w:t>
      </w:r>
    </w:p>
    <w:tbl>
      <w:tblPr>
        <w:tblLayout w:type="fixed"/>
        <w:tblInd w:w="17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 recognized in the period from:</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5"/>
        </w:trPr>
        <w:tc>
          <w:tcPr>
            <w:tcW w:w="4800" w:type="dxa"/>
            <w:vAlign w:val="bottom"/>
            <w:gridSpan w:val="2"/>
          </w:tcPr>
          <w:p>
            <w:pPr>
              <w:spacing w:after="0"/>
              <w:rPr>
                <w:sz w:val="20"/>
                <w:szCs w:val="20"/>
                <w:color w:val="auto"/>
              </w:rPr>
            </w:pPr>
            <w:r>
              <w:rPr>
                <w:rFonts w:ascii="Arial" w:cs="Arial" w:eastAsia="Arial" w:hAnsi="Arial"/>
                <w:sz w:val="16"/>
                <w:szCs w:val="16"/>
                <w:color w:val="auto"/>
              </w:rPr>
              <w:t>Revenue recognized based on proportional performance</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(355)</w:t>
            </w: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(4,472)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Cancer Research UK</w:t>
      </w:r>
    </w:p>
    <w:p>
      <w:pPr>
        <w:spacing w:after="0" w:line="211" w:lineRule="exact"/>
        <w:rPr>
          <w:sz w:val="20"/>
          <w:szCs w:val="20"/>
          <w:color w:val="auto"/>
        </w:rPr>
      </w:pPr>
    </w:p>
    <w:p>
      <w:pPr>
        <w:ind w:right="20" w:firstLine="442"/>
        <w:spacing w:after="0" w:line="268" w:lineRule="auto"/>
        <w:rPr>
          <w:sz w:val="20"/>
          <w:szCs w:val="20"/>
          <w:color w:val="auto"/>
        </w:rPr>
      </w:pPr>
      <w:r>
        <w:rPr>
          <w:rFonts w:ascii="Arial" w:cs="Arial" w:eastAsia="Arial" w:hAnsi="Arial"/>
          <w:sz w:val="15"/>
          <w:szCs w:val="15"/>
          <w:color w:val="auto"/>
        </w:rPr>
        <w:t>On December 13, 2016, the Company entered into a Clinical Trial and License Agreement with Cancer Research Technology Limited ("CRTL") and Cancer Research UK ("CRUK"). Pursuant to the agreement, as amended in March 2017 and June 2018, CRUK's Centre for Drug Development will sponsor and fund a Phase Ia and Phase IIa clinical trial for the Company's lead product candidate, BT1718, a Bicycle Toxin Conjugate, in patients with advanced solid tumors.</w:t>
      </w:r>
    </w:p>
    <w:p>
      <w:pPr>
        <w:spacing w:after="0" w:line="168" w:lineRule="exact"/>
        <w:rPr>
          <w:sz w:val="20"/>
          <w:szCs w:val="20"/>
          <w:color w:val="auto"/>
        </w:rPr>
      </w:pPr>
    </w:p>
    <w:p>
      <w:pPr>
        <w:ind w:right="20" w:firstLine="442"/>
        <w:spacing w:after="0" w:line="242" w:lineRule="auto"/>
        <w:rPr>
          <w:sz w:val="20"/>
          <w:szCs w:val="20"/>
          <w:color w:val="auto"/>
        </w:rPr>
      </w:pPr>
      <w:r>
        <w:rPr>
          <w:rFonts w:ascii="Arial" w:cs="Arial" w:eastAsia="Arial" w:hAnsi="Arial"/>
          <w:sz w:val="16"/>
          <w:szCs w:val="16"/>
          <w:color w:val="auto"/>
        </w:rPr>
        <w:t>CRUK is responsible to design, prepare, carry out and sponsor the clinical trial at its cost. The Company is responsible for supplying agreed quantities of GMP materials for the study, the supply of which has been completed. In the event that additional quantities are needed, the Company will provide CRUK with all reasonable assistance to complete the arrangements necessary for the generation and supply of such additional GMP materials but CRUK will be responsible for supplying and paying for such additional quantities of GMP materials.</w:t>
      </w:r>
    </w:p>
    <w:p>
      <w:pPr>
        <w:spacing w:after="0" w:line="187" w:lineRule="exact"/>
        <w:rPr>
          <w:sz w:val="20"/>
          <w:szCs w:val="20"/>
          <w:color w:val="auto"/>
        </w:rPr>
      </w:pPr>
    </w:p>
    <w:p>
      <w:pPr>
        <w:ind w:right="40" w:firstLine="439"/>
        <w:spacing w:after="0"/>
        <w:rPr>
          <w:sz w:val="20"/>
          <w:szCs w:val="20"/>
          <w:color w:val="auto"/>
        </w:rPr>
      </w:pPr>
      <w:r>
        <w:rPr>
          <w:rFonts w:ascii="Arial" w:cs="Arial" w:eastAsia="Arial" w:hAnsi="Arial"/>
          <w:sz w:val="16"/>
          <w:szCs w:val="16"/>
          <w:color w:val="auto"/>
        </w:rPr>
        <w:t>The Company granted CRUK a license to its and its affiliates' intellectual property in order to design, prepare for, sponsor, and carry out the clinical trial the Company retains the right to continue the development of BT1718 during the clinical trial. Upon the completion of the Phase I/IIa clinical study, the Company has the right to obtain a license to the results of the clinical trial upon the payment of a milestone, in cash and ordinary shares, with a combined value in the mid six digit dollar amount. If such license is not acquired, or if it is acquired and the license is terminated and the Company decides to abandon development of all products that deliver cytotoxic payloads to the MT1 target antigen, the Company will assign or grant to CRTL an exclusive license to develop and commercialize the product on a revenue sharing basis (in which case the Company will receive a mid to high double digit percentage of the net revenue depending on the stage of development when the license is granted). The CRUK agreement contains additional future milestone payments upon the achievement of development and regulatory milestones, payable in cash and shares, with an aggregate total value of $50.9 million, as well as royalty payments based on a high double digit percentage on net sales of products developed.</w:t>
      </w:r>
    </w:p>
    <w:p>
      <w:pPr>
        <w:spacing w:after="0" w:line="190" w:lineRule="exact"/>
        <w:rPr>
          <w:sz w:val="20"/>
          <w:szCs w:val="20"/>
          <w:color w:val="auto"/>
        </w:rPr>
      </w:pPr>
    </w:p>
    <w:p>
      <w:pPr>
        <w:ind w:firstLine="439"/>
        <w:spacing w:after="0" w:line="242" w:lineRule="auto"/>
        <w:rPr>
          <w:sz w:val="20"/>
          <w:szCs w:val="20"/>
          <w:color w:val="auto"/>
        </w:rPr>
      </w:pPr>
      <w:r>
        <w:rPr>
          <w:rFonts w:ascii="Arial" w:cs="Arial" w:eastAsia="Arial" w:hAnsi="Arial"/>
          <w:sz w:val="16"/>
          <w:szCs w:val="16"/>
          <w:color w:val="auto"/>
        </w:rPr>
        <w:t>The CRUK agreement can be terminated by either party upon an insolvency event, material breach of the terms of the contract, or upon a change in control (and the new controlling entity generates its revenue from the sale of tobacco products or is an affiliate of such party). CRUK may terminate the arrangement for safety reasons or if it determines that the objectives of the clinical trial will not be met, in which case, if the study is terminated by CRUK prior to the completion of the Phase 1a dose escalation portion of the study for such reasons or if CRUK refuses release of any</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300" w:name="page301"/>
    <w:bookmarkEnd w:id="30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Significant Agreements (Continued)</w:t>
      </w:r>
    </w:p>
    <w:p>
      <w:pPr>
        <w:spacing w:after="0" w:line="215"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additional quantities of GMP materials or if the parties cannot agree upon a plan to supply the additional quantities of GMP materials, the Company will be obligated to refund fifty percent of the costs and expenses incurred or committed by CRUK to perform the clinical trial. If the study is terminated by CRUK for an insolvency event, a material breach by the Company, or if the Company is acquired by an entity that generates its revenue from the sale of tobacco products or is an affiliate of such party, the Company will reimburse CRUK in full for all costs paid or committed in connection with the clinical trial and no further license payments, where applicable, shall be due. In such case where we are acquired by an entity that generates its revenue from the sale of tobacco products or is an affiliate of such party, CRUK will not be obliged to grant a license to the Company in respect of the results of the clinical trial and the Company will assign or grant to CRT an exclusive license to develop and commercialize the product without CRT being required to make any payment to the Company.</w:t>
      </w:r>
    </w:p>
    <w:p>
      <w:pPr>
        <w:spacing w:after="0" w:line="192" w:lineRule="exact"/>
        <w:rPr>
          <w:sz w:val="20"/>
          <w:szCs w:val="20"/>
          <w:color w:val="auto"/>
        </w:rPr>
      </w:pPr>
    </w:p>
    <w:p>
      <w:pPr>
        <w:ind w:right="420" w:firstLine="439"/>
        <w:spacing w:after="0" w:line="242" w:lineRule="auto"/>
        <w:rPr>
          <w:sz w:val="20"/>
          <w:szCs w:val="20"/>
          <w:color w:val="auto"/>
        </w:rPr>
      </w:pPr>
      <w:r>
        <w:rPr>
          <w:rFonts w:ascii="Arial" w:cs="Arial" w:eastAsia="Arial" w:hAnsi="Arial"/>
          <w:sz w:val="16"/>
          <w:szCs w:val="16"/>
          <w:color w:val="auto"/>
        </w:rPr>
        <w:t>The Company concluded that the costs incurred by CRUK is a liability in accordance with ASC 730, Research and Development, as the payment is not based solely on the results of the research and development having future economic benefit. As such, the Company recorded a liability of $0.3 million and $0.8 million at December 31, 2017 and 2018, respectively, which is recorded in other long-term liabilities in the consolidated balance sheets. The liability is recorded as incremental research and development expense in the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net loss before tax provision from income taxes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Year Ended</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5"/>
        </w:trPr>
        <w:tc>
          <w:tcPr>
            <w:tcW w:w="1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0"/>
        </w:trPr>
        <w:tc>
          <w:tcPr>
            <w:tcW w:w="1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(as restated)</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83"/>
        </w:trPr>
        <w:tc>
          <w:tcPr>
            <w:tcW w:w="172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United Kingdom</w:t>
            </w:r>
          </w:p>
        </w:tc>
        <w:tc>
          <w:tcPr>
            <w:tcW w:w="3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(16,319)</w:t>
            </w: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(22,229)</w:t>
            </w:r>
          </w:p>
        </w:tc>
        <w:tc>
          <w:tcPr>
            <w:tcW w:w="1720" w:type="dxa"/>
            <w:vAlign w:val="bottom"/>
          </w:tcPr>
          <w:p>
            <w:pPr>
              <w:spacing w:after="0"/>
              <w:rPr>
                <w:sz w:val="15"/>
                <w:szCs w:val="15"/>
                <w:color w:val="auto"/>
              </w:rPr>
            </w:pPr>
          </w:p>
        </w:tc>
      </w:tr>
      <w:tr>
        <w:trPr>
          <w:trHeight w:val="183"/>
        </w:trPr>
        <w:tc>
          <w:tcPr>
            <w:tcW w:w="4200" w:type="dxa"/>
            <w:vAlign w:val="bottom"/>
            <w:gridSpan w:val="2"/>
          </w:tcPr>
          <w:p>
            <w:pPr>
              <w:ind w:left="1720"/>
              <w:spacing w:after="0"/>
              <w:rPr>
                <w:sz w:val="20"/>
                <w:szCs w:val="20"/>
                <w:color w:val="auto"/>
              </w:rPr>
            </w:pPr>
            <w:r>
              <w:rPr>
                <w:rFonts w:ascii="Arial" w:cs="Arial" w:eastAsia="Arial" w:hAnsi="Arial"/>
                <w:sz w:val="16"/>
                <w:szCs w:val="16"/>
                <w:color w:val="auto"/>
              </w:rPr>
              <w:t>United States</w:t>
            </w:r>
          </w:p>
        </w:tc>
        <w:tc>
          <w:tcPr>
            <w:tcW w:w="2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1720" w:type="dxa"/>
            <w:vAlign w:val="bottom"/>
          </w:tcPr>
          <w:p>
            <w:pPr>
              <w:spacing w:after="0"/>
              <w:rPr>
                <w:sz w:val="15"/>
                <w:szCs w:val="15"/>
                <w:color w:val="auto"/>
              </w:rPr>
            </w:pPr>
          </w:p>
        </w:tc>
      </w:tr>
      <w:tr>
        <w:trPr>
          <w:trHeight w:val="20"/>
        </w:trPr>
        <w:tc>
          <w:tcPr>
            <w:tcW w:w="1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24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Total</w:t>
            </w:r>
          </w:p>
        </w:tc>
        <w:tc>
          <w:tcPr>
            <w:tcW w:w="30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(16,282)</w:t>
            </w:r>
          </w:p>
        </w:tc>
        <w:tc>
          <w:tcPr>
            <w:tcW w:w="540" w:type="dxa"/>
            <w:vAlign w:val="bottom"/>
            <w:gridSpan w:val="2"/>
            <w:shd w:val="clear" w:color="auto" w:fill="CCEEFF"/>
          </w:tcPr>
          <w:p>
            <w:pPr>
              <w:jc w:val="right"/>
              <w:ind w:right="400"/>
              <w:spacing w:after="0" w:line="176"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(22,242)</w:t>
            </w:r>
          </w:p>
        </w:tc>
        <w:tc>
          <w:tcPr>
            <w:tcW w:w="1720" w:type="dxa"/>
            <w:vAlign w:val="bottom"/>
          </w:tcPr>
          <w:p>
            <w:pPr>
              <w:spacing w:after="0"/>
              <w:rPr>
                <w:sz w:val="15"/>
                <w:szCs w:val="15"/>
                <w:color w:val="auto"/>
              </w:rPr>
            </w:pPr>
          </w:p>
        </w:tc>
      </w:tr>
      <w:tr>
        <w:trPr>
          <w:trHeight w:val="20"/>
        </w:trPr>
        <w:tc>
          <w:tcPr>
            <w:tcW w:w="1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67"/>
        </w:trPr>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40" w:type="dxa"/>
            <w:vAlign w:val="bottom"/>
            <w:gridSpan w:val="2"/>
          </w:tcPr>
          <w:p>
            <w:pPr>
              <w:jc w:val="right"/>
              <w:ind w:right="1360"/>
              <w:spacing w:after="0"/>
              <w:rPr>
                <w:sz w:val="20"/>
                <w:szCs w:val="20"/>
                <w:color w:val="auto"/>
              </w:rPr>
            </w:pPr>
            <w:r>
              <w:rPr>
                <w:rFonts w:ascii="Arial" w:cs="Arial" w:eastAsia="Arial" w:hAnsi="Arial"/>
                <w:sz w:val="16"/>
                <w:szCs w:val="16"/>
                <w:color w:val="auto"/>
              </w:rPr>
              <w:t>F-50</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3"/>
        </w:trPr>
        <w:tc>
          <w:tcPr>
            <w:tcW w:w="1720" w:type="dxa"/>
            <w:vAlign w:val="bottom"/>
            <w:tcBorders>
              <w:bottom w:val="single" w:sz="8" w:color="808080"/>
            </w:tcBorders>
          </w:tcPr>
          <w:p>
            <w:pPr>
              <w:spacing w:after="0"/>
              <w:rPr>
                <w:sz w:val="16"/>
                <w:szCs w:val="16"/>
                <w:color w:val="auto"/>
              </w:rPr>
            </w:pPr>
          </w:p>
        </w:tc>
        <w:tc>
          <w:tcPr>
            <w:tcW w:w="2480" w:type="dxa"/>
            <w:vAlign w:val="bottom"/>
            <w:tcBorders>
              <w:bottom w:val="single" w:sz="8" w:color="808080"/>
            </w:tcBorders>
          </w:tcPr>
          <w:p>
            <w:pPr>
              <w:spacing w:after="0"/>
              <w:rPr>
                <w:sz w:val="16"/>
                <w:szCs w:val="16"/>
                <w:color w:val="auto"/>
              </w:rPr>
            </w:pPr>
          </w:p>
        </w:tc>
        <w:tc>
          <w:tcPr>
            <w:tcW w:w="280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01" w:name="page302"/>
    <w:bookmarkEnd w:id="30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11. Income Taxes (Continued)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6940" w:type="dxa"/>
            <w:vAlign w:val="bottom"/>
            <w:gridSpan w:val="2"/>
          </w:tcPr>
          <w:p>
            <w:pPr>
              <w:ind w:left="440"/>
              <w:spacing w:after="0"/>
              <w:rPr>
                <w:sz w:val="20"/>
                <w:szCs w:val="20"/>
                <w:color w:val="auto"/>
              </w:rPr>
            </w:pPr>
            <w:r>
              <w:rPr>
                <w:rFonts w:ascii="Arial" w:cs="Arial" w:eastAsia="Arial" w:hAnsi="Arial"/>
                <w:sz w:val="16"/>
                <w:szCs w:val="16"/>
                <w:color w:val="auto"/>
              </w:rPr>
              <w:t>The components of the benefit for income taxes are as follows (in thousands):</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Year Ended</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4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4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1"/>
              <w:spacing w:after="0" w:line="180" w:lineRule="exact"/>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(as restated)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Current income tax provision (benefit)</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rPr>
              <w:t>Federal</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State</w:t>
            </w:r>
          </w:p>
        </w:tc>
        <w:tc>
          <w:tcPr>
            <w:tcW w:w="10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40" w:type="dxa"/>
            <w:vAlign w:val="bottom"/>
            <w:gridSpan w:val="2"/>
          </w:tcPr>
          <w:p>
            <w:pPr>
              <w:ind w:left="1140"/>
              <w:spacing w:after="0" w:line="176" w:lineRule="exact"/>
              <w:rPr>
                <w:sz w:val="20"/>
                <w:szCs w:val="20"/>
                <w:color w:val="auto"/>
              </w:rPr>
            </w:pPr>
            <w:r>
              <w:rPr>
                <w:rFonts w:ascii="Arial" w:cs="Arial" w:eastAsia="Arial" w:hAnsi="Arial"/>
                <w:sz w:val="16"/>
                <w:szCs w:val="16"/>
                <w:color w:val="auto"/>
              </w:rPr>
              <w:t>Total current income tax provision (benefit)</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6"/>
                <w:szCs w:val="16"/>
                <w:color w:val="auto"/>
              </w:rPr>
              <w:t>85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(benefit) provision</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800" w:type="dxa"/>
            <w:vAlign w:val="bottom"/>
          </w:tcPr>
          <w:p>
            <w:pPr>
              <w:ind w:left="160"/>
              <w:spacing w:after="0"/>
              <w:rPr>
                <w:sz w:val="20"/>
                <w:szCs w:val="20"/>
                <w:color w:val="auto"/>
              </w:rPr>
            </w:pPr>
            <w:r>
              <w:rPr>
                <w:rFonts w:ascii="Arial" w:cs="Arial" w:eastAsia="Arial" w:hAnsi="Arial"/>
                <w:sz w:val="16"/>
                <w:szCs w:val="16"/>
                <w:color w:val="auto"/>
              </w:rPr>
              <w:t>Federal</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State</w:t>
            </w: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ind w:left="1140"/>
              <w:spacing w:after="0"/>
              <w:rPr>
                <w:sz w:val="20"/>
                <w:szCs w:val="20"/>
                <w:color w:val="auto"/>
              </w:rPr>
            </w:pPr>
            <w:r>
              <w:rPr>
                <w:rFonts w:ascii="Arial" w:cs="Arial" w:eastAsia="Arial" w:hAnsi="Arial"/>
                <w:sz w:val="16"/>
                <w:szCs w:val="16"/>
                <w:color w:val="auto"/>
              </w:rPr>
              <w:t>Total deferred income tax (benefit)</w:t>
            </w: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40" w:type="dxa"/>
            <w:vAlign w:val="bottom"/>
            <w:gridSpan w:val="2"/>
            <w:vMerge w:val="continue"/>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(108)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58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Total benefit from income taxes</w:t>
            </w:r>
          </w:p>
        </w:tc>
        <w:tc>
          <w:tcPr>
            <w:tcW w:w="12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(23)</w:t>
            </w:r>
          </w:p>
        </w:tc>
        <w:tc>
          <w:tcPr>
            <w:tcW w:w="3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 w:firstLine="433"/>
        <w:spacing w:after="0" w:line="249" w:lineRule="auto"/>
        <w:rPr>
          <w:sz w:val="20"/>
          <w:szCs w:val="20"/>
          <w:color w:val="auto"/>
        </w:rPr>
      </w:pPr>
      <w:r>
        <w:rPr>
          <w:rFonts w:ascii="Arial" w:cs="Arial" w:eastAsia="Arial" w:hAnsi="Arial"/>
          <w:sz w:val="16"/>
          <w:szCs w:val="16"/>
          <w:color w:val="auto"/>
        </w:rPr>
        <w:t>A reconciliation of the provision (benefit) for income taxes computed at the statutory income tax rate to the provision (benefit) for income taxes as reflected in the financial statement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20" w:type="dxa"/>
            <w:vAlign w:val="bottom"/>
            <w:gridSpan w:val="2"/>
          </w:tcPr>
          <w:p>
            <w:pPr>
              <w:jc w:val="center"/>
              <w:ind w:left="421"/>
              <w:spacing w:after="0"/>
              <w:rPr>
                <w:sz w:val="20"/>
                <w:szCs w:val="20"/>
                <w:color w:val="auto"/>
              </w:rPr>
            </w:pPr>
            <w:r>
              <w:rPr>
                <w:rFonts w:ascii="Arial" w:cs="Arial" w:eastAsia="Arial" w:hAnsi="Arial"/>
                <w:sz w:val="16"/>
                <w:szCs w:val="16"/>
                <w:b w:val="1"/>
                <w:bCs w:val="1"/>
                <w:color w:val="auto"/>
                <w:w w:val="99"/>
              </w:rPr>
              <w:t>Year Ended</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420" w:type="dxa"/>
            <w:vAlign w:val="bottom"/>
            <w:gridSpan w:val="5"/>
          </w:tcPr>
          <w:p>
            <w:pPr>
              <w:jc w:val="center"/>
              <w:ind w:right="150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8"/>
              </w:rPr>
              <w:t>(as restated)</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Benefit for income taxes at statutory rate</w:t>
            </w:r>
          </w:p>
        </w:tc>
        <w:tc>
          <w:tcPr>
            <w:tcW w:w="45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20" w:type="dxa"/>
            <w:vAlign w:val="bottom"/>
            <w:gridSpan w:val="2"/>
          </w:tcPr>
          <w:p>
            <w:pPr>
              <w:ind w:left="1140"/>
              <w:spacing w:after="0"/>
              <w:rPr>
                <w:sz w:val="20"/>
                <w:szCs w:val="20"/>
                <w:color w:val="auto"/>
              </w:rPr>
            </w:pPr>
            <w:r>
              <w:rPr>
                <w:rFonts w:ascii="Arial" w:cs="Arial" w:eastAsia="Arial" w:hAnsi="Arial"/>
                <w:sz w:val="16"/>
                <w:szCs w:val="16"/>
                <w:color w:val="auto"/>
              </w:rPr>
              <w:t>(Decreases) increases resulting from:</w:t>
            </w:r>
          </w:p>
        </w:tc>
        <w:tc>
          <w:tcPr>
            <w:tcW w:w="3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Federal tax credits</w:t>
            </w:r>
          </w:p>
        </w:tc>
        <w:tc>
          <w:tcPr>
            <w:tcW w:w="45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0.4%</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80" w:type="dxa"/>
            <w:vAlign w:val="bottom"/>
          </w:tcPr>
          <w:p>
            <w:pPr>
              <w:ind w:left="160"/>
              <w:spacing w:after="0"/>
              <w:rPr>
                <w:sz w:val="20"/>
                <w:szCs w:val="20"/>
                <w:color w:val="auto"/>
              </w:rPr>
            </w:pPr>
            <w:r>
              <w:rPr>
                <w:rFonts w:ascii="Arial" w:cs="Arial" w:eastAsia="Arial" w:hAnsi="Arial"/>
                <w:sz w:val="16"/>
                <w:szCs w:val="16"/>
                <w:color w:val="auto"/>
              </w:rPr>
              <w:t>Change in valuation allowance</w:t>
            </w:r>
          </w:p>
        </w:tc>
        <w:tc>
          <w:tcPr>
            <w:tcW w:w="4520" w:type="dxa"/>
            <w:vAlign w:val="bottom"/>
            <w:gridSpan w:val="3"/>
          </w:tcPr>
          <w:p>
            <w:pPr>
              <w:jc w:val="right"/>
              <w:ind w:right="160"/>
              <w:spacing w:after="0"/>
              <w:rPr>
                <w:sz w:val="20"/>
                <w:szCs w:val="20"/>
                <w:color w:val="auto"/>
              </w:rPr>
            </w:pPr>
            <w:r>
              <w:rPr>
                <w:rFonts w:ascii="Arial" w:cs="Arial" w:eastAsia="Arial" w:hAnsi="Arial"/>
                <w:sz w:val="16"/>
                <w:szCs w:val="16"/>
                <w:color w:val="auto"/>
              </w:rPr>
              <w:t>(9.4)%</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(7.2)%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losses surrendered for research credit</w:t>
            </w:r>
          </w:p>
        </w:tc>
        <w:tc>
          <w:tcPr>
            <w:tcW w:w="45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(6.7)%</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80" w:type="dxa"/>
            <w:vAlign w:val="bottom"/>
          </w:tcPr>
          <w:p>
            <w:pPr>
              <w:ind w:left="160"/>
              <w:spacing w:after="0"/>
              <w:rPr>
                <w:sz w:val="20"/>
                <w:szCs w:val="20"/>
                <w:color w:val="auto"/>
              </w:rPr>
            </w:pPr>
            <w:r>
              <w:rPr>
                <w:rFonts w:ascii="Arial" w:cs="Arial" w:eastAsia="Arial" w:hAnsi="Arial"/>
                <w:sz w:val="16"/>
                <w:szCs w:val="16"/>
                <w:color w:val="auto"/>
              </w:rPr>
              <w:t>Preferred share warrants</w:t>
            </w:r>
          </w:p>
        </w:tc>
        <w:tc>
          <w:tcPr>
            <w:tcW w:w="4520" w:type="dxa"/>
            <w:vAlign w:val="bottom"/>
            <w:gridSpan w:val="3"/>
          </w:tcPr>
          <w:p>
            <w:pPr>
              <w:jc w:val="right"/>
              <w:ind w:right="160"/>
              <w:spacing w:after="0"/>
              <w:rPr>
                <w:sz w:val="20"/>
                <w:szCs w:val="20"/>
                <w:color w:val="auto"/>
              </w:rPr>
            </w:pPr>
            <w:r>
              <w:rPr>
                <w:rFonts w:ascii="Arial" w:cs="Arial" w:eastAsia="Arial" w:hAnsi="Arial"/>
                <w:sz w:val="16"/>
                <w:szCs w:val="16"/>
                <w:color w:val="auto"/>
              </w:rPr>
              <w:t>(1.1)%</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(0.6)%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3100" w:type="dxa"/>
            <w:vAlign w:val="bottom"/>
            <w:shd w:val="clear" w:color="auto" w:fill="CCEEFF"/>
          </w:tcPr>
          <w:p>
            <w:pPr>
              <w:spacing w:after="0"/>
              <w:rPr>
                <w:sz w:val="15"/>
                <w:szCs w:val="15"/>
                <w:color w:val="auto"/>
              </w:rPr>
            </w:pP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1140"/>
              <w:spacing w:after="0"/>
              <w:rPr>
                <w:sz w:val="20"/>
                <w:szCs w:val="20"/>
                <w:color w:val="auto"/>
              </w:rPr>
            </w:pPr>
            <w:r>
              <w:rPr>
                <w:rFonts w:ascii="Arial" w:cs="Arial" w:eastAsia="Arial" w:hAnsi="Arial"/>
                <w:sz w:val="16"/>
                <w:szCs w:val="16"/>
                <w:color w:val="auto"/>
              </w:rPr>
              <w:t>Effective income tax rate</w:t>
            </w:r>
          </w:p>
        </w:tc>
        <w:tc>
          <w:tcPr>
            <w:tcW w:w="3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20" w:type="dxa"/>
            <w:vAlign w:val="bottom"/>
            <w:gridSpan w:val="2"/>
            <w:vMerge w:val="continue"/>
          </w:tcPr>
          <w:p>
            <w:pPr>
              <w:spacing w:after="0"/>
              <w:rPr>
                <w:sz w:val="15"/>
                <w:szCs w:val="15"/>
                <w:color w:val="auto"/>
              </w:rPr>
            </w:pPr>
          </w:p>
        </w:tc>
        <w:tc>
          <w:tcPr>
            <w:tcW w:w="3100" w:type="dxa"/>
            <w:vAlign w:val="bottom"/>
          </w:tcPr>
          <w:p>
            <w:pPr>
              <w:spacing w:after="0"/>
              <w:rPr>
                <w:sz w:val="15"/>
                <w:szCs w:val="15"/>
                <w:color w:val="auto"/>
              </w:rPr>
            </w:pPr>
          </w:p>
        </w:tc>
        <w:tc>
          <w:tcPr>
            <w:tcW w:w="1420" w:type="dxa"/>
            <w:vAlign w:val="bottom"/>
            <w:gridSpan w:val="2"/>
          </w:tcPr>
          <w:p>
            <w:pPr>
              <w:jc w:val="right"/>
              <w:ind w:right="200"/>
              <w:spacing w:after="0" w:line="176" w:lineRule="exact"/>
              <w:rPr>
                <w:sz w:val="20"/>
                <w:szCs w:val="20"/>
                <w:color w:val="auto"/>
              </w:rPr>
            </w:pPr>
            <w:r>
              <w:rPr>
                <w:rFonts w:ascii="Arial" w:cs="Arial" w:eastAsia="Arial" w:hAnsi="Arial"/>
                <w:sz w:val="16"/>
                <w:szCs w:val="16"/>
                <w:color w:val="auto"/>
              </w:rPr>
              <w:t>0.1%</w:t>
            </w:r>
          </w:p>
        </w:tc>
        <w:tc>
          <w:tcPr>
            <w:tcW w:w="860" w:type="dxa"/>
            <w:vAlign w:val="bottom"/>
            <w:gridSpan w:val="2"/>
          </w:tcPr>
          <w:p>
            <w:pPr>
              <w:jc w:val="right"/>
              <w:ind w:right="300"/>
              <w:spacing w:after="0" w:line="176" w:lineRule="exact"/>
              <w:rPr>
                <w:sz w:val="20"/>
                <w:szCs w:val="20"/>
                <w:color w:val="auto"/>
              </w:rPr>
            </w:pPr>
            <w:r>
              <w:rPr>
                <w:rFonts w:ascii="Arial" w:cs="Arial" w:eastAsia="Arial" w:hAnsi="Arial"/>
                <w:sz w:val="16"/>
                <w:szCs w:val="16"/>
                <w:color w:val="auto"/>
              </w:rPr>
              <w:t>1.8%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520" w:type="dxa"/>
            <w:vAlign w:val="bottom"/>
            <w:gridSpan w:val="3"/>
          </w:tcPr>
          <w:p>
            <w:pPr>
              <w:jc w:val="right"/>
              <w:ind w:right="3560"/>
              <w:spacing w:after="0"/>
              <w:rPr>
                <w:sz w:val="20"/>
                <w:szCs w:val="20"/>
                <w:color w:val="auto"/>
              </w:rPr>
            </w:pPr>
            <w:r>
              <w:rPr>
                <w:rFonts w:ascii="Arial" w:cs="Arial" w:eastAsia="Arial" w:hAnsi="Arial"/>
                <w:sz w:val="16"/>
                <w:szCs w:val="16"/>
                <w:color w:val="auto"/>
              </w:rPr>
              <w:t>F-51</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40" w:type="dxa"/>
            <w:vAlign w:val="bottom"/>
            <w:tcBorders>
              <w:bottom w:val="single" w:sz="8" w:color="808080"/>
            </w:tcBorders>
          </w:tcPr>
          <w:p>
            <w:pPr>
              <w:spacing w:after="0"/>
              <w:rPr>
                <w:sz w:val="16"/>
                <w:szCs w:val="16"/>
                <w:color w:val="auto"/>
              </w:rPr>
            </w:pPr>
          </w:p>
        </w:tc>
        <w:tc>
          <w:tcPr>
            <w:tcW w:w="3780" w:type="dxa"/>
            <w:vAlign w:val="bottom"/>
            <w:tcBorders>
              <w:bottom w:val="single" w:sz="8" w:color="808080"/>
            </w:tcBorders>
          </w:tcPr>
          <w:p>
            <w:pPr>
              <w:spacing w:after="0"/>
              <w:rPr>
                <w:sz w:val="16"/>
                <w:szCs w:val="16"/>
                <w:color w:val="auto"/>
              </w:rPr>
            </w:pPr>
          </w:p>
        </w:tc>
        <w:tc>
          <w:tcPr>
            <w:tcW w:w="310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02" w:name="page303"/>
    <w:bookmarkEnd w:id="3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 (Continued)</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Significant components of the Company's current and deferred tax assets at December 31, 2017 and 2018, were as follows (in thousands):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Year Ended</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5"/>
              </w:rPr>
              <w:t>2018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(as restated)</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20" w:type="dxa"/>
            <w:vAlign w:val="bottom"/>
          </w:tcPr>
          <w:p>
            <w:pPr>
              <w:ind w:left="160"/>
              <w:spacing w:after="0"/>
              <w:rPr>
                <w:sz w:val="20"/>
                <w:szCs w:val="20"/>
                <w:color w:val="auto"/>
              </w:rPr>
            </w:pPr>
            <w:r>
              <w:rPr>
                <w:rFonts w:ascii="Arial" w:cs="Arial" w:eastAsia="Arial" w:hAnsi="Arial"/>
                <w:sz w:val="16"/>
                <w:szCs w:val="16"/>
                <w:color w:val="auto"/>
              </w:rPr>
              <w:t>Operating loss carryforwards</w:t>
            </w: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4,209</w:t>
            </w:r>
          </w:p>
        </w:tc>
        <w:tc>
          <w:tcPr>
            <w:tcW w:w="100" w:type="dxa"/>
            <w:vAlign w:val="bottom"/>
          </w:tcPr>
          <w:p>
            <w:pPr>
              <w:spacing w:after="0"/>
              <w:rPr>
                <w:sz w:val="15"/>
                <w:szCs w:val="15"/>
                <w:color w:val="auto"/>
              </w:rPr>
            </w:pPr>
          </w:p>
        </w:tc>
        <w:tc>
          <w:tcPr>
            <w:tcW w:w="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4,953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Research credit carryforwards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20" w:type="dxa"/>
            <w:vAlign w:val="bottom"/>
          </w:tcPr>
          <w:p>
            <w:pPr>
              <w:ind w:left="160"/>
              <w:spacing w:after="0"/>
              <w:rPr>
                <w:sz w:val="20"/>
                <w:szCs w:val="20"/>
                <w:color w:val="auto"/>
              </w:rPr>
            </w:pPr>
            <w:r>
              <w:rPr>
                <w:rFonts w:ascii="Arial" w:cs="Arial" w:eastAsia="Arial" w:hAnsi="Arial"/>
                <w:sz w:val="16"/>
                <w:szCs w:val="16"/>
                <w:color w:val="auto"/>
              </w:rPr>
              <w:t>Accrued expenses and other</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Total deferred tax assets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4,456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6,299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&amp; amortization</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(143)</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320"/>
              <w:spacing w:after="0"/>
              <w:rPr>
                <w:sz w:val="20"/>
                <w:szCs w:val="20"/>
                <w:color w:val="auto"/>
              </w:rPr>
            </w:pPr>
            <w:r>
              <w:rPr>
                <w:rFonts w:ascii="Arial" w:cs="Arial" w:eastAsia="Arial" w:hAnsi="Arial"/>
                <w:sz w:val="16"/>
                <w:szCs w:val="16"/>
                <w:color w:val="auto"/>
              </w:rPr>
              <w:t>Total deferred tax liabilities</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(143)</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Valuation allowance</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(4,175)</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w w:val="98"/>
              </w:rPr>
              <w:t>(5,621)</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6"/>
                <w:szCs w:val="16"/>
                <w:color w:val="auto"/>
              </w:rPr>
              <w:t>Net deferred tax assets</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20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line="176" w:lineRule="exact"/>
              <w:rPr>
                <w:sz w:val="20"/>
                <w:szCs w:val="20"/>
                <w:color w:val="auto"/>
              </w:rPr>
            </w:pPr>
            <w:r>
              <w:rPr>
                <w:rFonts w:ascii="Arial" w:cs="Arial" w:eastAsia="Arial" w:hAnsi="Arial"/>
                <w:sz w:val="16"/>
                <w:szCs w:val="16"/>
                <w:color w:val="auto"/>
              </w:rPr>
              <w:t>138</w:t>
            </w:r>
          </w:p>
        </w:tc>
        <w:tc>
          <w:tcPr>
            <w:tcW w:w="100" w:type="dxa"/>
            <w:vAlign w:val="bottom"/>
          </w:tcPr>
          <w:p>
            <w:pPr>
              <w:spacing w:after="0"/>
              <w:rPr>
                <w:sz w:val="15"/>
                <w:szCs w:val="15"/>
                <w:color w:val="auto"/>
              </w:rPr>
            </w:pPr>
          </w:p>
        </w:tc>
        <w:tc>
          <w:tcPr>
            <w:tcW w:w="440" w:type="dxa"/>
            <w:vAlign w:val="bottom"/>
            <w:gridSpan w:val="2"/>
          </w:tcPr>
          <w:p>
            <w:pPr>
              <w:jc w:val="right"/>
              <w:ind w:right="300"/>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515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 w:firstLine="442"/>
        <w:spacing w:after="0" w:line="242" w:lineRule="auto"/>
        <w:rPr>
          <w:sz w:val="20"/>
          <w:szCs w:val="20"/>
          <w:color w:val="auto"/>
        </w:rPr>
      </w:pPr>
      <w:r>
        <w:rPr>
          <w:rFonts w:ascii="Arial" w:cs="Arial" w:eastAsia="Arial" w:hAnsi="Arial"/>
          <w:sz w:val="16"/>
          <w:szCs w:val="16"/>
          <w:color w:val="auto"/>
        </w:rPr>
        <w:t>During the years ended December 31, 2017 and 2018, the Company recorded an income tax benefit of $23,000 and $0.4 million, respectively. The Company is subject to United Kingdom corporate taxation. Due to the nature of its business, the Company has generated losses since inception and has therefore not paid United Kingdom corporation tax. The Company's income tax benefit is mainly the result of deferred tax assets benefitted in the United States that do not have a valuation allowance against them because of profits that will be generated by an intercompany service agreement.</w:t>
      </w:r>
    </w:p>
    <w:p>
      <w:pPr>
        <w:spacing w:after="0" w:line="187"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On December 22, 2017, the Tax Cuts and Jobs Act (the "TCJA") was signed into United States law. The TCJA included a number of changes to existing tax law, including, among other things, a permanent reduction in the federal corporate income tax rate from a top marginal tax rate of 35%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The federal tax rate change resulted in a reduction in the amount of the Company's deferred tax assets and liabilities recorded as of December 31, 2017 of $21,000. As a result, $21,000 of tax expense was recognized as of the enactment date of the TCJA.</w:t>
      </w:r>
    </w:p>
    <w:p>
      <w:pPr>
        <w:spacing w:after="0" w:line="188" w:lineRule="exact"/>
        <w:rPr>
          <w:sz w:val="20"/>
          <w:szCs w:val="20"/>
          <w:color w:val="auto"/>
        </w:rPr>
      </w:pPr>
    </w:p>
    <w:p>
      <w:pPr>
        <w:ind w:right="240" w:firstLine="442"/>
        <w:spacing w:after="0" w:line="244" w:lineRule="auto"/>
        <w:rPr>
          <w:sz w:val="20"/>
          <w:szCs w:val="20"/>
          <w:color w:val="auto"/>
        </w:rPr>
      </w:pPr>
      <w:r>
        <w:rPr>
          <w:rFonts w:ascii="Arial" w:cs="Arial" w:eastAsia="Arial" w:hAnsi="Arial"/>
          <w:sz w:val="16"/>
          <w:szCs w:val="16"/>
          <w:color w:val="auto"/>
        </w:rPr>
        <w:t>On December 22, 2017, the Securities and Exchange Commission issued guidance under Staff Accounting Bulletin No. 118, Income Tax Accounting Implications of the Tax Cuts and Jobs Act directing taxpayers to consider the impact of the U.S. legislation as "provisional" when it does not have the necessary information available, prepared or analyzed (including computations) in reasonable detail to complete its accounting for the change in tax law.</w:t>
      </w:r>
    </w:p>
    <w:p>
      <w:pPr>
        <w:spacing w:after="0" w:line="185" w:lineRule="exact"/>
        <w:rPr>
          <w:sz w:val="20"/>
          <w:szCs w:val="20"/>
          <w:color w:val="auto"/>
        </w:rPr>
      </w:pPr>
    </w:p>
    <w:p>
      <w:pPr>
        <w:ind w:right="120" w:firstLine="442"/>
        <w:spacing w:after="0" w:line="249" w:lineRule="auto"/>
        <w:rPr>
          <w:sz w:val="20"/>
          <w:szCs w:val="20"/>
          <w:color w:val="auto"/>
        </w:rPr>
      </w:pPr>
      <w:r>
        <w:rPr>
          <w:rFonts w:ascii="Arial" w:cs="Arial" w:eastAsia="Arial" w:hAnsi="Arial"/>
          <w:sz w:val="16"/>
          <w:szCs w:val="16"/>
          <w:color w:val="auto"/>
        </w:rPr>
        <w:t>In connection with the initial analysis of the impact of the TCJA, the Company remeasured its deferred tax assets and liabilities based on the rates at which they are expected to reverse in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03" w:name="page304"/>
    <w:bookmarkEnd w:id="30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 (Continued)</w:t>
      </w:r>
    </w:p>
    <w:p>
      <w:pPr>
        <w:spacing w:after="0" w:line="215"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future, which is generally 21% for federal tax purposes. During the year ended December 31, 2018, the Company did not make any adjustments to the provisional amounts recorded as a result of the TCJA of $21,000 recorded in the year ended December 31, 2017 and the Company considers the accounting related to the TCJA to be final.</w:t>
      </w:r>
    </w:p>
    <w:p>
      <w:pPr>
        <w:spacing w:after="0" w:line="185" w:lineRule="exact"/>
        <w:rPr>
          <w:sz w:val="20"/>
          <w:szCs w:val="20"/>
          <w:color w:val="auto"/>
        </w:rPr>
      </w:pPr>
    </w:p>
    <w:p>
      <w:pPr>
        <w:ind w:firstLine="439"/>
        <w:spacing w:after="0"/>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judgment. In determining whether its deferred tax assets are more likely than not realizable, the Company evaluated all available positive and negative evidence, and weighed the evidence based on its objectivity. After consideration of the evidence, including the Company's history of cumulative net losses in the U.K., and has concluded that it is more likely than not that the Company will not realize the benefits of its U.K. deferred tax assets and accordingly the Company has provided a valuation allowance for the full amount of the net deferred tax assets in the U.K. The Company has considered the Company's history of cumulative net profits in the United states, estimated future taxable income and concluded that it is more likely than not that the Company will realize the benefits of its United State deferred tax assets and has not provided a valuation allowance against the net deferred tax assets in the United States. The valuation allowance increased for the year ended December 31, 2017 by $1.8 million due to the corresponding increase in UK deferred tax assets, primarily due to operating loss carryforwards generated during the year. The valuation allowance increased in the year ended December 31, 2018 by $1.4 million due to the corresponding increase in UK deferred tax assets, primarily due to operating loss carryforwards generated during the year that were not surrendered for research credit utilization.</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recorded a valuation allowance against all of its U.K. deferred tax assets as of December 31, 2017 and 2018.</w:t>
      </w:r>
    </w:p>
    <w:p>
      <w:pPr>
        <w:spacing w:after="0" w:line="195" w:lineRule="exact"/>
        <w:rPr>
          <w:sz w:val="20"/>
          <w:szCs w:val="20"/>
          <w:color w:val="auto"/>
        </w:rPr>
      </w:pPr>
    </w:p>
    <w:p>
      <w:pPr>
        <w:ind w:right="300" w:firstLine="442"/>
        <w:spacing w:after="0" w:line="249" w:lineRule="auto"/>
        <w:rPr>
          <w:sz w:val="20"/>
          <w:szCs w:val="20"/>
          <w:color w:val="auto"/>
        </w:rPr>
      </w:pPr>
      <w:r>
        <w:rPr>
          <w:rFonts w:ascii="Arial" w:cs="Arial" w:eastAsia="Arial" w:hAnsi="Arial"/>
          <w:sz w:val="16"/>
          <w:szCs w:val="16"/>
          <w:color w:val="auto"/>
        </w:rPr>
        <w:t>Changes in the valuation allowance for deferred tax assets during the years ended December 31, 2017 and 2018 related primarily to the increase in net operating loss carryforwards and research and development tax credit carryforwards in 2017 and 2018 and were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center"/>
              <w:ind w:left="421"/>
              <w:spacing w:after="0"/>
              <w:rPr>
                <w:sz w:val="20"/>
                <w:szCs w:val="20"/>
                <w:color w:val="auto"/>
              </w:rPr>
            </w:pPr>
            <w:r>
              <w:rPr>
                <w:rFonts w:ascii="Arial" w:cs="Arial" w:eastAsia="Arial" w:hAnsi="Arial"/>
                <w:sz w:val="16"/>
                <w:szCs w:val="16"/>
                <w:b w:val="1"/>
                <w:bCs w:val="1"/>
                <w:color w:val="auto"/>
                <w:w w:val="99"/>
              </w:rPr>
              <w:t>Year Ended</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5"/>
        </w:trPr>
        <w:tc>
          <w:tcPr>
            <w:tcW w:w="4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9"/>
              </w:rPr>
              <w:t>December 31,</w:t>
            </w:r>
          </w:p>
        </w:tc>
      </w:tr>
      <w:tr>
        <w:trPr>
          <w:trHeight w:val="200"/>
        </w:trPr>
        <w:tc>
          <w:tcPr>
            <w:tcW w:w="4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6"/>
        </w:trPr>
        <w:tc>
          <w:tcPr>
            <w:tcW w:w="4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(as restated)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Valuation allowance as of beginning of year</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w:t>
            </w:r>
          </w:p>
        </w:tc>
        <w:tc>
          <w:tcPr>
            <w:tcW w:w="140" w:type="dxa"/>
            <w:vAlign w:val="bottom"/>
            <w:shd w:val="clear" w:color="auto" w:fill="CCEEFF"/>
          </w:tcPr>
          <w:p>
            <w:pPr>
              <w:spacing w:after="0"/>
              <w:rPr>
                <w:sz w:val="15"/>
                <w:szCs w:val="15"/>
                <w:color w:val="auto"/>
              </w:rPr>
            </w:pPr>
          </w:p>
        </w:tc>
      </w:tr>
      <w:tr>
        <w:trPr>
          <w:trHeight w:val="183"/>
        </w:trPr>
        <w:tc>
          <w:tcPr>
            <w:tcW w:w="4480" w:type="dxa"/>
            <w:vAlign w:val="bottom"/>
          </w:tcPr>
          <w:p>
            <w:pPr>
              <w:ind w:left="160"/>
              <w:spacing w:after="0"/>
              <w:rPr>
                <w:sz w:val="20"/>
                <w:szCs w:val="20"/>
                <w:color w:val="auto"/>
              </w:rPr>
            </w:pPr>
            <w:r>
              <w:rPr>
                <w:rFonts w:ascii="Arial" w:cs="Arial" w:eastAsia="Arial" w:hAnsi="Arial"/>
                <w:sz w:val="16"/>
                <w:szCs w:val="16"/>
                <w:color w:val="auto"/>
              </w:rPr>
              <w:t>Increases recorded to income tax provision</w:t>
            </w:r>
          </w:p>
        </w:tc>
        <w:tc>
          <w:tcPr>
            <w:tcW w:w="1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c>
          <w:tcPr>
            <w:tcW w:w="140" w:type="dxa"/>
            <w:vAlign w:val="bottom"/>
          </w:tcPr>
          <w:p>
            <w:pPr>
              <w:spacing w:after="0"/>
              <w:rPr>
                <w:sz w:val="15"/>
                <w:szCs w:val="15"/>
                <w:color w:val="auto"/>
              </w:rPr>
            </w:pPr>
          </w:p>
        </w:tc>
      </w:tr>
      <w:tr>
        <w:trPr>
          <w:trHeight w:val="176"/>
        </w:trPr>
        <w:tc>
          <w:tcPr>
            <w:tcW w:w="44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Valuation allowance as of end of year</w:t>
            </w:r>
          </w:p>
        </w:tc>
        <w:tc>
          <w:tcPr>
            <w:tcW w:w="14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4,175</w:t>
            </w:r>
          </w:p>
        </w:tc>
        <w:tc>
          <w:tcPr>
            <w:tcW w:w="4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5,621</w:t>
            </w:r>
          </w:p>
        </w:tc>
        <w:tc>
          <w:tcPr>
            <w:tcW w:w="140" w:type="dxa"/>
            <w:vAlign w:val="bottom"/>
            <w:shd w:val="clear" w:color="auto" w:fill="CCEEFF"/>
          </w:tcPr>
          <w:p>
            <w:pPr>
              <w:spacing w:after="0"/>
              <w:rPr>
                <w:sz w:val="15"/>
                <w:szCs w:val="15"/>
                <w:color w:val="auto"/>
              </w:rPr>
            </w:pPr>
          </w:p>
        </w:tc>
      </w:tr>
      <w:tr>
        <w:trPr>
          <w:trHeight w:val="20"/>
        </w:trPr>
        <w:tc>
          <w:tcPr>
            <w:tcW w:w="4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80" w:firstLine="439"/>
        <w:spacing w:after="0" w:line="242" w:lineRule="auto"/>
        <w:rPr>
          <w:sz w:val="20"/>
          <w:szCs w:val="20"/>
          <w:color w:val="auto"/>
        </w:rPr>
      </w:pPr>
      <w:r>
        <w:rPr>
          <w:rFonts w:ascii="Arial" w:cs="Arial" w:eastAsia="Arial" w:hAnsi="Arial"/>
          <w:sz w:val="16"/>
          <w:szCs w:val="16"/>
          <w:color w:val="auto"/>
        </w:rPr>
        <w:t>The Company intends to continue to maintain a full valuation allowance on its U.K. deferred tax assets until there is sufficient evidence to support the reversal of all or some portion of these allowances. The release of the valuation allowance would result in the recognition of certain deferred tax assets and an increase to the benefit for income taxes for the period the release is recorded. However, the exact timing and amount of the valuation allowance release are subject to change on the basis of the level of profitability that the Company is able to actually achieve.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04" w:name="page305"/>
    <w:bookmarkEnd w:id="30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 (Continued)</w:t>
      </w:r>
    </w:p>
    <w:p>
      <w:pPr>
        <w:spacing w:after="0" w:line="215" w:lineRule="exact"/>
        <w:rPr>
          <w:sz w:val="20"/>
          <w:szCs w:val="20"/>
          <w:color w:val="auto"/>
        </w:rPr>
      </w:pPr>
    </w:p>
    <w:p>
      <w:pPr>
        <w:ind w:firstLine="439"/>
        <w:spacing w:after="0" w:line="244" w:lineRule="auto"/>
        <w:rPr>
          <w:sz w:val="20"/>
          <w:szCs w:val="20"/>
          <w:color w:val="auto"/>
        </w:rPr>
      </w:pPr>
      <w:r>
        <w:rPr>
          <w:rFonts w:ascii="Arial" w:cs="Arial" w:eastAsia="Arial" w:hAnsi="Arial"/>
          <w:sz w:val="16"/>
          <w:szCs w:val="16"/>
          <w:color w:val="auto"/>
        </w:rPr>
        <w:t>The benefit for income taxes shown on the consolidated statements of operations differs from amounts that would result from applying the statutory tax rates to income before taxes primarily because of certain permanent expenses that were not deductible, U.K., federal and state research and development credits, as well as the application of valuation allowances against the U.K. deferred tax assets.</w:t>
      </w:r>
    </w:p>
    <w:p>
      <w:pPr>
        <w:spacing w:after="0" w:line="185" w:lineRule="exact"/>
        <w:rPr>
          <w:sz w:val="20"/>
          <w:szCs w:val="20"/>
          <w:color w:val="auto"/>
        </w:rPr>
      </w:pPr>
    </w:p>
    <w:p>
      <w:pPr>
        <w:jc w:val="both"/>
        <w:ind w:right="60" w:firstLine="433"/>
        <w:spacing w:after="0" w:line="242" w:lineRule="auto"/>
        <w:rPr>
          <w:sz w:val="20"/>
          <w:szCs w:val="20"/>
          <w:color w:val="auto"/>
        </w:rPr>
      </w:pPr>
      <w:r>
        <w:rPr>
          <w:rFonts w:ascii="Arial" w:cs="Arial" w:eastAsia="Arial" w:hAnsi="Arial"/>
          <w:sz w:val="16"/>
          <w:szCs w:val="16"/>
          <w:color w:val="auto"/>
        </w:rPr>
        <w:t>As of December 31, 2017, the Company had $24.8 million of U.K. operating loss carryforwards and $0 of federal and state net operating loss carryforwards. As of December 31, 2018, the Company had $29.1 million of U.K. operating loss carryforwards and $0 of U.S. federal and state net operating loss carryforwards. The U.K. operating loss carryforwards have an indefinite life. As of December 31, 2018, the Company had $60,000 and $0.1 million of federal and state research and development credit carryforwards, respectively, that expire at various dates through 2038.</w:t>
      </w:r>
    </w:p>
    <w:p>
      <w:pPr>
        <w:spacing w:after="0" w:line="187" w:lineRule="exact"/>
        <w:rPr>
          <w:sz w:val="20"/>
          <w:szCs w:val="20"/>
          <w:color w:val="auto"/>
        </w:rPr>
      </w:pPr>
    </w:p>
    <w:p>
      <w:pPr>
        <w:ind w:right="60" w:firstLine="439"/>
        <w:spacing w:after="0" w:line="242" w:lineRule="auto"/>
        <w:rPr>
          <w:sz w:val="20"/>
          <w:szCs w:val="20"/>
          <w:color w:val="auto"/>
        </w:rPr>
      </w:pPr>
      <w:r>
        <w:rPr>
          <w:rFonts w:ascii="Arial" w:cs="Arial" w:eastAsia="Arial" w:hAnsi="Arial"/>
          <w:sz w:val="16"/>
          <w:szCs w:val="16"/>
          <w:color w:val="auto"/>
        </w:rPr>
        <w:t>The Company recognizes, in its consolidated financial statements, the effect of a tax position when it is more likely than not, based on the technical merits, that the position will be sustained upon examination. The Company had no uncertain tax positions during the years ended of December 31, 2017 and 2018. There are no amounts of interest or penalties recognized in the consolidated statement of operations or accrued on the consolidated balance sheet for any period presented. The Company does not expect any material changes in these uncertain tax benefits within the next 12 months.</w:t>
      </w:r>
    </w:p>
    <w:p>
      <w:pPr>
        <w:spacing w:after="0" w:line="187" w:lineRule="exact"/>
        <w:rPr>
          <w:sz w:val="20"/>
          <w:szCs w:val="20"/>
          <w:color w:val="auto"/>
        </w:rPr>
      </w:pPr>
    </w:p>
    <w:p>
      <w:pPr>
        <w:ind w:firstLine="439"/>
        <w:spacing w:after="0" w:line="241" w:lineRule="auto"/>
        <w:rPr>
          <w:sz w:val="20"/>
          <w:szCs w:val="20"/>
          <w:color w:val="auto"/>
        </w:rPr>
      </w:pPr>
      <w:r>
        <w:rPr>
          <w:rFonts w:ascii="Arial" w:cs="Arial" w:eastAsia="Arial" w:hAnsi="Arial"/>
          <w:sz w:val="16"/>
          <w:szCs w:val="16"/>
          <w:color w:val="auto"/>
        </w:rPr>
        <w:t>The Company files income tax returns in the United Kingdom, and in the United States for federal income taxes and in the Commonwealth of Massachusetts for state income taxes. In the normal course of business, the Company is subject to examination by tax authorities in these jurisdictions. The 2017 tax year remains open to examination the by HM Revenue &amp; Customs. The statute of limitations for assessment with the Internal Revenue Service is generally three years from filing the tax return. As such, all years since inception in the U.S. remain open to examination. The Company is currently not under examination by jurisdictions for any tax years.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w:t>
      </w:r>
    </w:p>
    <w:p>
      <w:pPr>
        <w:spacing w:after="0" w:line="215" w:lineRule="exact"/>
        <w:rPr>
          <w:sz w:val="20"/>
          <w:szCs w:val="20"/>
          <w:color w:val="auto"/>
        </w:rPr>
      </w:pPr>
    </w:p>
    <w:p>
      <w:pPr>
        <w:ind w:right="60" w:firstLine="442"/>
        <w:spacing w:after="0" w:line="244" w:lineRule="auto"/>
        <w:rPr>
          <w:sz w:val="20"/>
          <w:szCs w:val="20"/>
          <w:color w:val="auto"/>
        </w:rPr>
      </w:pPr>
      <w:r>
        <w:rPr>
          <w:rFonts w:ascii="Arial" w:cs="Arial" w:eastAsia="Arial" w:hAnsi="Arial"/>
          <w:sz w:val="16"/>
          <w:szCs w:val="16"/>
          <w:color w:val="auto"/>
        </w:rPr>
        <w:t>In September 2015, the Company entered into a tenancy agreement for space in Building 260 Babraham Research Campus, Cambridge, UK for a period of two years, beginning on October 1, 2015. The annual rent was approximately $0.2 million plus service charges. In October 2017 this agreement was extended until January 2018 with annual rent of approximately $0.2 million.</w:t>
      </w:r>
    </w:p>
    <w:p>
      <w:pPr>
        <w:spacing w:after="0" w:line="185" w:lineRule="exact"/>
        <w:rPr>
          <w:sz w:val="20"/>
          <w:szCs w:val="20"/>
          <w:color w:val="auto"/>
        </w:rPr>
      </w:pPr>
    </w:p>
    <w:p>
      <w:pPr>
        <w:ind w:right="20" w:firstLine="442"/>
        <w:spacing w:after="0" w:line="249" w:lineRule="auto"/>
        <w:rPr>
          <w:sz w:val="20"/>
          <w:szCs w:val="20"/>
          <w:color w:val="auto"/>
        </w:rPr>
      </w:pPr>
      <w:r>
        <w:rPr>
          <w:rFonts w:ascii="Arial" w:cs="Arial" w:eastAsia="Arial" w:hAnsi="Arial"/>
          <w:sz w:val="16"/>
          <w:szCs w:val="16"/>
          <w:color w:val="auto"/>
        </w:rPr>
        <w:t>In January 2017, Bicycle Therapeutics Inc. entered into a lease for office and laboratory space in Cambridge, Massachusetts for the period from February 1, 2017 to December 31, 2017. Rental payments under the lease were $19,500 per month, plus a portion of the landlords operating costs.</w:t>
      </w:r>
    </w:p>
    <w:p>
      <w:pPr>
        <w:spacing w:after="0" w:line="181" w:lineRule="exact"/>
        <w:rPr>
          <w:sz w:val="20"/>
          <w:szCs w:val="20"/>
          <w:color w:val="auto"/>
        </w:rPr>
      </w:pPr>
    </w:p>
    <w:p>
      <w:pPr>
        <w:ind w:right="100" w:firstLine="442"/>
        <w:spacing w:after="0" w:line="242" w:lineRule="auto"/>
        <w:rPr>
          <w:sz w:val="20"/>
          <w:szCs w:val="20"/>
          <w:color w:val="auto"/>
        </w:rPr>
      </w:pPr>
      <w:r>
        <w:rPr>
          <w:rFonts w:ascii="Arial" w:cs="Arial" w:eastAsia="Arial" w:hAnsi="Arial"/>
          <w:sz w:val="16"/>
          <w:szCs w:val="16"/>
          <w:color w:val="auto"/>
        </w:rPr>
        <w:t>In September 2017, Bicycle Therapeutics Inc. entered into a lease agreement for office and laboratory space in Lexington, Massachusetts, which commenced on January 1, 2018 and expires on December 31, 2022. The rent expense, inclusive of the escalating rent payments, is recognized on a straight-line basis over the lease term. Bicycle Therapeutics Inc. has the option to extend the lease agreement for a successive period at a market based rental rate. In conjunction with the lease agreement, Bicycle Therapeutics Inc. paid a security deposit $0.2 million as well as prepaid rent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05" w:name="page306"/>
    <w:bookmarkEnd w:id="30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 (Continued)</w:t>
      </w:r>
    </w:p>
    <w:p>
      <w:pPr>
        <w:spacing w:after="0" w:line="21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$0.1 million for the first month of the third, fourth and fifth year of the lease. The deposit and prepaid rent balances are recorded in other assets in the consolidated balance sheets.</w:t>
      </w:r>
    </w:p>
    <w:p>
      <w:pPr>
        <w:spacing w:after="0" w:line="181"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In October 2017, the Company entered into a lease agreement for office and laboratory space in Building 900, Babraham Research Campus, Cambridge, UK, which expires on December 21, 2021. The annual rent is approximately $0.5 million. The Company has the right to renew the lease for five years commencing December 21, 2021 which would be subject to a day one rent review. Service charges are also payable based on floor area and are estimated to be approximately $0.1 million per year. In conjunction with the lease agreement, the Company paid a security deposit $0.6 million, which is recorded in other assets in the consolidated balance sheets.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recorded rent expense of $0.5 million and $1.0 million, during the years ended December 31, 2017 and 2018, respectively.</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future minimum lease payments due under the Company's operating leases as of December 31, 2018 (in thousands):</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6200" w:type="dxa"/>
            <w:vAlign w:val="bottom"/>
            <w:shd w:val="clear" w:color="auto" w:fill="CCEEFF"/>
          </w:tcPr>
          <w:p>
            <w:pPr>
              <w:jc w:val="right"/>
              <w:ind w:right="5781"/>
              <w:spacing w:after="0"/>
              <w:rPr>
                <w:sz w:val="20"/>
                <w:szCs w:val="20"/>
                <w:color w:val="auto"/>
              </w:rPr>
            </w:pPr>
            <w:r>
              <w:rPr>
                <w:rFonts w:ascii="Arial" w:cs="Arial" w:eastAsia="Arial" w:hAnsi="Arial"/>
                <w:sz w:val="16"/>
                <w:szCs w:val="16"/>
                <w:color w:val="auto"/>
                <w:w w:val="89"/>
              </w:rPr>
              <w:t>2019</w:t>
            </w:r>
          </w:p>
        </w:tc>
        <w:tc>
          <w:tcPr>
            <w:tcW w:w="6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40" w:type="dxa"/>
            <w:vAlign w:val="bottom"/>
            <w:shd w:val="clear" w:color="auto" w:fill="CCEEFF"/>
          </w:tcPr>
          <w:p>
            <w:pPr>
              <w:spacing w:after="0"/>
              <w:rPr>
                <w:sz w:val="16"/>
                <w:szCs w:val="16"/>
                <w:color w:val="auto"/>
              </w:rPr>
            </w:pPr>
          </w:p>
        </w:tc>
      </w:tr>
      <w:tr>
        <w:trPr>
          <w:trHeight w:val="183"/>
        </w:trPr>
        <w:tc>
          <w:tcPr>
            <w:tcW w:w="6200" w:type="dxa"/>
            <w:vAlign w:val="bottom"/>
          </w:tcPr>
          <w:p>
            <w:pPr>
              <w:jc w:val="right"/>
              <w:ind w:right="5781"/>
              <w:spacing w:after="0"/>
              <w:rPr>
                <w:sz w:val="20"/>
                <w:szCs w:val="20"/>
                <w:color w:val="auto"/>
              </w:rPr>
            </w:pPr>
            <w:r>
              <w:rPr>
                <w:rFonts w:ascii="Arial" w:cs="Arial" w:eastAsia="Arial" w:hAnsi="Arial"/>
                <w:sz w:val="16"/>
                <w:szCs w:val="16"/>
                <w:color w:val="auto"/>
                <w:w w:val="89"/>
              </w:rPr>
              <w:t>2020</w:t>
            </w: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901</w:t>
            </w:r>
          </w:p>
        </w:tc>
        <w:tc>
          <w:tcPr>
            <w:tcW w:w="140" w:type="dxa"/>
            <w:vAlign w:val="bottom"/>
          </w:tcPr>
          <w:p>
            <w:pPr>
              <w:spacing w:after="0"/>
              <w:rPr>
                <w:sz w:val="15"/>
                <w:szCs w:val="15"/>
                <w:color w:val="auto"/>
              </w:rPr>
            </w:pPr>
          </w:p>
        </w:tc>
      </w:tr>
      <w:tr>
        <w:trPr>
          <w:trHeight w:val="183"/>
        </w:trPr>
        <w:tc>
          <w:tcPr>
            <w:tcW w:w="6200" w:type="dxa"/>
            <w:vAlign w:val="bottom"/>
            <w:shd w:val="clear" w:color="auto" w:fill="CCEEFF"/>
          </w:tcPr>
          <w:p>
            <w:pPr>
              <w:jc w:val="right"/>
              <w:ind w:right="5781"/>
              <w:spacing w:after="0"/>
              <w:rPr>
                <w:sz w:val="20"/>
                <w:szCs w:val="20"/>
                <w:color w:val="auto"/>
              </w:rPr>
            </w:pPr>
            <w:r>
              <w:rPr>
                <w:rFonts w:ascii="Arial" w:cs="Arial" w:eastAsia="Arial" w:hAnsi="Arial"/>
                <w:sz w:val="16"/>
                <w:szCs w:val="16"/>
                <w:color w:val="auto"/>
                <w:w w:val="89"/>
              </w:rPr>
              <w:t>2021</w:t>
            </w: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40" w:type="dxa"/>
            <w:vAlign w:val="bottom"/>
            <w:shd w:val="clear" w:color="auto" w:fill="CCEEFF"/>
          </w:tcPr>
          <w:p>
            <w:pPr>
              <w:spacing w:after="0"/>
              <w:rPr>
                <w:sz w:val="15"/>
                <w:szCs w:val="15"/>
                <w:color w:val="auto"/>
              </w:rPr>
            </w:pPr>
          </w:p>
        </w:tc>
      </w:tr>
      <w:tr>
        <w:trPr>
          <w:trHeight w:val="183"/>
        </w:trPr>
        <w:tc>
          <w:tcPr>
            <w:tcW w:w="6200" w:type="dxa"/>
            <w:vAlign w:val="bottom"/>
          </w:tcPr>
          <w:p>
            <w:pPr>
              <w:jc w:val="right"/>
              <w:ind w:right="5781"/>
              <w:spacing w:after="0"/>
              <w:rPr>
                <w:sz w:val="20"/>
                <w:szCs w:val="20"/>
                <w:color w:val="auto"/>
              </w:rPr>
            </w:pPr>
            <w:r>
              <w:rPr>
                <w:rFonts w:ascii="Arial" w:cs="Arial" w:eastAsia="Arial" w:hAnsi="Arial"/>
                <w:sz w:val="16"/>
                <w:szCs w:val="16"/>
                <w:color w:val="auto"/>
                <w:w w:val="89"/>
              </w:rPr>
              <w:t>2022</w:t>
            </w: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483</w:t>
            </w:r>
          </w:p>
        </w:tc>
        <w:tc>
          <w:tcPr>
            <w:tcW w:w="140" w:type="dxa"/>
            <w:vAlign w:val="bottom"/>
          </w:tcPr>
          <w:p>
            <w:pPr>
              <w:spacing w:after="0"/>
              <w:rPr>
                <w:sz w:val="15"/>
                <w:szCs w:val="15"/>
                <w:color w:val="auto"/>
              </w:rPr>
            </w:pPr>
          </w:p>
        </w:tc>
      </w:tr>
      <w:tr>
        <w:trPr>
          <w:trHeight w:val="183"/>
        </w:trPr>
        <w:tc>
          <w:tcPr>
            <w:tcW w:w="6200" w:type="dxa"/>
            <w:vAlign w:val="bottom"/>
            <w:shd w:val="clear" w:color="auto" w:fill="CCEEFF"/>
          </w:tcPr>
          <w:p>
            <w:pPr>
              <w:jc w:val="right"/>
              <w:ind w:right="5781"/>
              <w:spacing w:after="0"/>
              <w:rPr>
                <w:sz w:val="20"/>
                <w:szCs w:val="20"/>
                <w:color w:val="auto"/>
              </w:rPr>
            </w:pPr>
            <w:r>
              <w:rPr>
                <w:rFonts w:ascii="Arial" w:cs="Arial" w:eastAsia="Arial" w:hAnsi="Arial"/>
                <w:sz w:val="16"/>
                <w:szCs w:val="16"/>
                <w:color w:val="auto"/>
                <w:w w:val="89"/>
              </w:rPr>
              <w:t>2023</w:t>
            </w:r>
          </w:p>
        </w:tc>
        <w:tc>
          <w:tcPr>
            <w:tcW w:w="6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r>
      <w:tr>
        <w:trPr>
          <w:trHeight w:val="188"/>
        </w:trPr>
        <w:tc>
          <w:tcPr>
            <w:tcW w:w="686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3,187</w:t>
            </w:r>
          </w:p>
        </w:tc>
        <w:tc>
          <w:tcPr>
            <w:tcW w:w="140" w:type="dxa"/>
            <w:vAlign w:val="bottom"/>
          </w:tcPr>
          <w:p>
            <w:pPr>
              <w:spacing w:after="0"/>
              <w:rPr>
                <w:sz w:val="16"/>
                <w:szCs w:val="16"/>
                <w:color w:val="auto"/>
              </w:rPr>
            </w:pPr>
          </w:p>
        </w:tc>
      </w:tr>
      <w:tr>
        <w:trPr>
          <w:trHeight w:val="20"/>
        </w:trPr>
        <w:tc>
          <w:tcPr>
            <w:tcW w:w="6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 w:firstLine="439"/>
        <w:spacing w:after="0" w:line="241" w:lineRule="auto"/>
        <w:rPr>
          <w:sz w:val="20"/>
          <w:szCs w:val="20"/>
          <w:color w:val="auto"/>
        </w:rPr>
      </w:pPr>
      <w:r>
        <w:rPr>
          <w:rFonts w:ascii="Arial" w:cs="Arial" w:eastAsia="Arial" w:hAnsi="Arial"/>
          <w:sz w:val="16"/>
          <w:szCs w:val="16"/>
          <w:color w:val="auto"/>
        </w:rPr>
        <w:t>The Company has entered into various agreements with contract manufacturing organizations to provide clinical trial materials and with vendors for preclinical research studies, synthetic chemistry and other services for operating purposes. These payments are not included in the table of contractual obligations above since the contracts are generally cancelable at any time upon less than 90 days' prior written notice. The Company is not contractually able to terminate for convenience and avoid any and all future obligations to these vendors. Under such agreements, the Company is contractually obligated to make certain minimum payments to the vendors, with the payments in the event of a termination with less than 90 days' notice based on the timing of the termination and the exact terms of the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211"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From time to time, the Company or its subsidiaries may become involved in various legal proceedings and claims, either asserted or unasserted, which arise in the ordinary course of business.</w:t>
      </w:r>
    </w:p>
    <w:p>
      <w:pPr>
        <w:spacing w:after="0" w:line="181"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In September 2016, the Company filed a complaint in the District Court of the Hague against Pepscan Systems B.V. ("Pepscan") to contest the right of Pepscan to terminate a non-exclusive patent license agreement we entered into with Pepscan in 2009 and 2010 ("PLA"). In response, Pepscan counterclaimed for injunctive relief and unquantified damages. The Company is vigorously prosecuting its claims and defending against those of Pepscan. The Company does not believe that a loss is probable or estimable at this time, and as such, the Company has not recorded a liability related to the Pepscan litigation as of December 31, 2017 or at December 31, 2018. Should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06" w:name="page307"/>
    <w:bookmarkEnd w:id="30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 (Continued)</w:t>
      </w:r>
    </w:p>
    <w:p>
      <w:pPr>
        <w:spacing w:after="0" w:line="215"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Company not be successful in maintaining its rights to Pepscan's patent or in the Company's alternative demand that the patent be invalidated, commercialization of the Company's lead product could be delayed. As the Pepscan patent expires prior to the expected commercialization date of the product, the Company does not believe that the legal proceedings could have a material adverse effect on the Company's business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Founder Royalty arrangements</w:t>
      </w:r>
    </w:p>
    <w:p>
      <w:pPr>
        <w:spacing w:after="0" w:line="211" w:lineRule="exact"/>
        <w:rPr>
          <w:sz w:val="20"/>
          <w:szCs w:val="20"/>
          <w:color w:val="auto"/>
        </w:rPr>
      </w:pPr>
    </w:p>
    <w:p>
      <w:pPr>
        <w:ind w:right="20" w:firstLine="433"/>
        <w:spacing w:after="0" w:line="242" w:lineRule="auto"/>
        <w:rPr>
          <w:sz w:val="20"/>
          <w:szCs w:val="20"/>
          <w:color w:val="auto"/>
        </w:rPr>
      </w:pPr>
      <w:r>
        <w:rPr>
          <w:rFonts w:ascii="Arial" w:cs="Arial" w:eastAsia="Arial" w:hAnsi="Arial"/>
          <w:sz w:val="16"/>
          <w:szCs w:val="16"/>
          <w:color w:val="auto"/>
        </w:rPr>
        <w:t>At the time BicycleRD Limited was organized, BicycleRD Limited entered into a royalty agreement with its founders and initial investors (the "Founder Royalty Agreement"). Pursuant to the Founder Royalty Agreement, the Company will pay a royalty rate in the low single digit percentages on net product sales to its founders and initial investors, for a period of 10 years from the first commercial sale on a country by country basis. No royalties have been earned or paid under the royalty arrangements to date.</w:t>
      </w:r>
    </w:p>
    <w:p>
      <w:pPr>
        <w:spacing w:after="0" w:line="187" w:lineRule="exact"/>
        <w:rPr>
          <w:sz w:val="20"/>
          <w:szCs w:val="20"/>
          <w:color w:val="auto"/>
        </w:rPr>
      </w:pPr>
    </w:p>
    <w:p>
      <w:pPr>
        <w:ind w:right="120" w:firstLine="442"/>
        <w:spacing w:after="0" w:line="241" w:lineRule="auto"/>
        <w:rPr>
          <w:sz w:val="20"/>
          <w:szCs w:val="20"/>
          <w:color w:val="auto"/>
        </w:rPr>
      </w:pPr>
      <w:r>
        <w:rPr>
          <w:rFonts w:ascii="Arial" w:cs="Arial" w:eastAsia="Arial" w:hAnsi="Arial"/>
          <w:sz w:val="16"/>
          <w:szCs w:val="16"/>
          <w:color w:val="auto"/>
        </w:rPr>
        <w:t xml:space="preserve">In accordance with the terms of the Founder Royalty Agreements, as amended in May 2017, the parties amended the terms of the royalty arrangements to limit the future royalties payments to net sales on future products that could be generated under the collaboration with Oxurion and AstraZeneca, in exchange for the issuance of warrants to subscribe for 200,000 Series A Preferred Shares. The Company recorded the fair value of the warrants to subscribe for Series A Preferred Shares to the founders of $0.9 million as research and development expense during the year ended December 31, 2017, as the licenses do not have alternative future use, in accordance with ASC Topic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 obligations</w:t>
      </w:r>
    </w:p>
    <w:p>
      <w:pPr>
        <w:spacing w:after="0" w:line="211" w:lineRule="exact"/>
        <w:rPr>
          <w:sz w:val="20"/>
          <w:szCs w:val="20"/>
          <w:color w:val="auto"/>
        </w:rPr>
      </w:pPr>
    </w:p>
    <w:p>
      <w:pPr>
        <w:ind w:firstLine="442"/>
        <w:spacing w:after="0" w:line="259" w:lineRule="auto"/>
        <w:rPr>
          <w:sz w:val="20"/>
          <w:szCs w:val="20"/>
          <w:color w:val="auto"/>
        </w:rPr>
      </w:pPr>
      <w:r>
        <w:rPr>
          <w:rFonts w:ascii="Arial" w:cs="Arial" w:eastAsia="Arial" w:hAnsi="Arial"/>
          <w:sz w:val="15"/>
          <w:szCs w:val="15"/>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indemnification obligations towards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arrangements is, in many cases, unlimited. To date, the Company has not incurred any material costs as a result of such indemnification obligations. The Company is not aware of any claims under indemnification arrangements, and therefore it has not accrued any liabilities related to such obligations in its consolidated financial statements as of December 31, 2017 and 2018.</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07" w:name="page308"/>
    <w:bookmarkEnd w:id="30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Net loss and unaudited pro forma net loss per share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loss per share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Basic and diluted net loss per share attributable to ordinary shareholders was calculated as follows (in thousands, except share and per share amounts):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Year Ended</w:t>
            </w:r>
          </w:p>
        </w:tc>
      </w:tr>
      <w:tr>
        <w:trPr>
          <w:trHeight w:val="205"/>
        </w:trPr>
        <w:tc>
          <w:tcPr>
            <w:tcW w:w="6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December 31,</w:t>
            </w:r>
          </w:p>
        </w:tc>
      </w:tr>
      <w:tr>
        <w:trPr>
          <w:trHeight w:val="200"/>
        </w:trPr>
        <w:tc>
          <w:tcPr>
            <w:tcW w:w="6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r>
      <w:tr>
        <w:trPr>
          <w:trHeight w:val="196"/>
        </w:trPr>
        <w:tc>
          <w:tcPr>
            <w:tcW w:w="6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(as restated)</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3"/>
        </w:trPr>
        <w:tc>
          <w:tcPr>
            <w:tcW w:w="6040" w:type="dxa"/>
            <w:vAlign w:val="bottom"/>
          </w:tcPr>
          <w:p>
            <w:pPr>
              <w:ind w:left="160"/>
              <w:spacing w:after="0"/>
              <w:rPr>
                <w:sz w:val="20"/>
                <w:szCs w:val="20"/>
                <w:color w:val="auto"/>
              </w:rPr>
            </w:pPr>
            <w:r>
              <w:rPr>
                <w:rFonts w:ascii="Arial" w:cs="Arial" w:eastAsia="Arial" w:hAnsi="Arial"/>
                <w:sz w:val="16"/>
                <w:szCs w:val="16"/>
                <w:color w:val="auto"/>
              </w:rPr>
              <w:t>Net loss attributable to ordinary shareholders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(16,259)</w:t>
            </w: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(21,846)</w:t>
            </w:r>
          </w:p>
        </w:tc>
      </w:tr>
      <w:tr>
        <w:trPr>
          <w:trHeight w:val="176"/>
        </w:trPr>
        <w:tc>
          <w:tcPr>
            <w:tcW w:w="60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Denominator:</w:t>
            </w:r>
          </w:p>
        </w:tc>
        <w:tc>
          <w:tcPr>
            <w:tcW w:w="8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3"/>
        </w:trPr>
        <w:tc>
          <w:tcPr>
            <w:tcW w:w="6040" w:type="dxa"/>
            <w:vAlign w:val="bottom"/>
          </w:tcPr>
          <w:p>
            <w:pPr>
              <w:ind w:left="160"/>
              <w:spacing w:after="0"/>
              <w:rPr>
                <w:sz w:val="20"/>
                <w:szCs w:val="20"/>
                <w:color w:val="auto"/>
              </w:rPr>
            </w:pPr>
            <w:r>
              <w:rPr>
                <w:rFonts w:ascii="Arial" w:cs="Arial" w:eastAsia="Arial" w:hAnsi="Arial"/>
                <w:sz w:val="16"/>
                <w:szCs w:val="16"/>
                <w:color w:val="auto"/>
              </w:rPr>
              <w:t>Weighted average ordinary shares outstanding, basic and diluted</w:t>
            </w:r>
          </w:p>
        </w:tc>
        <w:tc>
          <w:tcPr>
            <w:tcW w:w="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233,134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307,123</w:t>
            </w:r>
          </w:p>
        </w:tc>
        <w:tc>
          <w:tcPr>
            <w:tcW w:w="160" w:type="dxa"/>
            <w:vAlign w:val="bottom"/>
          </w:tcPr>
          <w:p>
            <w:pPr>
              <w:spacing w:after="0"/>
              <w:rPr>
                <w:sz w:val="15"/>
                <w:szCs w:val="15"/>
                <w:color w:val="auto"/>
              </w:rPr>
            </w:pPr>
          </w:p>
        </w:tc>
      </w:tr>
      <w:tr>
        <w:trPr>
          <w:trHeight w:val="176"/>
        </w:trPr>
        <w:tc>
          <w:tcPr>
            <w:tcW w:w="60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loss per share attributable to ordinary shareholders, basic and diluted</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(69.74)</w:t>
            </w:r>
          </w:p>
        </w:tc>
        <w:tc>
          <w:tcPr>
            <w:tcW w:w="2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(71.13)</w:t>
            </w:r>
          </w:p>
        </w:tc>
      </w:tr>
      <w:tr>
        <w:trPr>
          <w:trHeight w:val="20"/>
        </w:trPr>
        <w:tc>
          <w:tcPr>
            <w:tcW w:w="6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439"/>
        <w:spacing w:after="0" w:line="241" w:lineRule="auto"/>
        <w:rPr>
          <w:sz w:val="20"/>
          <w:szCs w:val="20"/>
          <w:color w:val="auto"/>
        </w:rPr>
      </w:pPr>
      <w:r>
        <w:rPr>
          <w:rFonts w:ascii="Arial" w:cs="Arial" w:eastAsia="Arial" w:hAnsi="Arial"/>
          <w:sz w:val="16"/>
          <w:szCs w:val="16"/>
          <w:color w:val="auto"/>
        </w:rPr>
        <w:t>The Company's potentially dilutive securities, which include share options, convertible preferred shares and warrants to subscribe for Series A and Series B1 Preferred Shares, and unvested restricted shares, have been excluded from the computation of diluted net loss per share as the effect would be to reduce the net loss per share. Therefore, the weighted average number of ordinary shares outstanding used to calculate both basic and diluted net loss per share attributable to ordinary shareholders is the same. The Company excluded the following potentially dilutive ordinary shares, presented based on amounts outstanding at each period end, from the computation of diluted net loss per share attributable to ordinary shareholders for the periods indicated because including them would have had an anti-dilutive effect:</w:t>
      </w:r>
    </w:p>
    <w:p>
      <w:pPr>
        <w:spacing w:after="0" w:line="168" w:lineRule="exact"/>
        <w:rPr>
          <w:sz w:val="20"/>
          <w:szCs w:val="20"/>
          <w:color w:val="auto"/>
        </w:rPr>
      </w:pPr>
    </w:p>
    <w:p>
      <w:pPr>
        <w:jc w:val="center"/>
        <w:ind w:left="7180"/>
        <w:spacing w:after="0"/>
        <w:rPr>
          <w:sz w:val="20"/>
          <w:szCs w:val="20"/>
          <w:color w:val="auto"/>
        </w:rPr>
      </w:pPr>
      <w:r>
        <w:rPr>
          <w:rFonts w:ascii="Arial" w:cs="Arial" w:eastAsia="Arial" w:hAnsi="Arial"/>
          <w:sz w:val="16"/>
          <w:szCs w:val="16"/>
          <w:b w:val="1"/>
          <w:bCs w:val="1"/>
          <w:color w:val="auto"/>
        </w:rPr>
        <w:t>Year Ended</w:t>
      </w:r>
    </w:p>
    <w:p>
      <w:pPr>
        <w:spacing w:after="0" w:line="16" w:lineRule="exact"/>
        <w:rPr>
          <w:sz w:val="20"/>
          <w:szCs w:val="20"/>
          <w:color w:val="auto"/>
        </w:rPr>
      </w:pPr>
    </w:p>
    <w:p>
      <w:pPr>
        <w:jc w:val="center"/>
        <w:ind w:left="7180"/>
        <w:spacing w:after="0"/>
        <w:rPr>
          <w:sz w:val="20"/>
          <w:szCs w:val="20"/>
          <w:color w:val="auto"/>
        </w:rPr>
      </w:pPr>
      <w:r>
        <w:rPr>
          <w:rFonts w:ascii="Arial" w:cs="Arial" w:eastAsia="Arial" w:hAnsi="Arial"/>
          <w:sz w:val="16"/>
          <w:szCs w:val="16"/>
          <w:b w:val="1"/>
          <w:bCs w:val="1"/>
          <w:color w:val="auto"/>
        </w:rPr>
        <w:t>December 31,</w:t>
      </w:r>
    </w:p>
    <w:tbl>
      <w:tblPr>
        <w:tblLayout w:type="fixed"/>
        <w:tblInd w:w="1140" w:type="dxa"/>
        <w:tblCellMar>
          <w:top w:w="0" w:type="dxa"/>
          <w:left w:w="0" w:type="dxa"/>
          <w:bottom w:w="0" w:type="dxa"/>
          <w:right w:w="0" w:type="dxa"/>
        </w:tblCellMar>
      </w:tblPr>
      <w:tr>
        <w:trPr>
          <w:trHeight w:val="205"/>
        </w:trPr>
        <w:tc>
          <w:tcPr>
            <w:tcW w:w="72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r>
      <w:tr>
        <w:trPr>
          <w:trHeight w:val="183"/>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shares (as converted to ordinary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6,747,199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8,070,447</w:t>
            </w:r>
          </w:p>
        </w:tc>
        <w:tc>
          <w:tcPr>
            <w:tcW w:w="160" w:type="dxa"/>
            <w:vAlign w:val="bottom"/>
            <w:shd w:val="clear" w:color="auto" w:fill="CCEEFF"/>
          </w:tcPr>
          <w:p>
            <w:pPr>
              <w:spacing w:after="0"/>
              <w:rPr>
                <w:sz w:val="15"/>
                <w:szCs w:val="15"/>
                <w:color w:val="auto"/>
              </w:rPr>
            </w:pPr>
          </w:p>
        </w:tc>
      </w:tr>
      <w:tr>
        <w:trPr>
          <w:trHeight w:val="183"/>
        </w:trPr>
        <w:tc>
          <w:tcPr>
            <w:tcW w:w="7240" w:type="dxa"/>
            <w:vAlign w:val="bottom"/>
          </w:tcPr>
          <w:p>
            <w:pPr>
              <w:spacing w:after="0"/>
              <w:rPr>
                <w:sz w:val="20"/>
                <w:szCs w:val="20"/>
                <w:color w:val="auto"/>
              </w:rPr>
            </w:pPr>
            <w:r>
              <w:rPr>
                <w:rFonts w:ascii="Arial" w:cs="Arial" w:eastAsia="Arial" w:hAnsi="Arial"/>
                <w:sz w:val="16"/>
                <w:szCs w:val="16"/>
                <w:color w:val="auto"/>
              </w:rPr>
              <w:t>Warrants to subscribe for convertible preferred shares (as converted to ordinary shares)</w:t>
            </w:r>
          </w:p>
        </w:tc>
        <w:tc>
          <w:tcPr>
            <w:tcW w:w="820" w:type="dxa"/>
            <w:vAlign w:val="bottom"/>
          </w:tcPr>
          <w:p>
            <w:pPr>
              <w:jc w:val="right"/>
              <w:spacing w:after="0"/>
              <w:rPr>
                <w:sz w:val="20"/>
                <w:szCs w:val="20"/>
                <w:color w:val="auto"/>
              </w:rPr>
            </w:pPr>
            <w:r>
              <w:rPr>
                <w:rFonts w:ascii="Arial" w:cs="Arial" w:eastAsia="Arial" w:hAnsi="Arial"/>
                <w:sz w:val="16"/>
                <w:szCs w:val="16"/>
                <w:color w:val="auto"/>
              </w:rPr>
              <w:t>943,287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943,287</w:t>
            </w:r>
          </w:p>
        </w:tc>
        <w:tc>
          <w:tcPr>
            <w:tcW w:w="160" w:type="dxa"/>
            <w:vAlign w:val="bottom"/>
          </w:tcPr>
          <w:p>
            <w:pPr>
              <w:spacing w:after="0"/>
              <w:rPr>
                <w:sz w:val="15"/>
                <w:szCs w:val="15"/>
                <w:color w:val="auto"/>
              </w:rPr>
            </w:pPr>
          </w:p>
        </w:tc>
      </w:tr>
      <w:tr>
        <w:trPr>
          <w:trHeight w:val="183"/>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Restricted ordinary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58,746</w:t>
            </w:r>
          </w:p>
        </w:tc>
        <w:tc>
          <w:tcPr>
            <w:tcW w:w="160" w:type="dxa"/>
            <w:vAlign w:val="bottom"/>
            <w:shd w:val="clear" w:color="auto" w:fill="CCEEFF"/>
          </w:tcPr>
          <w:p>
            <w:pPr>
              <w:spacing w:after="0"/>
              <w:rPr>
                <w:sz w:val="15"/>
                <w:szCs w:val="15"/>
                <w:color w:val="auto"/>
              </w:rPr>
            </w:pPr>
          </w:p>
        </w:tc>
      </w:tr>
      <w:tr>
        <w:trPr>
          <w:trHeight w:val="183"/>
        </w:trPr>
        <w:tc>
          <w:tcPr>
            <w:tcW w:w="7240" w:type="dxa"/>
            <w:vAlign w:val="bottom"/>
          </w:tcPr>
          <w:p>
            <w:pPr>
              <w:spacing w:after="0"/>
              <w:rPr>
                <w:sz w:val="20"/>
                <w:szCs w:val="20"/>
                <w:color w:val="auto"/>
              </w:rPr>
            </w:pPr>
            <w:r>
              <w:rPr>
                <w:rFonts w:ascii="Arial" w:cs="Arial" w:eastAsia="Arial" w:hAnsi="Arial"/>
                <w:sz w:val="16"/>
                <w:szCs w:val="16"/>
                <w:color w:val="auto"/>
              </w:rPr>
              <w:t>Options to purchase ordinary shares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674,999</w:t>
            </w:r>
          </w:p>
        </w:tc>
        <w:tc>
          <w:tcPr>
            <w:tcW w:w="14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604,444</w:t>
            </w:r>
          </w:p>
        </w:tc>
        <w:tc>
          <w:tcPr>
            <w:tcW w:w="160" w:type="dxa"/>
            <w:vAlign w:val="bottom"/>
          </w:tcPr>
          <w:p>
            <w:pPr>
              <w:spacing w:after="0"/>
              <w:rPr>
                <w:sz w:val="15"/>
                <w:szCs w:val="15"/>
                <w:color w:val="auto"/>
              </w:rPr>
            </w:pPr>
          </w:p>
        </w:tc>
      </w:tr>
      <w:tr>
        <w:trPr>
          <w:trHeight w:val="188"/>
        </w:trPr>
        <w:tc>
          <w:tcPr>
            <w:tcW w:w="7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8,479,179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9,676,924</w:t>
            </w:r>
          </w:p>
        </w:tc>
        <w:tc>
          <w:tcPr>
            <w:tcW w:w="160" w:type="dxa"/>
            <w:vAlign w:val="bottom"/>
            <w:shd w:val="clear" w:color="auto" w:fill="CCEEFF"/>
          </w:tcPr>
          <w:p>
            <w:pPr>
              <w:spacing w:after="0"/>
              <w:rPr>
                <w:sz w:val="16"/>
                <w:szCs w:val="16"/>
                <w:color w:val="auto"/>
              </w:rPr>
            </w:pPr>
          </w:p>
        </w:tc>
      </w:tr>
      <w:tr>
        <w:trPr>
          <w:trHeight w:val="20"/>
        </w:trPr>
        <w:tc>
          <w:tcPr>
            <w:tcW w:w="7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Unaudited pro forma net loss per share attributable to ordinary shareholders</w:t>
      </w:r>
    </w:p>
    <w:p>
      <w:pPr>
        <w:spacing w:after="0" w:line="211" w:lineRule="exact"/>
        <w:rPr>
          <w:sz w:val="20"/>
          <w:szCs w:val="20"/>
          <w:color w:val="auto"/>
        </w:rPr>
      </w:pPr>
    </w:p>
    <w:p>
      <w:pPr>
        <w:ind w:right="80" w:firstLine="439"/>
        <w:spacing w:after="0" w:line="242" w:lineRule="auto"/>
        <w:rPr>
          <w:sz w:val="20"/>
          <w:szCs w:val="20"/>
          <w:color w:val="auto"/>
        </w:rPr>
      </w:pPr>
      <w:r>
        <w:rPr>
          <w:rFonts w:ascii="Arial" w:cs="Arial" w:eastAsia="Arial" w:hAnsi="Arial"/>
          <w:sz w:val="16"/>
          <w:szCs w:val="16"/>
          <w:color w:val="auto"/>
        </w:rPr>
        <w:t>The unaudited pro forma basic and diluted net loss per share attributable to ordinary shareholders for the year ended December 31, 2018 (unaudited) have been prepared to give effect to adjustments arising upon the completion of the proposed IPO as if the IPO had occurred on January 1, 2018. The unaudited pro forma net loss attributable to ordinary shareholders used in the calculation of unaudited pro forma basic and diluted net loss per share attributable to ordinary shareholders does not include the effects the change in fair value of the warrant liability because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08" w:name="page309"/>
    <w:bookmarkEnd w:id="30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Net loss and unaudited pro forma net loss per share (Continued)</w:t>
      </w:r>
    </w:p>
    <w:p>
      <w:pPr>
        <w:spacing w:after="0" w:line="215"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the calculation gives effect to (i) the conversion of all outstanding convertible preferred shares into ordinary shares upon the completion of an IPO and (ii) the exercise of 200,000 warrants to subscribe for Series A convertible preferred shares immediately prior to an IPO, and (iii) the exercise of the warrants to subscribe for 371,645 Series B1 convertible preferred shares (Note 7), as if the proposed IPO had occurred on the later of January 1, 2018 or the issuance date of the convertible preferred shares and the warrants to subscribe for convertible preferred shares.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Year Ended</w:t>
            </w:r>
          </w:p>
        </w:tc>
      </w:tr>
      <w:tr>
        <w:trPr>
          <w:trHeight w:val="205"/>
        </w:trPr>
        <w:tc>
          <w:tcPr>
            <w:tcW w:w="7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December 31, 2018</w:t>
            </w:r>
          </w:p>
        </w:tc>
      </w:tr>
      <w:tr>
        <w:trPr>
          <w:trHeight w:val="196"/>
        </w:trPr>
        <w:tc>
          <w:tcPr>
            <w:tcW w:w="7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(unaudited)</w:t>
            </w:r>
          </w:p>
        </w:tc>
        <w:tc>
          <w:tcPr>
            <w:tcW w:w="160" w:type="dxa"/>
            <w:vAlign w:val="bottom"/>
          </w:tcPr>
          <w:p>
            <w:pPr>
              <w:spacing w:after="0"/>
              <w:rPr>
                <w:sz w:val="17"/>
                <w:szCs w:val="17"/>
                <w:color w:val="auto"/>
              </w:rPr>
            </w:pPr>
          </w:p>
        </w:tc>
      </w:tr>
      <w:tr>
        <w:trPr>
          <w:trHeight w:val="183"/>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3"/>
        </w:trPr>
        <w:tc>
          <w:tcPr>
            <w:tcW w:w="7420" w:type="dxa"/>
            <w:vAlign w:val="bottom"/>
          </w:tcPr>
          <w:p>
            <w:pPr>
              <w:ind w:left="160"/>
              <w:spacing w:after="0"/>
              <w:rPr>
                <w:sz w:val="20"/>
                <w:szCs w:val="20"/>
                <w:color w:val="auto"/>
              </w:rPr>
            </w:pPr>
            <w:r>
              <w:rPr>
                <w:rFonts w:ascii="Arial" w:cs="Arial" w:eastAsia="Arial" w:hAnsi="Arial"/>
                <w:sz w:val="16"/>
                <w:szCs w:val="16"/>
                <w:color w:val="auto"/>
              </w:rPr>
              <w:t>Net loss attributable to ordinary shareholders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00"/>
              <w:spacing w:after="0"/>
              <w:rPr>
                <w:sz w:val="20"/>
                <w:szCs w:val="20"/>
                <w:color w:val="auto"/>
              </w:rPr>
            </w:pPr>
            <w:r>
              <w:rPr>
                <w:rFonts w:ascii="Arial" w:cs="Arial" w:eastAsia="Arial" w:hAnsi="Arial"/>
                <w:sz w:val="16"/>
                <w:szCs w:val="16"/>
                <w:color w:val="auto"/>
              </w:rPr>
              <w:t>(21,846)</w:t>
            </w:r>
          </w:p>
        </w:tc>
      </w:tr>
      <w:tr>
        <w:trPr>
          <w:trHeight w:val="183"/>
        </w:trPr>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fair value of preferred stock warrant liability</w:t>
            </w: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60" w:type="dxa"/>
            <w:vAlign w:val="bottom"/>
            <w:shd w:val="clear" w:color="auto" w:fill="CCEEFF"/>
          </w:tcPr>
          <w:p>
            <w:pPr>
              <w:spacing w:after="0"/>
              <w:rPr>
                <w:sz w:val="15"/>
                <w:szCs w:val="15"/>
                <w:color w:val="auto"/>
              </w:rPr>
            </w:pPr>
          </w:p>
        </w:tc>
      </w:tr>
      <w:tr>
        <w:trPr>
          <w:trHeight w:val="176"/>
        </w:trPr>
        <w:tc>
          <w:tcPr>
            <w:tcW w:w="7420" w:type="dxa"/>
            <w:vAlign w:val="bottom"/>
          </w:tcPr>
          <w:p>
            <w:pPr>
              <w:ind w:left="320"/>
              <w:spacing w:after="0" w:line="176" w:lineRule="exact"/>
              <w:rPr>
                <w:sz w:val="20"/>
                <w:szCs w:val="20"/>
                <w:color w:val="auto"/>
              </w:rPr>
            </w:pPr>
            <w:r>
              <w:rPr>
                <w:rFonts w:ascii="Arial" w:cs="Arial" w:eastAsia="Arial" w:hAnsi="Arial"/>
                <w:sz w:val="16"/>
                <w:szCs w:val="16"/>
                <w:color w:val="auto"/>
              </w:rPr>
              <w:t>Pro forma net loss attributable to ordinary shareholders</w:t>
            </w:r>
          </w:p>
        </w:tc>
        <w:tc>
          <w:tcPr>
            <w:tcW w:w="10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(21,181)</w:t>
            </w:r>
          </w:p>
        </w:tc>
      </w:tr>
      <w:tr>
        <w:trPr>
          <w:trHeight w:val="176"/>
        </w:trPr>
        <w:tc>
          <w:tcPr>
            <w:tcW w:w="74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Denominator:</w:t>
            </w:r>
          </w:p>
        </w:tc>
        <w:tc>
          <w:tcPr>
            <w:tcW w:w="1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3"/>
        </w:trPr>
        <w:tc>
          <w:tcPr>
            <w:tcW w:w="7420" w:type="dxa"/>
            <w:vAlign w:val="bottom"/>
          </w:tcPr>
          <w:p>
            <w:pPr>
              <w:ind w:left="160"/>
              <w:spacing w:after="0"/>
              <w:rPr>
                <w:sz w:val="20"/>
                <w:szCs w:val="20"/>
                <w:color w:val="auto"/>
              </w:rPr>
            </w:pPr>
            <w:r>
              <w:rPr>
                <w:rFonts w:ascii="Arial" w:cs="Arial" w:eastAsia="Arial" w:hAnsi="Arial"/>
                <w:sz w:val="16"/>
                <w:szCs w:val="16"/>
                <w:color w:val="auto"/>
              </w:rPr>
              <w:t>Weighted average ordinary shares outstanding, basic and diluted</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307,123</w:t>
            </w:r>
          </w:p>
        </w:tc>
        <w:tc>
          <w:tcPr>
            <w:tcW w:w="160" w:type="dxa"/>
            <w:vAlign w:val="bottom"/>
          </w:tcPr>
          <w:p>
            <w:pPr>
              <w:spacing w:after="0"/>
              <w:rPr>
                <w:sz w:val="15"/>
                <w:szCs w:val="15"/>
                <w:color w:val="auto"/>
              </w:rPr>
            </w:pPr>
          </w:p>
        </w:tc>
      </w:tr>
      <w:tr>
        <w:trPr>
          <w:trHeight w:val="186"/>
        </w:trPr>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 forma adjustment to reflect the weighted average conversion of all outstanding convertible</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1"/>
        </w:trPr>
        <w:tc>
          <w:tcPr>
            <w:tcW w:w="7420" w:type="dxa"/>
            <w:vAlign w:val="bottom"/>
            <w:shd w:val="clear" w:color="auto" w:fill="CCEEFF"/>
          </w:tcPr>
          <w:p>
            <w:pPr>
              <w:ind w:left="320"/>
              <w:spacing w:after="0" w:line="181" w:lineRule="exact"/>
              <w:rPr>
                <w:sz w:val="20"/>
                <w:szCs w:val="20"/>
                <w:color w:val="auto"/>
              </w:rPr>
            </w:pPr>
            <w:r>
              <w:rPr>
                <w:rFonts w:ascii="Arial" w:cs="Arial" w:eastAsia="Arial" w:hAnsi="Arial"/>
                <w:sz w:val="16"/>
                <w:szCs w:val="16"/>
                <w:color w:val="auto"/>
              </w:rPr>
              <w:t>preferred shares into ordinary shares upon the completion of an IPO</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6,786,968</w:t>
            </w:r>
          </w:p>
        </w:tc>
        <w:tc>
          <w:tcPr>
            <w:tcW w:w="160" w:type="dxa"/>
            <w:vAlign w:val="bottom"/>
            <w:shd w:val="clear" w:color="auto" w:fill="CCEEFF"/>
          </w:tcPr>
          <w:p>
            <w:pPr>
              <w:spacing w:after="0"/>
              <w:rPr>
                <w:sz w:val="15"/>
                <w:szCs w:val="15"/>
                <w:color w:val="auto"/>
              </w:rPr>
            </w:pPr>
          </w:p>
        </w:tc>
      </w:tr>
      <w:tr>
        <w:trPr>
          <w:trHeight w:val="186"/>
        </w:trPr>
        <w:tc>
          <w:tcPr>
            <w:tcW w:w="7420" w:type="dxa"/>
            <w:vAlign w:val="bottom"/>
          </w:tcPr>
          <w:p>
            <w:pPr>
              <w:ind w:left="160"/>
              <w:spacing w:after="0"/>
              <w:rPr>
                <w:sz w:val="20"/>
                <w:szCs w:val="20"/>
                <w:color w:val="auto"/>
              </w:rPr>
            </w:pPr>
            <w:r>
              <w:rPr>
                <w:rFonts w:ascii="Arial" w:cs="Arial" w:eastAsia="Arial" w:hAnsi="Arial"/>
                <w:sz w:val="16"/>
                <w:szCs w:val="16"/>
                <w:color w:val="auto"/>
              </w:rPr>
              <w:t>Pro forma adjustment to reflect the exercise of warrants to subscribe for convertible preferred shares</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1"/>
        </w:trPr>
        <w:tc>
          <w:tcPr>
            <w:tcW w:w="7420" w:type="dxa"/>
            <w:vAlign w:val="bottom"/>
          </w:tcPr>
          <w:p>
            <w:pPr>
              <w:ind w:left="320"/>
              <w:spacing w:after="0" w:line="181" w:lineRule="exact"/>
              <w:rPr>
                <w:sz w:val="20"/>
                <w:szCs w:val="20"/>
                <w:color w:val="auto"/>
              </w:rPr>
            </w:pPr>
            <w:r>
              <w:rPr>
                <w:rFonts w:ascii="Arial" w:cs="Arial" w:eastAsia="Arial" w:hAnsi="Arial"/>
                <w:sz w:val="16"/>
                <w:szCs w:val="16"/>
                <w:color w:val="auto"/>
              </w:rPr>
              <w:t>which expire upon the completion of an IPO</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571,645</w:t>
            </w:r>
          </w:p>
        </w:tc>
        <w:tc>
          <w:tcPr>
            <w:tcW w:w="160" w:type="dxa"/>
            <w:vAlign w:val="bottom"/>
          </w:tcPr>
          <w:p>
            <w:pPr>
              <w:spacing w:after="0"/>
              <w:rPr>
                <w:sz w:val="15"/>
                <w:szCs w:val="15"/>
                <w:color w:val="auto"/>
              </w:rPr>
            </w:pPr>
          </w:p>
        </w:tc>
      </w:tr>
      <w:tr>
        <w:trPr>
          <w:trHeight w:val="176"/>
        </w:trPr>
        <w:tc>
          <w:tcPr>
            <w:tcW w:w="742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Pro forma weighted average ordinary shares outstanding, basic and diluted</w:t>
            </w: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7,665,736</w:t>
            </w:r>
          </w:p>
        </w:tc>
        <w:tc>
          <w:tcPr>
            <w:tcW w:w="160" w:type="dxa"/>
            <w:vAlign w:val="bottom"/>
            <w:shd w:val="clear" w:color="auto" w:fill="CCEEFF"/>
          </w:tcPr>
          <w:p>
            <w:pPr>
              <w:spacing w:after="0"/>
              <w:rPr>
                <w:sz w:val="15"/>
                <w:szCs w:val="15"/>
                <w:color w:val="auto"/>
              </w:rPr>
            </w:pPr>
          </w:p>
        </w:tc>
      </w:tr>
      <w:tr>
        <w:trPr>
          <w:trHeight w:val="176"/>
        </w:trPr>
        <w:tc>
          <w:tcPr>
            <w:tcW w:w="7420" w:type="dxa"/>
            <w:vAlign w:val="bottom"/>
          </w:tcPr>
          <w:p>
            <w:pPr>
              <w:ind w:left="160"/>
              <w:spacing w:after="0" w:line="176" w:lineRule="exact"/>
              <w:rPr>
                <w:sz w:val="20"/>
                <w:szCs w:val="20"/>
                <w:color w:val="auto"/>
              </w:rPr>
            </w:pPr>
            <w:r>
              <w:rPr>
                <w:rFonts w:ascii="Arial" w:cs="Arial" w:eastAsia="Arial" w:hAnsi="Arial"/>
                <w:sz w:val="16"/>
                <w:szCs w:val="16"/>
                <w:color w:val="auto"/>
              </w:rPr>
              <w:t>Pro forma net loss per share attributable to ordinary shareholders, basic and diluted</w:t>
            </w:r>
          </w:p>
        </w:tc>
        <w:tc>
          <w:tcPr>
            <w:tcW w:w="10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rPr>
              <w:t>(2.76)</w:t>
            </w: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Benefit plans</w:t>
      </w:r>
    </w:p>
    <w:p>
      <w:pPr>
        <w:spacing w:after="0" w:line="215" w:lineRule="exact"/>
        <w:rPr>
          <w:sz w:val="20"/>
          <w:szCs w:val="20"/>
          <w:color w:val="auto"/>
        </w:rPr>
      </w:pPr>
    </w:p>
    <w:p>
      <w:pPr>
        <w:ind w:right="160" w:firstLine="439"/>
        <w:spacing w:after="0" w:line="242" w:lineRule="auto"/>
        <w:rPr>
          <w:sz w:val="20"/>
          <w:szCs w:val="20"/>
          <w:color w:val="auto"/>
        </w:rPr>
      </w:pPr>
      <w:r>
        <w:rPr>
          <w:rFonts w:ascii="Arial" w:cs="Arial" w:eastAsia="Arial" w:hAnsi="Arial"/>
          <w:sz w:val="16"/>
          <w:szCs w:val="16"/>
          <w:color w:val="auto"/>
        </w:rPr>
        <w:t>The Company established a defined-contribution savings plan under Section 401(k) of the Code (the "401(k) Plan"). The 401(k) Plan covers all U.S. employees and allows participants to defer a portion of their annual compensation on a pre-tax basis. Matching contributions to the 401(k) Plan may be made at the discretion of the Company's board of directors. During the years ended December 31, 2017 and 2018 the Company made contributions totaling $42,000 and $0.1 million, respectively, to the 401(k) Plan.</w:t>
      </w:r>
    </w:p>
    <w:p>
      <w:pPr>
        <w:spacing w:after="0" w:line="187" w:lineRule="exact"/>
        <w:rPr>
          <w:sz w:val="20"/>
          <w:szCs w:val="20"/>
          <w:color w:val="auto"/>
        </w:rPr>
      </w:pPr>
    </w:p>
    <w:p>
      <w:pPr>
        <w:ind w:firstLine="439"/>
        <w:spacing w:after="0" w:line="244" w:lineRule="auto"/>
        <w:rPr>
          <w:sz w:val="20"/>
          <w:szCs w:val="20"/>
          <w:color w:val="auto"/>
        </w:rPr>
      </w:pPr>
      <w:r>
        <w:rPr>
          <w:rFonts w:ascii="Arial" w:cs="Arial" w:eastAsia="Arial" w:hAnsi="Arial"/>
          <w:sz w:val="16"/>
          <w:szCs w:val="16"/>
          <w:color w:val="auto"/>
        </w:rPr>
        <w:t>The Company provides a pension contribution plan for its employees in the United Kingdom, pursuant to which the Company may match employees contributions each year ("U.K Plan"). During the years ended December 31, 2017 and 2018 the Company made contributions totaling $0.2 million and $0.2 million, respectively, to the U.K. Plan.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Related party transactions</w:t>
      </w:r>
    </w:p>
    <w:p>
      <w:pPr>
        <w:spacing w:after="0" w:line="215" w:lineRule="exact"/>
        <w:rPr>
          <w:sz w:val="20"/>
          <w:szCs w:val="20"/>
          <w:color w:val="auto"/>
        </w:rPr>
      </w:pPr>
    </w:p>
    <w:p>
      <w:pPr>
        <w:ind w:right="140" w:firstLine="439"/>
        <w:spacing w:after="0" w:line="249" w:lineRule="auto"/>
        <w:rPr>
          <w:sz w:val="20"/>
          <w:szCs w:val="20"/>
          <w:color w:val="auto"/>
        </w:rPr>
      </w:pPr>
      <w:r>
        <w:rPr>
          <w:rFonts w:ascii="Arial" w:cs="Arial" w:eastAsia="Arial" w:hAnsi="Arial"/>
          <w:sz w:val="16"/>
          <w:szCs w:val="16"/>
          <w:color w:val="auto"/>
        </w:rPr>
        <w:t>The Company has entered into Founder Royalty Agreements with its founders and initial investors (Note 12). No royalties have been earned or paid under the Founder Royalty Agreements to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09" w:name="page310"/>
    <w:bookmarkEnd w:id="30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Bicycle Therapeutics Limited</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Related party transactions (Continued)</w:t>
      </w:r>
    </w:p>
    <w:p>
      <w:pPr>
        <w:spacing w:after="0" w:line="215" w:lineRule="exact"/>
        <w:rPr>
          <w:sz w:val="20"/>
          <w:szCs w:val="20"/>
          <w:color w:val="auto"/>
        </w:rPr>
      </w:pPr>
    </w:p>
    <w:p>
      <w:pPr>
        <w:ind w:right="520" w:firstLine="439"/>
        <w:spacing w:after="0" w:line="249" w:lineRule="auto"/>
        <w:rPr>
          <w:sz w:val="20"/>
          <w:szCs w:val="20"/>
          <w:color w:val="auto"/>
        </w:rPr>
      </w:pPr>
      <w:r>
        <w:rPr>
          <w:rFonts w:ascii="Arial" w:cs="Arial" w:eastAsia="Arial" w:hAnsi="Arial"/>
          <w:sz w:val="16"/>
          <w:szCs w:val="16"/>
          <w:color w:val="auto"/>
        </w:rPr>
        <w:t>The Chairman of the Company's Board of Directors is associated with 10X Capital Inc., who provided consultancy services to the Company totaling $0.1 million and $0.2 million during the years ended December 31, 2017 and 2018,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Geographic information</w:t>
      </w:r>
    </w:p>
    <w:p>
      <w:pPr>
        <w:spacing w:after="0" w:line="215" w:lineRule="exact"/>
        <w:rPr>
          <w:sz w:val="20"/>
          <w:szCs w:val="20"/>
          <w:color w:val="auto"/>
        </w:rPr>
      </w:pPr>
    </w:p>
    <w:p>
      <w:pPr>
        <w:ind w:right="100" w:firstLine="439"/>
        <w:spacing w:after="0" w:line="249" w:lineRule="auto"/>
        <w:rPr>
          <w:sz w:val="20"/>
          <w:szCs w:val="20"/>
          <w:color w:val="auto"/>
        </w:rPr>
      </w:pPr>
      <w:r>
        <w:rPr>
          <w:rFonts w:ascii="Arial" w:cs="Arial" w:eastAsia="Arial" w:hAnsi="Arial"/>
          <w:sz w:val="16"/>
          <w:szCs w:val="16"/>
          <w:color w:val="auto"/>
        </w:rPr>
        <w:t>The Company operates in two geographic regions: the United States and the United Kingdom. Information about the Company's long-lived assets held in different geographic regions is presented in the table below (in thousands):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205"/>
        </w:trPr>
        <w:tc>
          <w:tcPr>
            <w:tcW w:w="3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gridSpan w:val="5"/>
          </w:tcPr>
          <w:p>
            <w:pPr>
              <w:ind w:left="480"/>
              <w:spacing w:after="0"/>
              <w:rPr>
                <w:sz w:val="20"/>
                <w:szCs w:val="20"/>
                <w:color w:val="auto"/>
              </w:rPr>
            </w:pPr>
            <w:r>
              <w:rPr>
                <w:rFonts w:ascii="Arial" w:cs="Arial" w:eastAsia="Arial" w:hAnsi="Arial"/>
                <w:sz w:val="16"/>
                <w:szCs w:val="16"/>
                <w:b w:val="1"/>
                <w:bCs w:val="1"/>
                <w:color w:val="auto"/>
              </w:rPr>
              <w:t>December 31,</w:t>
            </w:r>
          </w:p>
        </w:tc>
      </w:tr>
      <w:tr>
        <w:trPr>
          <w:trHeight w:val="200"/>
        </w:trPr>
        <w:tc>
          <w:tcPr>
            <w:tcW w:w="3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83"/>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2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40" w:type="dxa"/>
            <w:vAlign w:val="bottom"/>
            <w:shd w:val="clear" w:color="auto" w:fill="CCEEFF"/>
          </w:tcPr>
          <w:p>
            <w:pPr>
              <w:spacing w:after="0"/>
              <w:rPr>
                <w:sz w:val="15"/>
                <w:szCs w:val="15"/>
                <w:color w:val="auto"/>
              </w:rPr>
            </w:pPr>
          </w:p>
        </w:tc>
      </w:tr>
      <w:tr>
        <w:trPr>
          <w:trHeight w:val="183"/>
        </w:trPr>
        <w:tc>
          <w:tcPr>
            <w:tcW w:w="3400" w:type="dxa"/>
            <w:vAlign w:val="bottom"/>
          </w:tcPr>
          <w:p>
            <w:pPr>
              <w:spacing w:after="0"/>
              <w:rPr>
                <w:sz w:val="20"/>
                <w:szCs w:val="20"/>
                <w:color w:val="auto"/>
              </w:rPr>
            </w:pPr>
            <w:r>
              <w:rPr>
                <w:rFonts w:ascii="Arial" w:cs="Arial" w:eastAsia="Arial" w:hAnsi="Arial"/>
                <w:sz w:val="16"/>
                <w:szCs w:val="16"/>
                <w:color w:val="auto"/>
              </w:rPr>
              <w:t>United Kingdom</w:t>
            </w:r>
          </w:p>
        </w:tc>
        <w:tc>
          <w:tcPr>
            <w:tcW w:w="2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w:t>
            </w:r>
          </w:p>
        </w:tc>
        <w:tc>
          <w:tcPr>
            <w:tcW w:w="140" w:type="dxa"/>
            <w:vAlign w:val="bottom"/>
          </w:tcPr>
          <w:p>
            <w:pPr>
              <w:spacing w:after="0"/>
              <w:rPr>
                <w:sz w:val="15"/>
                <w:szCs w:val="15"/>
                <w:color w:val="auto"/>
              </w:rPr>
            </w:pPr>
          </w:p>
        </w:tc>
      </w:tr>
      <w:tr>
        <w:trPr>
          <w:trHeight w:val="188"/>
        </w:trPr>
        <w:tc>
          <w:tcPr>
            <w:tcW w:w="340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140" w:type="dxa"/>
            <w:vAlign w:val="bottom"/>
            <w:shd w:val="clear" w:color="auto" w:fill="CCEEFF"/>
          </w:tcPr>
          <w:p>
            <w:pPr>
              <w:spacing w:after="0"/>
              <w:rPr>
                <w:sz w:val="16"/>
                <w:szCs w:val="16"/>
                <w:color w:val="auto"/>
              </w:rPr>
            </w:pPr>
          </w:p>
        </w:tc>
      </w:tr>
      <w:tr>
        <w:trPr>
          <w:trHeight w:val="20"/>
        </w:trPr>
        <w:tc>
          <w:tcPr>
            <w:tcW w:w="3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collaboration revenues are attributed to the operations of the Company in the United Kingdom.</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w:t>
      </w:r>
    </w:p>
    <w:p>
      <w:pPr>
        <w:spacing w:after="0" w:line="215"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For the consolidated financial statements as of and for the year ended December 31, 2018, the Company evaluated subsequent events through March 22, 2019, the date on which those financial statements were issued.</w:t>
      </w:r>
    </w:p>
    <w:p>
      <w:pPr>
        <w:spacing w:after="0" w:line="181" w:lineRule="exact"/>
        <w:rPr>
          <w:sz w:val="20"/>
          <w:szCs w:val="20"/>
          <w:color w:val="auto"/>
        </w:rPr>
      </w:pPr>
    </w:p>
    <w:p>
      <w:pPr>
        <w:ind w:right="60" w:firstLine="442"/>
        <w:spacing w:after="0" w:line="249" w:lineRule="auto"/>
        <w:rPr>
          <w:sz w:val="20"/>
          <w:szCs w:val="20"/>
          <w:color w:val="auto"/>
        </w:rPr>
      </w:pPr>
      <w:r>
        <w:rPr>
          <w:rFonts w:ascii="Arial" w:cs="Arial" w:eastAsia="Arial" w:hAnsi="Arial"/>
          <w:sz w:val="16"/>
          <w:szCs w:val="16"/>
          <w:color w:val="auto"/>
        </w:rPr>
        <w:t>On January 3, 2019, the Company completed the issue of 80,385 Series B2 preferred shares at a price per Series B2 preferred share of £15.55, for gross cash proceeds of $1.6 million.</w:t>
      </w:r>
    </w:p>
    <w:p>
      <w:pPr>
        <w:spacing w:after="0" w:line="181" w:lineRule="exact"/>
        <w:rPr>
          <w:sz w:val="20"/>
          <w:szCs w:val="20"/>
          <w:color w:val="auto"/>
        </w:rPr>
      </w:pPr>
    </w:p>
    <w:p>
      <w:pPr>
        <w:ind w:right="60" w:firstLine="442"/>
        <w:spacing w:after="0" w:line="249" w:lineRule="auto"/>
        <w:rPr>
          <w:sz w:val="20"/>
          <w:szCs w:val="20"/>
          <w:color w:val="auto"/>
        </w:rPr>
      </w:pPr>
      <w:r>
        <w:rPr>
          <w:rFonts w:ascii="Arial" w:cs="Arial" w:eastAsia="Arial" w:hAnsi="Arial"/>
          <w:sz w:val="16"/>
          <w:szCs w:val="16"/>
          <w:color w:val="auto"/>
        </w:rPr>
        <w:t>On March 7, 2019, the holders of the Series B1 warrants to subscribe for Series B1 Preferred Shares agreed that 50% of the warrants will be exercised in conjunction with the IPO and 50% of the warrants will expire.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Events assessed for disclosure subsequent to the original issuance of the consolidated financial statements (unaudited).</w:t>
      </w:r>
    </w:p>
    <w:p>
      <w:pPr>
        <w:spacing w:after="0" w:line="211" w:lineRule="exact"/>
        <w:rPr>
          <w:sz w:val="20"/>
          <w:szCs w:val="20"/>
          <w:color w:val="auto"/>
        </w:rPr>
      </w:pPr>
    </w:p>
    <w:p>
      <w:pPr>
        <w:ind w:firstLine="442"/>
        <w:spacing w:after="0" w:line="249" w:lineRule="auto"/>
        <w:rPr>
          <w:sz w:val="20"/>
          <w:szCs w:val="20"/>
          <w:color w:val="auto"/>
        </w:rPr>
      </w:pPr>
      <w:r>
        <w:rPr>
          <w:rFonts w:ascii="Arial" w:cs="Arial" w:eastAsia="Arial" w:hAnsi="Arial"/>
          <w:sz w:val="16"/>
          <w:szCs w:val="16"/>
          <w:color w:val="auto"/>
        </w:rPr>
        <w:t>In March 2019, Bioverativ exercised its right to terminate the Sickle cell program. The Company will recognize the portion of the transaction price allocated to the Sickle Cell License Option Material Right (Note 10) as revenue in the first quarter of 2019, as its performance obligation is complete.</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310" w:name="page311"/>
    <w:bookmarkEnd w:id="3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362585</wp:posOffset>
            </wp:positionV>
            <wp:extent cx="7259320"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93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American Depositary Shares</w:t>
      </w:r>
    </w:p>
    <w:p>
      <w:pPr>
        <w:spacing w:after="0" w:line="199" w:lineRule="exact"/>
        <w:rPr>
          <w:sz w:val="20"/>
          <w:szCs w:val="20"/>
          <w:color w:val="auto"/>
        </w:rPr>
      </w:pPr>
    </w:p>
    <w:p>
      <w:pPr>
        <w:ind w:left="3860"/>
        <w:spacing w:after="0"/>
        <w:tabs>
          <w:tab w:leader="none" w:pos="5940" w:val="left"/>
        </w:tabs>
        <w:rPr>
          <w:sz w:val="20"/>
          <w:szCs w:val="20"/>
          <w:color w:val="auto"/>
        </w:rPr>
      </w:pPr>
      <w:r>
        <w:rPr>
          <w:rFonts w:ascii="Arial" w:cs="Arial" w:eastAsia="Arial" w:hAnsi="Arial"/>
          <w:sz w:val="21"/>
          <w:szCs w:val="21"/>
          <w:color w:val="auto"/>
        </w:rPr>
        <w:t>Representing</w:t>
      </w:r>
      <w:r>
        <w:rPr>
          <w:sz w:val="20"/>
          <w:szCs w:val="20"/>
          <w:color w:val="auto"/>
        </w:rPr>
        <w:tab/>
      </w:r>
      <w:r>
        <w:rPr>
          <w:rFonts w:ascii="Arial" w:cs="Arial" w:eastAsia="Arial" w:hAnsi="Arial"/>
          <w:sz w:val="21"/>
          <w:szCs w:val="2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2933700</wp:posOffset>
            </wp:positionH>
            <wp:positionV relativeFrom="paragraph">
              <wp:posOffset>135890</wp:posOffset>
            </wp:positionV>
            <wp:extent cx="1390015"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90015" cy="7620"/>
                    </a:xfrm>
                    <a:prstGeom prst="rect">
                      <a:avLst/>
                    </a:prstGeom>
                    <a:noFill/>
                  </pic:spPr>
                </pic:pic>
              </a:graphicData>
            </a:graphic>
          </wp:anchor>
        </w:drawing>
        <w:drawing>
          <wp:anchor simplePos="0" relativeHeight="251657728" behindDoc="1" locked="0" layoutInCell="0" allowOverlap="1">
            <wp:simplePos x="0" y="0"/>
            <wp:positionH relativeFrom="column">
              <wp:posOffset>2933700</wp:posOffset>
            </wp:positionH>
            <wp:positionV relativeFrom="paragraph">
              <wp:posOffset>1339850</wp:posOffset>
            </wp:positionV>
            <wp:extent cx="139001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90015" cy="7620"/>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493395</wp:posOffset>
            </wp:positionV>
            <wp:extent cx="1661795" cy="7219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661795" cy="72199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40"/>
        <w:spacing w:after="0"/>
        <w:rPr>
          <w:sz w:val="20"/>
          <w:szCs w:val="20"/>
          <w:color w:val="auto"/>
        </w:rPr>
      </w:pPr>
      <w:r>
        <w:rPr>
          <w:rFonts w:ascii="Arial" w:cs="Arial" w:eastAsia="Arial" w:hAnsi="Arial"/>
          <w:sz w:val="21"/>
          <w:szCs w:val="21"/>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40"/>
        <w:spacing w:after="0"/>
        <w:rPr>
          <w:sz w:val="20"/>
          <w:szCs w:val="20"/>
          <w:color w:val="auto"/>
        </w:rPr>
      </w:pPr>
      <w:r>
        <w:rPr>
          <w:rFonts w:ascii="Arial" w:cs="Arial" w:eastAsia="Arial" w:hAnsi="Arial"/>
          <w:sz w:val="21"/>
          <w:szCs w:val="21"/>
          <w:b w:val="1"/>
          <w:bCs w:val="1"/>
          <w:color w:val="auto"/>
        </w:rPr>
        <w:t>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Piper Jaffray</w:t>
      </w:r>
    </w:p>
    <w:p>
      <w:pPr>
        <w:spacing w:after="0" w:line="200" w:lineRule="exact"/>
        <w:rPr>
          <w:sz w:val="20"/>
          <w:szCs w:val="20"/>
          <w:color w:val="auto"/>
        </w:rPr>
      </w:pPr>
    </w:p>
    <w:p>
      <w:pPr>
        <w:sectPr>
          <w:pgSz w:w="11900" w:h="16838" w:orient="portrait"/>
          <w:cols w:equalWidth="0" w:num="3">
            <w:col w:w="5280" w:space="720"/>
            <w:col w:w="2240" w:space="720"/>
            <w:col w:w="2380"/>
          </w:cols>
          <w:pgMar w:left="240" w:top="142" w:right="319" w:bottom="1440" w:gutter="0" w:footer="0" w:header="0"/>
          <w:type w:val="continuous"/>
        </w:sectPr>
      </w:pP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Canaccord Genuity</w:t>
      </w:r>
    </w:p>
    <w:p>
      <w:pPr>
        <w:spacing w:after="0" w:line="198" w:lineRule="exact"/>
        <w:rPr>
          <w:sz w:val="20"/>
          <w:szCs w:val="20"/>
          <w:color w:val="auto"/>
        </w:rPr>
      </w:pPr>
    </w:p>
    <w:p>
      <w:pPr>
        <w:ind w:left="440"/>
        <w:spacing w:after="0"/>
        <w:tabs>
          <w:tab w:leader="none" w:pos="2760" w:val="left"/>
        </w:tabs>
        <w:rPr>
          <w:sz w:val="20"/>
          <w:szCs w:val="20"/>
          <w:color w:val="auto"/>
        </w:rPr>
      </w:pPr>
      <w:r>
        <w:rPr>
          <w:rFonts w:ascii="Arial" w:cs="Arial" w:eastAsia="Arial" w:hAnsi="Arial"/>
          <w:sz w:val="16"/>
          <w:szCs w:val="16"/>
          <w:b w:val="1"/>
          <w:bCs w:val="1"/>
          <w:color w:val="auto"/>
        </w:rPr>
        <w:t>Through and including</w:t>
      </w:r>
      <w:r>
        <w:rPr>
          <w:sz w:val="20"/>
          <w:szCs w:val="20"/>
          <w:color w:val="auto"/>
        </w:rPr>
        <w:tab/>
      </w:r>
      <w:r>
        <w:rPr>
          <w:rFonts w:ascii="Arial" w:cs="Arial" w:eastAsia="Arial" w:hAnsi="Arial"/>
          <w:sz w:val="15"/>
          <w:szCs w:val="15"/>
          <w:b w:val="1"/>
          <w:bCs w:val="1"/>
          <w:color w:val="auto"/>
        </w:rPr>
        <w:t>, 2019 (the 25th day after the date of this prospectus), all dealers effecting transactions in these securities,</w:t>
      </w:r>
    </w:p>
    <w:p>
      <w:pPr>
        <w:sectPr>
          <w:pgSz w:w="11900" w:h="16838" w:orient="portrait"/>
          <w:cols w:equalWidth="0" w:num="1">
            <w:col w:w="11340"/>
          </w:cols>
          <w:pgMar w:left="240" w:top="142" w:right="319" w:bottom="1440" w:gutter="0" w:footer="0" w:header="0"/>
          <w:type w:val="continuous"/>
        </w:sectPr>
      </w:pPr>
    </w:p>
    <w:p>
      <w:pPr>
        <w:spacing w:after="0" w:line="28" w:lineRule="exact"/>
        <w:rPr>
          <w:sz w:val="20"/>
          <w:szCs w:val="20"/>
          <w:color w:val="auto"/>
        </w:rPr>
      </w:pPr>
    </w:p>
    <w:p>
      <w:pPr>
        <w:spacing w:after="0" w:line="239" w:lineRule="auto"/>
        <w:rPr>
          <w:sz w:val="20"/>
          <w:szCs w:val="20"/>
          <w:color w:val="auto"/>
        </w:rPr>
      </w:pPr>
      <w:r>
        <w:rPr>
          <w:rFonts w:ascii="Arial" w:cs="Arial" w:eastAsia="Arial" w:hAnsi="Arial"/>
          <w:sz w:val="16"/>
          <w:szCs w:val="16"/>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280035</wp:posOffset>
            </wp:positionV>
            <wp:extent cx="725932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295910</wp:posOffset>
            </wp:positionV>
            <wp:extent cx="7259320" cy="311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9320" cy="311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448945</wp:posOffset>
            </wp:positionV>
            <wp:extent cx="7264400" cy="203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type w:val="continuous"/>
        </w:sectPr>
      </w:pPr>
    </w:p>
    <w:bookmarkStart w:id="311" w:name="page312"/>
    <w:bookmarkEnd w:id="3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183"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9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15" w:lineRule="exact"/>
        <w:rPr>
          <w:sz w:val="20"/>
          <w:szCs w:val="20"/>
          <w:color w:val="auto"/>
        </w:rPr>
      </w:pPr>
    </w:p>
    <w:p>
      <w:pPr>
        <w:jc w:val="both"/>
        <w:ind w:right="160" w:firstLine="439"/>
        <w:spacing w:after="0" w:line="244" w:lineRule="auto"/>
        <w:rPr>
          <w:sz w:val="20"/>
          <w:szCs w:val="20"/>
          <w:color w:val="auto"/>
        </w:rPr>
      </w:pPr>
      <w:r>
        <w:rPr>
          <w:rFonts w:ascii="Arial" w:cs="Arial" w:eastAsia="Arial" w:hAnsi="Arial"/>
          <w:sz w:val="16"/>
          <w:szCs w:val="16"/>
          <w:color w:val="auto"/>
        </w:rPr>
        <w:t>The following table sets forth the fees and expenses, other than underwriting discounts and commissions, which are expected to be incurred in connection with our sale of ADSs in this offering. With the exception of the registration fee payable to the SEC, the Nasdaq listing fee and the filing fee payable to FINRA, all amounts are estimates.</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2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FINRA filing fee</w:t>
            </w:r>
          </w:p>
        </w:tc>
        <w:tc>
          <w:tcPr>
            <w:tcW w:w="2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13,438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Nasdaq listing fee</w:t>
            </w:r>
          </w:p>
        </w:tc>
        <w:tc>
          <w:tcPr>
            <w:tcW w:w="2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Printing and engraving expenses</w:t>
            </w:r>
          </w:p>
        </w:tc>
        <w:tc>
          <w:tcPr>
            <w:tcW w:w="2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2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gridSpan w:val="3"/>
          </w:tcPr>
          <w:p>
            <w:pPr>
              <w:ind w:left="20"/>
              <w:spacing w:after="0"/>
              <w:rPr>
                <w:sz w:val="20"/>
                <w:szCs w:val="20"/>
                <w:color w:val="auto"/>
              </w:rPr>
            </w:pPr>
            <w:r>
              <w:rPr>
                <w:rFonts w:ascii="Arial" w:cs="Arial" w:eastAsia="Arial" w:hAnsi="Arial"/>
                <w:sz w:val="16"/>
                <w:szCs w:val="16"/>
                <w:color w:val="auto"/>
              </w:rPr>
              <w:t>Accounting fees and expenses</w:t>
            </w:r>
          </w:p>
        </w:tc>
        <w:tc>
          <w:tcPr>
            <w:tcW w:w="2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Miscellaneous fees and expenses</w:t>
            </w:r>
          </w:p>
        </w:tc>
        <w:tc>
          <w:tcPr>
            <w:tcW w:w="2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20"/>
              <w:spacing w:after="0"/>
              <w:rPr>
                <w:sz w:val="20"/>
                <w:szCs w:val="20"/>
                <w:color w:val="auto"/>
              </w:rPr>
            </w:pPr>
            <w:r>
              <w:rPr>
                <w:rFonts w:ascii="Arial" w:cs="Arial" w:eastAsia="Arial" w:hAnsi="Arial"/>
                <w:sz w:val="16"/>
                <w:szCs w:val="16"/>
                <w:color w:val="auto"/>
              </w:rPr>
              <w:t>Total</w:t>
            </w:r>
          </w:p>
        </w:tc>
        <w:tc>
          <w:tcPr>
            <w:tcW w:w="2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660" w:type="dxa"/>
            <w:vAlign w:val="bottom"/>
            <w:gridSpan w:val="3"/>
            <w:vMerge w:val="continue"/>
          </w:tcPr>
          <w:p>
            <w:pPr>
              <w:spacing w:after="0"/>
              <w:rPr>
                <w:sz w:val="14"/>
                <w:szCs w:val="14"/>
                <w:color w:val="auto"/>
              </w:rPr>
            </w:pPr>
          </w:p>
        </w:tc>
        <w:tc>
          <w:tcPr>
            <w:tcW w:w="2480" w:type="dxa"/>
            <w:vAlign w:val="bottom"/>
            <w:gridSpan w:val="2"/>
          </w:tcPr>
          <w:p>
            <w:pPr>
              <w:jc w:val="right"/>
              <w:ind w:right="160"/>
              <w:spacing w:after="0" w:line="171"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200" w:hanging="487"/>
        <w:spacing w:after="0"/>
        <w:tabs>
          <w:tab w:leader="none" w:pos="220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15" w:lineRule="exact"/>
        <w:rPr>
          <w:sz w:val="20"/>
          <w:szCs w:val="20"/>
          <w:color w:val="auto"/>
        </w:rPr>
      </w:pPr>
    </w:p>
    <w:p>
      <w:pPr>
        <w:ind w:right="820" w:firstLine="442"/>
        <w:spacing w:after="0" w:line="249" w:lineRule="auto"/>
        <w:rPr>
          <w:sz w:val="20"/>
          <w:szCs w:val="20"/>
          <w:color w:val="auto"/>
        </w:rPr>
      </w:pPr>
      <w:r>
        <w:rPr>
          <w:rFonts w:ascii="Arial" w:cs="Arial" w:eastAsia="Arial" w:hAnsi="Arial"/>
          <w:sz w:val="16"/>
          <w:szCs w:val="16"/>
          <w:color w:val="auto"/>
        </w:rPr>
        <w:t>Subject to the Companies Act, members of the registrant's board of directors and its officers (excluding auditors) have the benefit of the following indemnification provisions in the registrant's Articles of Association: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Current and former members of the registrant's board of directors or officers shall be reimbursed for:</w:t>
      </w:r>
    </w:p>
    <w:p>
      <w:pPr>
        <w:spacing w:after="0" w:line="195" w:lineRule="exact"/>
        <w:rPr>
          <w:sz w:val="20"/>
          <w:szCs w:val="20"/>
          <w:color w:val="auto"/>
        </w:rPr>
      </w:pPr>
    </w:p>
    <w:p>
      <w:pPr>
        <w:ind w:left="980" w:right="180" w:hanging="493"/>
        <w:spacing w:after="0" w:line="249" w:lineRule="auto"/>
        <w:tabs>
          <w:tab w:leader="none" w:pos="9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all costs, charges, losses, expenses and liabilities sustained or incurred in relation to his or her actual or purported execution of his or her duties in relation to the registrant, including any liability incurred in defending any criminal or civil proceedings; and</w:t>
      </w:r>
    </w:p>
    <w:p>
      <w:pPr>
        <w:spacing w:after="0" w:line="180" w:lineRule="exact"/>
        <w:rPr>
          <w:rFonts w:ascii="Arial" w:cs="Arial" w:eastAsia="Arial" w:hAnsi="Arial"/>
          <w:sz w:val="16"/>
          <w:szCs w:val="16"/>
          <w:color w:val="auto"/>
        </w:rPr>
      </w:pPr>
    </w:p>
    <w:p>
      <w:pPr>
        <w:ind w:left="980" w:right="40" w:hanging="493"/>
        <w:spacing w:after="0" w:line="242" w:lineRule="auto"/>
        <w:tabs>
          <w:tab w:leader="none" w:pos="9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expenses incurred or to be incurred in defending any criminal or civil proceedings, in an investigation by a regulatory authority or against a proposed action to be taken by a regulatory authority, or in connection with any application for relief under the statutes of the United Kingdom and any other statutes that concern and affect the registrant as a company, or collectively the Statutes, arising in relation to the registrant or an associated company, by virtue of the actual or purposed execution of the duties of his or her office or the exercise of his or her powers.</w:t>
      </w:r>
    </w:p>
    <w:p>
      <w:pPr>
        <w:spacing w:after="0" w:line="187" w:lineRule="exact"/>
        <w:rPr>
          <w:sz w:val="20"/>
          <w:szCs w:val="20"/>
          <w:color w:val="auto"/>
        </w:rPr>
      </w:pPr>
    </w:p>
    <w:p>
      <w:pPr>
        <w:ind w:firstLine="442"/>
        <w:spacing w:after="0" w:line="241" w:lineRule="auto"/>
        <w:rPr>
          <w:sz w:val="20"/>
          <w:szCs w:val="20"/>
          <w:color w:val="auto"/>
        </w:rPr>
      </w:pPr>
      <w:r>
        <w:rPr>
          <w:rFonts w:ascii="Arial" w:cs="Arial" w:eastAsia="Arial" w:hAnsi="Arial"/>
          <w:sz w:val="16"/>
          <w:szCs w:val="16"/>
          <w:color w:val="auto"/>
        </w:rPr>
        <w:t>In the case of current or former members of the registrant's board of directors, there shall be no entitlement to reimbursement as referred to above for (i) any liability incurred to the registrant or any associated company,(ii) the payment of a fine imposed in any criminal proceeding or a penalty imposed by a regulatory authority for non-compliance with any requirement of a regulatory nature, (iii) 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188" w:lineRule="exact"/>
        <w:rPr>
          <w:sz w:val="20"/>
          <w:szCs w:val="20"/>
          <w:color w:val="auto"/>
        </w:rPr>
      </w:pPr>
    </w:p>
    <w:p>
      <w:pPr>
        <w:ind w:right="540" w:firstLine="442"/>
        <w:spacing w:after="0" w:line="249" w:lineRule="auto"/>
        <w:rPr>
          <w:sz w:val="20"/>
          <w:szCs w:val="20"/>
          <w:color w:val="auto"/>
        </w:rPr>
      </w:pPr>
      <w:r>
        <w:rPr>
          <w:rFonts w:ascii="Arial" w:cs="Arial" w:eastAsia="Arial" w:hAnsi="Arial"/>
          <w:sz w:val="16"/>
          <w:szCs w:val="16"/>
          <w:color w:val="auto"/>
        </w:rPr>
        <w:t>In addition, members of the registrant's board of directors and its officers who have received payment from the registrant under these indemnification provisions must repay the amount they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12" w:name="page313"/>
    <w:bookmarkEnd w:id="312"/>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ind w:left="2" w:right="180"/>
        <w:spacing w:after="0" w:line="249" w:lineRule="auto"/>
        <w:rPr>
          <w:sz w:val="20"/>
          <w:szCs w:val="20"/>
          <w:color w:val="auto"/>
        </w:rPr>
      </w:pPr>
      <w:r>
        <w:rPr>
          <w:rFonts w:ascii="Arial" w:cs="Arial" w:eastAsia="Arial" w:hAnsi="Arial"/>
          <w:sz w:val="16"/>
          <w:szCs w:val="16"/>
          <w:color w:val="auto"/>
        </w:rPr>
        <w:t>received in accordance with the Statutes or in any other circumstances that the registrant may prescribe or where the registrant has reserved the right to require repayment.</w:t>
      </w:r>
    </w:p>
    <w:p>
      <w:pPr>
        <w:spacing w:after="0" w:line="181" w:lineRule="exact"/>
        <w:rPr>
          <w:sz w:val="20"/>
          <w:szCs w:val="20"/>
          <w:color w:val="auto"/>
        </w:rPr>
      </w:pPr>
    </w:p>
    <w:p>
      <w:pPr>
        <w:ind w:left="2" w:right="140" w:firstLine="439"/>
        <w:spacing w:after="0" w:line="249" w:lineRule="auto"/>
        <w:rPr>
          <w:sz w:val="20"/>
          <w:szCs w:val="20"/>
          <w:color w:val="auto"/>
        </w:rPr>
      </w:pPr>
      <w:r>
        <w:rPr>
          <w:rFonts w:ascii="Arial" w:cs="Arial" w:eastAsia="Arial" w:hAnsi="Arial"/>
          <w:sz w:val="16"/>
          <w:szCs w:val="16"/>
          <w:color w:val="auto"/>
        </w:rPr>
        <w:t>The underwriting agreement the registrant will enter into in connection with the offering of ADSs being registered hereby provides that the underwriters will indemnify, under certain conditions, the registrant's board of directors and its officers against certain liabilities arising in connection with this offering.</w:t>
      </w:r>
    </w:p>
    <w:p>
      <w:pPr>
        <w:spacing w:after="0" w:line="161"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1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 Securities</w:t>
      </w:r>
    </w:p>
    <w:p>
      <w:pPr>
        <w:ind w:left="2"/>
        <w:spacing w:after="0"/>
        <w:rPr>
          <w:sz w:val="20"/>
          <w:szCs w:val="20"/>
          <w:color w:val="auto"/>
        </w:rPr>
      </w:pPr>
      <w:r>
        <w:rPr>
          <w:rFonts w:ascii="Arial" w:cs="Arial" w:eastAsia="Arial" w:hAnsi="Arial"/>
          <w:sz w:val="16"/>
          <w:szCs w:val="16"/>
          <w:color w:val="auto"/>
        </w:rPr>
        <w:t>Act:</w:t>
      </w:r>
    </w:p>
    <w:p>
      <w:pPr>
        <w:spacing w:after="0" w:line="179" w:lineRule="exact"/>
        <w:rPr>
          <w:sz w:val="20"/>
          <w:szCs w:val="20"/>
          <w:color w:val="auto"/>
        </w:rPr>
      </w:pPr>
    </w:p>
    <w:p>
      <w:pPr>
        <w:ind w:left="422" w:hanging="422"/>
        <w:spacing w:after="0"/>
        <w:tabs>
          <w:tab w:leader="none" w:pos="422" w:val="left"/>
        </w:tabs>
        <w:numPr>
          <w:ilvl w:val="0"/>
          <w:numId w:val="162"/>
        </w:numPr>
        <w:rPr>
          <w:rFonts w:ascii="Arial" w:cs="Arial" w:eastAsia="Arial" w:hAnsi="Arial"/>
          <w:sz w:val="16"/>
          <w:szCs w:val="16"/>
          <w:i w:val="1"/>
          <w:iCs w:val="1"/>
          <w:color w:val="auto"/>
        </w:rPr>
      </w:pPr>
      <w:r>
        <w:rPr>
          <w:rFonts w:ascii="Arial" w:cs="Arial" w:eastAsia="Arial" w:hAnsi="Arial"/>
          <w:sz w:val="16"/>
          <w:szCs w:val="16"/>
          <w:i w:val="1"/>
          <w:iCs w:val="1"/>
          <w:color w:val="auto"/>
        </w:rPr>
        <w:t>Issuances of Share Capital</w:t>
      </w:r>
    </w:p>
    <w:p>
      <w:pPr>
        <w:spacing w:after="0" w:line="211" w:lineRule="exact"/>
        <w:rPr>
          <w:sz w:val="20"/>
          <w:szCs w:val="20"/>
          <w:color w:val="auto"/>
        </w:rPr>
      </w:pPr>
    </w:p>
    <w:p>
      <w:pPr>
        <w:ind w:left="442"/>
        <w:spacing w:after="0"/>
        <w:rPr>
          <w:sz w:val="20"/>
          <w:szCs w:val="20"/>
          <w:color w:val="auto"/>
        </w:rPr>
      </w:pPr>
      <w:r>
        <w:rPr>
          <w:rFonts w:ascii="Arial" w:cs="Arial" w:eastAsia="Arial" w:hAnsi="Arial"/>
          <w:sz w:val="16"/>
          <w:szCs w:val="16"/>
          <w:color w:val="auto"/>
        </w:rPr>
        <w:t>On October 3, 2016, we issued 406,001 Series A preferred shares to seven investors for an aggregate subscription price of £4,060,010.</w:t>
      </w:r>
    </w:p>
    <w:p>
      <w:pPr>
        <w:spacing w:after="0" w:line="19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On May 26, 2017, we issued warrants to subscribe for up to 200,000 Series A preferred shares to five investors with an exercise price of £0.01 per share.</w:t>
      </w:r>
    </w:p>
    <w:p>
      <w:pPr>
        <w:spacing w:after="0" w:line="19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On May 26, 2017, we issued 3,562,583 Series B1 preferred shares to eight investors for an aggregate subscription price of £39,999,969.41.</w:t>
      </w:r>
    </w:p>
    <w:p>
      <w:pPr>
        <w:spacing w:after="0" w:line="195" w:lineRule="exact"/>
        <w:rPr>
          <w:sz w:val="20"/>
          <w:szCs w:val="20"/>
          <w:color w:val="auto"/>
        </w:rPr>
      </w:pPr>
    </w:p>
    <w:p>
      <w:pPr>
        <w:ind w:left="442"/>
        <w:spacing w:after="0"/>
        <w:rPr>
          <w:sz w:val="20"/>
          <w:szCs w:val="20"/>
          <w:color w:val="auto"/>
        </w:rPr>
      </w:pPr>
      <w:r>
        <w:rPr>
          <w:rFonts w:ascii="Arial" w:cs="Arial" w:eastAsia="Arial" w:hAnsi="Arial"/>
          <w:sz w:val="15"/>
          <w:szCs w:val="15"/>
          <w:color w:val="auto"/>
        </w:rPr>
        <w:t>On May 26, 2017 we issued warrants to subscribe for up to 627,903 Series B1 preferred shares to three investors with an exercise price of £0.01 per share.</w:t>
      </w:r>
    </w:p>
    <w:p>
      <w:pPr>
        <w:spacing w:after="0" w:line="207" w:lineRule="exact"/>
        <w:rPr>
          <w:sz w:val="20"/>
          <w:szCs w:val="20"/>
          <w:color w:val="auto"/>
        </w:rPr>
      </w:pPr>
    </w:p>
    <w:p>
      <w:pPr>
        <w:ind w:left="442"/>
        <w:spacing w:after="0"/>
        <w:rPr>
          <w:sz w:val="20"/>
          <w:szCs w:val="20"/>
          <w:color w:val="auto"/>
        </w:rPr>
      </w:pPr>
      <w:r>
        <w:rPr>
          <w:rFonts w:ascii="Arial" w:cs="Arial" w:eastAsia="Arial" w:hAnsi="Arial"/>
          <w:sz w:val="16"/>
          <w:szCs w:val="16"/>
          <w:color w:val="auto"/>
        </w:rPr>
        <w:t>On October 27, 2017, we issued 384,615 Series B1 preferred shares to one investor for an aggregate subscription price of £4,999,995.</w:t>
      </w:r>
    </w:p>
    <w:p>
      <w:pPr>
        <w:spacing w:after="0" w:line="195" w:lineRule="exact"/>
        <w:rPr>
          <w:sz w:val="20"/>
          <w:szCs w:val="20"/>
          <w:color w:val="auto"/>
        </w:rPr>
      </w:pPr>
    </w:p>
    <w:p>
      <w:pPr>
        <w:ind w:left="2" w:right="140" w:firstLine="442"/>
        <w:spacing w:after="0" w:line="249" w:lineRule="auto"/>
        <w:rPr>
          <w:sz w:val="20"/>
          <w:szCs w:val="20"/>
          <w:color w:val="auto"/>
        </w:rPr>
      </w:pPr>
      <w:r>
        <w:rPr>
          <w:rFonts w:ascii="Arial" w:cs="Arial" w:eastAsia="Arial" w:hAnsi="Arial"/>
          <w:sz w:val="16"/>
          <w:szCs w:val="16"/>
          <w:color w:val="auto"/>
        </w:rPr>
        <w:t>On October 27, 2017, we issued warrants to subscribe for up to 115,384 Series B1 preferred shares to a new unaffiliated investor with an exercise price of £0.01 per share.</w:t>
      </w:r>
    </w:p>
    <w:p>
      <w:pPr>
        <w:spacing w:after="0" w:line="181" w:lineRule="exact"/>
        <w:rPr>
          <w:sz w:val="20"/>
          <w:szCs w:val="20"/>
          <w:color w:val="auto"/>
        </w:rPr>
      </w:pPr>
    </w:p>
    <w:p>
      <w:pPr>
        <w:ind w:left="442"/>
        <w:spacing w:after="0"/>
        <w:rPr>
          <w:sz w:val="20"/>
          <w:szCs w:val="20"/>
          <w:color w:val="auto"/>
        </w:rPr>
      </w:pPr>
      <w:r>
        <w:rPr>
          <w:rFonts w:ascii="Arial" w:cs="Arial" w:eastAsia="Arial" w:hAnsi="Arial"/>
          <w:sz w:val="16"/>
          <w:szCs w:val="16"/>
          <w:color w:val="auto"/>
        </w:rPr>
        <w:t>On December 17, 2018, we issued 251,904 ordinary shares to existing employees for an aggregate of £2,519.04.</w:t>
      </w:r>
    </w:p>
    <w:p>
      <w:pPr>
        <w:spacing w:after="0" w:line="19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On December 20, 2018, we issued 1,323,248 Series B2 preferred shares to three investors for an aggregate subscription price of £20,576,506.40.</w:t>
      </w:r>
    </w:p>
    <w:p>
      <w:pPr>
        <w:spacing w:after="0" w:line="19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On January 3, 2019, we issued 80,385 Series B2 preferred shares to one investor for an aggregate subscription price of £1,249,986.75.</w:t>
      </w:r>
    </w:p>
    <w:p>
      <w:pPr>
        <w:spacing w:after="0" w:line="195" w:lineRule="exact"/>
        <w:rPr>
          <w:sz w:val="20"/>
          <w:szCs w:val="20"/>
          <w:color w:val="auto"/>
        </w:rPr>
      </w:pPr>
    </w:p>
    <w:p>
      <w:pPr>
        <w:ind w:left="2" w:firstLine="439"/>
        <w:spacing w:after="0"/>
        <w:rPr>
          <w:sz w:val="20"/>
          <w:szCs w:val="20"/>
          <w:color w:val="auto"/>
        </w:rPr>
      </w:pPr>
      <w:r>
        <w:rPr>
          <w:rFonts w:ascii="Arial" w:cs="Arial" w:eastAsia="Arial" w:hAnsi="Arial"/>
          <w:sz w:val="16"/>
          <w:szCs w:val="16"/>
          <w:color w:val="auto"/>
        </w:rPr>
        <w:t>The sales of securities described above were deemed to be exempt from registration pursuant to Section 4(a)(2) of the Securities Act, including Regulation D and Rule 506 promulgated thereunder, as transactions by an issuer not involving a public offering, or pursuant to Regulation S promulgated under the Securities Act in that offers, sales and issuances were not made to persons in the United States and no directed selling efforts were made in the United States.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19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142" w:right="259" w:bottom="1440" w:gutter="0" w:footer="0" w:header="0"/>
        </w:sectPr>
      </w:pPr>
    </w:p>
    <w:bookmarkStart w:id="313" w:name="page314"/>
    <w:bookmarkEnd w:id="313"/>
    <w:p>
      <w:pPr>
        <w:ind w:left="2"/>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9" w:lineRule="exact"/>
        <w:rPr>
          <w:sz w:val="20"/>
          <w:szCs w:val="20"/>
          <w:color w:val="auto"/>
        </w:rPr>
      </w:pPr>
    </w:p>
    <w:p>
      <w:pPr>
        <w:ind w:left="422" w:hanging="422"/>
        <w:spacing w:after="0"/>
        <w:tabs>
          <w:tab w:leader="none" w:pos="422" w:val="left"/>
        </w:tabs>
        <w:numPr>
          <w:ilvl w:val="0"/>
          <w:numId w:val="163"/>
        </w:numPr>
        <w:rPr>
          <w:rFonts w:ascii="Arial" w:cs="Arial" w:eastAsia="Arial" w:hAnsi="Arial"/>
          <w:sz w:val="16"/>
          <w:szCs w:val="16"/>
          <w:i w:val="1"/>
          <w:iCs w:val="1"/>
          <w:color w:val="auto"/>
        </w:rPr>
      </w:pPr>
      <w:r>
        <w:rPr>
          <w:rFonts w:ascii="Arial" w:cs="Arial" w:eastAsia="Arial" w:hAnsi="Arial"/>
          <w:sz w:val="16"/>
          <w:szCs w:val="16"/>
          <w:i w:val="1"/>
          <w:iCs w:val="1"/>
          <w:color w:val="auto"/>
        </w:rPr>
        <w:t>Grants and Exercises of Options and Restricted Share Awards</w:t>
      </w:r>
    </w:p>
    <w:p>
      <w:pPr>
        <w:spacing w:after="0" w:line="211" w:lineRule="exact"/>
        <w:rPr>
          <w:sz w:val="20"/>
          <w:szCs w:val="20"/>
          <w:color w:val="auto"/>
        </w:rPr>
      </w:pPr>
    </w:p>
    <w:p>
      <w:pPr>
        <w:ind w:left="2" w:right="200" w:firstLine="442"/>
        <w:spacing w:after="0" w:line="249" w:lineRule="auto"/>
        <w:rPr>
          <w:sz w:val="20"/>
          <w:szCs w:val="20"/>
          <w:color w:val="auto"/>
        </w:rPr>
      </w:pPr>
      <w:r>
        <w:rPr>
          <w:rFonts w:ascii="Arial" w:cs="Arial" w:eastAsia="Arial" w:hAnsi="Arial"/>
          <w:sz w:val="16"/>
          <w:szCs w:val="16"/>
          <w:color w:val="auto"/>
        </w:rPr>
        <w:t>From December 2015 to December 2018, we issued share options to subscribe for an aggregate of 781,537 ordinary shares, with exercise prices ranging from £0.01 to £2.83 per ordinary share, to employees and directors.</w:t>
      </w:r>
    </w:p>
    <w:p>
      <w:pPr>
        <w:spacing w:after="0" w:line="181" w:lineRule="exact"/>
        <w:rPr>
          <w:sz w:val="20"/>
          <w:szCs w:val="20"/>
          <w:color w:val="auto"/>
        </w:rPr>
      </w:pPr>
    </w:p>
    <w:p>
      <w:pPr>
        <w:ind w:left="2" w:right="220" w:firstLine="442"/>
        <w:spacing w:after="0" w:line="249" w:lineRule="auto"/>
        <w:rPr>
          <w:sz w:val="20"/>
          <w:szCs w:val="20"/>
          <w:color w:val="auto"/>
        </w:rPr>
      </w:pPr>
      <w:r>
        <w:rPr>
          <w:rFonts w:ascii="Arial" w:cs="Arial" w:eastAsia="Arial" w:hAnsi="Arial"/>
          <w:sz w:val="16"/>
          <w:szCs w:val="16"/>
          <w:color w:val="auto"/>
        </w:rPr>
        <w:t>From December 2015 to December 2018, we issued 36,658 ordinary shares to individuals upon exercise of options for an aggregate subscription price of £366.58.</w:t>
      </w:r>
    </w:p>
    <w:p>
      <w:pPr>
        <w:spacing w:after="0" w:line="181" w:lineRule="exact"/>
        <w:rPr>
          <w:sz w:val="20"/>
          <w:szCs w:val="20"/>
          <w:color w:val="auto"/>
        </w:rPr>
      </w:pPr>
    </w:p>
    <w:p>
      <w:pPr>
        <w:ind w:left="2" w:right="600" w:firstLine="442"/>
        <w:spacing w:after="0" w:line="249" w:lineRule="auto"/>
        <w:rPr>
          <w:sz w:val="20"/>
          <w:szCs w:val="20"/>
          <w:color w:val="auto"/>
        </w:rPr>
      </w:pPr>
      <w:r>
        <w:rPr>
          <w:rFonts w:ascii="Arial" w:cs="Arial" w:eastAsia="Arial" w:hAnsi="Arial"/>
          <w:sz w:val="16"/>
          <w:szCs w:val="16"/>
          <w:color w:val="auto"/>
        </w:rPr>
        <w:t>From December 2015 to December 2018, we issued 403,333 ordinary shares to individuals pursuant to share vesting agreements, for an aggregate subscription price of £4,033.33.</w:t>
      </w:r>
    </w:p>
    <w:p>
      <w:pPr>
        <w:spacing w:after="0" w:line="181" w:lineRule="exact"/>
        <w:rPr>
          <w:sz w:val="20"/>
          <w:szCs w:val="20"/>
          <w:color w:val="auto"/>
        </w:rPr>
      </w:pPr>
    </w:p>
    <w:p>
      <w:pPr>
        <w:ind w:left="2" w:firstLine="439"/>
        <w:spacing w:after="0" w:line="242" w:lineRule="auto"/>
        <w:rPr>
          <w:sz w:val="20"/>
          <w:szCs w:val="20"/>
          <w:color w:val="auto"/>
        </w:rPr>
      </w:pPr>
      <w:r>
        <w:rPr>
          <w:rFonts w:ascii="Arial" w:cs="Arial" w:eastAsia="Arial" w:hAnsi="Arial"/>
          <w:sz w:val="16"/>
          <w:szCs w:val="16"/>
          <w:color w:val="auto"/>
        </w:rPr>
        <w:t>The issuances of the securities described above were deemed to be exempt from registration pursuant to Section 4(a)(2) of the Securities Act or Rule 701 promulgated under the Securities Act as transactions pursuant to compensatory benefit plans, or pursuant to Regulation S promulgated under the Securities Act in that offers, sales and issuances were not made to persons in the United States and no directed selling efforts were made in the United States. The ordinary shares issued upon the exercise of options are deemed to be restricted securities for purposes of the Securities Act.</w:t>
      </w:r>
    </w:p>
    <w:p>
      <w:pPr>
        <w:spacing w:after="0" w:line="187" w:lineRule="exact"/>
        <w:rPr>
          <w:sz w:val="20"/>
          <w:szCs w:val="20"/>
          <w:color w:val="auto"/>
        </w:rPr>
      </w:pPr>
    </w:p>
    <w:p>
      <w:pPr>
        <w:ind w:left="2" w:right="240" w:firstLine="433"/>
        <w:spacing w:after="0" w:line="244" w:lineRule="auto"/>
        <w:rPr>
          <w:sz w:val="20"/>
          <w:szCs w:val="20"/>
          <w:color w:val="auto"/>
        </w:rPr>
      </w:pPr>
      <w:r>
        <w:rPr>
          <w:rFonts w:ascii="Arial" w:cs="Arial" w:eastAsia="Arial" w:hAnsi="Arial"/>
          <w:sz w:val="16"/>
          <w:szCs w:val="16"/>
          <w:color w:val="auto"/>
        </w:rPr>
        <w:t>All certificates representing the securities issued in the transactions described in this Item 15 included appropriate legends setting forth that the securities had not been offered or sold pursuant to a registration statement and describing the applicable restrictions on transfer of the securities. There were no underwriters employed in connection with any of the transactions set forth in this Item 15.</w:t>
      </w:r>
    </w:p>
    <w:p>
      <w:pPr>
        <w:spacing w:after="0" w:line="165"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99" w:lineRule="exact"/>
        <w:rPr>
          <w:sz w:val="20"/>
          <w:szCs w:val="20"/>
          <w:color w:val="auto"/>
        </w:rPr>
      </w:pPr>
    </w:p>
    <w:p>
      <w:pPr>
        <w:ind w:left="422" w:hanging="422"/>
        <w:spacing w:after="0"/>
        <w:tabs>
          <w:tab w:leader="none" w:pos="422" w:val="left"/>
        </w:tabs>
        <w:numPr>
          <w:ilvl w:val="0"/>
          <w:numId w:val="164"/>
        </w:numPr>
        <w:rPr>
          <w:rFonts w:ascii="Arial" w:cs="Arial" w:eastAsia="Arial" w:hAnsi="Arial"/>
          <w:sz w:val="16"/>
          <w:szCs w:val="16"/>
          <w:i w:val="1"/>
          <w:iCs w:val="1"/>
          <w:color w:val="auto"/>
        </w:rPr>
      </w:pPr>
      <w:r>
        <w:rPr>
          <w:rFonts w:ascii="Arial" w:cs="Arial" w:eastAsia="Arial" w:hAnsi="Arial"/>
          <w:sz w:val="16"/>
          <w:szCs w:val="16"/>
          <w:i w:val="1"/>
          <w:iCs w:val="1"/>
          <w:color w:val="auto"/>
        </w:rPr>
        <w:t>Exhibits:</w:t>
      </w:r>
    </w:p>
    <w:p>
      <w:pPr>
        <w:spacing w:after="0" w:line="190" w:lineRule="exact"/>
        <w:rPr>
          <w:sz w:val="20"/>
          <w:szCs w:val="20"/>
          <w:color w:val="auto"/>
        </w:rPr>
      </w:pPr>
    </w:p>
    <w:tbl>
      <w:tblPr>
        <w:tblLayout w:type="fixed"/>
        <w:tblInd w:w="1142" w:type="dxa"/>
        <w:tblCellMar>
          <w:top w:w="0" w:type="dxa"/>
          <w:left w:w="0" w:type="dxa"/>
          <w:bottom w:w="0" w:type="dxa"/>
          <w:right w:w="0" w:type="dxa"/>
        </w:tblCellMar>
      </w:tblPr>
      <w:tr>
        <w:trPr>
          <w:trHeight w:val="184"/>
        </w:trPr>
        <w:tc>
          <w:tcPr>
            <w:tcW w:w="9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Exhibit</w:t>
            </w:r>
          </w:p>
        </w:tc>
        <w:tc>
          <w:tcPr>
            <w:tcW w:w="14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5"/>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w:t>
            </w:r>
          </w:p>
        </w:tc>
        <w:tc>
          <w:tcPr>
            <w:tcW w:w="30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6760" w:type="dxa"/>
            <w:vAlign w:val="bottom"/>
            <w:tcBorders>
              <w:bottom w:val="single" w:sz="8" w:color="auto"/>
            </w:tcBorders>
            <w:gridSpan w:val="5"/>
          </w:tcPr>
          <w:p>
            <w:pPr>
              <w:ind w:left="1820"/>
              <w:spacing w:after="0"/>
              <w:rPr>
                <w:sz w:val="20"/>
                <w:szCs w:val="20"/>
                <w:color w:val="auto"/>
              </w:rPr>
            </w:pPr>
            <w:r>
              <w:rPr>
                <w:rFonts w:ascii="Arial" w:cs="Arial" w:eastAsia="Arial" w:hAnsi="Arial"/>
                <w:sz w:val="16"/>
                <w:szCs w:val="16"/>
                <w:b w:val="1"/>
                <w:bCs w:val="1"/>
                <w:color w:val="auto"/>
              </w:rPr>
              <w:t>Description of exhibit</w:t>
            </w:r>
          </w:p>
        </w:tc>
      </w:tr>
      <w:tr>
        <w:trPr>
          <w:trHeight w:val="195"/>
        </w:trPr>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8200" w:type="dxa"/>
            <w:vAlign w:val="bottom"/>
            <w:gridSpan w:val="6"/>
          </w:tcPr>
          <w:p>
            <w:pPr>
              <w:spacing w:after="0"/>
              <w:rPr>
                <w:sz w:val="20"/>
                <w:szCs w:val="20"/>
                <w:color w:val="auto"/>
              </w:rPr>
            </w:pPr>
            <w:r>
              <w:rPr>
                <w:rFonts w:ascii="Arial" w:cs="Arial" w:eastAsia="Arial" w:hAnsi="Arial"/>
                <w:sz w:val="16"/>
                <w:szCs w:val="16"/>
                <w:color w:val="auto"/>
              </w:rPr>
              <w:t>Form of Underwriting Agreement.</w:t>
            </w:r>
          </w:p>
        </w:tc>
      </w:tr>
      <w:tr>
        <w:trPr>
          <w:trHeight w:val="331"/>
        </w:trPr>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Arial" w:cs="Arial" w:eastAsia="Arial" w:hAnsi="Arial"/>
                <w:sz w:val="16"/>
                <w:szCs w:val="16"/>
                <w:color w:val="0000EE"/>
              </w:rPr>
              <w:t>Articles of Association of Bicycle Therapeutics Limited, as currently in effect.</w:t>
            </w:r>
          </w:p>
        </w:tc>
      </w:tr>
      <w:tr>
        <w:trPr>
          <w:trHeight w:val="20"/>
        </w:trPr>
        <w:tc>
          <w:tcPr>
            <w:tcW w:w="960" w:type="dxa"/>
            <w:vAlign w:val="bottom"/>
            <w:gridSpan w:val="2"/>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83"/>
        </w:trPr>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3.2*</w:t>
            </w:r>
          </w:p>
        </w:tc>
        <w:tc>
          <w:tcPr>
            <w:tcW w:w="8200" w:type="dxa"/>
            <w:vAlign w:val="bottom"/>
            <w:gridSpan w:val="6"/>
          </w:tcPr>
          <w:p>
            <w:pPr>
              <w:spacing w:after="0"/>
              <w:rPr>
                <w:sz w:val="20"/>
                <w:szCs w:val="20"/>
                <w:color w:val="auto"/>
              </w:rPr>
            </w:pPr>
            <w:r>
              <w:rPr>
                <w:rFonts w:ascii="Arial" w:cs="Arial" w:eastAsia="Arial" w:hAnsi="Arial"/>
                <w:sz w:val="16"/>
                <w:szCs w:val="16"/>
                <w:color w:val="auto"/>
              </w:rPr>
              <w:t>Form of Articles of Association of the registrant (to be effective upon the closing of this offering).</w:t>
            </w:r>
          </w:p>
        </w:tc>
      </w:tr>
      <w:tr>
        <w:trPr>
          <w:trHeight w:val="367"/>
        </w:trPr>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4.1*</w:t>
            </w:r>
          </w:p>
        </w:tc>
        <w:tc>
          <w:tcPr>
            <w:tcW w:w="8200" w:type="dxa"/>
            <w:vAlign w:val="bottom"/>
            <w:gridSpan w:val="6"/>
          </w:tcPr>
          <w:p>
            <w:pPr>
              <w:spacing w:after="0"/>
              <w:rPr>
                <w:sz w:val="20"/>
                <w:szCs w:val="20"/>
                <w:color w:val="auto"/>
              </w:rPr>
            </w:pPr>
            <w:r>
              <w:rPr>
                <w:rFonts w:ascii="Arial" w:cs="Arial" w:eastAsia="Arial" w:hAnsi="Arial"/>
                <w:sz w:val="16"/>
                <w:szCs w:val="16"/>
                <w:color w:val="auto"/>
              </w:rPr>
              <w:t>Form of Deposit Agreement.</w:t>
            </w:r>
          </w:p>
        </w:tc>
      </w:tr>
      <w:tr>
        <w:trPr>
          <w:trHeight w:val="367"/>
        </w:trPr>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4.2*</w:t>
            </w:r>
          </w:p>
        </w:tc>
        <w:tc>
          <w:tcPr>
            <w:tcW w:w="8200" w:type="dxa"/>
            <w:vAlign w:val="bottom"/>
            <w:gridSpan w:val="6"/>
          </w:tcPr>
          <w:p>
            <w:pPr>
              <w:spacing w:after="0"/>
              <w:rPr>
                <w:sz w:val="20"/>
                <w:szCs w:val="20"/>
                <w:color w:val="auto"/>
              </w:rPr>
            </w:pPr>
            <w:r>
              <w:rPr>
                <w:rFonts w:ascii="Arial" w:cs="Arial" w:eastAsia="Arial" w:hAnsi="Arial"/>
                <w:sz w:val="16"/>
                <w:szCs w:val="16"/>
                <w:color w:val="auto"/>
              </w:rPr>
              <w:t>Form of American Depositary Receipt (included in Exhibit 4.1).</w:t>
            </w:r>
          </w:p>
        </w:tc>
      </w:tr>
      <w:tr>
        <w:trPr>
          <w:trHeight w:val="367"/>
        </w:trPr>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5.1*</w:t>
            </w:r>
          </w:p>
        </w:tc>
        <w:tc>
          <w:tcPr>
            <w:tcW w:w="8200" w:type="dxa"/>
            <w:vAlign w:val="bottom"/>
            <w:gridSpan w:val="6"/>
          </w:tcPr>
          <w:p>
            <w:pPr>
              <w:spacing w:after="0"/>
              <w:rPr>
                <w:sz w:val="20"/>
                <w:szCs w:val="20"/>
                <w:color w:val="auto"/>
              </w:rPr>
            </w:pPr>
            <w:r>
              <w:rPr>
                <w:rFonts w:ascii="Arial" w:cs="Arial" w:eastAsia="Arial" w:hAnsi="Arial"/>
                <w:sz w:val="16"/>
                <w:szCs w:val="16"/>
                <w:color w:val="auto"/>
              </w:rPr>
              <w:t>Opinion of Goodwin Procter (UK) LLP.</w:t>
            </w:r>
          </w:p>
        </w:tc>
      </w:tr>
      <w:tr>
        <w:trPr>
          <w:trHeight w:val="331"/>
        </w:trPr>
        <w:tc>
          <w:tcPr>
            <w:tcW w:w="660" w:type="dxa"/>
            <w:vAlign w:val="bottom"/>
          </w:tcPr>
          <w:p>
            <w:pPr>
              <w:jc w:val="right"/>
              <w:spacing w:after="0"/>
              <w:rPr>
                <w:sz w:val="20"/>
                <w:szCs w:val="20"/>
                <w:color w:val="auto"/>
              </w:rPr>
            </w:pPr>
            <w:r>
              <w:rPr>
                <w:rFonts w:ascii="Arial" w:cs="Arial" w:eastAsia="Arial" w:hAnsi="Arial"/>
                <w:sz w:val="16"/>
                <w:szCs w:val="16"/>
                <w:color w:val="auto"/>
              </w:rPr>
              <w:t>10.1</w:t>
            </w:r>
          </w:p>
        </w:tc>
        <w:tc>
          <w:tcPr>
            <w:tcW w:w="300" w:type="dxa"/>
            <w:vAlign w:val="bottom"/>
          </w:tcPr>
          <w:p>
            <w:pPr>
              <w:spacing w:after="0"/>
              <w:rPr>
                <w:sz w:val="24"/>
                <w:szCs w:val="24"/>
                <w:color w:val="auto"/>
              </w:rPr>
            </w:pPr>
          </w:p>
        </w:tc>
        <w:tc>
          <w:tcPr>
            <w:tcW w:w="798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9"/>
              </w:rPr>
              <w:t>Registration Rights Agreement by and among Bicycle Therapeutics Limited and the Investors listed therein, dated</w:t>
            </w:r>
          </w:p>
        </w:tc>
        <w:tc>
          <w:tcPr>
            <w:tcW w:w="220" w:type="dxa"/>
            <w:vAlign w:val="bottom"/>
          </w:tcPr>
          <w:p>
            <w:pPr>
              <w:spacing w:after="0"/>
              <w:rPr>
                <w:sz w:val="24"/>
                <w:szCs w:val="24"/>
                <w:color w:val="auto"/>
              </w:rPr>
            </w:pPr>
          </w:p>
        </w:tc>
      </w:tr>
      <w:tr>
        <w:trPr>
          <w:trHeight w:val="163"/>
        </w:trPr>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Borders>
              <w:bottom w:val="single" w:sz="8" w:color="0000EE"/>
            </w:tcBorders>
          </w:tcPr>
          <w:p>
            <w:pPr>
              <w:spacing w:after="0" w:line="164" w:lineRule="exact"/>
              <w:rPr>
                <w:sz w:val="20"/>
                <w:szCs w:val="20"/>
                <w:color w:val="auto"/>
              </w:rPr>
            </w:pPr>
            <w:r>
              <w:rPr>
                <w:rFonts w:ascii="Arial" w:cs="Arial" w:eastAsia="Arial" w:hAnsi="Arial"/>
                <w:sz w:val="16"/>
                <w:szCs w:val="16"/>
                <w:color w:val="0000EE"/>
                <w:w w:val="97"/>
              </w:rPr>
              <w:t>December 21, 2018.</w:t>
            </w:r>
          </w:p>
        </w:tc>
        <w:tc>
          <w:tcPr>
            <w:tcW w:w="6760" w:type="dxa"/>
            <w:vAlign w:val="bottom"/>
            <w:gridSpan w:val="5"/>
          </w:tcPr>
          <w:p>
            <w:pPr>
              <w:spacing w:after="0"/>
              <w:rPr>
                <w:sz w:val="14"/>
                <w:szCs w:val="14"/>
                <w:color w:val="auto"/>
              </w:rPr>
            </w:pPr>
          </w:p>
        </w:tc>
      </w:tr>
      <w:tr>
        <w:trPr>
          <w:trHeight w:val="347"/>
        </w:trPr>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10.2#</w:t>
            </w:r>
          </w:p>
        </w:tc>
        <w:tc>
          <w:tcPr>
            <w:tcW w:w="630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9"/>
              </w:rPr>
              <w:t>Form of Share Option Contract of Bicycle Therapeutics Limited for employees in England.</w:t>
            </w:r>
          </w:p>
        </w:tc>
        <w:tc>
          <w:tcPr>
            <w:tcW w:w="1900" w:type="dxa"/>
            <w:vAlign w:val="bottom"/>
            <w:gridSpan w:val="3"/>
          </w:tcPr>
          <w:p>
            <w:pPr>
              <w:spacing w:after="0"/>
              <w:rPr>
                <w:sz w:val="24"/>
                <w:szCs w:val="24"/>
                <w:color w:val="auto"/>
              </w:rPr>
            </w:pPr>
          </w:p>
        </w:tc>
      </w:tr>
      <w:tr>
        <w:trPr>
          <w:trHeight w:val="347"/>
        </w:trPr>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10.3#</w:t>
            </w:r>
          </w:p>
        </w:tc>
        <w:tc>
          <w:tcPr>
            <w:tcW w:w="69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9"/>
              </w:rPr>
              <w:t>Form of Share Option Contract of Bicycle Therapeutics Limited for employees in the United States.</w:t>
            </w:r>
          </w:p>
        </w:tc>
        <w:tc>
          <w:tcPr>
            <w:tcW w:w="1260" w:type="dxa"/>
            <w:vAlign w:val="bottom"/>
            <w:gridSpan w:val="2"/>
          </w:tcPr>
          <w:p>
            <w:pPr>
              <w:spacing w:after="0"/>
              <w:rPr>
                <w:sz w:val="24"/>
                <w:szCs w:val="24"/>
                <w:color w:val="auto"/>
              </w:rPr>
            </w:pPr>
          </w:p>
        </w:tc>
      </w:tr>
      <w:tr>
        <w:trPr>
          <w:trHeight w:val="383"/>
        </w:trPr>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10.4*#</w:t>
            </w:r>
          </w:p>
        </w:tc>
        <w:tc>
          <w:tcPr>
            <w:tcW w:w="8200" w:type="dxa"/>
            <w:vAlign w:val="bottom"/>
            <w:gridSpan w:val="6"/>
          </w:tcPr>
          <w:p>
            <w:pPr>
              <w:spacing w:after="0"/>
              <w:rPr>
                <w:sz w:val="20"/>
                <w:szCs w:val="20"/>
                <w:color w:val="auto"/>
              </w:rPr>
            </w:pPr>
            <w:r>
              <w:rPr>
                <w:rFonts w:ascii="Arial" w:cs="Arial" w:eastAsia="Arial" w:hAnsi="Arial"/>
                <w:sz w:val="16"/>
                <w:szCs w:val="16"/>
                <w:color w:val="auto"/>
              </w:rPr>
              <w:t>Senior Executive Cash Incentive Bonus Plan.</w:t>
            </w:r>
          </w:p>
        </w:tc>
      </w:tr>
      <w:tr>
        <w:trPr>
          <w:trHeight w:val="367"/>
        </w:trPr>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10.5*#</w:t>
            </w:r>
          </w:p>
        </w:tc>
        <w:tc>
          <w:tcPr>
            <w:tcW w:w="8200" w:type="dxa"/>
            <w:vAlign w:val="bottom"/>
            <w:gridSpan w:val="6"/>
          </w:tcPr>
          <w:p>
            <w:pPr>
              <w:spacing w:after="0"/>
              <w:rPr>
                <w:sz w:val="20"/>
                <w:szCs w:val="20"/>
                <w:color w:val="auto"/>
              </w:rPr>
            </w:pPr>
            <w:r>
              <w:rPr>
                <w:rFonts w:ascii="Arial" w:cs="Arial" w:eastAsia="Arial" w:hAnsi="Arial"/>
                <w:sz w:val="16"/>
                <w:szCs w:val="16"/>
                <w:color w:val="auto"/>
              </w:rPr>
              <w:t>2018 Employee Stock Purchase Plan.</w:t>
            </w:r>
          </w:p>
        </w:tc>
      </w:tr>
    </w:tbl>
    <w:p>
      <w:pPr>
        <w:spacing w:after="0" w:line="37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42" w:right="239" w:bottom="1440" w:gutter="0" w:footer="0" w:header="0"/>
        </w:sectPr>
      </w:pPr>
    </w:p>
    <w:bookmarkStart w:id="314" w:name="page315"/>
    <w:bookmarkEnd w:id="314"/>
    <w:tbl>
      <w:tblPr>
        <w:tblLayout w:type="fixed"/>
        <w:tblInd w:w="2" w:type="dxa"/>
        <w:tblCellMar>
          <w:top w:w="0" w:type="dxa"/>
          <w:left w:w="0" w:type="dxa"/>
          <w:bottom w:w="0" w:type="dxa"/>
          <w:right w:w="0" w:type="dxa"/>
        </w:tblCellMar>
      </w:tblPr>
      <w:tr>
        <w:trPr>
          <w:trHeight w:val="184"/>
        </w:trPr>
        <w:tc>
          <w:tcPr>
            <w:tcW w:w="1240" w:type="dxa"/>
            <w:vAlign w:val="bottom"/>
            <w:tcBorders>
              <w:bottom w:val="single" w:sz="8" w:color="0000EE"/>
            </w:tcBorders>
            <w:gridSpan w:val="2"/>
          </w:tcPr>
          <w:p>
            <w:pPr>
              <w:spacing w:after="0"/>
              <w:rPr>
                <w:rFonts w:ascii="Arial" w:cs="Arial" w:eastAsia="Arial" w:hAnsi="Arial"/>
                <w:sz w:val="16"/>
                <w:szCs w:val="16"/>
                <w:color w:val="0000EE"/>
                <w:w w:val="96"/>
              </w:rPr>
            </w:pPr>
            <w:hyperlink w:anchor="page4">
              <w:r>
                <w:rPr>
                  <w:rFonts w:ascii="Arial" w:cs="Arial" w:eastAsia="Arial" w:hAnsi="Arial"/>
                  <w:sz w:val="16"/>
                  <w:szCs w:val="16"/>
                  <w:color w:val="0000EE"/>
                  <w:w w:val="96"/>
                </w:rPr>
                <w:t>Table of Contents</w:t>
              </w:r>
            </w:hyperlink>
          </w:p>
        </w:tc>
        <w:tc>
          <w:tcPr>
            <w:tcW w:w="8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66"/>
        </w:trPr>
        <w:tc>
          <w:tcPr>
            <w:tcW w:w="1140" w:type="dxa"/>
            <w:vAlign w:val="bottom"/>
          </w:tcPr>
          <w:p>
            <w:pPr>
              <w:spacing w:after="0"/>
              <w:rPr>
                <w:sz w:val="24"/>
                <w:szCs w:val="2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5"/>
        </w:trPr>
        <w:tc>
          <w:tcPr>
            <w:tcW w:w="114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number</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gridSpan w:val="9"/>
          </w:tcPr>
          <w:p>
            <w:pPr>
              <w:ind w:left="1220"/>
              <w:spacing w:after="0"/>
              <w:rPr>
                <w:sz w:val="20"/>
                <w:szCs w:val="20"/>
                <w:color w:val="auto"/>
              </w:rPr>
            </w:pPr>
            <w:r>
              <w:rPr>
                <w:rFonts w:ascii="Arial" w:cs="Arial" w:eastAsia="Arial" w:hAnsi="Arial"/>
                <w:sz w:val="16"/>
                <w:szCs w:val="16"/>
                <w:b w:val="1"/>
                <w:bCs w:val="1"/>
                <w:color w:val="auto"/>
              </w:rPr>
              <w:t>Description of exhibit</w:t>
            </w:r>
          </w:p>
        </w:tc>
      </w:tr>
      <w:tr>
        <w:trPr>
          <w:trHeight w:val="186"/>
        </w:trPr>
        <w:tc>
          <w:tcPr>
            <w:tcW w:w="2080" w:type="dxa"/>
            <w:vAlign w:val="bottom"/>
            <w:gridSpan w:val="4"/>
          </w:tcPr>
          <w:p>
            <w:pPr>
              <w:jc w:val="right"/>
              <w:ind w:right="120"/>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6"/>
                <w:szCs w:val="16"/>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rPr>
              <w:t>2019 Share Option and Incentive Plan and forms of award agreements thereunder (to be adopted prior to the</w:t>
            </w:r>
          </w:p>
        </w:tc>
      </w:tr>
      <w:tr>
        <w:trPr>
          <w:trHeight w:val="192"/>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rPr>
              <w:t>effectiveness of this registration statement).</w:t>
            </w:r>
          </w:p>
        </w:tc>
      </w:tr>
      <w:tr>
        <w:trPr>
          <w:trHeight w:val="358"/>
        </w:trPr>
        <w:tc>
          <w:tcPr>
            <w:tcW w:w="2080" w:type="dxa"/>
            <w:vAlign w:val="bottom"/>
            <w:gridSpan w:val="4"/>
          </w:tcPr>
          <w:p>
            <w:pPr>
              <w:jc w:val="right"/>
              <w:ind w:right="120"/>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24"/>
                <w:szCs w:val="24"/>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w w:val="99"/>
              </w:rPr>
              <w:t>Employment Agreement between the registrant and Kevin Lee, Ph.D., MBA, to be in effect upon the effectiveness of</w:t>
            </w:r>
          </w:p>
        </w:tc>
      </w:tr>
      <w:tr>
        <w:trPr>
          <w:trHeight w:val="192"/>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rPr>
              <w:t>this Registration Statement.</w:t>
            </w:r>
          </w:p>
        </w:tc>
      </w:tr>
      <w:tr>
        <w:trPr>
          <w:trHeight w:val="358"/>
        </w:trPr>
        <w:tc>
          <w:tcPr>
            <w:tcW w:w="2080" w:type="dxa"/>
            <w:vAlign w:val="bottom"/>
            <w:gridSpan w:val="4"/>
          </w:tcPr>
          <w:p>
            <w:pPr>
              <w:jc w:val="right"/>
              <w:ind w:right="120"/>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24"/>
                <w:szCs w:val="24"/>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w w:val="99"/>
              </w:rPr>
              <w:t>Employment Agreement between the registrant and Lee Kalowski, MBA, to be in effect upon the effectiveness of this</w:t>
            </w:r>
          </w:p>
        </w:tc>
      </w:tr>
      <w:tr>
        <w:trPr>
          <w:trHeight w:val="192"/>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rPr>
              <w:t>Registration Statement.</w:t>
            </w:r>
          </w:p>
        </w:tc>
      </w:tr>
      <w:tr>
        <w:trPr>
          <w:trHeight w:val="358"/>
        </w:trPr>
        <w:tc>
          <w:tcPr>
            <w:tcW w:w="2080" w:type="dxa"/>
            <w:vAlign w:val="bottom"/>
            <w:gridSpan w:val="4"/>
          </w:tcPr>
          <w:p>
            <w:pPr>
              <w:jc w:val="right"/>
              <w:ind w:right="120"/>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24"/>
                <w:szCs w:val="24"/>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w w:val="99"/>
              </w:rPr>
              <w:t>Employment Agreement between the registrant and Michael Skynner, Ph.D., to be in effect upon the effectiveness of</w:t>
            </w:r>
          </w:p>
        </w:tc>
      </w:tr>
      <w:tr>
        <w:trPr>
          <w:trHeight w:val="192"/>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rPr>
              <w:t>this Registration Statement.</w:t>
            </w:r>
          </w:p>
        </w:tc>
      </w:tr>
      <w:tr>
        <w:trPr>
          <w:trHeight w:val="358"/>
        </w:trPr>
        <w:tc>
          <w:tcPr>
            <w:tcW w:w="2080" w:type="dxa"/>
            <w:vAlign w:val="bottom"/>
            <w:gridSpan w:val="4"/>
          </w:tcPr>
          <w:p>
            <w:pPr>
              <w:jc w:val="right"/>
              <w:ind w:right="120"/>
              <w:spacing w:after="0"/>
              <w:rPr>
                <w:sz w:val="20"/>
                <w:szCs w:val="20"/>
                <w:color w:val="auto"/>
              </w:rPr>
            </w:pPr>
            <w:r>
              <w:rPr>
                <w:rFonts w:ascii="Arial" w:cs="Arial" w:eastAsia="Arial" w:hAnsi="Arial"/>
                <w:sz w:val="16"/>
                <w:szCs w:val="16"/>
                <w:color w:val="auto"/>
              </w:rPr>
              <w:t>10.10*#</w:t>
            </w:r>
          </w:p>
        </w:tc>
        <w:tc>
          <w:tcPr>
            <w:tcW w:w="20" w:type="dxa"/>
            <w:vAlign w:val="bottom"/>
          </w:tcPr>
          <w:p>
            <w:pPr>
              <w:spacing w:after="0"/>
              <w:rPr>
                <w:sz w:val="24"/>
                <w:szCs w:val="24"/>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rPr>
              <w:t>Employment Agreement between the registrant and Maria Koehler, M.D., Ph.D., to be in effect upon the</w:t>
            </w:r>
          </w:p>
        </w:tc>
      </w:tr>
      <w:tr>
        <w:trPr>
          <w:trHeight w:val="192"/>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rPr>
              <w:t>effectiveness of this Registration Statement.</w:t>
            </w:r>
          </w:p>
        </w:tc>
      </w:tr>
      <w:tr>
        <w:trPr>
          <w:trHeight w:val="358"/>
        </w:trPr>
        <w:tc>
          <w:tcPr>
            <w:tcW w:w="2080" w:type="dxa"/>
            <w:vAlign w:val="bottom"/>
            <w:gridSpan w:val="4"/>
          </w:tcPr>
          <w:p>
            <w:pPr>
              <w:jc w:val="right"/>
              <w:ind w:right="120"/>
              <w:spacing w:after="0"/>
              <w:rPr>
                <w:sz w:val="20"/>
                <w:szCs w:val="20"/>
                <w:color w:val="auto"/>
              </w:rPr>
            </w:pPr>
            <w:r>
              <w:rPr>
                <w:rFonts w:ascii="Arial" w:cs="Arial" w:eastAsia="Arial" w:hAnsi="Arial"/>
                <w:sz w:val="16"/>
                <w:szCs w:val="16"/>
                <w:color w:val="auto"/>
              </w:rPr>
              <w:t>10.11*#</w:t>
            </w:r>
          </w:p>
        </w:tc>
        <w:tc>
          <w:tcPr>
            <w:tcW w:w="20" w:type="dxa"/>
            <w:vAlign w:val="bottom"/>
          </w:tcPr>
          <w:p>
            <w:pPr>
              <w:spacing w:after="0"/>
              <w:rPr>
                <w:sz w:val="24"/>
                <w:szCs w:val="24"/>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rPr>
              <w:t>Employment Agreement between the registrant and Nicholas Keen, Ph.D., to be in effect upon the effectiveness of</w:t>
            </w:r>
          </w:p>
        </w:tc>
      </w:tr>
      <w:tr>
        <w:trPr>
          <w:trHeight w:val="192"/>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rPr>
              <w:t>this Registration Statement.</w:t>
            </w:r>
          </w:p>
        </w:tc>
      </w:tr>
      <w:tr>
        <w:trPr>
          <w:trHeight w:val="367"/>
        </w:trPr>
        <w:tc>
          <w:tcPr>
            <w:tcW w:w="2080" w:type="dxa"/>
            <w:vAlign w:val="bottom"/>
            <w:gridSpan w:val="4"/>
          </w:tcPr>
          <w:p>
            <w:pPr>
              <w:jc w:val="right"/>
              <w:ind w:right="120"/>
              <w:spacing w:after="0"/>
              <w:rPr>
                <w:sz w:val="20"/>
                <w:szCs w:val="20"/>
                <w:color w:val="auto"/>
              </w:rPr>
            </w:pPr>
            <w:r>
              <w:rPr>
                <w:rFonts w:ascii="Arial" w:cs="Arial" w:eastAsia="Arial" w:hAnsi="Arial"/>
                <w:sz w:val="16"/>
                <w:szCs w:val="16"/>
                <w:color w:val="auto"/>
              </w:rPr>
              <w:t>10.12*#</w:t>
            </w:r>
          </w:p>
        </w:tc>
        <w:tc>
          <w:tcPr>
            <w:tcW w:w="20" w:type="dxa"/>
            <w:vAlign w:val="bottom"/>
          </w:tcPr>
          <w:p>
            <w:pPr>
              <w:spacing w:after="0"/>
              <w:rPr>
                <w:sz w:val="24"/>
                <w:szCs w:val="24"/>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rPr>
              <w:t>Form of Deed of Indemnity between the registrant and each of its directors and executive officers.</w:t>
            </w:r>
          </w:p>
        </w:tc>
      </w:tr>
      <w:tr>
        <w:trPr>
          <w:trHeight w:val="331"/>
        </w:trPr>
        <w:tc>
          <w:tcPr>
            <w:tcW w:w="1800" w:type="dxa"/>
            <w:vAlign w:val="bottom"/>
            <w:gridSpan w:val="3"/>
          </w:tcPr>
          <w:p>
            <w:pPr>
              <w:jc w:val="right"/>
              <w:spacing w:after="0"/>
              <w:rPr>
                <w:sz w:val="20"/>
                <w:szCs w:val="20"/>
                <w:color w:val="auto"/>
              </w:rPr>
            </w:pPr>
            <w:r>
              <w:rPr>
                <w:rFonts w:ascii="Arial" w:cs="Arial" w:eastAsia="Arial" w:hAnsi="Arial"/>
                <w:sz w:val="16"/>
                <w:szCs w:val="16"/>
                <w:color w:val="auto"/>
              </w:rPr>
              <w:t>10.13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w w:val="98"/>
              </w:rPr>
              <w:t>Contract for the Sale of Leasehold Land with Vacant Possession, by and between Convergence Pharmaceuticals</w:t>
            </w:r>
          </w:p>
        </w:tc>
        <w:tc>
          <w:tcPr>
            <w:tcW w:w="260" w:type="dxa"/>
            <w:vAlign w:val="bottom"/>
            <w:gridSpan w:val="2"/>
          </w:tcPr>
          <w:p>
            <w:pPr>
              <w:spacing w:after="0"/>
              <w:rPr>
                <w:sz w:val="24"/>
                <w:szCs w:val="24"/>
                <w:color w:val="auto"/>
              </w:rPr>
            </w:pPr>
          </w:p>
        </w:tc>
      </w:tr>
      <w:tr>
        <w:trPr>
          <w:trHeight w:val="163"/>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40" w:type="dxa"/>
            <w:vAlign w:val="bottom"/>
            <w:tcBorders>
              <w:bottom w:val="single" w:sz="8" w:color="0000EE"/>
            </w:tcBorders>
            <w:gridSpan w:val="9"/>
          </w:tcPr>
          <w:p>
            <w:pPr>
              <w:spacing w:after="0" w:line="164" w:lineRule="exact"/>
              <w:rPr>
                <w:sz w:val="20"/>
                <w:szCs w:val="20"/>
                <w:color w:val="auto"/>
              </w:rPr>
            </w:pPr>
            <w:r>
              <w:rPr>
                <w:rFonts w:ascii="Arial" w:cs="Arial" w:eastAsia="Arial" w:hAnsi="Arial"/>
                <w:sz w:val="16"/>
                <w:szCs w:val="16"/>
                <w:color w:val="0000EE"/>
                <w:w w:val="99"/>
              </w:rPr>
              <w:t>Limited and BicycleRD Limited, dated October 31, 2017, which is pursuant to the Underlease of Ground and First</w:t>
            </w:r>
          </w:p>
        </w:tc>
        <w:tc>
          <w:tcPr>
            <w:tcW w:w="260" w:type="dxa"/>
            <w:vAlign w:val="bottom"/>
            <w:gridSpan w:val="2"/>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0" w:type="dxa"/>
            <w:vAlign w:val="bottom"/>
            <w:gridSpan w:val="11"/>
          </w:tcPr>
          <w:p>
            <w:pPr>
              <w:spacing w:after="0" w:line="164" w:lineRule="exact"/>
              <w:rPr>
                <w:sz w:val="20"/>
                <w:szCs w:val="20"/>
                <w:color w:val="auto"/>
              </w:rPr>
            </w:pPr>
            <w:r>
              <w:rPr>
                <w:rFonts w:ascii="Arial" w:cs="Arial" w:eastAsia="Arial" w:hAnsi="Arial"/>
                <w:sz w:val="16"/>
                <w:szCs w:val="16"/>
                <w:color w:val="0000EE"/>
              </w:rPr>
              <w:t>Floor Premises Building 900 Babraham Research Campus Babraham Cambridge, between Imperial College</w:t>
            </w:r>
          </w:p>
        </w:tc>
      </w:tr>
      <w:tr>
        <w:trPr>
          <w:trHeight w:val="163"/>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20" w:type="dxa"/>
            <w:vAlign w:val="bottom"/>
            <w:tcBorders>
              <w:top w:val="single" w:sz="8" w:color="0000EE"/>
              <w:bottom w:val="single" w:sz="8" w:color="0000EE"/>
            </w:tcBorders>
            <w:gridSpan w:val="6"/>
          </w:tcPr>
          <w:p>
            <w:pPr>
              <w:spacing w:after="0" w:line="164" w:lineRule="exact"/>
              <w:rPr>
                <w:sz w:val="20"/>
                <w:szCs w:val="20"/>
                <w:color w:val="auto"/>
              </w:rPr>
            </w:pPr>
            <w:r>
              <w:rPr>
                <w:rFonts w:ascii="Arial" w:cs="Arial" w:eastAsia="Arial" w:hAnsi="Arial"/>
                <w:sz w:val="16"/>
                <w:szCs w:val="16"/>
                <w:color w:val="0000EE"/>
                <w:w w:val="99"/>
              </w:rPr>
              <w:t>Thinkspace Limited, Convergence Pharmaceuticals Limited and Biogen Idec Limited, dated March 2, 2017.</w:t>
            </w:r>
          </w:p>
        </w:tc>
        <w:tc>
          <w:tcPr>
            <w:tcW w:w="80" w:type="dxa"/>
            <w:vAlign w:val="bottom"/>
            <w:tcBorders>
              <w:top w:val="single" w:sz="8" w:color="0000EE"/>
            </w:tcBorders>
            <w:gridSpan w:val="2"/>
          </w:tcPr>
          <w:p>
            <w:pPr>
              <w:spacing w:after="0"/>
              <w:rPr>
                <w:sz w:val="14"/>
                <w:szCs w:val="14"/>
                <w:color w:val="auto"/>
              </w:rPr>
            </w:pPr>
          </w:p>
        </w:tc>
        <w:tc>
          <w:tcPr>
            <w:tcW w:w="600" w:type="dxa"/>
            <w:vAlign w:val="bottom"/>
            <w:gridSpan w:val="3"/>
          </w:tcPr>
          <w:p>
            <w:pPr>
              <w:spacing w:after="0"/>
              <w:rPr>
                <w:sz w:val="14"/>
                <w:szCs w:val="14"/>
                <w:color w:val="auto"/>
              </w:rPr>
            </w:pPr>
          </w:p>
        </w:tc>
      </w:tr>
      <w:tr>
        <w:trPr>
          <w:trHeight w:val="347"/>
        </w:trPr>
        <w:tc>
          <w:tcPr>
            <w:tcW w:w="1800" w:type="dxa"/>
            <w:vAlign w:val="bottom"/>
            <w:gridSpan w:val="3"/>
          </w:tcPr>
          <w:p>
            <w:pPr>
              <w:jc w:val="right"/>
              <w:spacing w:after="0"/>
              <w:rPr>
                <w:sz w:val="20"/>
                <w:szCs w:val="20"/>
                <w:color w:val="auto"/>
              </w:rPr>
            </w:pPr>
            <w:r>
              <w:rPr>
                <w:rFonts w:ascii="Arial" w:cs="Arial" w:eastAsia="Arial" w:hAnsi="Arial"/>
                <w:sz w:val="16"/>
                <w:szCs w:val="16"/>
                <w:color w:val="auto"/>
              </w:rPr>
              <w:t>10.14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0000EE"/>
              </w:rPr>
              <w:t>Lease Agreement, by and between Bicycle Therapeutics Inc. and King 4 Hartwell Place, LLC, dated September 26,</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gridSpan w:val="2"/>
          </w:tcPr>
          <w:p>
            <w:pPr>
              <w:ind w:left="20"/>
              <w:spacing w:after="0" w:line="164" w:lineRule="exact"/>
              <w:rPr>
                <w:sz w:val="20"/>
                <w:szCs w:val="20"/>
                <w:color w:val="auto"/>
              </w:rPr>
            </w:pPr>
            <w:r>
              <w:rPr>
                <w:rFonts w:ascii="Arial" w:cs="Arial" w:eastAsia="Arial" w:hAnsi="Arial"/>
                <w:sz w:val="16"/>
                <w:szCs w:val="16"/>
                <w:color w:val="0000EE"/>
                <w:w w:val="94"/>
              </w:rPr>
              <w:t>2017.</w:t>
            </w:r>
          </w:p>
        </w:tc>
        <w:tc>
          <w:tcPr>
            <w:tcW w:w="16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2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7"/>
        </w:trPr>
        <w:tc>
          <w:tcPr>
            <w:tcW w:w="2080" w:type="dxa"/>
            <w:vAlign w:val="bottom"/>
            <w:gridSpan w:val="4"/>
          </w:tcPr>
          <w:p>
            <w:pPr>
              <w:jc w:val="right"/>
              <w:ind w:right="180"/>
              <w:spacing w:after="0"/>
              <w:rPr>
                <w:sz w:val="20"/>
                <w:szCs w:val="20"/>
                <w:color w:val="auto"/>
              </w:rPr>
            </w:pPr>
            <w:r>
              <w:rPr>
                <w:rFonts w:ascii="Arial" w:cs="Arial" w:eastAsia="Arial" w:hAnsi="Arial"/>
                <w:sz w:val="16"/>
                <w:szCs w:val="16"/>
                <w:color w:val="auto"/>
              </w:rPr>
              <w:t>10.15+</w:t>
            </w:r>
          </w:p>
        </w:tc>
        <w:tc>
          <w:tcPr>
            <w:tcW w:w="20" w:type="dxa"/>
            <w:vAlign w:val="bottom"/>
          </w:tcPr>
          <w:p>
            <w:pPr>
              <w:spacing w:after="0"/>
              <w:rPr>
                <w:sz w:val="24"/>
                <w:szCs w:val="24"/>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0000EE"/>
              </w:rPr>
              <w:t>Clinical Trial and License Agreement, by and between Bicycle Therapeutics Limited, Cancer Research Technology</w:t>
            </w:r>
          </w:p>
        </w:tc>
      </w:tr>
      <w:tr>
        <w:trPr>
          <w:trHeight w:val="163"/>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80" w:type="dxa"/>
            <w:vAlign w:val="bottom"/>
            <w:tcBorders>
              <w:top w:val="single" w:sz="8" w:color="0000EE"/>
            </w:tcBorders>
            <w:gridSpan w:val="10"/>
          </w:tcPr>
          <w:p>
            <w:pPr>
              <w:spacing w:after="0" w:line="164" w:lineRule="exact"/>
              <w:rPr>
                <w:sz w:val="20"/>
                <w:szCs w:val="20"/>
                <w:color w:val="auto"/>
              </w:rPr>
            </w:pPr>
            <w:r>
              <w:rPr>
                <w:rFonts w:ascii="Arial" w:cs="Arial" w:eastAsia="Arial" w:hAnsi="Arial"/>
                <w:sz w:val="16"/>
                <w:szCs w:val="16"/>
                <w:color w:val="0000EE"/>
              </w:rPr>
              <w:t>Limited, and Cancer Research UK, dated December 13, 2016, as amended and restated by the Deed of</w:t>
            </w:r>
          </w:p>
        </w:tc>
        <w:tc>
          <w:tcPr>
            <w:tcW w:w="1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0" w:type="dxa"/>
            <w:vAlign w:val="bottom"/>
            <w:gridSpan w:val="11"/>
          </w:tcPr>
          <w:p>
            <w:pPr>
              <w:spacing w:after="0" w:line="164" w:lineRule="exact"/>
              <w:rPr>
                <w:sz w:val="20"/>
                <w:szCs w:val="20"/>
                <w:color w:val="auto"/>
              </w:rPr>
            </w:pPr>
            <w:r>
              <w:rPr>
                <w:rFonts w:ascii="Arial" w:cs="Arial" w:eastAsia="Arial" w:hAnsi="Arial"/>
                <w:sz w:val="16"/>
                <w:szCs w:val="16"/>
                <w:color w:val="0000EE"/>
              </w:rPr>
              <w:t>Amendment on March 31, 2017, as further amended by the Second Deed of Amendment on June 29, 2018.</w:t>
            </w:r>
          </w:p>
        </w:tc>
      </w:tr>
      <w:tr>
        <w:trPr>
          <w:trHeight w:val="347"/>
        </w:trPr>
        <w:tc>
          <w:tcPr>
            <w:tcW w:w="1800" w:type="dxa"/>
            <w:vAlign w:val="bottom"/>
            <w:gridSpan w:val="3"/>
          </w:tcPr>
          <w:p>
            <w:pPr>
              <w:jc w:val="right"/>
              <w:spacing w:after="0"/>
              <w:rPr>
                <w:sz w:val="20"/>
                <w:szCs w:val="20"/>
                <w:color w:val="auto"/>
              </w:rPr>
            </w:pPr>
            <w:r>
              <w:rPr>
                <w:rFonts w:ascii="Arial" w:cs="Arial" w:eastAsia="Arial" w:hAnsi="Arial"/>
                <w:sz w:val="16"/>
                <w:szCs w:val="16"/>
                <w:color w:val="auto"/>
              </w:rPr>
              <w:t>21.1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6"/>
                <w:szCs w:val="16"/>
                <w:color w:val="0000EE"/>
                <w:w w:val="98"/>
              </w:rPr>
              <w:t>Subsidiaries of the registrant.</w:t>
            </w:r>
          </w:p>
        </w:tc>
        <w:tc>
          <w:tcPr>
            <w:tcW w:w="5500" w:type="dxa"/>
            <w:vAlign w:val="bottom"/>
            <w:tcBorders>
              <w:top w:val="single" w:sz="8" w:color="0000EE"/>
            </w:tcBorders>
            <w:gridSpan w:val="5"/>
          </w:tcPr>
          <w:p>
            <w:pPr>
              <w:spacing w:after="0"/>
              <w:rPr>
                <w:sz w:val="24"/>
                <w:szCs w:val="24"/>
                <w:color w:val="auto"/>
              </w:rPr>
            </w:pPr>
          </w:p>
        </w:tc>
        <w:tc>
          <w:tcPr>
            <w:tcW w:w="640" w:type="dxa"/>
            <w:vAlign w:val="bottom"/>
            <w:gridSpan w:val="4"/>
          </w:tcPr>
          <w:p>
            <w:pPr>
              <w:spacing w:after="0"/>
              <w:rPr>
                <w:sz w:val="24"/>
                <w:szCs w:val="24"/>
                <w:color w:val="auto"/>
              </w:rPr>
            </w:pPr>
          </w:p>
        </w:tc>
      </w:tr>
      <w:tr>
        <w:trPr>
          <w:trHeight w:val="347"/>
        </w:trPr>
        <w:tc>
          <w:tcPr>
            <w:tcW w:w="1800" w:type="dxa"/>
            <w:vAlign w:val="bottom"/>
            <w:gridSpan w:val="3"/>
          </w:tcPr>
          <w:p>
            <w:pPr>
              <w:jc w:val="right"/>
              <w:spacing w:after="0"/>
              <w:rPr>
                <w:sz w:val="20"/>
                <w:szCs w:val="20"/>
                <w:color w:val="auto"/>
              </w:rPr>
            </w:pPr>
            <w:r>
              <w:rPr>
                <w:rFonts w:ascii="Arial" w:cs="Arial" w:eastAsia="Arial" w:hAnsi="Arial"/>
                <w:sz w:val="16"/>
                <w:szCs w:val="16"/>
                <w:color w:val="auto"/>
              </w:rPr>
              <w:t>23.1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8"/>
              </w:rPr>
              <w:t>Consent of PricewaterhouseCoopers LLP, independent registered public accounting firm.</w:t>
            </w:r>
          </w:p>
        </w:tc>
        <w:tc>
          <w:tcPr>
            <w:tcW w:w="1960" w:type="dxa"/>
            <w:vAlign w:val="bottom"/>
            <w:gridSpan w:val="7"/>
          </w:tcPr>
          <w:p>
            <w:pPr>
              <w:spacing w:after="0"/>
              <w:rPr>
                <w:sz w:val="24"/>
                <w:szCs w:val="24"/>
                <w:color w:val="auto"/>
              </w:rPr>
            </w:pPr>
          </w:p>
        </w:tc>
      </w:tr>
      <w:tr>
        <w:trPr>
          <w:trHeight w:val="383"/>
        </w:trPr>
        <w:tc>
          <w:tcPr>
            <w:tcW w:w="2080" w:type="dxa"/>
            <w:vAlign w:val="bottom"/>
            <w:gridSpan w:val="4"/>
          </w:tcPr>
          <w:p>
            <w:pPr>
              <w:jc w:val="right"/>
              <w:ind w:right="220"/>
              <w:spacing w:after="0"/>
              <w:rPr>
                <w:sz w:val="20"/>
                <w:szCs w:val="20"/>
                <w:color w:val="auto"/>
              </w:rPr>
            </w:pPr>
            <w:r>
              <w:rPr>
                <w:rFonts w:ascii="Arial" w:cs="Arial" w:eastAsia="Arial" w:hAnsi="Arial"/>
                <w:sz w:val="16"/>
                <w:szCs w:val="16"/>
                <w:color w:val="auto"/>
              </w:rPr>
              <w:t>23.2*</w:t>
            </w:r>
          </w:p>
        </w:tc>
        <w:tc>
          <w:tcPr>
            <w:tcW w:w="20" w:type="dxa"/>
            <w:vAlign w:val="bottom"/>
          </w:tcPr>
          <w:p>
            <w:pPr>
              <w:spacing w:after="0"/>
              <w:rPr>
                <w:sz w:val="24"/>
                <w:szCs w:val="24"/>
                <w:color w:val="auto"/>
              </w:rPr>
            </w:pPr>
          </w:p>
        </w:tc>
        <w:tc>
          <w:tcPr>
            <w:tcW w:w="8200" w:type="dxa"/>
            <w:vAlign w:val="bottom"/>
            <w:gridSpan w:val="11"/>
          </w:tcPr>
          <w:p>
            <w:pPr>
              <w:spacing w:after="0"/>
              <w:rPr>
                <w:sz w:val="20"/>
                <w:szCs w:val="20"/>
                <w:color w:val="auto"/>
              </w:rPr>
            </w:pPr>
            <w:r>
              <w:rPr>
                <w:rFonts w:ascii="Arial" w:cs="Arial" w:eastAsia="Arial" w:hAnsi="Arial"/>
                <w:sz w:val="16"/>
                <w:szCs w:val="16"/>
                <w:color w:val="auto"/>
              </w:rPr>
              <w:t>Consent of Goodwin Procter (UK) LLP (included in Exhibit 5.1).</w:t>
            </w:r>
          </w:p>
        </w:tc>
      </w:tr>
      <w:tr>
        <w:trPr>
          <w:trHeight w:val="331"/>
        </w:trPr>
        <w:tc>
          <w:tcPr>
            <w:tcW w:w="1800" w:type="dxa"/>
            <w:vAlign w:val="bottom"/>
            <w:gridSpan w:val="3"/>
          </w:tcPr>
          <w:p>
            <w:pPr>
              <w:jc w:val="right"/>
              <w:spacing w:after="0"/>
              <w:rPr>
                <w:sz w:val="20"/>
                <w:szCs w:val="20"/>
                <w:color w:val="auto"/>
              </w:rPr>
            </w:pPr>
            <w:r>
              <w:rPr>
                <w:rFonts w:ascii="Arial" w:cs="Arial" w:eastAsia="Arial" w:hAnsi="Arial"/>
                <w:sz w:val="16"/>
                <w:szCs w:val="16"/>
                <w:color w:val="auto"/>
              </w:rPr>
              <w:t>24.1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0" w:type="dxa"/>
            <w:vAlign w:val="bottom"/>
            <w:gridSpan w:val="11"/>
          </w:tcPr>
          <w:p>
            <w:pPr>
              <w:spacing w:after="0"/>
              <w:rPr>
                <w:rFonts w:ascii="Arial" w:cs="Arial" w:eastAsia="Arial" w:hAnsi="Arial"/>
                <w:sz w:val="16"/>
                <w:szCs w:val="16"/>
                <w:color w:val="0000EE"/>
              </w:rPr>
            </w:pPr>
            <w:hyperlink w:anchor="page317">
              <w:r>
                <w:rPr>
                  <w:rFonts w:ascii="Arial" w:cs="Arial" w:eastAsia="Arial" w:hAnsi="Arial"/>
                  <w:sz w:val="16"/>
                  <w:szCs w:val="16"/>
                  <w:color w:val="0000EE"/>
                </w:rPr>
                <w:t>Power of Attorney (included on signature page to this registration statement).</w:t>
              </w:r>
            </w:hyperlink>
          </w:p>
        </w:tc>
      </w:tr>
      <w:tr>
        <w:trPr>
          <w:trHeight w:val="102"/>
        </w:trPr>
        <w:tc>
          <w:tcPr>
            <w:tcW w:w="1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1660" w:type="dxa"/>
            <w:vAlign w:val="bottom"/>
            <w:tcBorders>
              <w:top w:val="single" w:sz="8" w:color="0000EE"/>
            </w:tcBorders>
          </w:tcPr>
          <w:p>
            <w:pPr>
              <w:spacing w:after="0"/>
              <w:rPr>
                <w:sz w:val="8"/>
                <w:szCs w:val="8"/>
                <w:color w:val="auto"/>
              </w:rPr>
            </w:pPr>
          </w:p>
        </w:tc>
        <w:tc>
          <w:tcPr>
            <w:tcW w:w="334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200" w:lineRule="exact"/>
        <w:rPr>
          <w:sz w:val="20"/>
          <w:szCs w:val="20"/>
          <w:color w:val="auto"/>
        </w:rPr>
      </w:pPr>
    </w:p>
    <w:p>
      <w:pPr>
        <w:ind w:left="1642" w:hanging="499"/>
        <w:spacing w:after="0"/>
        <w:tabs>
          <w:tab w:leader="none" w:pos="1642" w:val="left"/>
        </w:tabs>
        <w:numPr>
          <w:ilvl w:val="0"/>
          <w:numId w:val="165"/>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144" w:lineRule="exact"/>
        <w:rPr>
          <w:sz w:val="20"/>
          <w:szCs w:val="20"/>
          <w:color w:val="auto"/>
        </w:rPr>
      </w:pPr>
    </w:p>
    <w:p>
      <w:pPr>
        <w:ind w:left="1642" w:hanging="499"/>
        <w:spacing w:after="0"/>
        <w:tabs>
          <w:tab w:leader="none" w:pos="1642" w:val="left"/>
        </w:tabs>
        <w:numPr>
          <w:ilvl w:val="0"/>
          <w:numId w:val="166"/>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291" w:lineRule="exact"/>
        <w:rPr>
          <w:sz w:val="20"/>
          <w:szCs w:val="20"/>
          <w:color w:val="auto"/>
        </w:rPr>
      </w:pPr>
    </w:p>
    <w:p>
      <w:pPr>
        <w:ind w:left="1642" w:hanging="499"/>
        <w:spacing w:after="0" w:line="245" w:lineRule="auto"/>
        <w:tabs>
          <w:tab w:leader="none" w:pos="1642" w:val="left"/>
        </w:tabs>
        <w:numPr>
          <w:ilvl w:val="1"/>
          <w:numId w:val="167"/>
        </w:numPr>
        <w:rPr>
          <w:rFonts w:ascii="Arial" w:cs="Arial" w:eastAsia="Arial" w:hAnsi="Arial"/>
          <w:sz w:val="13"/>
          <w:szCs w:val="13"/>
          <w:color w:val="auto"/>
        </w:rPr>
      </w:pPr>
      <w:r>
        <w:rPr>
          <w:rFonts w:ascii="Arial" w:cs="Arial" w:eastAsia="Arial" w:hAnsi="Arial"/>
          <w:sz w:val="13"/>
          <w:szCs w:val="13"/>
          <w:color w:val="auto"/>
        </w:rPr>
        <w:t>Confidential treatment has been requested for portions of this exhibit. These portions have been omitted from the registration statement and filed separately with the United States Securities and Exchange Commission.</w:t>
      </w:r>
    </w:p>
    <w:p>
      <w:pPr>
        <w:spacing w:after="0" w:line="166" w:lineRule="exact"/>
        <w:rPr>
          <w:rFonts w:ascii="Arial" w:cs="Arial" w:eastAsia="Arial" w:hAnsi="Arial"/>
          <w:sz w:val="13"/>
          <w:szCs w:val="13"/>
          <w:color w:val="auto"/>
        </w:rPr>
      </w:pPr>
    </w:p>
    <w:p>
      <w:pPr>
        <w:ind w:left="422" w:hanging="422"/>
        <w:spacing w:after="0"/>
        <w:tabs>
          <w:tab w:leader="none" w:pos="422" w:val="left"/>
        </w:tabs>
        <w:numPr>
          <w:ilvl w:val="0"/>
          <w:numId w:val="167"/>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Statements Schedules:</w:t>
      </w:r>
    </w:p>
    <w:p>
      <w:pPr>
        <w:spacing w:after="0" w:line="211" w:lineRule="exact"/>
        <w:rPr>
          <w:sz w:val="20"/>
          <w:szCs w:val="20"/>
          <w:color w:val="auto"/>
        </w:rPr>
      </w:pPr>
    </w:p>
    <w:p>
      <w:pPr>
        <w:ind w:left="2" w:right="100" w:firstLine="442"/>
        <w:spacing w:after="0" w:line="249" w:lineRule="auto"/>
        <w:rPr>
          <w:sz w:val="20"/>
          <w:szCs w:val="20"/>
          <w:color w:val="auto"/>
        </w:rPr>
      </w:pPr>
      <w:r>
        <w:rPr>
          <w:rFonts w:ascii="Arial" w:cs="Arial" w:eastAsia="Arial" w:hAnsi="Arial"/>
          <w:sz w:val="16"/>
          <w:szCs w:val="16"/>
          <w:color w:val="auto"/>
        </w:rPr>
        <w:t>Schedules have been omitted because the information required to be set forth therein is not applicable or is shown in the financial statements or notes thereto.</w:t>
      </w:r>
    </w:p>
    <w:p>
      <w:pPr>
        <w:spacing w:after="0" w:line="181" w:lineRule="exact"/>
        <w:rPr>
          <w:sz w:val="20"/>
          <w:szCs w:val="20"/>
          <w:color w:val="auto"/>
        </w:rPr>
      </w:pPr>
    </w:p>
    <w:p>
      <w:pPr>
        <w:jc w:val="center"/>
        <w:ind w:right="-361"/>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64400" cy="203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082"/>
          </w:cols>
          <w:pgMar w:left="238" w:top="114" w:right="579" w:bottom="1440" w:gutter="0" w:footer="0" w:header="0"/>
        </w:sectPr>
      </w:pPr>
    </w:p>
    <w:bookmarkStart w:id="315" w:name="page316"/>
    <w:bookmarkEnd w:id="3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15" w:lineRule="exact"/>
        <w:rPr>
          <w:sz w:val="20"/>
          <w:szCs w:val="20"/>
          <w:color w:val="auto"/>
        </w:rPr>
      </w:pPr>
    </w:p>
    <w:p>
      <w:pPr>
        <w:ind w:right="160" w:firstLine="442"/>
        <w:spacing w:after="0"/>
        <w:rPr>
          <w:sz w:val="20"/>
          <w:szCs w:val="20"/>
          <w:color w:val="auto"/>
        </w:rPr>
      </w:pPr>
      <w:r>
        <w:rPr>
          <w:rFonts w:ascii="Arial" w:cs="Arial" w:eastAsia="Arial" w:hAnsi="Arial"/>
          <w:sz w:val="16"/>
          <w:szCs w:val="16"/>
          <w:color w:val="auto"/>
        </w:rPr>
        <w:t>Insofar as indemnification for liabilities arising under the Securities Act of 1933, as amended, or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Registrant hereby undertakes that:</w:t>
      </w:r>
    </w:p>
    <w:p>
      <w:pPr>
        <w:spacing w:after="0" w:line="195" w:lineRule="exact"/>
        <w:rPr>
          <w:sz w:val="20"/>
          <w:szCs w:val="20"/>
          <w:color w:val="auto"/>
        </w:rPr>
      </w:pPr>
    </w:p>
    <w:p>
      <w:pPr>
        <w:ind w:left="980" w:right="460" w:hanging="493"/>
        <w:spacing w:after="0" w:line="249" w:lineRule="auto"/>
        <w:tabs>
          <w:tab w:leader="none" w:pos="9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Registrant will provide to the underwriter at the closing as specified in the underwriting agreement, certificates in such denominations and registered in such names as required by the underwriter to permit prompt delivery to each purchaser.</w:t>
      </w:r>
    </w:p>
    <w:p>
      <w:pPr>
        <w:spacing w:after="0" w:line="180" w:lineRule="exact"/>
        <w:rPr>
          <w:rFonts w:ascii="Arial" w:cs="Arial" w:eastAsia="Arial" w:hAnsi="Arial"/>
          <w:sz w:val="16"/>
          <w:szCs w:val="16"/>
          <w:color w:val="auto"/>
        </w:rPr>
      </w:pPr>
    </w:p>
    <w:p>
      <w:pPr>
        <w:ind w:left="980" w:hanging="493"/>
        <w:spacing w:after="0" w:line="255" w:lineRule="auto"/>
        <w:tabs>
          <w:tab w:leader="none" w:pos="98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w:t>
      </w:r>
    </w:p>
    <w:p>
      <w:pPr>
        <w:ind w:left="980" w:right="380"/>
        <w:spacing w:after="0" w:line="249" w:lineRule="auto"/>
        <w:rPr>
          <w:rFonts w:ascii="Arial" w:cs="Arial" w:eastAsia="Arial" w:hAnsi="Arial"/>
          <w:sz w:val="15"/>
          <w:szCs w:val="15"/>
          <w:color w:val="auto"/>
        </w:rPr>
      </w:pPr>
      <w:r>
        <w:rPr>
          <w:rFonts w:ascii="Arial" w:cs="Arial" w:eastAsia="Arial" w:hAnsi="Arial"/>
          <w:sz w:val="16"/>
          <w:szCs w:val="16"/>
          <w:color w:val="auto"/>
        </w:rPr>
        <w:t>(1) or (4) or 497(h) under the Securities Act of 1933, as amended, shall be deemed to be part of this registration statement as of the time it was declared effective.</w:t>
      </w:r>
    </w:p>
    <w:p>
      <w:pPr>
        <w:spacing w:after="0" w:line="168" w:lineRule="exact"/>
        <w:rPr>
          <w:rFonts w:ascii="Arial" w:cs="Arial" w:eastAsia="Arial" w:hAnsi="Arial"/>
          <w:sz w:val="15"/>
          <w:szCs w:val="15"/>
          <w:color w:val="auto"/>
        </w:rPr>
      </w:pPr>
    </w:p>
    <w:p>
      <w:pPr>
        <w:jc w:val="both"/>
        <w:ind w:left="980" w:right="220" w:hanging="493"/>
        <w:spacing w:after="0" w:line="244" w:lineRule="auto"/>
        <w:tabs>
          <w:tab w:leader="none" w:pos="9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16" w:name="page317"/>
    <w:bookmarkEnd w:id="3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SIGNATURES</w:t>
      </w:r>
    </w:p>
    <w:p>
      <w:pPr>
        <w:spacing w:after="0" w:line="215" w:lineRule="exact"/>
        <w:rPr>
          <w:sz w:val="20"/>
          <w:szCs w:val="20"/>
          <w:color w:val="auto"/>
        </w:rPr>
      </w:pPr>
    </w:p>
    <w:p>
      <w:pPr>
        <w:ind w:right="100" w:firstLine="442"/>
        <w:spacing w:after="0" w:line="249"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 its behalf by the undersigned, thereunto duly authorized, under the laws and regulations of England and Wales, on April 26, 2019.</w:t>
      </w:r>
    </w:p>
    <w:p>
      <w:pPr>
        <w:spacing w:after="0" w:line="161"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auto"/>
        </w:rPr>
        <w:t>BICYCLE THERAPEUTICS LIMITED</w:t>
      </w:r>
    </w:p>
    <w:p>
      <w:pPr>
        <w:spacing w:after="0" w:line="240"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6"/>
          <w:szCs w:val="16"/>
          <w:color w:val="auto"/>
        </w:rPr>
        <w:t>By:</w:t>
        <w:tab/>
        <w:t>/s/ KEVIN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52070</wp:posOffset>
            </wp:positionV>
            <wp:extent cx="2632075"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32075" cy="7620"/>
                    </a:xfrm>
                    <a:prstGeom prst="rect">
                      <a:avLst/>
                    </a:prstGeom>
                    <a:noFill/>
                  </pic:spPr>
                </pic:pic>
              </a:graphicData>
            </a:graphic>
          </wp:anchor>
        </w:drawing>
      </w:r>
    </w:p>
    <w:p>
      <w:pPr>
        <w:spacing w:after="0" w:line="150"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6"/>
          <w:szCs w:val="16"/>
          <w:color w:val="auto"/>
        </w:rPr>
        <w:t>Name:</w:t>
        <w:tab/>
        <w:t>Kevin Lee, Ph.D., MBA</w:t>
      </w:r>
    </w:p>
    <w:p>
      <w:pPr>
        <w:ind w:left="6160"/>
        <w:spacing w:after="0"/>
        <w:tabs>
          <w:tab w:leader="none" w:pos="68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195" w:lineRule="exact"/>
        <w:rPr>
          <w:sz w:val="20"/>
          <w:szCs w:val="20"/>
          <w:color w:val="auto"/>
        </w:rPr>
      </w:pPr>
    </w:p>
    <w:p>
      <w:pPr>
        <w:ind w:right="20" w:firstLine="442"/>
        <w:spacing w:after="0"/>
        <w:rPr>
          <w:sz w:val="20"/>
          <w:szCs w:val="20"/>
          <w:color w:val="auto"/>
        </w:rPr>
      </w:pPr>
      <w:r>
        <w:rPr>
          <w:rFonts w:ascii="Arial" w:cs="Arial" w:eastAsia="Arial" w:hAnsi="Arial"/>
          <w:sz w:val="16"/>
          <w:szCs w:val="16"/>
          <w:color w:val="auto"/>
        </w:rPr>
        <w:t>KNOW ALL BY THESE PRESENTS, that each person whose signature appears below hereby constitutes and appoints Kevin Lee, Ph.D., MBA and Lee Kalowski, MBA, and each of them, his or her true and lawful agent, proxy and attorney-in-fact, with full power of substitution and resubstitution, for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190" w:lineRule="exact"/>
        <w:rPr>
          <w:sz w:val="20"/>
          <w:szCs w:val="20"/>
          <w:color w:val="auto"/>
        </w:rPr>
      </w:pPr>
    </w:p>
    <w:p>
      <w:pPr>
        <w:ind w:right="220" w:firstLine="442"/>
        <w:spacing w:after="0" w:line="249" w:lineRule="auto"/>
        <w:rPr>
          <w:sz w:val="20"/>
          <w:szCs w:val="20"/>
          <w:color w:val="auto"/>
        </w:rPr>
      </w:pPr>
      <w:r>
        <w:rPr>
          <w:rFonts w:ascii="Arial" w:cs="Arial" w:eastAsia="Arial" w:hAnsi="Arial"/>
          <w:sz w:val="16"/>
          <w:szCs w:val="16"/>
          <w:color w:val="auto"/>
        </w:rPr>
        <w:t>Pursuant to the requirements of the Securities Act, this registration statement has been signed by the following persons in the capacities and on the dates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Signature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Title</w:t>
            </w:r>
          </w:p>
        </w:tc>
        <w:tc>
          <w:tcPr>
            <w:tcW w:w="2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Date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2"/>
        </w:trPr>
        <w:tc>
          <w:tcPr>
            <w:tcW w:w="11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9"/>
              </w:rPr>
              <w:t>/s/ KEVIN LEE</w:t>
            </w:r>
          </w:p>
        </w:tc>
        <w:tc>
          <w:tcPr>
            <w:tcW w:w="20" w:type="dxa"/>
            <w:vAlign w:val="bottom"/>
          </w:tcPr>
          <w:p>
            <w:pPr>
              <w:spacing w:after="0"/>
              <w:rPr>
                <w:sz w:val="24"/>
                <w:szCs w:val="24"/>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color w:val="auto"/>
              </w:rPr>
              <w:t>Chief Executive Officer and Director (Principal</w:t>
            </w:r>
          </w:p>
        </w:tc>
        <w:tc>
          <w:tcPr>
            <w:tcW w:w="200" w:type="dxa"/>
            <w:vAlign w:val="bottom"/>
          </w:tcPr>
          <w:p>
            <w:pPr>
              <w:spacing w:after="0"/>
              <w:rPr>
                <w:sz w:val="24"/>
                <w:szCs w:val="24"/>
                <w:color w:val="auto"/>
              </w:rPr>
            </w:pPr>
          </w:p>
        </w:tc>
        <w:tc>
          <w:tcPr>
            <w:tcW w:w="276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April 26, 2019</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Kevin Lee, Ph.D., MBA</w:t>
            </w:r>
          </w:p>
        </w:tc>
        <w:tc>
          <w:tcPr>
            <w:tcW w:w="20" w:type="dxa"/>
            <w:vAlign w:val="bottom"/>
          </w:tcPr>
          <w:p>
            <w:pPr>
              <w:spacing w:after="0"/>
              <w:rPr>
                <w:sz w:val="6"/>
                <w:szCs w:val="6"/>
                <w:color w:val="auto"/>
              </w:rPr>
            </w:pPr>
          </w:p>
        </w:tc>
        <w:tc>
          <w:tcPr>
            <w:tcW w:w="3760" w:type="dxa"/>
            <w:vAlign w:val="bottom"/>
            <w:gridSpan w:val="2"/>
            <w:vMerge w:val="restart"/>
          </w:tcPr>
          <w:p>
            <w:pPr>
              <w:ind w:left="180"/>
              <w:spacing w:after="0" w:line="175" w:lineRule="exact"/>
              <w:rPr>
                <w:sz w:val="20"/>
                <w:szCs w:val="20"/>
                <w:color w:val="auto"/>
              </w:rPr>
            </w:pPr>
            <w:r>
              <w:rPr>
                <w:rFonts w:ascii="Arial" w:cs="Arial" w:eastAsia="Arial" w:hAnsi="Arial"/>
                <w:sz w:val="16"/>
                <w:szCs w:val="16"/>
                <w:color w:val="auto"/>
              </w:rPr>
              <w:t>Executive Officer)</w:t>
            </w: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14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4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rPr>
              <w:t>/s/ LEE KALOWSKI</w:t>
            </w:r>
          </w:p>
        </w:tc>
        <w:tc>
          <w:tcPr>
            <w:tcW w:w="20" w:type="dxa"/>
            <w:vAlign w:val="bottom"/>
          </w:tcPr>
          <w:p>
            <w:pPr>
              <w:spacing w:after="0"/>
              <w:rPr>
                <w:sz w:val="24"/>
                <w:szCs w:val="24"/>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color w:val="auto"/>
              </w:rPr>
              <w:t>Chief Financial Officer and President (Principal</w:t>
            </w:r>
          </w:p>
        </w:tc>
        <w:tc>
          <w:tcPr>
            <w:tcW w:w="200" w:type="dxa"/>
            <w:vAlign w:val="bottom"/>
          </w:tcPr>
          <w:p>
            <w:pPr>
              <w:spacing w:after="0"/>
              <w:rPr>
                <w:sz w:val="24"/>
                <w:szCs w:val="24"/>
                <w:color w:val="auto"/>
              </w:rPr>
            </w:pPr>
          </w:p>
        </w:tc>
        <w:tc>
          <w:tcPr>
            <w:tcW w:w="276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April 26, 2019</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8"/>
              </w:rPr>
              <w:t>Lee Kalowski, MBA</w:t>
            </w:r>
          </w:p>
        </w:tc>
        <w:tc>
          <w:tcPr>
            <w:tcW w:w="20" w:type="dxa"/>
            <w:vAlign w:val="bottom"/>
          </w:tcPr>
          <w:p>
            <w:pPr>
              <w:spacing w:after="0"/>
              <w:rPr>
                <w:sz w:val="6"/>
                <w:szCs w:val="6"/>
                <w:color w:val="auto"/>
              </w:rPr>
            </w:pPr>
          </w:p>
        </w:tc>
        <w:tc>
          <w:tcPr>
            <w:tcW w:w="3760" w:type="dxa"/>
            <w:vAlign w:val="bottom"/>
            <w:gridSpan w:val="2"/>
            <w:vMerge w:val="restart"/>
          </w:tcPr>
          <w:p>
            <w:pPr>
              <w:ind w:left="180"/>
              <w:spacing w:after="0" w:line="175" w:lineRule="exact"/>
              <w:rPr>
                <w:sz w:val="20"/>
                <w:szCs w:val="20"/>
                <w:color w:val="auto"/>
              </w:rPr>
            </w:pPr>
            <w:r>
              <w:rPr>
                <w:rFonts w:ascii="Arial" w:cs="Arial" w:eastAsia="Arial" w:hAnsi="Arial"/>
                <w:sz w:val="16"/>
                <w:szCs w:val="16"/>
                <w:color w:val="auto"/>
              </w:rPr>
              <w:t>Financial and Accounting Officer)</w:t>
            </w: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14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4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8"/>
              </w:rPr>
              <w:t>/s/ PIERRE LEGAULT</w:t>
            </w:r>
          </w:p>
        </w:tc>
        <w:tc>
          <w:tcPr>
            <w:tcW w:w="20" w:type="dxa"/>
            <w:vAlign w:val="bottom"/>
          </w:tcPr>
          <w:p>
            <w:pPr>
              <w:spacing w:after="0"/>
              <w:rPr>
                <w:sz w:val="24"/>
                <w:szCs w:val="24"/>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color w:val="auto"/>
              </w:rPr>
              <w:t>Chairman and Director</w:t>
            </w:r>
          </w:p>
        </w:tc>
        <w:tc>
          <w:tcPr>
            <w:tcW w:w="200" w:type="dxa"/>
            <w:vAlign w:val="bottom"/>
          </w:tcPr>
          <w:p>
            <w:pPr>
              <w:spacing w:after="0"/>
              <w:rPr>
                <w:sz w:val="24"/>
                <w:szCs w:val="24"/>
                <w:color w:val="auto"/>
              </w:rPr>
            </w:pPr>
          </w:p>
        </w:tc>
        <w:tc>
          <w:tcPr>
            <w:tcW w:w="276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April 26, 2019</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9"/>
              </w:rPr>
              <w:t>Pierre Legault, MBA, CPA</w:t>
            </w:r>
          </w:p>
        </w:tc>
        <w:tc>
          <w:tcPr>
            <w:tcW w:w="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9"/>
              </w:rPr>
              <w:t>/s/ MICHAEL ANSTEY</w:t>
            </w:r>
          </w:p>
        </w:tc>
        <w:tc>
          <w:tcPr>
            <w:tcW w:w="20" w:type="dxa"/>
            <w:vAlign w:val="bottom"/>
          </w:tcPr>
          <w:p>
            <w:pPr>
              <w:spacing w:after="0"/>
              <w:rPr>
                <w:sz w:val="24"/>
                <w:szCs w:val="24"/>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276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April 26, 2019</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7"/>
              </w:rPr>
              <w:t>Michael Anstey, DPhil</w:t>
            </w:r>
          </w:p>
        </w:tc>
        <w:tc>
          <w:tcPr>
            <w:tcW w:w="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ind w:left="680"/>
              <w:spacing w:after="0"/>
              <w:rPr>
                <w:sz w:val="20"/>
                <w:szCs w:val="20"/>
                <w:color w:val="auto"/>
              </w:rPr>
            </w:pPr>
            <w:r>
              <w:rPr>
                <w:rFonts w:ascii="Arial" w:cs="Arial" w:eastAsia="Arial" w:hAnsi="Arial"/>
                <w:sz w:val="16"/>
                <w:szCs w:val="16"/>
                <w:color w:val="auto"/>
              </w:rPr>
              <w:t>II-6</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40" w:type="dxa"/>
            <w:vAlign w:val="bottom"/>
            <w:tcBorders>
              <w:bottom w:val="single" w:sz="8" w:color="808080"/>
            </w:tcBorders>
          </w:tcPr>
          <w:p>
            <w:pPr>
              <w:spacing w:after="0"/>
              <w:rPr>
                <w:sz w:val="16"/>
                <w:szCs w:val="16"/>
                <w:color w:val="auto"/>
              </w:rPr>
            </w:pPr>
          </w:p>
        </w:tc>
        <w:tc>
          <w:tcPr>
            <w:tcW w:w="35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35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17" w:name="page318"/>
    <w:bookmarkEnd w:id="3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Signature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Title</w:t>
            </w:r>
          </w:p>
        </w:tc>
        <w:tc>
          <w:tcPr>
            <w:tcW w:w="2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Date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2"/>
        </w:trPr>
        <w:tc>
          <w:tcPr>
            <w:tcW w:w="11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9"/>
              </w:rPr>
              <w:t>/s/ CATHERINE BINGHAM</w:t>
            </w:r>
          </w:p>
        </w:tc>
        <w:tc>
          <w:tcPr>
            <w:tcW w:w="20" w:type="dxa"/>
            <w:vAlign w:val="bottom"/>
          </w:tcPr>
          <w:p>
            <w:pPr>
              <w:spacing w:after="0"/>
              <w:rPr>
                <w:sz w:val="24"/>
                <w:szCs w:val="24"/>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276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April 26, 2019</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9"/>
              </w:rPr>
              <w:t>Catherine Bingham, MBA</w:t>
            </w:r>
          </w:p>
        </w:tc>
        <w:tc>
          <w:tcPr>
            <w:tcW w:w="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9"/>
              </w:rPr>
              <w:t>/s/ DEBORAH HARLAND</w:t>
            </w:r>
          </w:p>
        </w:tc>
        <w:tc>
          <w:tcPr>
            <w:tcW w:w="20" w:type="dxa"/>
            <w:vAlign w:val="bottom"/>
          </w:tcPr>
          <w:p>
            <w:pPr>
              <w:spacing w:after="0"/>
              <w:rPr>
                <w:sz w:val="24"/>
                <w:szCs w:val="24"/>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276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April 26, 2019</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8"/>
              </w:rPr>
              <w:t>Deborah Harland, Ph.D., MBA</w:t>
            </w:r>
          </w:p>
        </w:tc>
        <w:tc>
          <w:tcPr>
            <w:tcW w:w="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8"/>
              </w:rPr>
              <w:t>/s/ ANJA KÖNIG</w:t>
            </w:r>
          </w:p>
        </w:tc>
        <w:tc>
          <w:tcPr>
            <w:tcW w:w="20" w:type="dxa"/>
            <w:vAlign w:val="bottom"/>
          </w:tcPr>
          <w:p>
            <w:pPr>
              <w:spacing w:after="0"/>
              <w:rPr>
                <w:sz w:val="24"/>
                <w:szCs w:val="24"/>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276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April 26, 2019</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8"/>
              </w:rPr>
              <w:t>Anja König, Ph.D.</w:t>
            </w:r>
          </w:p>
        </w:tc>
        <w:tc>
          <w:tcPr>
            <w:tcW w:w="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9"/>
              </w:rPr>
              <w:t>/s/ EASHWAR KRISHNAN</w:t>
            </w:r>
          </w:p>
        </w:tc>
        <w:tc>
          <w:tcPr>
            <w:tcW w:w="20" w:type="dxa"/>
            <w:vAlign w:val="bottom"/>
          </w:tcPr>
          <w:p>
            <w:pPr>
              <w:spacing w:after="0"/>
              <w:rPr>
                <w:sz w:val="24"/>
                <w:szCs w:val="24"/>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276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April 26, 2019</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8"/>
              </w:rPr>
              <w:t>Eashwar Krishnan</w:t>
            </w:r>
          </w:p>
        </w:tc>
        <w:tc>
          <w:tcPr>
            <w:tcW w:w="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7"/>
              </w:rPr>
              <w:t>/s/ CAROLYN NG</w:t>
            </w:r>
          </w:p>
        </w:tc>
        <w:tc>
          <w:tcPr>
            <w:tcW w:w="20" w:type="dxa"/>
            <w:vAlign w:val="bottom"/>
          </w:tcPr>
          <w:p>
            <w:pPr>
              <w:spacing w:after="0"/>
              <w:rPr>
                <w:sz w:val="24"/>
                <w:szCs w:val="24"/>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276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April 26, 2019</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9"/>
              </w:rPr>
              <w:t>Carolyn Ng, Ph.D.</w:t>
            </w:r>
          </w:p>
        </w:tc>
        <w:tc>
          <w:tcPr>
            <w:tcW w:w="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rPr>
              <w:t>/s/ JASON RHODES</w:t>
            </w:r>
          </w:p>
        </w:tc>
        <w:tc>
          <w:tcPr>
            <w:tcW w:w="20" w:type="dxa"/>
            <w:vAlign w:val="bottom"/>
          </w:tcPr>
          <w:p>
            <w:pPr>
              <w:spacing w:after="0"/>
              <w:rPr>
                <w:sz w:val="24"/>
                <w:szCs w:val="24"/>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276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April 26, 2019</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8"/>
              </w:rPr>
              <w:t>Jason Rhodes, MBA</w:t>
            </w:r>
          </w:p>
        </w:tc>
        <w:tc>
          <w:tcPr>
            <w:tcW w:w="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9"/>
              </w:rPr>
              <w:t>/s/ SIR GREGORY WINTER</w:t>
            </w:r>
          </w:p>
        </w:tc>
        <w:tc>
          <w:tcPr>
            <w:tcW w:w="20" w:type="dxa"/>
            <w:vAlign w:val="bottom"/>
          </w:tcPr>
          <w:p>
            <w:pPr>
              <w:spacing w:after="0"/>
              <w:rPr>
                <w:sz w:val="24"/>
                <w:szCs w:val="24"/>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24"/>
                <w:szCs w:val="24"/>
                <w:color w:val="auto"/>
              </w:rPr>
            </w:pPr>
          </w:p>
        </w:tc>
        <w:tc>
          <w:tcPr>
            <w:tcW w:w="276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April 26, 2019</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9"/>
              </w:rPr>
              <w:t>Sir Gregory Winter, FRS</w:t>
            </w:r>
          </w:p>
        </w:tc>
        <w:tc>
          <w:tcPr>
            <w:tcW w:w="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rPr>
              <w:t>/s/ LEE KALOWSKI</w:t>
            </w:r>
          </w:p>
        </w:tc>
        <w:tc>
          <w:tcPr>
            <w:tcW w:w="20" w:type="dxa"/>
            <w:vAlign w:val="bottom"/>
          </w:tcPr>
          <w:p>
            <w:pPr>
              <w:spacing w:after="0"/>
              <w:rPr>
                <w:sz w:val="24"/>
                <w:szCs w:val="24"/>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color w:val="auto"/>
              </w:rPr>
              <w:t>Authorized Representative in the United States</w:t>
            </w:r>
          </w:p>
        </w:tc>
        <w:tc>
          <w:tcPr>
            <w:tcW w:w="200" w:type="dxa"/>
            <w:vAlign w:val="bottom"/>
          </w:tcPr>
          <w:p>
            <w:pPr>
              <w:spacing w:after="0"/>
              <w:rPr>
                <w:sz w:val="24"/>
                <w:szCs w:val="24"/>
                <w:color w:val="auto"/>
              </w:rPr>
            </w:pPr>
          </w:p>
        </w:tc>
        <w:tc>
          <w:tcPr>
            <w:tcW w:w="276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April 26, 2019</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8"/>
              </w:rPr>
              <w:t>Lee Kalowski, MBA</w:t>
            </w:r>
          </w:p>
        </w:tc>
        <w:tc>
          <w:tcPr>
            <w:tcW w:w="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ind w:left="680"/>
              <w:spacing w:after="0"/>
              <w:rPr>
                <w:sz w:val="20"/>
                <w:szCs w:val="20"/>
                <w:color w:val="auto"/>
              </w:rPr>
            </w:pPr>
            <w:r>
              <w:rPr>
                <w:rFonts w:ascii="Arial" w:cs="Arial" w:eastAsia="Arial" w:hAnsi="Arial"/>
                <w:sz w:val="16"/>
                <w:szCs w:val="16"/>
                <w:color w:val="auto"/>
              </w:rPr>
              <w:t>II-7</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40" w:type="dxa"/>
            <w:vAlign w:val="bottom"/>
            <w:tcBorders>
              <w:bottom w:val="single" w:sz="8" w:color="808080"/>
            </w:tcBorders>
          </w:tcPr>
          <w:p>
            <w:pPr>
              <w:spacing w:after="0"/>
              <w:rPr>
                <w:sz w:val="16"/>
                <w:szCs w:val="16"/>
                <w:color w:val="auto"/>
              </w:rPr>
            </w:pPr>
          </w:p>
        </w:tc>
        <w:tc>
          <w:tcPr>
            <w:tcW w:w="35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35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18" w:name="page319"/>
    <w:bookmarkEnd w:id="3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9" w:name="page320"/>
    <w:bookmarkEnd w:id="319"/>
    <w:p>
      <w:pPr>
        <w:jc w:val="right"/>
        <w:spacing w:after="0"/>
        <w:rPr>
          <w:sz w:val="20"/>
          <w:szCs w:val="20"/>
          <w:color w:val="auto"/>
        </w:rPr>
      </w:pPr>
      <w:r>
        <w:rPr>
          <w:rFonts w:ascii="Arial" w:cs="Arial" w:eastAsia="Arial" w:hAnsi="Arial"/>
          <w:sz w:val="16"/>
          <w:szCs w:val="16"/>
          <w:b w:val="1"/>
          <w:bCs w:val="1"/>
          <w:color w:val="auto"/>
        </w:rPr>
        <w:t>Exhibit 3.1</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THE COMPANIES ACT 2006</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COMPANY LIMITED BY SHARES</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ARTICLES OF ASSOCIATION</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OF</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BICYCLE THERAPEUTICS LIMITED</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(Adopted by a written resolution passed on 26 MAY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199390</wp:posOffset>
            </wp:positionV>
            <wp:extent cx="72802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240"/>
          </w:cols>
          <w:pgMar w:left="1440" w:top="343" w:right="219"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211"/>
        </w:trPr>
        <w:tc>
          <w:tcPr>
            <w:tcW w:w="720" w:type="dxa"/>
            <w:vAlign w:val="bottom"/>
          </w:tcPr>
          <w:p>
            <w:pPr>
              <w:spacing w:after="0"/>
              <w:rPr>
                <w:sz w:val="18"/>
                <w:szCs w:val="18"/>
                <w:color w:val="auto"/>
              </w:rPr>
            </w:pPr>
          </w:p>
        </w:tc>
        <w:tc>
          <w:tcPr>
            <w:tcW w:w="9580" w:type="dxa"/>
            <w:vAlign w:val="bottom"/>
          </w:tcPr>
          <w:p>
            <w:pPr>
              <w:ind w:left="4120"/>
              <w:spacing w:after="0"/>
              <w:rPr>
                <w:sz w:val="20"/>
                <w:szCs w:val="20"/>
                <w:color w:val="auto"/>
              </w:rPr>
            </w:pPr>
            <w:r>
              <w:rPr>
                <w:rFonts w:ascii="Arial" w:cs="Arial" w:eastAsia="Arial" w:hAnsi="Arial"/>
                <w:sz w:val="16"/>
                <w:szCs w:val="16"/>
                <w:b w:val="1"/>
                <w:bCs w:val="1"/>
                <w:color w:val="auto"/>
              </w:rPr>
              <w:t>TABLE OF CONTENTS</w:t>
            </w:r>
          </w:p>
        </w:tc>
        <w:tc>
          <w:tcPr>
            <w:tcW w:w="1140" w:type="dxa"/>
            <w:vAlign w:val="bottom"/>
          </w:tcPr>
          <w:p>
            <w:pPr>
              <w:spacing w:after="0"/>
              <w:rPr>
                <w:sz w:val="18"/>
                <w:szCs w:val="18"/>
                <w:color w:val="auto"/>
              </w:rPr>
            </w:pPr>
          </w:p>
        </w:tc>
      </w:tr>
      <w:tr>
        <w:trPr>
          <w:trHeight w:val="331"/>
        </w:trPr>
        <w:tc>
          <w:tcPr>
            <w:tcW w:w="72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Page</w:t>
            </w:r>
          </w:p>
        </w:tc>
      </w:tr>
      <w:tr>
        <w:trPr>
          <w:trHeight w:val="371"/>
        </w:trPr>
        <w:tc>
          <w:tcPr>
            <w:tcW w:w="720" w:type="dxa"/>
            <w:vAlign w:val="bottom"/>
          </w:tcPr>
          <w:p>
            <w:pPr>
              <w:spacing w:after="0"/>
              <w:rPr>
                <w:sz w:val="20"/>
                <w:szCs w:val="20"/>
                <w:color w:val="auto"/>
              </w:rPr>
            </w:pPr>
            <w:r>
              <w:rPr>
                <w:rFonts w:ascii="Arial" w:cs="Arial" w:eastAsia="Arial" w:hAnsi="Arial"/>
                <w:sz w:val="16"/>
                <w:szCs w:val="16"/>
                <w:color w:val="auto"/>
              </w:rPr>
              <w:t>1.</w:t>
            </w:r>
          </w:p>
        </w:tc>
        <w:tc>
          <w:tcPr>
            <w:tcW w:w="9580" w:type="dxa"/>
            <w:vAlign w:val="bottom"/>
          </w:tcPr>
          <w:p>
            <w:pPr>
              <w:ind w:left="540"/>
              <w:spacing w:after="0"/>
              <w:rPr>
                <w:sz w:val="20"/>
                <w:szCs w:val="20"/>
                <w:color w:val="auto"/>
              </w:rPr>
            </w:pPr>
            <w:r>
              <w:rPr>
                <w:rFonts w:ascii="Arial" w:cs="Arial" w:eastAsia="Arial" w:hAnsi="Arial"/>
                <w:sz w:val="16"/>
                <w:szCs w:val="16"/>
                <w:color w:val="auto"/>
              </w:rPr>
              <w:t>INTRODUCTION</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2.</w:t>
            </w:r>
          </w:p>
        </w:tc>
        <w:tc>
          <w:tcPr>
            <w:tcW w:w="9580" w:type="dxa"/>
            <w:vAlign w:val="bottom"/>
          </w:tcPr>
          <w:p>
            <w:pPr>
              <w:ind w:left="540"/>
              <w:spacing w:after="0"/>
              <w:rPr>
                <w:sz w:val="20"/>
                <w:szCs w:val="20"/>
                <w:color w:val="auto"/>
              </w:rPr>
            </w:pPr>
            <w:r>
              <w:rPr>
                <w:rFonts w:ascii="Arial" w:cs="Arial" w:eastAsia="Arial" w:hAnsi="Arial"/>
                <w:sz w:val="16"/>
                <w:szCs w:val="16"/>
                <w:color w:val="auto"/>
              </w:rPr>
              <w:t>DEFINITIONS</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3.</w:t>
            </w:r>
          </w:p>
        </w:tc>
        <w:tc>
          <w:tcPr>
            <w:tcW w:w="9580" w:type="dxa"/>
            <w:vAlign w:val="bottom"/>
          </w:tcPr>
          <w:p>
            <w:pPr>
              <w:ind w:left="540"/>
              <w:spacing w:after="0"/>
              <w:rPr>
                <w:sz w:val="20"/>
                <w:szCs w:val="20"/>
                <w:color w:val="auto"/>
              </w:rPr>
            </w:pPr>
            <w:r>
              <w:rPr>
                <w:rFonts w:ascii="Arial" w:cs="Arial" w:eastAsia="Arial" w:hAnsi="Arial"/>
                <w:sz w:val="16"/>
                <w:szCs w:val="16"/>
                <w:color w:val="auto"/>
              </w:rPr>
              <w:t>SHARE CAPITAL</w:t>
            </w: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4.</w:t>
            </w:r>
          </w:p>
        </w:tc>
        <w:tc>
          <w:tcPr>
            <w:tcW w:w="9580" w:type="dxa"/>
            <w:vAlign w:val="bottom"/>
          </w:tcPr>
          <w:p>
            <w:pPr>
              <w:ind w:left="540"/>
              <w:spacing w:after="0"/>
              <w:rPr>
                <w:sz w:val="20"/>
                <w:szCs w:val="20"/>
                <w:color w:val="auto"/>
              </w:rPr>
            </w:pPr>
            <w:r>
              <w:rPr>
                <w:rFonts w:ascii="Arial" w:cs="Arial" w:eastAsia="Arial" w:hAnsi="Arial"/>
                <w:sz w:val="16"/>
                <w:szCs w:val="16"/>
                <w:color w:val="auto"/>
              </w:rPr>
              <w:t>DIVIDENDS</w:t>
            </w: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5.</w:t>
            </w:r>
          </w:p>
        </w:tc>
        <w:tc>
          <w:tcPr>
            <w:tcW w:w="9580" w:type="dxa"/>
            <w:vAlign w:val="bottom"/>
          </w:tcPr>
          <w:p>
            <w:pPr>
              <w:ind w:left="540"/>
              <w:spacing w:after="0"/>
              <w:rPr>
                <w:sz w:val="20"/>
                <w:szCs w:val="20"/>
                <w:color w:val="auto"/>
              </w:rPr>
            </w:pPr>
            <w:r>
              <w:rPr>
                <w:rFonts w:ascii="Arial" w:cs="Arial" w:eastAsia="Arial" w:hAnsi="Arial"/>
                <w:sz w:val="16"/>
                <w:szCs w:val="16"/>
                <w:color w:val="auto"/>
              </w:rPr>
              <w:t>DISTRIBUTIONS FOLLOWING A LIQUIDATION OR SALE EVENT</w:t>
            </w: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6.</w:t>
            </w:r>
          </w:p>
        </w:tc>
        <w:tc>
          <w:tcPr>
            <w:tcW w:w="9580" w:type="dxa"/>
            <w:vAlign w:val="bottom"/>
          </w:tcPr>
          <w:p>
            <w:pPr>
              <w:ind w:left="540"/>
              <w:spacing w:after="0"/>
              <w:rPr>
                <w:sz w:val="20"/>
                <w:szCs w:val="20"/>
                <w:color w:val="auto"/>
              </w:rPr>
            </w:pPr>
            <w:r>
              <w:rPr>
                <w:rFonts w:ascii="Arial" w:cs="Arial" w:eastAsia="Arial" w:hAnsi="Arial"/>
                <w:sz w:val="16"/>
                <w:szCs w:val="16"/>
                <w:color w:val="auto"/>
              </w:rPr>
              <w:t>SALE PROVISIONS</w:t>
            </w: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7.</w:t>
            </w:r>
          </w:p>
        </w:tc>
        <w:tc>
          <w:tcPr>
            <w:tcW w:w="9580" w:type="dxa"/>
            <w:vAlign w:val="bottom"/>
          </w:tcPr>
          <w:p>
            <w:pPr>
              <w:ind w:left="540"/>
              <w:spacing w:after="0"/>
              <w:rPr>
                <w:sz w:val="20"/>
                <w:szCs w:val="20"/>
                <w:color w:val="auto"/>
              </w:rPr>
            </w:pPr>
            <w:r>
              <w:rPr>
                <w:rFonts w:ascii="Arial" w:cs="Arial" w:eastAsia="Arial" w:hAnsi="Arial"/>
                <w:sz w:val="16"/>
                <w:szCs w:val="16"/>
                <w:color w:val="auto"/>
              </w:rPr>
              <w:t>VOTES IN GENERAL MEETING</w:t>
            </w: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8.</w:t>
            </w:r>
          </w:p>
        </w:tc>
        <w:tc>
          <w:tcPr>
            <w:tcW w:w="9580" w:type="dxa"/>
            <w:vAlign w:val="bottom"/>
          </w:tcPr>
          <w:p>
            <w:pPr>
              <w:ind w:left="540"/>
              <w:spacing w:after="0"/>
              <w:rPr>
                <w:sz w:val="20"/>
                <w:szCs w:val="20"/>
                <w:color w:val="auto"/>
              </w:rPr>
            </w:pPr>
            <w:r>
              <w:rPr>
                <w:rFonts w:ascii="Arial" w:cs="Arial" w:eastAsia="Arial" w:hAnsi="Arial"/>
                <w:sz w:val="16"/>
                <w:szCs w:val="16"/>
                <w:color w:val="auto"/>
              </w:rPr>
              <w:t>CONVERSION OF PREFERRED SHARES</w:t>
            </w: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9.</w:t>
            </w:r>
          </w:p>
        </w:tc>
        <w:tc>
          <w:tcPr>
            <w:tcW w:w="9580" w:type="dxa"/>
            <w:vAlign w:val="bottom"/>
          </w:tcPr>
          <w:p>
            <w:pPr>
              <w:ind w:left="540"/>
              <w:spacing w:after="0"/>
              <w:rPr>
                <w:sz w:val="20"/>
                <w:szCs w:val="20"/>
                <w:color w:val="auto"/>
              </w:rPr>
            </w:pPr>
            <w:r>
              <w:rPr>
                <w:rFonts w:ascii="Arial" w:cs="Arial" w:eastAsia="Arial" w:hAnsi="Arial"/>
                <w:sz w:val="16"/>
                <w:szCs w:val="16"/>
                <w:color w:val="auto"/>
              </w:rPr>
              <w:t>VARIATION OF RIGHTS</w:t>
            </w: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10.</w:t>
            </w:r>
          </w:p>
        </w:tc>
        <w:tc>
          <w:tcPr>
            <w:tcW w:w="9580" w:type="dxa"/>
            <w:vAlign w:val="bottom"/>
          </w:tcPr>
          <w:p>
            <w:pPr>
              <w:ind w:left="540"/>
              <w:spacing w:after="0"/>
              <w:rPr>
                <w:sz w:val="20"/>
                <w:szCs w:val="20"/>
                <w:color w:val="auto"/>
              </w:rPr>
            </w:pPr>
            <w:r>
              <w:rPr>
                <w:rFonts w:ascii="Arial" w:cs="Arial" w:eastAsia="Arial" w:hAnsi="Arial"/>
                <w:sz w:val="16"/>
                <w:szCs w:val="16"/>
                <w:color w:val="auto"/>
              </w:rPr>
              <w:t>ALLOTMENT OF NEW SHARES OR OTHER SECURITIES: PRE- EMPTION</w:t>
            </w: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11.</w:t>
            </w:r>
          </w:p>
        </w:tc>
        <w:tc>
          <w:tcPr>
            <w:tcW w:w="9580" w:type="dxa"/>
            <w:vAlign w:val="bottom"/>
          </w:tcPr>
          <w:p>
            <w:pPr>
              <w:ind w:left="540"/>
              <w:spacing w:after="0"/>
              <w:rPr>
                <w:sz w:val="20"/>
                <w:szCs w:val="20"/>
                <w:color w:val="auto"/>
              </w:rPr>
            </w:pPr>
            <w:r>
              <w:rPr>
                <w:rFonts w:ascii="Arial" w:cs="Arial" w:eastAsia="Arial" w:hAnsi="Arial"/>
                <w:sz w:val="16"/>
                <w:szCs w:val="16"/>
                <w:color w:val="auto"/>
              </w:rPr>
              <w:t>LIEN</w:t>
            </w: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12.</w:t>
            </w:r>
          </w:p>
        </w:tc>
        <w:tc>
          <w:tcPr>
            <w:tcW w:w="9580" w:type="dxa"/>
            <w:vAlign w:val="bottom"/>
          </w:tcPr>
          <w:p>
            <w:pPr>
              <w:ind w:left="540"/>
              <w:spacing w:after="0"/>
              <w:rPr>
                <w:sz w:val="20"/>
                <w:szCs w:val="20"/>
                <w:color w:val="auto"/>
              </w:rPr>
            </w:pPr>
            <w:r>
              <w:rPr>
                <w:rFonts w:ascii="Arial" w:cs="Arial" w:eastAsia="Arial" w:hAnsi="Arial"/>
                <w:sz w:val="16"/>
                <w:szCs w:val="16"/>
                <w:color w:val="auto"/>
              </w:rPr>
              <w:t>TRANSFERS OF SHARES — GENERAL</w:t>
            </w: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13.</w:t>
            </w:r>
          </w:p>
        </w:tc>
        <w:tc>
          <w:tcPr>
            <w:tcW w:w="9580" w:type="dxa"/>
            <w:vAlign w:val="bottom"/>
          </w:tcPr>
          <w:p>
            <w:pPr>
              <w:ind w:left="540"/>
              <w:spacing w:after="0"/>
              <w:rPr>
                <w:sz w:val="20"/>
                <w:szCs w:val="20"/>
                <w:color w:val="auto"/>
              </w:rPr>
            </w:pPr>
            <w:r>
              <w:rPr>
                <w:rFonts w:ascii="Arial" w:cs="Arial" w:eastAsia="Arial" w:hAnsi="Arial"/>
                <w:sz w:val="16"/>
                <w:szCs w:val="16"/>
                <w:color w:val="auto"/>
              </w:rPr>
              <w:t>PERMITTED TRANSFERS</w:t>
            </w: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14.</w:t>
            </w:r>
          </w:p>
        </w:tc>
        <w:tc>
          <w:tcPr>
            <w:tcW w:w="9580" w:type="dxa"/>
            <w:vAlign w:val="bottom"/>
          </w:tcPr>
          <w:p>
            <w:pPr>
              <w:ind w:left="540"/>
              <w:spacing w:after="0"/>
              <w:rPr>
                <w:sz w:val="20"/>
                <w:szCs w:val="20"/>
                <w:color w:val="auto"/>
              </w:rPr>
            </w:pPr>
            <w:r>
              <w:rPr>
                <w:rFonts w:ascii="Arial" w:cs="Arial" w:eastAsia="Arial" w:hAnsi="Arial"/>
                <w:sz w:val="16"/>
                <w:szCs w:val="16"/>
                <w:color w:val="auto"/>
              </w:rPr>
              <w:t>TRANSFERS OF SHARES SUBJECT TO PRE-EMPTION RIGHTS</w:t>
            </w: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15.</w:t>
            </w:r>
          </w:p>
        </w:tc>
        <w:tc>
          <w:tcPr>
            <w:tcW w:w="9580" w:type="dxa"/>
            <w:vAlign w:val="bottom"/>
          </w:tcPr>
          <w:p>
            <w:pPr>
              <w:ind w:left="540"/>
              <w:spacing w:after="0"/>
              <w:rPr>
                <w:sz w:val="20"/>
                <w:szCs w:val="20"/>
                <w:color w:val="auto"/>
              </w:rPr>
            </w:pPr>
            <w:r>
              <w:rPr>
                <w:rFonts w:ascii="Arial" w:cs="Arial" w:eastAsia="Arial" w:hAnsi="Arial"/>
                <w:sz w:val="16"/>
                <w:szCs w:val="16"/>
                <w:color w:val="auto"/>
              </w:rPr>
              <w:t>COMPULSORY TRANSFERS AND DEFERRED SHARES</w:t>
            </w: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16.</w:t>
            </w:r>
          </w:p>
        </w:tc>
        <w:tc>
          <w:tcPr>
            <w:tcW w:w="9580" w:type="dxa"/>
            <w:vAlign w:val="bottom"/>
          </w:tcPr>
          <w:p>
            <w:pPr>
              <w:ind w:left="540"/>
              <w:spacing w:after="0"/>
              <w:rPr>
                <w:sz w:val="20"/>
                <w:szCs w:val="20"/>
                <w:color w:val="auto"/>
              </w:rPr>
            </w:pPr>
            <w:r>
              <w:rPr>
                <w:rFonts w:ascii="Arial" w:cs="Arial" w:eastAsia="Arial" w:hAnsi="Arial"/>
                <w:sz w:val="16"/>
                <w:szCs w:val="16"/>
                <w:color w:val="auto"/>
              </w:rPr>
              <w:t>TAG ALONG</w:t>
            </w: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17.</w:t>
            </w:r>
          </w:p>
        </w:tc>
        <w:tc>
          <w:tcPr>
            <w:tcW w:w="9580" w:type="dxa"/>
            <w:vAlign w:val="bottom"/>
          </w:tcPr>
          <w:p>
            <w:pPr>
              <w:ind w:left="540"/>
              <w:spacing w:after="0"/>
              <w:rPr>
                <w:sz w:val="20"/>
                <w:szCs w:val="20"/>
                <w:color w:val="auto"/>
              </w:rPr>
            </w:pPr>
            <w:r>
              <w:rPr>
                <w:rFonts w:ascii="Arial" w:cs="Arial" w:eastAsia="Arial" w:hAnsi="Arial"/>
                <w:sz w:val="16"/>
                <w:szCs w:val="16"/>
                <w:color w:val="auto"/>
              </w:rPr>
              <w:t>DRAG-ALONG</w:t>
            </w: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18.</w:t>
            </w:r>
          </w:p>
        </w:tc>
        <w:tc>
          <w:tcPr>
            <w:tcW w:w="9580" w:type="dxa"/>
            <w:vAlign w:val="bottom"/>
          </w:tcPr>
          <w:p>
            <w:pPr>
              <w:ind w:left="540"/>
              <w:spacing w:after="0"/>
              <w:rPr>
                <w:sz w:val="20"/>
                <w:szCs w:val="20"/>
                <w:color w:val="auto"/>
              </w:rPr>
            </w:pPr>
            <w:r>
              <w:rPr>
                <w:rFonts w:ascii="Arial" w:cs="Arial" w:eastAsia="Arial" w:hAnsi="Arial"/>
                <w:sz w:val="16"/>
                <w:szCs w:val="16"/>
                <w:color w:val="auto"/>
              </w:rPr>
              <w:t>GENERAL MEETINGS</w:t>
            </w: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19.</w:t>
            </w:r>
          </w:p>
        </w:tc>
        <w:tc>
          <w:tcPr>
            <w:tcW w:w="9580" w:type="dxa"/>
            <w:vAlign w:val="bottom"/>
          </w:tcPr>
          <w:p>
            <w:pPr>
              <w:ind w:left="540"/>
              <w:spacing w:after="0"/>
              <w:rPr>
                <w:sz w:val="20"/>
                <w:szCs w:val="20"/>
                <w:color w:val="auto"/>
              </w:rPr>
            </w:pPr>
            <w:r>
              <w:rPr>
                <w:rFonts w:ascii="Arial" w:cs="Arial" w:eastAsia="Arial" w:hAnsi="Arial"/>
                <w:sz w:val="16"/>
                <w:szCs w:val="16"/>
                <w:color w:val="auto"/>
              </w:rPr>
              <w:t>PROXIES</w:t>
            </w: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20.</w:t>
            </w:r>
          </w:p>
        </w:tc>
        <w:tc>
          <w:tcPr>
            <w:tcW w:w="9580" w:type="dxa"/>
            <w:vAlign w:val="bottom"/>
          </w:tcPr>
          <w:p>
            <w:pPr>
              <w:ind w:left="540"/>
              <w:spacing w:after="0"/>
              <w:rPr>
                <w:sz w:val="20"/>
                <w:szCs w:val="20"/>
                <w:color w:val="auto"/>
              </w:rPr>
            </w:pPr>
            <w:r>
              <w:rPr>
                <w:rFonts w:ascii="Arial" w:cs="Arial" w:eastAsia="Arial" w:hAnsi="Arial"/>
                <w:sz w:val="16"/>
                <w:szCs w:val="16"/>
                <w:color w:val="auto"/>
              </w:rPr>
              <w:t>DIRECTORS’ BORROWING POWERS</w:t>
            </w: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21.</w:t>
            </w:r>
          </w:p>
        </w:tc>
        <w:tc>
          <w:tcPr>
            <w:tcW w:w="9580" w:type="dxa"/>
            <w:vAlign w:val="bottom"/>
          </w:tcPr>
          <w:p>
            <w:pPr>
              <w:ind w:left="540"/>
              <w:spacing w:after="0"/>
              <w:rPr>
                <w:sz w:val="20"/>
                <w:szCs w:val="20"/>
                <w:color w:val="auto"/>
              </w:rPr>
            </w:pPr>
            <w:r>
              <w:rPr>
                <w:rFonts w:ascii="Arial" w:cs="Arial" w:eastAsia="Arial" w:hAnsi="Arial"/>
                <w:sz w:val="16"/>
                <w:szCs w:val="16"/>
                <w:color w:val="auto"/>
              </w:rPr>
              <w:t>ALTERNATE DIRECTORS</w:t>
            </w: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22.</w:t>
            </w:r>
          </w:p>
        </w:tc>
        <w:tc>
          <w:tcPr>
            <w:tcW w:w="9580" w:type="dxa"/>
            <w:vAlign w:val="bottom"/>
          </w:tcPr>
          <w:p>
            <w:pPr>
              <w:ind w:left="540"/>
              <w:spacing w:after="0"/>
              <w:rPr>
                <w:sz w:val="20"/>
                <w:szCs w:val="20"/>
                <w:color w:val="auto"/>
              </w:rPr>
            </w:pPr>
            <w:r>
              <w:rPr>
                <w:rFonts w:ascii="Arial" w:cs="Arial" w:eastAsia="Arial" w:hAnsi="Arial"/>
                <w:sz w:val="16"/>
                <w:szCs w:val="16"/>
                <w:color w:val="auto"/>
              </w:rPr>
              <w:t>NUMBER OF DIRECTORS</w:t>
            </w: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23.</w:t>
            </w:r>
          </w:p>
        </w:tc>
        <w:tc>
          <w:tcPr>
            <w:tcW w:w="9580" w:type="dxa"/>
            <w:vAlign w:val="bottom"/>
          </w:tcPr>
          <w:p>
            <w:pPr>
              <w:ind w:left="540"/>
              <w:spacing w:after="0"/>
              <w:rPr>
                <w:sz w:val="20"/>
                <w:szCs w:val="20"/>
                <w:color w:val="auto"/>
              </w:rPr>
            </w:pPr>
            <w:r>
              <w:rPr>
                <w:rFonts w:ascii="Arial" w:cs="Arial" w:eastAsia="Arial" w:hAnsi="Arial"/>
                <w:sz w:val="16"/>
                <w:szCs w:val="16"/>
                <w:color w:val="auto"/>
              </w:rPr>
              <w:t>APPOINTMENT OF DIRECTORS</w:t>
            </w: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24.</w:t>
            </w:r>
          </w:p>
        </w:tc>
        <w:tc>
          <w:tcPr>
            <w:tcW w:w="9580" w:type="dxa"/>
            <w:vAlign w:val="bottom"/>
          </w:tcPr>
          <w:p>
            <w:pPr>
              <w:ind w:left="540"/>
              <w:spacing w:after="0"/>
              <w:rPr>
                <w:sz w:val="20"/>
                <w:szCs w:val="20"/>
                <w:color w:val="auto"/>
              </w:rPr>
            </w:pPr>
            <w:r>
              <w:rPr>
                <w:rFonts w:ascii="Arial" w:cs="Arial" w:eastAsia="Arial" w:hAnsi="Arial"/>
                <w:sz w:val="16"/>
                <w:szCs w:val="16"/>
                <w:color w:val="auto"/>
              </w:rPr>
              <w:t>DIRECTORS’ PERMITTED INTERESTS</w:t>
            </w: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25.</w:t>
            </w:r>
          </w:p>
        </w:tc>
        <w:tc>
          <w:tcPr>
            <w:tcW w:w="9580" w:type="dxa"/>
            <w:vAlign w:val="bottom"/>
          </w:tcPr>
          <w:p>
            <w:pPr>
              <w:ind w:left="540"/>
              <w:spacing w:after="0"/>
              <w:rPr>
                <w:sz w:val="20"/>
                <w:szCs w:val="20"/>
                <w:color w:val="auto"/>
              </w:rPr>
            </w:pPr>
            <w:r>
              <w:rPr>
                <w:rFonts w:ascii="Arial" w:cs="Arial" w:eastAsia="Arial" w:hAnsi="Arial"/>
                <w:sz w:val="16"/>
                <w:szCs w:val="16"/>
                <w:color w:val="auto"/>
              </w:rPr>
              <w:t>AUTHORISATION OF CONFLICTS OF INTEREST</w:t>
            </w: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26.</w:t>
            </w:r>
          </w:p>
        </w:tc>
        <w:tc>
          <w:tcPr>
            <w:tcW w:w="9580" w:type="dxa"/>
            <w:vAlign w:val="bottom"/>
          </w:tcPr>
          <w:p>
            <w:pPr>
              <w:ind w:left="540"/>
              <w:spacing w:after="0"/>
              <w:rPr>
                <w:sz w:val="20"/>
                <w:szCs w:val="20"/>
                <w:color w:val="auto"/>
              </w:rPr>
            </w:pPr>
            <w:r>
              <w:rPr>
                <w:rFonts w:ascii="Arial" w:cs="Arial" w:eastAsia="Arial" w:hAnsi="Arial"/>
                <w:sz w:val="16"/>
                <w:szCs w:val="16"/>
                <w:color w:val="auto"/>
              </w:rPr>
              <w:t>DIRECTORS’ INTERESTS: GENERAL</w:t>
            </w: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27.</w:t>
            </w:r>
          </w:p>
        </w:tc>
        <w:tc>
          <w:tcPr>
            <w:tcW w:w="9580" w:type="dxa"/>
            <w:vAlign w:val="bottom"/>
          </w:tcPr>
          <w:p>
            <w:pPr>
              <w:ind w:left="540"/>
              <w:spacing w:after="0"/>
              <w:rPr>
                <w:sz w:val="20"/>
                <w:szCs w:val="20"/>
                <w:color w:val="auto"/>
              </w:rPr>
            </w:pPr>
            <w:r>
              <w:rPr>
                <w:rFonts w:ascii="Arial" w:cs="Arial" w:eastAsia="Arial" w:hAnsi="Arial"/>
                <w:sz w:val="16"/>
                <w:szCs w:val="16"/>
                <w:color w:val="auto"/>
              </w:rPr>
              <w:t>WRITTEN RESOLUTIONS</w:t>
            </w: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28.</w:t>
            </w:r>
          </w:p>
        </w:tc>
        <w:tc>
          <w:tcPr>
            <w:tcW w:w="9580" w:type="dxa"/>
            <w:vAlign w:val="bottom"/>
          </w:tcPr>
          <w:p>
            <w:pPr>
              <w:ind w:left="540"/>
              <w:spacing w:after="0"/>
              <w:rPr>
                <w:sz w:val="20"/>
                <w:szCs w:val="20"/>
                <w:color w:val="auto"/>
              </w:rPr>
            </w:pPr>
            <w:r>
              <w:rPr>
                <w:rFonts w:ascii="Arial" w:cs="Arial" w:eastAsia="Arial" w:hAnsi="Arial"/>
                <w:sz w:val="16"/>
                <w:szCs w:val="16"/>
                <w:color w:val="auto"/>
              </w:rPr>
              <w:t>DISQUALIFICATION OF DIRECTORS</w:t>
            </w: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29.</w:t>
            </w:r>
          </w:p>
        </w:tc>
        <w:tc>
          <w:tcPr>
            <w:tcW w:w="9580" w:type="dxa"/>
            <w:vAlign w:val="bottom"/>
          </w:tcPr>
          <w:p>
            <w:pPr>
              <w:ind w:left="540"/>
              <w:spacing w:after="0"/>
              <w:rPr>
                <w:sz w:val="20"/>
                <w:szCs w:val="20"/>
                <w:color w:val="auto"/>
              </w:rPr>
            </w:pPr>
            <w:r>
              <w:rPr>
                <w:rFonts w:ascii="Arial" w:cs="Arial" w:eastAsia="Arial" w:hAnsi="Arial"/>
                <w:sz w:val="16"/>
                <w:szCs w:val="16"/>
                <w:color w:val="auto"/>
              </w:rPr>
              <w:t>PROCEEDINGS OF DIRECTORS</w:t>
            </w: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30.</w:t>
            </w:r>
          </w:p>
        </w:tc>
        <w:tc>
          <w:tcPr>
            <w:tcW w:w="9580" w:type="dxa"/>
            <w:vAlign w:val="bottom"/>
          </w:tcPr>
          <w:p>
            <w:pPr>
              <w:ind w:left="540"/>
              <w:spacing w:after="0"/>
              <w:rPr>
                <w:sz w:val="20"/>
                <w:szCs w:val="20"/>
                <w:color w:val="auto"/>
              </w:rPr>
            </w:pPr>
            <w:r>
              <w:rPr>
                <w:rFonts w:ascii="Arial" w:cs="Arial" w:eastAsia="Arial" w:hAnsi="Arial"/>
                <w:sz w:val="16"/>
                <w:szCs w:val="16"/>
                <w:color w:val="auto"/>
              </w:rPr>
              <w:t>EXECUTION OF DOCUMENTS</w:t>
            </w: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31.</w:t>
            </w:r>
          </w:p>
        </w:tc>
        <w:tc>
          <w:tcPr>
            <w:tcW w:w="9580" w:type="dxa"/>
            <w:vAlign w:val="bottom"/>
          </w:tcPr>
          <w:p>
            <w:pPr>
              <w:ind w:left="540"/>
              <w:spacing w:after="0"/>
              <w:rPr>
                <w:sz w:val="20"/>
                <w:szCs w:val="20"/>
                <w:color w:val="auto"/>
              </w:rPr>
            </w:pPr>
            <w:r>
              <w:rPr>
                <w:rFonts w:ascii="Arial" w:cs="Arial" w:eastAsia="Arial" w:hAnsi="Arial"/>
                <w:sz w:val="16"/>
                <w:szCs w:val="16"/>
                <w:color w:val="auto"/>
              </w:rPr>
              <w:t>DIVIDENDS</w:t>
            </w: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32.</w:t>
            </w:r>
          </w:p>
        </w:tc>
        <w:tc>
          <w:tcPr>
            <w:tcW w:w="9580" w:type="dxa"/>
            <w:vAlign w:val="bottom"/>
          </w:tcPr>
          <w:p>
            <w:pPr>
              <w:ind w:left="540"/>
              <w:spacing w:after="0"/>
              <w:rPr>
                <w:sz w:val="20"/>
                <w:szCs w:val="20"/>
                <w:color w:val="auto"/>
              </w:rPr>
            </w:pPr>
            <w:r>
              <w:rPr>
                <w:rFonts w:ascii="Arial" w:cs="Arial" w:eastAsia="Arial" w:hAnsi="Arial"/>
                <w:sz w:val="16"/>
                <w:szCs w:val="16"/>
                <w:color w:val="auto"/>
              </w:rPr>
              <w:t>NOTICES</w:t>
            </w: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33.</w:t>
            </w:r>
          </w:p>
        </w:tc>
        <w:tc>
          <w:tcPr>
            <w:tcW w:w="9580" w:type="dxa"/>
            <w:vAlign w:val="bottom"/>
          </w:tcPr>
          <w:p>
            <w:pPr>
              <w:ind w:left="540"/>
              <w:spacing w:after="0"/>
              <w:rPr>
                <w:sz w:val="20"/>
                <w:szCs w:val="20"/>
                <w:color w:val="auto"/>
              </w:rPr>
            </w:pPr>
            <w:r>
              <w:rPr>
                <w:rFonts w:ascii="Arial" w:cs="Arial" w:eastAsia="Arial" w:hAnsi="Arial"/>
                <w:sz w:val="16"/>
                <w:szCs w:val="16"/>
                <w:color w:val="auto"/>
              </w:rPr>
              <w:t>INDEMNITY AND INSURANCE</w:t>
            </w: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07"/>
        </w:trPr>
        <w:tc>
          <w:tcPr>
            <w:tcW w:w="720" w:type="dxa"/>
            <w:vAlign w:val="bottom"/>
          </w:tcPr>
          <w:p>
            <w:pPr>
              <w:spacing w:after="0"/>
              <w:rPr>
                <w:sz w:val="20"/>
                <w:szCs w:val="20"/>
                <w:color w:val="auto"/>
              </w:rPr>
            </w:pPr>
            <w:r>
              <w:rPr>
                <w:rFonts w:ascii="Arial" w:cs="Arial" w:eastAsia="Arial" w:hAnsi="Arial"/>
                <w:sz w:val="16"/>
                <w:szCs w:val="16"/>
                <w:color w:val="auto"/>
              </w:rPr>
              <w:t>34.</w:t>
            </w:r>
          </w:p>
        </w:tc>
        <w:tc>
          <w:tcPr>
            <w:tcW w:w="9580" w:type="dxa"/>
            <w:vAlign w:val="bottom"/>
          </w:tcPr>
          <w:p>
            <w:pPr>
              <w:ind w:left="540"/>
              <w:spacing w:after="0"/>
              <w:rPr>
                <w:sz w:val="20"/>
                <w:szCs w:val="20"/>
                <w:color w:val="auto"/>
              </w:rPr>
            </w:pPr>
            <w:r>
              <w:rPr>
                <w:rFonts w:ascii="Arial" w:cs="Arial" w:eastAsia="Arial" w:hAnsi="Arial"/>
                <w:sz w:val="16"/>
                <w:szCs w:val="16"/>
                <w:color w:val="auto"/>
              </w:rPr>
              <w:t>DATA PROTECTION</w:t>
            </w: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r>
    </w:tbl>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321" w:name="page322"/>
    <w:bookmarkEnd w:id="321"/>
    <w:p>
      <w:pPr>
        <w:jc w:val="center"/>
        <w:ind w:right="-181"/>
        <w:spacing w:after="0"/>
        <w:rPr>
          <w:sz w:val="20"/>
          <w:szCs w:val="20"/>
          <w:color w:val="auto"/>
        </w:rPr>
      </w:pPr>
      <w:r>
        <w:rPr>
          <w:rFonts w:ascii="Arial" w:cs="Arial" w:eastAsia="Arial" w:hAnsi="Arial"/>
          <w:sz w:val="16"/>
          <w:szCs w:val="16"/>
          <w:b w:val="1"/>
          <w:bCs w:val="1"/>
          <w:color w:val="auto"/>
        </w:rPr>
        <w:t>THE COMPANIES ACTS 2006</w:t>
      </w:r>
    </w:p>
    <w:p>
      <w:pPr>
        <w:spacing w:after="0" w:line="207" w:lineRule="exact"/>
        <w:rPr>
          <w:sz w:val="20"/>
          <w:szCs w:val="20"/>
          <w:color w:val="auto"/>
        </w:rPr>
      </w:pPr>
    </w:p>
    <w:p>
      <w:pPr>
        <w:jc w:val="center"/>
        <w:ind w:right="-181"/>
        <w:spacing w:after="0"/>
        <w:rPr>
          <w:sz w:val="20"/>
          <w:szCs w:val="20"/>
          <w:color w:val="auto"/>
        </w:rPr>
      </w:pPr>
      <w:r>
        <w:rPr>
          <w:rFonts w:ascii="Arial" w:cs="Arial" w:eastAsia="Arial" w:hAnsi="Arial"/>
          <w:sz w:val="16"/>
          <w:szCs w:val="16"/>
          <w:b w:val="1"/>
          <w:bCs w:val="1"/>
          <w:color w:val="auto"/>
        </w:rPr>
        <w:t>COMPANY LIMITED BY SHARES</w:t>
      </w:r>
    </w:p>
    <w:p>
      <w:pPr>
        <w:spacing w:after="0" w:line="207" w:lineRule="exact"/>
        <w:rPr>
          <w:sz w:val="20"/>
          <w:szCs w:val="20"/>
          <w:color w:val="auto"/>
        </w:rPr>
      </w:pPr>
    </w:p>
    <w:p>
      <w:pPr>
        <w:jc w:val="center"/>
        <w:ind w:right="-181"/>
        <w:spacing w:after="0"/>
        <w:rPr>
          <w:sz w:val="20"/>
          <w:szCs w:val="20"/>
          <w:color w:val="auto"/>
        </w:rPr>
      </w:pPr>
      <w:r>
        <w:rPr>
          <w:rFonts w:ascii="Arial" w:cs="Arial" w:eastAsia="Arial" w:hAnsi="Arial"/>
          <w:sz w:val="16"/>
          <w:szCs w:val="16"/>
          <w:b w:val="1"/>
          <w:bCs w:val="1"/>
          <w:color w:val="auto"/>
        </w:rPr>
        <w:t>ARTICLES OF ASSOCIATION</w:t>
      </w:r>
    </w:p>
    <w:p>
      <w:pPr>
        <w:spacing w:after="0" w:line="207" w:lineRule="exact"/>
        <w:rPr>
          <w:sz w:val="20"/>
          <w:szCs w:val="20"/>
          <w:color w:val="auto"/>
        </w:rPr>
      </w:pPr>
    </w:p>
    <w:p>
      <w:pPr>
        <w:jc w:val="center"/>
        <w:ind w:right="-181"/>
        <w:spacing w:after="0"/>
        <w:rPr>
          <w:sz w:val="20"/>
          <w:szCs w:val="20"/>
          <w:color w:val="auto"/>
        </w:rPr>
      </w:pPr>
      <w:r>
        <w:rPr>
          <w:rFonts w:ascii="Arial" w:cs="Arial" w:eastAsia="Arial" w:hAnsi="Arial"/>
          <w:sz w:val="16"/>
          <w:szCs w:val="16"/>
          <w:b w:val="1"/>
          <w:bCs w:val="1"/>
          <w:color w:val="auto"/>
        </w:rPr>
        <w:t>OF</w:t>
      </w:r>
    </w:p>
    <w:p>
      <w:pPr>
        <w:spacing w:after="0" w:line="207" w:lineRule="exact"/>
        <w:rPr>
          <w:sz w:val="20"/>
          <w:szCs w:val="20"/>
          <w:color w:val="auto"/>
        </w:rPr>
      </w:pPr>
    </w:p>
    <w:p>
      <w:pPr>
        <w:jc w:val="center"/>
        <w:ind w:right="-181"/>
        <w:spacing w:after="0"/>
        <w:rPr>
          <w:sz w:val="20"/>
          <w:szCs w:val="20"/>
          <w:color w:val="auto"/>
        </w:rPr>
      </w:pPr>
      <w:r>
        <w:rPr>
          <w:rFonts w:ascii="Arial" w:cs="Arial" w:eastAsia="Arial" w:hAnsi="Arial"/>
          <w:sz w:val="16"/>
          <w:szCs w:val="16"/>
          <w:b w:val="1"/>
          <w:bCs w:val="1"/>
          <w:color w:val="auto"/>
        </w:rPr>
        <w:t>BICYCLE THERAPEUTICS LIMITED</w:t>
      </w:r>
    </w:p>
    <w:p>
      <w:pPr>
        <w:spacing w:after="0" w:line="211" w:lineRule="exact"/>
        <w:rPr>
          <w:sz w:val="20"/>
          <w:szCs w:val="20"/>
          <w:color w:val="auto"/>
        </w:rPr>
      </w:pPr>
    </w:p>
    <w:p>
      <w:pPr>
        <w:jc w:val="center"/>
        <w:ind w:right="-181"/>
        <w:spacing w:after="0"/>
        <w:rPr>
          <w:sz w:val="20"/>
          <w:szCs w:val="20"/>
          <w:color w:val="auto"/>
        </w:rPr>
      </w:pPr>
      <w:r>
        <w:rPr>
          <w:rFonts w:ascii="Arial" w:cs="Arial" w:eastAsia="Arial" w:hAnsi="Arial"/>
          <w:sz w:val="16"/>
          <w:szCs w:val="16"/>
          <w:color w:val="auto"/>
        </w:rPr>
        <w:t>(Adopted by a written resolution passed on 26 MAY 2017)</w:t>
      </w:r>
    </w:p>
    <w:p>
      <w:pPr>
        <w:spacing w:after="0" w:line="203" w:lineRule="exact"/>
        <w:rPr>
          <w:sz w:val="20"/>
          <w:szCs w:val="20"/>
          <w:color w:val="auto"/>
        </w:rPr>
      </w:pPr>
    </w:p>
    <w:p>
      <w:pPr>
        <w:ind w:left="642" w:hanging="642"/>
        <w:spacing w:after="0"/>
        <w:tabs>
          <w:tab w:leader="none" w:pos="642"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INTRODUCTION</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The Regulations contained or incorporated in Table A in the Schedule to the Companies (Tables A to F) Regulations 1985 as amended by:</w:t>
      </w:r>
    </w:p>
    <w:p>
      <w:pPr>
        <w:spacing w:after="0" w:line="207" w:lineRule="exact"/>
        <w:rPr>
          <w:sz w:val="20"/>
          <w:szCs w:val="20"/>
          <w:color w:val="auto"/>
        </w:rPr>
      </w:pPr>
    </w:p>
    <w:p>
      <w:pPr>
        <w:ind w:left="1162" w:hanging="575"/>
        <w:spacing w:after="0"/>
        <w:tabs>
          <w:tab w:leader="none" w:pos="116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Companies (Tables A to F) Amendment Regulations 1985;</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Schedule 1 to the Companies Act 1985 (Electronic Communications) Order 2000 (SI 2000/3373);</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Companies (Table A to F) (Amendment) Regulations 2007 (SI 2007/2541); and</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Companies (Tables A to F) (Amendment) (No. 2) Regulations 2007 (SI 2007/2826),</w:t>
      </w:r>
    </w:p>
    <w:p>
      <w:pPr>
        <w:spacing w:after="0" w:line="20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Table A</w:t>
      </w:r>
      <w:r>
        <w:rPr>
          <w:rFonts w:ascii="Arial" w:cs="Arial" w:eastAsia="Arial" w:hAnsi="Arial"/>
          <w:sz w:val="16"/>
          <w:szCs w:val="16"/>
          <w:color w:val="auto"/>
        </w:rPr>
        <w:t>”) shall apply to the Company, save insofar as they are varied or excluded by, or are inconsistent with, the following Articles.</w:t>
      </w:r>
    </w:p>
    <w:p>
      <w:pPr>
        <w:spacing w:after="0" w:line="211" w:lineRule="exact"/>
        <w:rPr>
          <w:sz w:val="20"/>
          <w:szCs w:val="20"/>
          <w:color w:val="auto"/>
        </w:rPr>
      </w:pPr>
    </w:p>
    <w:p>
      <w:pPr>
        <w:jc w:val="both"/>
        <w:ind w:left="582" w:hanging="586"/>
        <w:spacing w:after="0" w:line="270" w:lineRule="auto"/>
        <w:tabs>
          <w:tab w:leader="none" w:pos="562"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In Regulation 1 of Table A, the words “</w:t>
      </w:r>
      <w:r>
        <w:rPr>
          <w:rFonts w:ascii="Arial" w:cs="Arial" w:eastAsia="Arial" w:hAnsi="Arial"/>
          <w:sz w:val="16"/>
          <w:szCs w:val="16"/>
          <w:i w:val="1"/>
          <w:iCs w:val="1"/>
          <w:color w:val="auto"/>
        </w:rPr>
        <w:t>and in articles of association adopting the same” shall be inserted after the word “regulations</w:t>
      </w:r>
      <w:r>
        <w:rPr>
          <w:rFonts w:ascii="Arial" w:cs="Arial" w:eastAsia="Arial" w:hAnsi="Arial"/>
          <w:sz w:val="16"/>
          <w:szCs w:val="16"/>
          <w:color w:val="auto"/>
        </w:rPr>
        <w:t>” in the last paragraph of that Regulation and the sentence “</w:t>
      </w:r>
      <w:r>
        <w:rPr>
          <w:rFonts w:ascii="Arial" w:cs="Arial" w:eastAsia="Arial" w:hAnsi="Arial"/>
          <w:sz w:val="16"/>
          <w:szCs w:val="16"/>
          <w:i w:val="1"/>
          <w:iCs w:val="1"/>
          <w:color w:val="auto"/>
        </w:rPr>
        <w:t>Any reference to any statutory provision shall be deemed to include a reference to each and every statutory amendment, modification,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re-enactment and extension thereof for the time being in force</w:t>
      </w:r>
      <w:r>
        <w:rPr>
          <w:rFonts w:ascii="Arial" w:cs="Arial" w:eastAsia="Arial" w:hAnsi="Arial"/>
          <w:sz w:val="16"/>
          <w:szCs w:val="16"/>
          <w:color w:val="auto"/>
        </w:rPr>
        <w:t>” shall be inserted at the end of that Regulation.</w:t>
      </w:r>
    </w:p>
    <w:p>
      <w:pPr>
        <w:spacing w:after="0" w:line="158" w:lineRule="exact"/>
        <w:rPr>
          <w:sz w:val="20"/>
          <w:szCs w:val="20"/>
          <w:color w:val="auto"/>
        </w:rPr>
      </w:pPr>
    </w:p>
    <w:p>
      <w:pPr>
        <w:ind w:left="2"/>
        <w:spacing w:after="0"/>
        <w:tabs>
          <w:tab w:leader="none" w:pos="582"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5"/>
          <w:szCs w:val="15"/>
          <w:color w:val="auto"/>
        </w:rPr>
        <w:t>In these Articles</w:t>
      </w:r>
      <w:r>
        <w:rPr>
          <w:rFonts w:ascii="Arial" w:cs="Arial" w:eastAsia="Arial" w:hAnsi="Arial"/>
          <w:sz w:val="15"/>
          <w:szCs w:val="15"/>
          <w:b w:val="1"/>
          <w:bCs w:val="1"/>
          <w:color w:val="auto"/>
        </w:rPr>
        <w:t>:</w:t>
      </w:r>
    </w:p>
    <w:p>
      <w:pPr>
        <w:spacing w:after="0" w:line="211" w:lineRule="exact"/>
        <w:rPr>
          <w:sz w:val="20"/>
          <w:szCs w:val="20"/>
          <w:color w:val="auto"/>
        </w:rPr>
      </w:pPr>
    </w:p>
    <w:p>
      <w:pPr>
        <w:ind w:left="1162" w:hanging="575"/>
        <w:spacing w:after="0"/>
        <w:tabs>
          <w:tab w:leader="none" w:pos="116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article headings are used for convenience only and shall not affect the construction or interpretation of these Articles;</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171"/>
        </w:numPr>
        <w:rPr>
          <w:rFonts w:ascii="Arial" w:cs="Arial" w:eastAsia="Arial" w:hAnsi="Arial"/>
          <w:sz w:val="15"/>
          <w:szCs w:val="15"/>
          <w:color w:val="auto"/>
        </w:rPr>
      </w:pPr>
      <w:r>
        <w:rPr>
          <w:rFonts w:ascii="Arial" w:cs="Arial" w:eastAsia="Arial" w:hAnsi="Arial"/>
          <w:sz w:val="15"/>
          <w:szCs w:val="15"/>
          <w:color w:val="auto"/>
        </w:rPr>
        <w:t>words denoting the singular include the plural and vice versa and reference to one gender includes the other gender and neuter and vice versa; and</w:t>
      </w:r>
    </w:p>
    <w:p>
      <w:pPr>
        <w:spacing w:after="0" w:line="218" w:lineRule="exact"/>
        <w:rPr>
          <w:rFonts w:ascii="Arial" w:cs="Arial" w:eastAsia="Arial" w:hAnsi="Arial"/>
          <w:sz w:val="15"/>
          <w:szCs w:val="15"/>
          <w:color w:val="auto"/>
        </w:rPr>
      </w:pPr>
    </w:p>
    <w:p>
      <w:pPr>
        <w:ind w:left="1182" w:hanging="595"/>
        <w:spacing w:after="0"/>
        <w:tabs>
          <w:tab w:leader="none" w:pos="118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Regulations 8, 29, 30, 31, 54, 62, 76 to 77 (inclusive), 82, 94 to 98 (inclusive) 115 and 118 of Table A shall not apply to the Company.</w:t>
      </w:r>
    </w:p>
    <w:p>
      <w:pPr>
        <w:spacing w:after="0" w:line="207" w:lineRule="exact"/>
        <w:rPr>
          <w:sz w:val="20"/>
          <w:szCs w:val="20"/>
          <w:color w:val="auto"/>
        </w:rPr>
      </w:pPr>
    </w:p>
    <w:p>
      <w:pPr>
        <w:jc w:val="center"/>
        <w:ind w:right="-18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242"/>
          </w:cols>
          <w:pgMar w:left="238" w:top="318" w:right="419" w:bottom="1440" w:gutter="0" w:footer="0" w:header="0"/>
        </w:sectPr>
      </w:pPr>
    </w:p>
    <w:bookmarkStart w:id="322" w:name="page323"/>
    <w:bookmarkEnd w:id="322"/>
    <w:p>
      <w:pPr>
        <w:ind w:left="642" w:hanging="642"/>
        <w:spacing w:after="0"/>
        <w:tabs>
          <w:tab w:leader="none" w:pos="642"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11" w:lineRule="exact"/>
        <w:rPr>
          <w:sz w:val="20"/>
          <w:szCs w:val="20"/>
          <w:color w:val="auto"/>
        </w:rPr>
      </w:pPr>
    </w:p>
    <w:p>
      <w:pPr>
        <w:ind w:left="2"/>
        <w:spacing w:after="0"/>
        <w:tabs>
          <w:tab w:leader="none" w:pos="582"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In these Articles the following words and expressions shall have the following meanings:</w:t>
      </w:r>
    </w:p>
    <w:p>
      <w:pPr>
        <w:spacing w:after="0" w:line="203"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2720" w:type="dxa"/>
            <w:vAlign w:val="bottom"/>
          </w:tcPr>
          <w:p>
            <w:pPr>
              <w:spacing w:after="0"/>
              <w:rPr>
                <w:sz w:val="20"/>
                <w:szCs w:val="20"/>
                <w:color w:val="auto"/>
              </w:rPr>
            </w:pPr>
            <w:r>
              <w:rPr>
                <w:rFonts w:ascii="Arial" w:cs="Arial" w:eastAsia="Arial" w:hAnsi="Arial"/>
                <w:sz w:val="16"/>
                <w:szCs w:val="16"/>
                <w:b w:val="1"/>
                <w:bCs w:val="1"/>
                <w:color w:val="auto"/>
              </w:rPr>
              <w:t>2006 Act</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the Companies Act 2006 (as amended from time to time);</w:t>
            </w:r>
          </w:p>
        </w:tc>
      </w:tr>
      <w:tr>
        <w:trPr>
          <w:trHeight w:val="380"/>
        </w:trPr>
        <w:tc>
          <w:tcPr>
            <w:tcW w:w="2720" w:type="dxa"/>
            <w:vAlign w:val="bottom"/>
          </w:tcPr>
          <w:p>
            <w:pPr>
              <w:spacing w:after="0"/>
              <w:rPr>
                <w:sz w:val="20"/>
                <w:szCs w:val="20"/>
                <w:color w:val="auto"/>
              </w:rPr>
            </w:pPr>
            <w:r>
              <w:rPr>
                <w:rFonts w:ascii="Arial" w:cs="Arial" w:eastAsia="Arial" w:hAnsi="Arial"/>
                <w:sz w:val="16"/>
                <w:szCs w:val="16"/>
                <w:b w:val="1"/>
                <w:bCs w:val="1"/>
                <w:color w:val="auto"/>
              </w:rPr>
              <w:t>A Ordinary Conversion Rate</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the conversion rate of one A Ordinary Share into one Ordinary Share, subject to adjustment in accordance with</w:t>
            </w:r>
          </w:p>
        </w:tc>
      </w:tr>
      <w:tr>
        <w:trPr>
          <w:trHeight w:val="207"/>
        </w:trPr>
        <w:tc>
          <w:tcPr>
            <w:tcW w:w="2720" w:type="dxa"/>
            <w:vAlign w:val="bottom"/>
          </w:tcPr>
          <w:p>
            <w:pPr>
              <w:spacing w:after="0"/>
              <w:rPr>
                <w:sz w:val="18"/>
                <w:szCs w:val="18"/>
                <w:color w:val="auto"/>
              </w:rPr>
            </w:pP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Article 8.7;</w:t>
            </w:r>
          </w:p>
        </w:tc>
      </w:tr>
      <w:tr>
        <w:trPr>
          <w:trHeight w:val="380"/>
        </w:trPr>
        <w:tc>
          <w:tcPr>
            <w:tcW w:w="2720" w:type="dxa"/>
            <w:vAlign w:val="bottom"/>
          </w:tcPr>
          <w:p>
            <w:pPr>
              <w:spacing w:after="0"/>
              <w:rPr>
                <w:sz w:val="20"/>
                <w:szCs w:val="20"/>
                <w:color w:val="auto"/>
              </w:rPr>
            </w:pPr>
            <w:r>
              <w:rPr>
                <w:rFonts w:ascii="Arial" w:cs="Arial" w:eastAsia="Arial" w:hAnsi="Arial"/>
                <w:sz w:val="16"/>
                <w:szCs w:val="16"/>
                <w:b w:val="1"/>
                <w:bCs w:val="1"/>
                <w:color w:val="auto"/>
              </w:rPr>
              <w:t>A Ordinary Issue Price</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the price at which the relevant A Ordinary Share is issued, including any premium (subject to the appropriate</w:t>
            </w:r>
          </w:p>
        </w:tc>
      </w:tr>
      <w:tr>
        <w:trPr>
          <w:trHeight w:val="207"/>
        </w:trPr>
        <w:tc>
          <w:tcPr>
            <w:tcW w:w="2720" w:type="dxa"/>
            <w:vAlign w:val="bottom"/>
          </w:tcPr>
          <w:p>
            <w:pPr>
              <w:spacing w:after="0"/>
              <w:rPr>
                <w:sz w:val="18"/>
                <w:szCs w:val="18"/>
                <w:color w:val="auto"/>
              </w:rPr>
            </w:pP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proportionate adjustment following any Capital Reorganisation in respect of the A Ordinary Shares);</w:t>
            </w:r>
          </w:p>
        </w:tc>
      </w:tr>
      <w:tr>
        <w:trPr>
          <w:trHeight w:val="391"/>
        </w:trPr>
        <w:tc>
          <w:tcPr>
            <w:tcW w:w="2720" w:type="dxa"/>
            <w:vAlign w:val="bottom"/>
          </w:tcPr>
          <w:p>
            <w:pPr>
              <w:spacing w:after="0"/>
              <w:rPr>
                <w:sz w:val="20"/>
                <w:szCs w:val="20"/>
                <w:color w:val="auto"/>
              </w:rPr>
            </w:pPr>
            <w:r>
              <w:rPr>
                <w:rFonts w:ascii="Arial" w:cs="Arial" w:eastAsia="Arial" w:hAnsi="Arial"/>
                <w:sz w:val="16"/>
                <w:szCs w:val="16"/>
                <w:b w:val="1"/>
                <w:bCs w:val="1"/>
                <w:color w:val="auto"/>
              </w:rPr>
              <w:t>A Ordinary Shares</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the A ordinary shares of £0.01 each in the capital of the Company;</w:t>
            </w:r>
          </w:p>
        </w:tc>
      </w:tr>
      <w:tr>
        <w:trPr>
          <w:trHeight w:val="391"/>
        </w:trPr>
        <w:tc>
          <w:tcPr>
            <w:tcW w:w="2720" w:type="dxa"/>
            <w:vAlign w:val="bottom"/>
          </w:tcPr>
          <w:p>
            <w:pPr>
              <w:spacing w:after="0"/>
              <w:rPr>
                <w:sz w:val="20"/>
                <w:szCs w:val="20"/>
                <w:color w:val="auto"/>
              </w:rPr>
            </w:pPr>
            <w:r>
              <w:rPr>
                <w:rFonts w:ascii="Arial" w:cs="Arial" w:eastAsia="Arial" w:hAnsi="Arial"/>
                <w:sz w:val="16"/>
                <w:szCs w:val="16"/>
                <w:b w:val="1"/>
                <w:bCs w:val="1"/>
                <w:color w:val="auto"/>
              </w:rPr>
              <w:t>A Ordinary Shareholders</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the holders of the A Ordinary Shares;</w:t>
            </w:r>
          </w:p>
        </w:tc>
      </w:tr>
      <w:tr>
        <w:trPr>
          <w:trHeight w:val="380"/>
        </w:trPr>
        <w:tc>
          <w:tcPr>
            <w:tcW w:w="2720" w:type="dxa"/>
            <w:vAlign w:val="bottom"/>
          </w:tcPr>
          <w:p>
            <w:pPr>
              <w:spacing w:after="0"/>
              <w:rPr>
                <w:sz w:val="20"/>
                <w:szCs w:val="20"/>
                <w:color w:val="auto"/>
              </w:rPr>
            </w:pPr>
            <w:r>
              <w:rPr>
                <w:rFonts w:ascii="Arial" w:cs="Arial" w:eastAsia="Arial" w:hAnsi="Arial"/>
                <w:sz w:val="16"/>
                <w:szCs w:val="16"/>
                <w:b w:val="1"/>
                <w:bCs w:val="1"/>
                <w:color w:val="auto"/>
              </w:rPr>
              <w:t>Acting in Concert</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w w:val="91"/>
              </w:rPr>
              <w:t>has the meaning given to it in The City Code on Takeovers and Mergers published by the Panel on Takeovers and Mergers</w:t>
            </w:r>
          </w:p>
        </w:tc>
      </w:tr>
      <w:tr>
        <w:trPr>
          <w:trHeight w:val="207"/>
        </w:trPr>
        <w:tc>
          <w:tcPr>
            <w:tcW w:w="2720" w:type="dxa"/>
            <w:vAlign w:val="bottom"/>
          </w:tcPr>
          <w:p>
            <w:pPr>
              <w:spacing w:after="0"/>
              <w:rPr>
                <w:sz w:val="18"/>
                <w:szCs w:val="18"/>
                <w:color w:val="auto"/>
              </w:rPr>
            </w:pP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(as amended from time to time);</w:t>
            </w:r>
          </w:p>
        </w:tc>
      </w:tr>
      <w:tr>
        <w:trPr>
          <w:trHeight w:val="391"/>
        </w:trPr>
        <w:tc>
          <w:tcPr>
            <w:tcW w:w="2720" w:type="dxa"/>
            <w:vAlign w:val="bottom"/>
          </w:tcPr>
          <w:p>
            <w:pPr>
              <w:spacing w:after="0"/>
              <w:rPr>
                <w:sz w:val="20"/>
                <w:szCs w:val="20"/>
                <w:color w:val="auto"/>
              </w:rPr>
            </w:pPr>
            <w:r>
              <w:rPr>
                <w:rFonts w:ascii="Arial" w:cs="Arial" w:eastAsia="Arial" w:hAnsi="Arial"/>
                <w:sz w:val="16"/>
                <w:szCs w:val="16"/>
                <w:b w:val="1"/>
                <w:bCs w:val="1"/>
                <w:color w:val="auto"/>
              </w:rPr>
              <w:t>Actions</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shall have the meaning given to the term in Article 6.2;</w:t>
            </w:r>
          </w:p>
        </w:tc>
      </w:tr>
      <w:tr>
        <w:trPr>
          <w:trHeight w:val="391"/>
        </w:trPr>
        <w:tc>
          <w:tcPr>
            <w:tcW w:w="2720" w:type="dxa"/>
            <w:vAlign w:val="bottom"/>
          </w:tcPr>
          <w:p>
            <w:pPr>
              <w:spacing w:after="0"/>
              <w:rPr>
                <w:sz w:val="20"/>
                <w:szCs w:val="20"/>
                <w:color w:val="auto"/>
              </w:rPr>
            </w:pPr>
            <w:r>
              <w:rPr>
                <w:rFonts w:ascii="Arial" w:cs="Arial" w:eastAsia="Arial" w:hAnsi="Arial"/>
                <w:sz w:val="16"/>
                <w:szCs w:val="16"/>
                <w:b w:val="1"/>
                <w:bCs w:val="1"/>
                <w:color w:val="auto"/>
              </w:rPr>
              <w:t>Additional Shares</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shares in the equity share capital (as defined in the 2006 Act) of the Company but excluding:</w:t>
            </w:r>
          </w:p>
        </w:tc>
      </w:tr>
      <w:tr>
        <w:trPr>
          <w:trHeight w:val="380"/>
        </w:trPr>
        <w:tc>
          <w:tcPr>
            <w:tcW w:w="272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Arial" w:cs="Arial" w:eastAsia="Arial" w:hAnsi="Arial"/>
                <w:sz w:val="16"/>
                <w:szCs w:val="16"/>
                <w:color w:val="auto"/>
              </w:rPr>
              <w:t>(a)</w:t>
            </w:r>
          </w:p>
        </w:tc>
        <w:tc>
          <w:tcPr>
            <w:tcW w:w="7700" w:type="dxa"/>
            <w:vAlign w:val="bottom"/>
          </w:tcPr>
          <w:p>
            <w:pPr>
              <w:ind w:left="140"/>
              <w:spacing w:after="0"/>
              <w:rPr>
                <w:sz w:val="20"/>
                <w:szCs w:val="20"/>
                <w:color w:val="auto"/>
              </w:rPr>
            </w:pPr>
            <w:r>
              <w:rPr>
                <w:rFonts w:ascii="Arial" w:cs="Arial" w:eastAsia="Arial" w:hAnsi="Arial"/>
                <w:sz w:val="16"/>
                <w:szCs w:val="16"/>
                <w:color w:val="auto"/>
                <w:w w:val="96"/>
              </w:rPr>
              <w:t>any Ordinary Shares issued pursuant to an Employee Share Plan, or the exercise of options granted under an</w:t>
            </w:r>
          </w:p>
        </w:tc>
      </w:tr>
      <w:tr>
        <w:trPr>
          <w:trHeight w:val="207"/>
        </w:trPr>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700" w:type="dxa"/>
            <w:vAlign w:val="bottom"/>
          </w:tcPr>
          <w:p>
            <w:pPr>
              <w:ind w:left="140"/>
              <w:spacing w:after="0"/>
              <w:rPr>
                <w:sz w:val="20"/>
                <w:szCs w:val="20"/>
                <w:color w:val="auto"/>
              </w:rPr>
            </w:pPr>
            <w:r>
              <w:rPr>
                <w:rFonts w:ascii="Arial" w:cs="Arial" w:eastAsia="Arial" w:hAnsi="Arial"/>
                <w:sz w:val="16"/>
                <w:szCs w:val="16"/>
                <w:color w:val="auto"/>
              </w:rPr>
              <w:t>Employee Share Plan;</w:t>
            </w:r>
          </w:p>
        </w:tc>
      </w:tr>
      <w:tr>
        <w:trPr>
          <w:trHeight w:val="391"/>
        </w:trPr>
        <w:tc>
          <w:tcPr>
            <w:tcW w:w="272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Arial" w:cs="Arial" w:eastAsia="Arial" w:hAnsi="Arial"/>
                <w:sz w:val="16"/>
                <w:szCs w:val="16"/>
                <w:color w:val="auto"/>
              </w:rPr>
              <w:t>(b)</w:t>
            </w:r>
          </w:p>
        </w:tc>
        <w:tc>
          <w:tcPr>
            <w:tcW w:w="7700" w:type="dxa"/>
            <w:vAlign w:val="bottom"/>
          </w:tcPr>
          <w:p>
            <w:pPr>
              <w:ind w:left="140"/>
              <w:spacing w:after="0"/>
              <w:rPr>
                <w:sz w:val="20"/>
                <w:szCs w:val="20"/>
                <w:color w:val="auto"/>
              </w:rPr>
            </w:pPr>
            <w:r>
              <w:rPr>
                <w:rFonts w:ascii="Arial" w:cs="Arial" w:eastAsia="Arial" w:hAnsi="Arial"/>
                <w:sz w:val="16"/>
                <w:szCs w:val="16"/>
                <w:color w:val="auto"/>
              </w:rPr>
              <w:t>the conversion of any Preferred Shares into Ordinary Shares or Deferred Shares;</w:t>
            </w:r>
          </w:p>
        </w:tc>
      </w:tr>
      <w:tr>
        <w:trPr>
          <w:trHeight w:val="391"/>
        </w:trPr>
        <w:tc>
          <w:tcPr>
            <w:tcW w:w="272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Arial" w:cs="Arial" w:eastAsia="Arial" w:hAnsi="Arial"/>
                <w:sz w:val="16"/>
                <w:szCs w:val="16"/>
                <w:color w:val="auto"/>
              </w:rPr>
              <w:t>(c)</w:t>
            </w:r>
          </w:p>
        </w:tc>
        <w:tc>
          <w:tcPr>
            <w:tcW w:w="7700" w:type="dxa"/>
            <w:vAlign w:val="bottom"/>
          </w:tcPr>
          <w:p>
            <w:pPr>
              <w:ind w:left="140"/>
              <w:spacing w:after="0"/>
              <w:rPr>
                <w:sz w:val="20"/>
                <w:szCs w:val="20"/>
                <w:color w:val="auto"/>
              </w:rPr>
            </w:pPr>
            <w:r>
              <w:rPr>
                <w:rFonts w:ascii="Arial" w:cs="Arial" w:eastAsia="Arial" w:hAnsi="Arial"/>
                <w:sz w:val="16"/>
                <w:szCs w:val="16"/>
                <w:color w:val="auto"/>
              </w:rPr>
              <w:t>the conversion of Ordinary Shares into Deferred Shares;</w:t>
            </w:r>
          </w:p>
        </w:tc>
      </w:tr>
      <w:tr>
        <w:trPr>
          <w:trHeight w:val="380"/>
        </w:trPr>
        <w:tc>
          <w:tcPr>
            <w:tcW w:w="272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Arial" w:cs="Arial" w:eastAsia="Arial" w:hAnsi="Arial"/>
                <w:sz w:val="16"/>
                <w:szCs w:val="16"/>
                <w:color w:val="auto"/>
              </w:rPr>
              <w:t>(d)</w:t>
            </w:r>
          </w:p>
        </w:tc>
        <w:tc>
          <w:tcPr>
            <w:tcW w:w="7700" w:type="dxa"/>
            <w:vAlign w:val="bottom"/>
          </w:tcPr>
          <w:p>
            <w:pPr>
              <w:ind w:left="140"/>
              <w:spacing w:after="0"/>
              <w:rPr>
                <w:sz w:val="20"/>
                <w:szCs w:val="20"/>
                <w:color w:val="auto"/>
              </w:rPr>
            </w:pPr>
            <w:r>
              <w:rPr>
                <w:rFonts w:ascii="Arial" w:cs="Arial" w:eastAsia="Arial" w:hAnsi="Arial"/>
                <w:sz w:val="16"/>
                <w:szCs w:val="16"/>
                <w:color w:val="auto"/>
              </w:rPr>
              <w:t>Shares issued on a pro rata basis to all Shareholders as a result of a capitalisation of profits or reserves or</w:t>
            </w:r>
          </w:p>
        </w:tc>
      </w:tr>
      <w:tr>
        <w:trPr>
          <w:trHeight w:val="207"/>
        </w:trPr>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700" w:type="dxa"/>
            <w:vAlign w:val="bottom"/>
          </w:tcPr>
          <w:p>
            <w:pPr>
              <w:ind w:left="140"/>
              <w:spacing w:after="0"/>
              <w:rPr>
                <w:sz w:val="20"/>
                <w:szCs w:val="20"/>
                <w:color w:val="auto"/>
              </w:rPr>
            </w:pPr>
            <w:r>
              <w:rPr>
                <w:rFonts w:ascii="Arial" w:cs="Arial" w:eastAsia="Arial" w:hAnsi="Arial"/>
                <w:sz w:val="16"/>
                <w:szCs w:val="16"/>
                <w:color w:val="auto"/>
              </w:rPr>
              <w:t>reinvestment of dividends or arising on any Capital Reorganisation of the Company;</w:t>
            </w:r>
          </w:p>
        </w:tc>
      </w:tr>
      <w:tr>
        <w:trPr>
          <w:trHeight w:val="380"/>
        </w:trPr>
        <w:tc>
          <w:tcPr>
            <w:tcW w:w="272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Arial" w:cs="Arial" w:eastAsia="Arial" w:hAnsi="Arial"/>
                <w:sz w:val="16"/>
                <w:szCs w:val="16"/>
                <w:color w:val="auto"/>
              </w:rPr>
              <w:t>(e)</w:t>
            </w:r>
          </w:p>
        </w:tc>
        <w:tc>
          <w:tcPr>
            <w:tcW w:w="7700" w:type="dxa"/>
            <w:vAlign w:val="bottom"/>
          </w:tcPr>
          <w:p>
            <w:pPr>
              <w:ind w:left="140"/>
              <w:spacing w:after="0"/>
              <w:rPr>
                <w:sz w:val="20"/>
                <w:szCs w:val="20"/>
                <w:color w:val="auto"/>
              </w:rPr>
            </w:pPr>
            <w:r>
              <w:rPr>
                <w:rFonts w:ascii="Arial" w:cs="Arial" w:eastAsia="Arial" w:hAnsi="Arial"/>
                <w:sz w:val="16"/>
                <w:szCs w:val="16"/>
                <w:color w:val="auto"/>
                <w:w w:val="92"/>
              </w:rPr>
              <w:t>Shares issued pursuant to the acquisition of another company by the Company by way of the purchase of shares of</w:t>
            </w:r>
          </w:p>
        </w:tc>
      </w:tr>
      <w:tr>
        <w:trPr>
          <w:trHeight w:val="196"/>
        </w:trPr>
        <w:tc>
          <w:tcPr>
            <w:tcW w:w="2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700" w:type="dxa"/>
            <w:vAlign w:val="bottom"/>
          </w:tcPr>
          <w:p>
            <w:pPr>
              <w:ind w:left="140"/>
              <w:spacing w:after="0"/>
              <w:rPr>
                <w:sz w:val="20"/>
                <w:szCs w:val="20"/>
                <w:color w:val="auto"/>
              </w:rPr>
            </w:pPr>
            <w:r>
              <w:rPr>
                <w:rFonts w:ascii="Arial" w:cs="Arial" w:eastAsia="Arial" w:hAnsi="Arial"/>
                <w:sz w:val="16"/>
                <w:szCs w:val="16"/>
                <w:color w:val="auto"/>
                <w:w w:val="96"/>
              </w:rPr>
              <w:t>such company or the purchase of substantially all of the assets of such company or other reorganisation or to a</w:t>
            </w:r>
          </w:p>
        </w:tc>
      </w:tr>
      <w:tr>
        <w:trPr>
          <w:trHeight w:val="207"/>
        </w:trPr>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700" w:type="dxa"/>
            <w:vAlign w:val="bottom"/>
          </w:tcPr>
          <w:p>
            <w:pPr>
              <w:ind w:left="140"/>
              <w:spacing w:after="0"/>
              <w:rPr>
                <w:sz w:val="20"/>
                <w:szCs w:val="20"/>
                <w:color w:val="auto"/>
              </w:rPr>
            </w:pPr>
            <w:r>
              <w:rPr>
                <w:rFonts w:ascii="Arial" w:cs="Arial" w:eastAsia="Arial" w:hAnsi="Arial"/>
                <w:sz w:val="16"/>
                <w:szCs w:val="16"/>
                <w:color w:val="auto"/>
              </w:rPr>
              <w:t>joint venture agreement; and</w:t>
            </w:r>
          </w:p>
        </w:tc>
      </w:tr>
      <w:tr>
        <w:trPr>
          <w:trHeight w:val="380"/>
        </w:trPr>
        <w:tc>
          <w:tcPr>
            <w:tcW w:w="272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Arial" w:cs="Arial" w:eastAsia="Arial" w:hAnsi="Arial"/>
                <w:sz w:val="16"/>
                <w:szCs w:val="16"/>
                <w:color w:val="auto"/>
              </w:rPr>
              <w:t>(f)</w:t>
            </w:r>
          </w:p>
        </w:tc>
        <w:tc>
          <w:tcPr>
            <w:tcW w:w="7700" w:type="dxa"/>
            <w:vAlign w:val="bottom"/>
          </w:tcPr>
          <w:p>
            <w:pPr>
              <w:ind w:left="140"/>
              <w:spacing w:after="0"/>
              <w:rPr>
                <w:sz w:val="20"/>
                <w:szCs w:val="20"/>
                <w:color w:val="auto"/>
              </w:rPr>
            </w:pPr>
            <w:r>
              <w:rPr>
                <w:rFonts w:ascii="Arial" w:cs="Arial" w:eastAsia="Arial" w:hAnsi="Arial"/>
                <w:sz w:val="16"/>
                <w:szCs w:val="16"/>
                <w:color w:val="auto"/>
                <w:w w:val="99"/>
              </w:rPr>
              <w:t>any Shares issued pursuant to the exercise of any warrant granted by the Company at or about the Date of</w:t>
            </w:r>
          </w:p>
        </w:tc>
      </w:tr>
      <w:tr>
        <w:trPr>
          <w:trHeight w:val="207"/>
        </w:trPr>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700" w:type="dxa"/>
            <w:vAlign w:val="bottom"/>
          </w:tcPr>
          <w:p>
            <w:pPr>
              <w:ind w:left="140"/>
              <w:spacing w:after="0"/>
              <w:rPr>
                <w:sz w:val="20"/>
                <w:szCs w:val="20"/>
                <w:color w:val="auto"/>
              </w:rPr>
            </w:pPr>
            <w:r>
              <w:rPr>
                <w:rFonts w:ascii="Arial" w:cs="Arial" w:eastAsia="Arial" w:hAnsi="Arial"/>
                <w:sz w:val="16"/>
                <w:szCs w:val="16"/>
                <w:color w:val="auto"/>
              </w:rPr>
              <w:t>Adoption;</w:t>
            </w:r>
          </w:p>
        </w:tc>
      </w:tr>
      <w:tr>
        <w:trPr>
          <w:trHeight w:val="380"/>
        </w:trPr>
        <w:tc>
          <w:tcPr>
            <w:tcW w:w="2720" w:type="dxa"/>
            <w:vAlign w:val="bottom"/>
          </w:tcPr>
          <w:p>
            <w:pPr>
              <w:spacing w:after="0"/>
              <w:rPr>
                <w:sz w:val="20"/>
                <w:szCs w:val="20"/>
                <w:color w:val="auto"/>
              </w:rPr>
            </w:pPr>
            <w:r>
              <w:rPr>
                <w:rFonts w:ascii="Arial" w:cs="Arial" w:eastAsia="Arial" w:hAnsi="Arial"/>
                <w:sz w:val="16"/>
                <w:szCs w:val="16"/>
                <w:b w:val="1"/>
                <w:bCs w:val="1"/>
                <w:color w:val="auto"/>
              </w:rPr>
              <w:t>As Converted Basis</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w w:val="92"/>
              </w:rPr>
              <w:t>in reference to any calculation or number, means that such calculation shall be made, or number determined, on the basis</w:t>
            </w:r>
          </w:p>
        </w:tc>
      </w:tr>
      <w:tr>
        <w:trPr>
          <w:trHeight w:val="196"/>
        </w:trPr>
        <w:tc>
          <w:tcPr>
            <w:tcW w:w="2720" w:type="dxa"/>
            <w:vAlign w:val="bottom"/>
          </w:tcPr>
          <w:p>
            <w:pPr>
              <w:spacing w:after="0"/>
              <w:rPr>
                <w:sz w:val="17"/>
                <w:szCs w:val="17"/>
                <w:color w:val="auto"/>
              </w:rPr>
            </w:pP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w w:val="99"/>
              </w:rPr>
              <w:t>that each Preferred Share is equivalent to such number of Ordinary Shares as is converted in accordance with the</w:t>
            </w:r>
          </w:p>
        </w:tc>
      </w:tr>
      <w:tr>
        <w:trPr>
          <w:trHeight w:val="207"/>
        </w:trPr>
        <w:tc>
          <w:tcPr>
            <w:tcW w:w="2720" w:type="dxa"/>
            <w:vAlign w:val="bottom"/>
          </w:tcPr>
          <w:p>
            <w:pPr>
              <w:spacing w:after="0"/>
              <w:rPr>
                <w:sz w:val="18"/>
                <w:szCs w:val="18"/>
                <w:color w:val="auto"/>
              </w:rPr>
            </w:pP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Conversion Rate and, if applicable, adjusted in accordance with Article 8.7;</w:t>
            </w:r>
          </w:p>
        </w:tc>
      </w:tr>
      <w:tr>
        <w:trPr>
          <w:trHeight w:val="380"/>
        </w:trPr>
        <w:tc>
          <w:tcPr>
            <w:tcW w:w="2720" w:type="dxa"/>
            <w:vAlign w:val="bottom"/>
          </w:tcPr>
          <w:p>
            <w:pPr>
              <w:spacing w:after="0"/>
              <w:rPr>
                <w:sz w:val="20"/>
                <w:szCs w:val="20"/>
                <w:color w:val="auto"/>
              </w:rPr>
            </w:pPr>
            <w:r>
              <w:rPr>
                <w:rFonts w:ascii="Arial" w:cs="Arial" w:eastAsia="Arial" w:hAnsi="Arial"/>
                <w:sz w:val="16"/>
                <w:szCs w:val="16"/>
                <w:b w:val="1"/>
                <w:bCs w:val="1"/>
                <w:color w:val="auto"/>
              </w:rPr>
              <w:t>Associate</w:t>
            </w: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w w:val="93"/>
              </w:rPr>
              <w:t>in relation to any person means any person who is an associate of that person and the question of whether a person is an</w:t>
            </w:r>
          </w:p>
        </w:tc>
      </w:tr>
      <w:tr>
        <w:trPr>
          <w:trHeight w:val="196"/>
        </w:trPr>
        <w:tc>
          <w:tcPr>
            <w:tcW w:w="2720" w:type="dxa"/>
            <w:vAlign w:val="bottom"/>
          </w:tcPr>
          <w:p>
            <w:pPr>
              <w:spacing w:after="0"/>
              <w:rPr>
                <w:sz w:val="17"/>
                <w:szCs w:val="17"/>
                <w:color w:val="auto"/>
              </w:rPr>
            </w:pP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w w:val="92"/>
              </w:rPr>
              <w:t>associate of another is to be determined in accordance with section 435 of the Insolvency Act 1986 and (whether or not an</w:t>
            </w:r>
          </w:p>
        </w:tc>
      </w:tr>
      <w:tr>
        <w:trPr>
          <w:trHeight w:val="207"/>
        </w:trPr>
        <w:tc>
          <w:tcPr>
            <w:tcW w:w="2720" w:type="dxa"/>
            <w:vAlign w:val="bottom"/>
          </w:tcPr>
          <w:p>
            <w:pPr>
              <w:spacing w:after="0"/>
              <w:rPr>
                <w:sz w:val="18"/>
                <w:szCs w:val="18"/>
                <w:color w:val="auto"/>
              </w:rPr>
            </w:pPr>
          </w:p>
        </w:tc>
        <w:tc>
          <w:tcPr>
            <w:tcW w:w="8740" w:type="dxa"/>
            <w:vAlign w:val="bottom"/>
            <w:gridSpan w:val="2"/>
          </w:tcPr>
          <w:p>
            <w:pPr>
              <w:ind w:left="720"/>
              <w:spacing w:after="0"/>
              <w:rPr>
                <w:sz w:val="20"/>
                <w:szCs w:val="20"/>
                <w:color w:val="auto"/>
              </w:rPr>
            </w:pPr>
            <w:r>
              <w:rPr>
                <w:rFonts w:ascii="Arial" w:cs="Arial" w:eastAsia="Arial" w:hAnsi="Arial"/>
                <w:sz w:val="16"/>
                <w:szCs w:val="16"/>
                <w:color w:val="auto"/>
              </w:rPr>
              <w:t>associate as so determined):</w:t>
            </w:r>
          </w:p>
        </w:tc>
      </w:tr>
      <w:tr>
        <w:trPr>
          <w:trHeight w:val="391"/>
        </w:trPr>
        <w:tc>
          <w:tcPr>
            <w:tcW w:w="2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00" w:type="dxa"/>
            <w:vAlign w:val="bottom"/>
          </w:tcPr>
          <w:p>
            <w:pPr>
              <w:ind w:left="1920"/>
              <w:spacing w:after="0"/>
              <w:rPr>
                <w:sz w:val="20"/>
                <w:szCs w:val="20"/>
                <w:color w:val="auto"/>
              </w:rPr>
            </w:pPr>
            <w:r>
              <w:rPr>
                <w:rFonts w:ascii="Arial" w:cs="Arial" w:eastAsia="Arial" w:hAnsi="Arial"/>
                <w:sz w:val="16"/>
                <w:szCs w:val="16"/>
                <w:color w:val="auto"/>
              </w:rPr>
              <w:t>3</w:t>
            </w:r>
          </w:p>
        </w:tc>
      </w:tr>
      <w:tr>
        <w:trPr>
          <w:trHeight w:val="119"/>
        </w:trPr>
        <w:tc>
          <w:tcPr>
            <w:tcW w:w="27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7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18" w:right="19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1260" w:type="dxa"/>
            <w:vAlign w:val="bottom"/>
          </w:tcPr>
          <w:p>
            <w:pPr>
              <w:ind w:left="1000"/>
              <w:spacing w:after="0"/>
              <w:rPr>
                <w:sz w:val="20"/>
                <w:szCs w:val="20"/>
                <w:color w:val="auto"/>
              </w:rPr>
            </w:pPr>
            <w:r>
              <w:rPr>
                <w:rFonts w:ascii="Arial" w:cs="Arial" w:eastAsia="Arial" w:hAnsi="Arial"/>
                <w:sz w:val="16"/>
                <w:szCs w:val="16"/>
                <w:color w:val="auto"/>
              </w:rPr>
              <w:t>i.</w:t>
            </w:r>
          </w:p>
        </w:tc>
        <w:tc>
          <w:tcPr>
            <w:tcW w:w="7420" w:type="dxa"/>
            <w:vAlign w:val="bottom"/>
          </w:tcPr>
          <w:p>
            <w:pPr>
              <w:ind w:left="120"/>
              <w:spacing w:after="0"/>
              <w:rPr>
                <w:sz w:val="20"/>
                <w:szCs w:val="20"/>
                <w:color w:val="auto"/>
              </w:rPr>
            </w:pPr>
            <w:r>
              <w:rPr>
                <w:rFonts w:ascii="Arial" w:cs="Arial" w:eastAsia="Arial" w:hAnsi="Arial"/>
                <w:sz w:val="16"/>
                <w:szCs w:val="16"/>
                <w:color w:val="auto"/>
              </w:rPr>
              <w:t>any Member of the Same Group; and</w:t>
            </w:r>
          </w:p>
        </w:tc>
      </w:tr>
      <w:tr>
        <w:trPr>
          <w:trHeight w:val="391"/>
        </w:trPr>
        <w:tc>
          <w:tcPr>
            <w:tcW w:w="2720" w:type="dxa"/>
            <w:vAlign w:val="bottom"/>
          </w:tcPr>
          <w:p>
            <w:pPr>
              <w:spacing w:after="0"/>
              <w:rPr>
                <w:sz w:val="24"/>
                <w:szCs w:val="24"/>
                <w:color w:val="auto"/>
              </w:rPr>
            </w:pPr>
          </w:p>
        </w:tc>
        <w:tc>
          <w:tcPr>
            <w:tcW w:w="1260" w:type="dxa"/>
            <w:vAlign w:val="bottom"/>
          </w:tcPr>
          <w:p>
            <w:pPr>
              <w:ind w:left="1000"/>
              <w:spacing w:after="0"/>
              <w:rPr>
                <w:sz w:val="20"/>
                <w:szCs w:val="20"/>
                <w:color w:val="auto"/>
              </w:rPr>
            </w:pPr>
            <w:r>
              <w:rPr>
                <w:rFonts w:ascii="Arial" w:cs="Arial" w:eastAsia="Arial" w:hAnsi="Arial"/>
                <w:sz w:val="16"/>
                <w:szCs w:val="16"/>
                <w:color w:val="auto"/>
              </w:rPr>
              <w:t>ii.</w:t>
            </w:r>
          </w:p>
        </w:tc>
        <w:tc>
          <w:tcPr>
            <w:tcW w:w="7420" w:type="dxa"/>
            <w:vAlign w:val="bottom"/>
          </w:tcPr>
          <w:p>
            <w:pPr>
              <w:ind w:left="120"/>
              <w:spacing w:after="0"/>
              <w:rPr>
                <w:sz w:val="20"/>
                <w:szCs w:val="20"/>
                <w:color w:val="auto"/>
              </w:rPr>
            </w:pPr>
            <w:r>
              <w:rPr>
                <w:rFonts w:ascii="Arial" w:cs="Arial" w:eastAsia="Arial" w:hAnsi="Arial"/>
                <w:sz w:val="16"/>
                <w:szCs w:val="16"/>
                <w:color w:val="auto"/>
              </w:rPr>
              <w:t>any Member of the Same Fund Group;</w:t>
            </w:r>
          </w:p>
        </w:tc>
      </w:tr>
      <w:tr>
        <w:trPr>
          <w:trHeight w:val="391"/>
        </w:trPr>
        <w:tc>
          <w:tcPr>
            <w:tcW w:w="2720" w:type="dxa"/>
            <w:vAlign w:val="bottom"/>
          </w:tcPr>
          <w:p>
            <w:pPr>
              <w:spacing w:after="0"/>
              <w:rPr>
                <w:sz w:val="20"/>
                <w:szCs w:val="20"/>
                <w:color w:val="auto"/>
              </w:rPr>
            </w:pPr>
            <w:r>
              <w:rPr>
                <w:rFonts w:ascii="Arial" w:cs="Arial" w:eastAsia="Arial" w:hAnsi="Arial"/>
                <w:sz w:val="16"/>
                <w:szCs w:val="16"/>
                <w:b w:val="1"/>
                <w:bCs w:val="1"/>
                <w:color w:val="auto"/>
              </w:rPr>
              <w:t>Atlas</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Atlas Venture Fund VIII, L.P. of 25 First Street, Suite 303, Cambridge MA 02141;</w:t>
            </w:r>
          </w:p>
        </w:tc>
      </w:tr>
      <w:tr>
        <w:trPr>
          <w:trHeight w:val="391"/>
        </w:trPr>
        <w:tc>
          <w:tcPr>
            <w:tcW w:w="2720" w:type="dxa"/>
            <w:vAlign w:val="bottom"/>
          </w:tcPr>
          <w:p>
            <w:pPr>
              <w:spacing w:after="0"/>
              <w:rPr>
                <w:sz w:val="20"/>
                <w:szCs w:val="20"/>
                <w:color w:val="auto"/>
              </w:rPr>
            </w:pPr>
            <w:r>
              <w:rPr>
                <w:rFonts w:ascii="Arial" w:cs="Arial" w:eastAsia="Arial" w:hAnsi="Arial"/>
                <w:sz w:val="16"/>
                <w:szCs w:val="16"/>
                <w:b w:val="1"/>
                <w:bCs w:val="1"/>
                <w:color w:val="auto"/>
              </w:rPr>
              <w:t>Auditors</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the auditors of the Company from time to time;</w:t>
            </w:r>
          </w:p>
        </w:tc>
      </w:tr>
      <w:tr>
        <w:trPr>
          <w:trHeight w:val="391"/>
        </w:trPr>
        <w:tc>
          <w:tcPr>
            <w:tcW w:w="2720" w:type="dxa"/>
            <w:vAlign w:val="bottom"/>
          </w:tcPr>
          <w:p>
            <w:pPr>
              <w:spacing w:after="0"/>
              <w:rPr>
                <w:sz w:val="20"/>
                <w:szCs w:val="20"/>
                <w:color w:val="auto"/>
              </w:rPr>
            </w:pPr>
            <w:r>
              <w:rPr>
                <w:rFonts w:ascii="Arial" w:cs="Arial" w:eastAsia="Arial" w:hAnsi="Arial"/>
                <w:sz w:val="16"/>
                <w:szCs w:val="16"/>
                <w:b w:val="1"/>
                <w:bCs w:val="1"/>
                <w:color w:val="auto"/>
              </w:rPr>
              <w:t>Available Profits</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profits available for distribution within the meaning of section 830 of the 2006 Act;</w:t>
            </w:r>
          </w:p>
        </w:tc>
      </w:tr>
      <w:tr>
        <w:trPr>
          <w:trHeight w:val="380"/>
        </w:trPr>
        <w:tc>
          <w:tcPr>
            <w:tcW w:w="2720" w:type="dxa"/>
            <w:vAlign w:val="bottom"/>
          </w:tcPr>
          <w:p>
            <w:pPr>
              <w:spacing w:after="0"/>
              <w:rPr>
                <w:sz w:val="20"/>
                <w:szCs w:val="20"/>
                <w:color w:val="auto"/>
              </w:rPr>
            </w:pPr>
            <w:r>
              <w:rPr>
                <w:rFonts w:ascii="Arial" w:cs="Arial" w:eastAsia="Arial" w:hAnsi="Arial"/>
                <w:sz w:val="16"/>
                <w:szCs w:val="16"/>
                <w:b w:val="1"/>
                <w:bCs w:val="1"/>
                <w:color w:val="auto"/>
              </w:rPr>
              <w:t>B Ordinary Conversion Rate</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the conversion rate of one B Ordinary Share into one Ordinary Share, subject to adjustment in accordance with</w:t>
            </w:r>
          </w:p>
        </w:tc>
      </w:tr>
      <w:tr>
        <w:trPr>
          <w:trHeight w:val="207"/>
        </w:trPr>
        <w:tc>
          <w:tcPr>
            <w:tcW w:w="2720" w:type="dxa"/>
            <w:vAlign w:val="bottom"/>
          </w:tcPr>
          <w:p>
            <w:pPr>
              <w:spacing w:after="0"/>
              <w:rPr>
                <w:sz w:val="18"/>
                <w:szCs w:val="18"/>
                <w:color w:val="auto"/>
              </w:rPr>
            </w:pP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Article 8.7;</w:t>
            </w:r>
          </w:p>
        </w:tc>
      </w:tr>
      <w:tr>
        <w:trPr>
          <w:trHeight w:val="380"/>
        </w:trPr>
        <w:tc>
          <w:tcPr>
            <w:tcW w:w="2720" w:type="dxa"/>
            <w:vAlign w:val="bottom"/>
          </w:tcPr>
          <w:p>
            <w:pPr>
              <w:spacing w:after="0"/>
              <w:rPr>
                <w:sz w:val="20"/>
                <w:szCs w:val="20"/>
                <w:color w:val="auto"/>
              </w:rPr>
            </w:pPr>
            <w:r>
              <w:rPr>
                <w:rFonts w:ascii="Arial" w:cs="Arial" w:eastAsia="Arial" w:hAnsi="Arial"/>
                <w:sz w:val="16"/>
                <w:szCs w:val="16"/>
                <w:b w:val="1"/>
                <w:bCs w:val="1"/>
                <w:color w:val="auto"/>
              </w:rPr>
              <w:t>B Ordinary Issue Price</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the price at which the relevant B Ordinary Share is issued, including any premium (subject to the appropriate</w:t>
            </w:r>
          </w:p>
        </w:tc>
      </w:tr>
      <w:tr>
        <w:trPr>
          <w:trHeight w:val="207"/>
        </w:trPr>
        <w:tc>
          <w:tcPr>
            <w:tcW w:w="2720" w:type="dxa"/>
            <w:vAlign w:val="bottom"/>
          </w:tcPr>
          <w:p>
            <w:pPr>
              <w:spacing w:after="0"/>
              <w:rPr>
                <w:sz w:val="18"/>
                <w:szCs w:val="18"/>
                <w:color w:val="auto"/>
              </w:rPr>
            </w:pP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proportionate adjustment following any Capital Reorganisation in respect of the B Ordinary Shares);</w:t>
            </w:r>
          </w:p>
        </w:tc>
      </w:tr>
      <w:tr>
        <w:trPr>
          <w:trHeight w:val="391"/>
        </w:trPr>
        <w:tc>
          <w:tcPr>
            <w:tcW w:w="2720" w:type="dxa"/>
            <w:vAlign w:val="bottom"/>
          </w:tcPr>
          <w:p>
            <w:pPr>
              <w:spacing w:after="0"/>
              <w:rPr>
                <w:sz w:val="20"/>
                <w:szCs w:val="20"/>
                <w:color w:val="auto"/>
              </w:rPr>
            </w:pPr>
            <w:r>
              <w:rPr>
                <w:rFonts w:ascii="Arial" w:cs="Arial" w:eastAsia="Arial" w:hAnsi="Arial"/>
                <w:sz w:val="16"/>
                <w:szCs w:val="16"/>
                <w:b w:val="1"/>
                <w:bCs w:val="1"/>
                <w:color w:val="auto"/>
              </w:rPr>
              <w:t>B Ordinary Shares</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the B ordinary shares of £0.01 each in the capital of the Company;</w:t>
            </w:r>
          </w:p>
        </w:tc>
      </w:tr>
      <w:tr>
        <w:trPr>
          <w:trHeight w:val="391"/>
        </w:trPr>
        <w:tc>
          <w:tcPr>
            <w:tcW w:w="2720" w:type="dxa"/>
            <w:vAlign w:val="bottom"/>
          </w:tcPr>
          <w:p>
            <w:pPr>
              <w:spacing w:after="0"/>
              <w:rPr>
                <w:sz w:val="20"/>
                <w:szCs w:val="20"/>
                <w:color w:val="auto"/>
              </w:rPr>
            </w:pPr>
            <w:r>
              <w:rPr>
                <w:rFonts w:ascii="Arial" w:cs="Arial" w:eastAsia="Arial" w:hAnsi="Arial"/>
                <w:sz w:val="16"/>
                <w:szCs w:val="16"/>
                <w:b w:val="1"/>
                <w:bCs w:val="1"/>
                <w:color w:val="auto"/>
              </w:rPr>
              <w:t>B Ordinary Shareholders</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the holders of the B Ordinary Shares;</w:t>
            </w:r>
          </w:p>
        </w:tc>
      </w:tr>
      <w:tr>
        <w:trPr>
          <w:trHeight w:val="380"/>
        </w:trPr>
        <w:tc>
          <w:tcPr>
            <w:tcW w:w="2720" w:type="dxa"/>
            <w:vAlign w:val="bottom"/>
          </w:tcPr>
          <w:p>
            <w:pPr>
              <w:spacing w:after="0"/>
              <w:rPr>
                <w:sz w:val="20"/>
                <w:szCs w:val="20"/>
                <w:color w:val="auto"/>
              </w:rPr>
            </w:pPr>
            <w:r>
              <w:rPr>
                <w:rFonts w:ascii="Arial" w:cs="Arial" w:eastAsia="Arial" w:hAnsi="Arial"/>
                <w:sz w:val="16"/>
                <w:szCs w:val="16"/>
                <w:b w:val="1"/>
                <w:bCs w:val="1"/>
                <w:color w:val="auto"/>
              </w:rPr>
              <w:t>Bad Leaver</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w w:val="96"/>
              </w:rPr>
              <w:t>an Employee whose employment or consultancy is terminated by the Company either in circumstances which justify</w:t>
            </w:r>
          </w:p>
        </w:tc>
      </w:tr>
      <w:tr>
        <w:trPr>
          <w:trHeight w:val="196"/>
        </w:trPr>
        <w:tc>
          <w:tcPr>
            <w:tcW w:w="2720" w:type="dxa"/>
            <w:vAlign w:val="bottom"/>
          </w:tcPr>
          <w:p>
            <w:pPr>
              <w:spacing w:after="0"/>
              <w:rPr>
                <w:sz w:val="17"/>
                <w:szCs w:val="17"/>
                <w:color w:val="auto"/>
              </w:rPr>
            </w:pP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w w:val="95"/>
              </w:rPr>
              <w:t>summary dismissal under the relevant service contract or as a result of the breach by the Employee of any Restrictive</w:t>
            </w:r>
          </w:p>
        </w:tc>
      </w:tr>
      <w:tr>
        <w:trPr>
          <w:trHeight w:val="196"/>
        </w:trPr>
        <w:tc>
          <w:tcPr>
            <w:tcW w:w="2720" w:type="dxa"/>
            <w:vAlign w:val="bottom"/>
          </w:tcPr>
          <w:p>
            <w:pPr>
              <w:spacing w:after="0"/>
              <w:rPr>
                <w:sz w:val="17"/>
                <w:szCs w:val="17"/>
                <w:color w:val="auto"/>
              </w:rPr>
            </w:pP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w w:val="97"/>
              </w:rPr>
              <w:t>Covenants in such Employee’s employment or consultancy agreement or any Former Employee who breaches any</w:t>
            </w:r>
          </w:p>
        </w:tc>
      </w:tr>
      <w:tr>
        <w:trPr>
          <w:trHeight w:val="207"/>
        </w:trPr>
        <w:tc>
          <w:tcPr>
            <w:tcW w:w="2720" w:type="dxa"/>
            <w:vAlign w:val="bottom"/>
          </w:tcPr>
          <w:p>
            <w:pPr>
              <w:spacing w:after="0"/>
              <w:rPr>
                <w:sz w:val="18"/>
                <w:szCs w:val="18"/>
                <w:color w:val="auto"/>
              </w:rPr>
            </w:pP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Restrictive Covenants in such Former Employee’s employment or consultancy agreement</w:t>
            </w:r>
          </w:p>
        </w:tc>
      </w:tr>
      <w:tr>
        <w:trPr>
          <w:trHeight w:val="380"/>
        </w:trPr>
        <w:tc>
          <w:tcPr>
            <w:tcW w:w="2720" w:type="dxa"/>
            <w:vAlign w:val="bottom"/>
          </w:tcPr>
          <w:p>
            <w:pPr>
              <w:spacing w:after="0"/>
              <w:rPr>
                <w:sz w:val="20"/>
                <w:szCs w:val="20"/>
                <w:color w:val="auto"/>
              </w:rPr>
            </w:pPr>
            <w:r>
              <w:rPr>
                <w:rFonts w:ascii="Arial" w:cs="Arial" w:eastAsia="Arial" w:hAnsi="Arial"/>
                <w:sz w:val="16"/>
                <w:szCs w:val="16"/>
                <w:b w:val="1"/>
                <w:bCs w:val="1"/>
                <w:color w:val="auto"/>
              </w:rPr>
              <w:t>Board</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w w:val="99"/>
              </w:rPr>
              <w:t>the board of Directors and any committee of the board constituted for the purpose of taking any action or decision</w:t>
            </w:r>
          </w:p>
        </w:tc>
      </w:tr>
      <w:tr>
        <w:trPr>
          <w:trHeight w:val="207"/>
        </w:trPr>
        <w:tc>
          <w:tcPr>
            <w:tcW w:w="2720" w:type="dxa"/>
            <w:vAlign w:val="bottom"/>
          </w:tcPr>
          <w:p>
            <w:pPr>
              <w:spacing w:after="0"/>
              <w:rPr>
                <w:sz w:val="18"/>
                <w:szCs w:val="18"/>
                <w:color w:val="auto"/>
              </w:rPr>
            </w:pP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contemplated by these Articles;</w:t>
            </w:r>
          </w:p>
        </w:tc>
      </w:tr>
      <w:tr>
        <w:trPr>
          <w:trHeight w:val="380"/>
        </w:trPr>
        <w:tc>
          <w:tcPr>
            <w:tcW w:w="2720" w:type="dxa"/>
            <w:vAlign w:val="bottom"/>
          </w:tcPr>
          <w:p>
            <w:pPr>
              <w:spacing w:after="0"/>
              <w:rPr>
                <w:sz w:val="20"/>
                <w:szCs w:val="20"/>
                <w:color w:val="auto"/>
              </w:rPr>
            </w:pPr>
            <w:r>
              <w:rPr>
                <w:rFonts w:ascii="Arial" w:cs="Arial" w:eastAsia="Arial" w:hAnsi="Arial"/>
                <w:sz w:val="16"/>
                <w:szCs w:val="16"/>
                <w:b w:val="1"/>
                <w:bCs w:val="1"/>
                <w:color w:val="auto"/>
              </w:rPr>
              <w:t>Bona Fide Offer</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w w:val="91"/>
              </w:rPr>
              <w:t>an offer made in writing by a bona fide arm’s length purchaser to acquire a specified number of Shares (and/or assets) and</w:t>
            </w:r>
          </w:p>
        </w:tc>
      </w:tr>
      <w:tr>
        <w:trPr>
          <w:trHeight w:val="196"/>
        </w:trPr>
        <w:tc>
          <w:tcPr>
            <w:tcW w:w="2720" w:type="dxa"/>
            <w:vAlign w:val="bottom"/>
          </w:tcPr>
          <w:p>
            <w:pPr>
              <w:spacing w:after="0"/>
              <w:rPr>
                <w:sz w:val="17"/>
                <w:szCs w:val="17"/>
                <w:color w:val="auto"/>
              </w:rPr>
            </w:pP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w w:val="95"/>
              </w:rPr>
              <w:t>which indicates: (i) the type, number and class of Shares (and/or assets) to be purchased, (ii) the price offered, (iii) the</w:t>
            </w:r>
          </w:p>
        </w:tc>
      </w:tr>
      <w:tr>
        <w:trPr>
          <w:trHeight w:val="196"/>
        </w:trPr>
        <w:tc>
          <w:tcPr>
            <w:tcW w:w="2720" w:type="dxa"/>
            <w:vAlign w:val="bottom"/>
          </w:tcPr>
          <w:p>
            <w:pPr>
              <w:spacing w:after="0"/>
              <w:rPr>
                <w:sz w:val="17"/>
                <w:szCs w:val="17"/>
                <w:color w:val="auto"/>
              </w:rPr>
            </w:pP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w w:val="95"/>
              </w:rPr>
              <w:t>other material terms and conditions of the offer, and (iv) the name and address of the offeror and of each person who</w:t>
            </w:r>
          </w:p>
        </w:tc>
      </w:tr>
      <w:tr>
        <w:trPr>
          <w:trHeight w:val="196"/>
        </w:trPr>
        <w:tc>
          <w:tcPr>
            <w:tcW w:w="2720" w:type="dxa"/>
            <w:vAlign w:val="bottom"/>
          </w:tcPr>
          <w:p>
            <w:pPr>
              <w:spacing w:after="0"/>
              <w:rPr>
                <w:sz w:val="17"/>
                <w:szCs w:val="17"/>
                <w:color w:val="auto"/>
              </w:rPr>
            </w:pP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w w:val="95"/>
              </w:rPr>
              <w:t>controls it, provided that such offer may not be subject to any conditions the satisfaction or fulfilment of which is within</w:t>
            </w:r>
          </w:p>
        </w:tc>
      </w:tr>
      <w:tr>
        <w:trPr>
          <w:trHeight w:val="207"/>
        </w:trPr>
        <w:tc>
          <w:tcPr>
            <w:tcW w:w="2720" w:type="dxa"/>
            <w:vAlign w:val="bottom"/>
          </w:tcPr>
          <w:p>
            <w:pPr>
              <w:spacing w:after="0"/>
              <w:rPr>
                <w:sz w:val="18"/>
                <w:szCs w:val="18"/>
                <w:color w:val="auto"/>
              </w:rPr>
            </w:pP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the control of such third party;</w:t>
            </w:r>
          </w:p>
        </w:tc>
      </w:tr>
      <w:tr>
        <w:trPr>
          <w:trHeight w:val="391"/>
        </w:trPr>
        <w:tc>
          <w:tcPr>
            <w:tcW w:w="2720" w:type="dxa"/>
            <w:vAlign w:val="bottom"/>
          </w:tcPr>
          <w:p>
            <w:pPr>
              <w:spacing w:after="0"/>
              <w:rPr>
                <w:sz w:val="20"/>
                <w:szCs w:val="20"/>
                <w:color w:val="auto"/>
              </w:rPr>
            </w:pPr>
            <w:r>
              <w:rPr>
                <w:rFonts w:ascii="Arial" w:cs="Arial" w:eastAsia="Arial" w:hAnsi="Arial"/>
                <w:sz w:val="16"/>
                <w:szCs w:val="16"/>
                <w:b w:val="1"/>
                <w:bCs w:val="1"/>
                <w:color w:val="auto"/>
              </w:rPr>
              <w:t>Bonus Shares</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shall have the meaning given to the term in Article 5.4;</w:t>
            </w:r>
          </w:p>
        </w:tc>
      </w:tr>
      <w:tr>
        <w:trPr>
          <w:trHeight w:val="380"/>
        </w:trPr>
        <w:tc>
          <w:tcPr>
            <w:tcW w:w="2720" w:type="dxa"/>
            <w:vAlign w:val="bottom"/>
          </w:tcPr>
          <w:p>
            <w:pPr>
              <w:spacing w:after="0"/>
              <w:rPr>
                <w:sz w:val="20"/>
                <w:szCs w:val="20"/>
                <w:color w:val="auto"/>
              </w:rPr>
            </w:pPr>
            <w:r>
              <w:rPr>
                <w:rFonts w:ascii="Arial" w:cs="Arial" w:eastAsia="Arial" w:hAnsi="Arial"/>
                <w:sz w:val="16"/>
                <w:szCs w:val="16"/>
                <w:b w:val="1"/>
                <w:bCs w:val="1"/>
                <w:color w:val="auto"/>
              </w:rPr>
              <w:t>Business Day</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w w:val="95"/>
              </w:rPr>
              <w:t>a day on which English clearing banks are ordinarily open for the transaction of normal banking business in the City of</w:t>
            </w:r>
          </w:p>
        </w:tc>
      </w:tr>
      <w:tr>
        <w:trPr>
          <w:trHeight w:val="207"/>
        </w:trPr>
        <w:tc>
          <w:tcPr>
            <w:tcW w:w="2720" w:type="dxa"/>
            <w:vAlign w:val="bottom"/>
          </w:tcPr>
          <w:p>
            <w:pPr>
              <w:spacing w:after="0"/>
              <w:rPr>
                <w:sz w:val="18"/>
                <w:szCs w:val="18"/>
                <w:color w:val="auto"/>
              </w:rPr>
            </w:pP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rPr>
              <w:t>London (other than a Saturday or Sunday);</w:t>
            </w:r>
          </w:p>
        </w:tc>
      </w:tr>
      <w:tr>
        <w:trPr>
          <w:trHeight w:val="380"/>
        </w:trPr>
        <w:tc>
          <w:tcPr>
            <w:tcW w:w="2720" w:type="dxa"/>
            <w:vAlign w:val="bottom"/>
          </w:tcPr>
          <w:p>
            <w:pPr>
              <w:spacing w:after="0"/>
              <w:rPr>
                <w:sz w:val="20"/>
                <w:szCs w:val="20"/>
                <w:color w:val="auto"/>
              </w:rPr>
            </w:pPr>
            <w:r>
              <w:rPr>
                <w:rFonts w:ascii="Arial" w:cs="Arial" w:eastAsia="Arial" w:hAnsi="Arial"/>
                <w:sz w:val="16"/>
                <w:szCs w:val="16"/>
                <w:b w:val="1"/>
                <w:bCs w:val="1"/>
                <w:color w:val="auto"/>
              </w:rPr>
              <w:t>Business Sale</w:t>
            </w: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w w:val="95"/>
              </w:rPr>
              <w:t>the disposition of all or substantially all of the assets or businesses of the Company to a third party (either by way of a</w:t>
            </w:r>
          </w:p>
        </w:tc>
      </w:tr>
      <w:tr>
        <w:trPr>
          <w:trHeight w:val="207"/>
        </w:trPr>
        <w:tc>
          <w:tcPr>
            <w:tcW w:w="2720" w:type="dxa"/>
            <w:vAlign w:val="bottom"/>
          </w:tcPr>
          <w:p>
            <w:pPr>
              <w:spacing w:after="0"/>
              <w:rPr>
                <w:sz w:val="18"/>
                <w:szCs w:val="18"/>
                <w:color w:val="auto"/>
              </w:rPr>
            </w:pPr>
          </w:p>
        </w:tc>
        <w:tc>
          <w:tcPr>
            <w:tcW w:w="8680" w:type="dxa"/>
            <w:vAlign w:val="bottom"/>
            <w:gridSpan w:val="2"/>
          </w:tcPr>
          <w:p>
            <w:pPr>
              <w:ind w:left="720"/>
              <w:spacing w:after="0"/>
              <w:rPr>
                <w:sz w:val="20"/>
                <w:szCs w:val="20"/>
                <w:color w:val="auto"/>
              </w:rPr>
            </w:pPr>
            <w:r>
              <w:rPr>
                <w:rFonts w:ascii="Arial" w:cs="Arial" w:eastAsia="Arial" w:hAnsi="Arial"/>
                <w:sz w:val="16"/>
                <w:szCs w:val="16"/>
                <w:color w:val="auto"/>
                <w:w w:val="91"/>
              </w:rPr>
              <w:t>sale, licence and/or other transfer), save where any such disposition is effected solely for the purpose of a demerger of the</w:t>
            </w:r>
          </w:p>
        </w:tc>
      </w:tr>
    </w:tbl>
    <w:p>
      <w:pPr>
        <w:ind w:left="3440" w:right="140"/>
        <w:spacing w:after="0" w:line="262" w:lineRule="auto"/>
        <w:rPr>
          <w:sz w:val="20"/>
          <w:szCs w:val="20"/>
          <w:color w:val="auto"/>
        </w:rPr>
      </w:pPr>
      <w:r>
        <w:rPr>
          <w:rFonts w:ascii="Arial" w:cs="Arial" w:eastAsia="Arial" w:hAnsi="Arial"/>
          <w:sz w:val="16"/>
          <w:szCs w:val="16"/>
          <w:color w:val="auto"/>
        </w:rPr>
        <w:t>Company’s and/or its Subsidiary Undertaking’s assets (in whole or in part) to a newly incorporated company which will be owned by the Shareholders (in the same proportions, disregarding any Shares held by the Company, as they hold Shares);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11"/>
        </w:trPr>
        <w:tc>
          <w:tcPr>
            <w:tcW w:w="3040" w:type="dxa"/>
            <w:vAlign w:val="bottom"/>
          </w:tcPr>
          <w:p>
            <w:pPr>
              <w:spacing w:after="0"/>
              <w:rPr>
                <w:sz w:val="20"/>
                <w:szCs w:val="20"/>
                <w:color w:val="auto"/>
              </w:rPr>
            </w:pPr>
            <w:r>
              <w:rPr>
                <w:rFonts w:ascii="Arial" w:cs="Arial" w:eastAsia="Arial" w:hAnsi="Arial"/>
                <w:sz w:val="16"/>
                <w:szCs w:val="16"/>
                <w:b w:val="1"/>
                <w:bCs w:val="1"/>
                <w:color w:val="auto"/>
              </w:rPr>
              <w:t>Capital Reorganisation</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shall mean any of the following:</w:t>
            </w:r>
          </w:p>
        </w:tc>
      </w:tr>
      <w:tr>
        <w:trPr>
          <w:trHeight w:val="380"/>
        </w:trPr>
        <w:tc>
          <w:tcPr>
            <w:tcW w:w="3040" w:type="dxa"/>
            <w:vAlign w:val="bottom"/>
          </w:tcPr>
          <w:p>
            <w:pPr>
              <w:spacing w:after="0"/>
              <w:rPr>
                <w:sz w:val="24"/>
                <w:szCs w:val="24"/>
                <w:color w:val="auto"/>
              </w:rPr>
            </w:pPr>
          </w:p>
        </w:tc>
        <w:tc>
          <w:tcPr>
            <w:tcW w:w="780" w:type="dxa"/>
            <w:vAlign w:val="bottom"/>
          </w:tcPr>
          <w:p>
            <w:pPr>
              <w:ind w:left="460"/>
              <w:spacing w:after="0"/>
              <w:rPr>
                <w:sz w:val="20"/>
                <w:szCs w:val="20"/>
                <w:color w:val="auto"/>
              </w:rPr>
            </w:pPr>
            <w:r>
              <w:rPr>
                <w:rFonts w:ascii="Arial" w:cs="Arial" w:eastAsia="Arial" w:hAnsi="Arial"/>
                <w:sz w:val="16"/>
                <w:szCs w:val="16"/>
                <w:color w:val="auto"/>
              </w:rPr>
              <w:t>(a)</w:t>
            </w:r>
          </w:p>
        </w:tc>
        <w:tc>
          <w:tcPr>
            <w:tcW w:w="7640" w:type="dxa"/>
            <w:vAlign w:val="bottom"/>
          </w:tcPr>
          <w:p>
            <w:pPr>
              <w:ind w:left="140"/>
              <w:spacing w:after="0"/>
              <w:rPr>
                <w:sz w:val="20"/>
                <w:szCs w:val="20"/>
                <w:color w:val="auto"/>
              </w:rPr>
            </w:pPr>
            <w:r>
              <w:rPr>
                <w:rFonts w:ascii="Arial" w:cs="Arial" w:eastAsia="Arial" w:hAnsi="Arial"/>
                <w:sz w:val="16"/>
                <w:szCs w:val="16"/>
                <w:color w:val="auto"/>
                <w:w w:val="98"/>
              </w:rPr>
              <w:t>issue of Equity Shares fully or partly paid up pursuant to a capitalisation of profits or reserves (including any</w:t>
            </w:r>
          </w:p>
        </w:tc>
      </w:tr>
      <w:tr>
        <w:trPr>
          <w:trHeight w:val="196"/>
        </w:trPr>
        <w:tc>
          <w:tcPr>
            <w:tcW w:w="3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40" w:type="dxa"/>
            <w:vAlign w:val="bottom"/>
          </w:tcPr>
          <w:p>
            <w:pPr>
              <w:ind w:left="140"/>
              <w:spacing w:after="0"/>
              <w:rPr>
                <w:sz w:val="20"/>
                <w:szCs w:val="20"/>
                <w:color w:val="auto"/>
              </w:rPr>
            </w:pPr>
            <w:r>
              <w:rPr>
                <w:rFonts w:ascii="Arial" w:cs="Arial" w:eastAsia="Arial" w:hAnsi="Arial"/>
                <w:sz w:val="16"/>
                <w:szCs w:val="16"/>
                <w:color w:val="auto"/>
                <w:w w:val="94"/>
              </w:rPr>
              <w:t>share premium account or capital redemption reserve) but excluding any Permitted Capitalisation Issue and any</w:t>
            </w:r>
          </w:p>
        </w:tc>
      </w:tr>
      <w:tr>
        <w:trPr>
          <w:trHeight w:val="196"/>
        </w:trPr>
        <w:tc>
          <w:tcPr>
            <w:tcW w:w="3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40" w:type="dxa"/>
            <w:vAlign w:val="bottom"/>
          </w:tcPr>
          <w:p>
            <w:pPr>
              <w:ind w:left="140"/>
              <w:spacing w:after="0"/>
              <w:rPr>
                <w:sz w:val="20"/>
                <w:szCs w:val="20"/>
                <w:color w:val="auto"/>
              </w:rPr>
            </w:pPr>
            <w:r>
              <w:rPr>
                <w:rFonts w:ascii="Arial" w:cs="Arial" w:eastAsia="Arial" w:hAnsi="Arial"/>
                <w:sz w:val="16"/>
                <w:szCs w:val="16"/>
                <w:color w:val="auto"/>
                <w:w w:val="94"/>
              </w:rPr>
              <w:t>Equity Shares that are required to be issued pursuant to any agreement among the Company and Shareholders</w:t>
            </w:r>
          </w:p>
        </w:tc>
      </w:tr>
      <w:tr>
        <w:trPr>
          <w:trHeight w:val="207"/>
        </w:trPr>
        <w:tc>
          <w:tcPr>
            <w:tcW w:w="3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6"/>
                <w:szCs w:val="16"/>
                <w:color w:val="auto"/>
              </w:rPr>
              <w:t>constituting a Super Preferred Majority;</w:t>
            </w:r>
          </w:p>
        </w:tc>
      </w:tr>
      <w:tr>
        <w:trPr>
          <w:trHeight w:val="391"/>
        </w:trPr>
        <w:tc>
          <w:tcPr>
            <w:tcW w:w="3040" w:type="dxa"/>
            <w:vAlign w:val="bottom"/>
          </w:tcPr>
          <w:p>
            <w:pPr>
              <w:spacing w:after="0"/>
              <w:rPr>
                <w:sz w:val="24"/>
                <w:szCs w:val="24"/>
                <w:color w:val="auto"/>
              </w:rPr>
            </w:pPr>
          </w:p>
        </w:tc>
        <w:tc>
          <w:tcPr>
            <w:tcW w:w="780" w:type="dxa"/>
            <w:vAlign w:val="bottom"/>
          </w:tcPr>
          <w:p>
            <w:pPr>
              <w:ind w:left="460"/>
              <w:spacing w:after="0"/>
              <w:rPr>
                <w:sz w:val="20"/>
                <w:szCs w:val="20"/>
                <w:color w:val="auto"/>
              </w:rPr>
            </w:pPr>
            <w:r>
              <w:rPr>
                <w:rFonts w:ascii="Arial" w:cs="Arial" w:eastAsia="Arial" w:hAnsi="Arial"/>
                <w:sz w:val="16"/>
                <w:szCs w:val="16"/>
                <w:color w:val="auto"/>
              </w:rPr>
              <w:t>(b)</w:t>
            </w:r>
          </w:p>
        </w:tc>
        <w:tc>
          <w:tcPr>
            <w:tcW w:w="7640" w:type="dxa"/>
            <w:vAlign w:val="bottom"/>
          </w:tcPr>
          <w:p>
            <w:pPr>
              <w:ind w:left="140"/>
              <w:spacing w:after="0"/>
              <w:rPr>
                <w:sz w:val="20"/>
                <w:szCs w:val="20"/>
                <w:color w:val="auto"/>
              </w:rPr>
            </w:pPr>
            <w:r>
              <w:rPr>
                <w:rFonts w:ascii="Arial" w:cs="Arial" w:eastAsia="Arial" w:hAnsi="Arial"/>
                <w:sz w:val="16"/>
                <w:szCs w:val="16"/>
                <w:color w:val="auto"/>
              </w:rPr>
              <w:t>sub-division or consolidation of Equity Shares;</w:t>
            </w:r>
          </w:p>
        </w:tc>
      </w:tr>
      <w:tr>
        <w:trPr>
          <w:trHeight w:val="391"/>
        </w:trPr>
        <w:tc>
          <w:tcPr>
            <w:tcW w:w="3040" w:type="dxa"/>
            <w:vAlign w:val="bottom"/>
          </w:tcPr>
          <w:p>
            <w:pPr>
              <w:spacing w:after="0"/>
              <w:rPr>
                <w:sz w:val="24"/>
                <w:szCs w:val="24"/>
                <w:color w:val="auto"/>
              </w:rPr>
            </w:pPr>
          </w:p>
        </w:tc>
        <w:tc>
          <w:tcPr>
            <w:tcW w:w="780" w:type="dxa"/>
            <w:vAlign w:val="bottom"/>
          </w:tcPr>
          <w:p>
            <w:pPr>
              <w:ind w:left="460"/>
              <w:spacing w:after="0"/>
              <w:rPr>
                <w:sz w:val="20"/>
                <w:szCs w:val="20"/>
                <w:color w:val="auto"/>
              </w:rPr>
            </w:pPr>
            <w:r>
              <w:rPr>
                <w:rFonts w:ascii="Arial" w:cs="Arial" w:eastAsia="Arial" w:hAnsi="Arial"/>
                <w:sz w:val="16"/>
                <w:szCs w:val="16"/>
                <w:color w:val="auto"/>
              </w:rPr>
              <w:t>(c)</w:t>
            </w:r>
          </w:p>
        </w:tc>
        <w:tc>
          <w:tcPr>
            <w:tcW w:w="7640" w:type="dxa"/>
            <w:vAlign w:val="bottom"/>
          </w:tcPr>
          <w:p>
            <w:pPr>
              <w:ind w:left="140"/>
              <w:spacing w:after="0"/>
              <w:rPr>
                <w:sz w:val="20"/>
                <w:szCs w:val="20"/>
                <w:color w:val="auto"/>
              </w:rPr>
            </w:pPr>
            <w:r>
              <w:rPr>
                <w:rFonts w:ascii="Arial" w:cs="Arial" w:eastAsia="Arial" w:hAnsi="Arial"/>
                <w:sz w:val="16"/>
                <w:szCs w:val="16"/>
                <w:color w:val="auto"/>
              </w:rPr>
              <w:t>reduction of capital, or other reduction in the number of Equity Shares in issue from time to time;</w:t>
            </w:r>
          </w:p>
        </w:tc>
      </w:tr>
      <w:tr>
        <w:trPr>
          <w:trHeight w:val="391"/>
        </w:trPr>
        <w:tc>
          <w:tcPr>
            <w:tcW w:w="3040" w:type="dxa"/>
            <w:vAlign w:val="bottom"/>
          </w:tcPr>
          <w:p>
            <w:pPr>
              <w:spacing w:after="0"/>
              <w:rPr>
                <w:sz w:val="24"/>
                <w:szCs w:val="24"/>
                <w:color w:val="auto"/>
              </w:rPr>
            </w:pPr>
          </w:p>
        </w:tc>
        <w:tc>
          <w:tcPr>
            <w:tcW w:w="780" w:type="dxa"/>
            <w:vAlign w:val="bottom"/>
          </w:tcPr>
          <w:p>
            <w:pPr>
              <w:ind w:left="460"/>
              <w:spacing w:after="0"/>
              <w:rPr>
                <w:sz w:val="20"/>
                <w:szCs w:val="20"/>
                <w:color w:val="auto"/>
              </w:rPr>
            </w:pPr>
            <w:r>
              <w:rPr>
                <w:rFonts w:ascii="Arial" w:cs="Arial" w:eastAsia="Arial" w:hAnsi="Arial"/>
                <w:sz w:val="16"/>
                <w:szCs w:val="16"/>
                <w:color w:val="auto"/>
              </w:rPr>
              <w:t>(d)</w:t>
            </w:r>
          </w:p>
        </w:tc>
        <w:tc>
          <w:tcPr>
            <w:tcW w:w="7640" w:type="dxa"/>
            <w:vAlign w:val="bottom"/>
          </w:tcPr>
          <w:p>
            <w:pPr>
              <w:ind w:left="140"/>
              <w:spacing w:after="0"/>
              <w:rPr>
                <w:sz w:val="20"/>
                <w:szCs w:val="20"/>
                <w:color w:val="auto"/>
              </w:rPr>
            </w:pPr>
            <w:r>
              <w:rPr>
                <w:rFonts w:ascii="Arial" w:cs="Arial" w:eastAsia="Arial" w:hAnsi="Arial"/>
                <w:sz w:val="16"/>
                <w:szCs w:val="16"/>
                <w:color w:val="auto"/>
              </w:rPr>
              <w:t>redesignation or re-classification of any shares in the capital of the Company;</w:t>
            </w:r>
          </w:p>
        </w:tc>
      </w:tr>
      <w:tr>
        <w:trPr>
          <w:trHeight w:val="391"/>
        </w:trPr>
        <w:tc>
          <w:tcPr>
            <w:tcW w:w="3040" w:type="dxa"/>
            <w:vAlign w:val="bottom"/>
          </w:tcPr>
          <w:p>
            <w:pPr>
              <w:spacing w:after="0"/>
              <w:rPr>
                <w:sz w:val="24"/>
                <w:szCs w:val="24"/>
                <w:color w:val="auto"/>
              </w:rPr>
            </w:pPr>
          </w:p>
        </w:tc>
        <w:tc>
          <w:tcPr>
            <w:tcW w:w="780" w:type="dxa"/>
            <w:vAlign w:val="bottom"/>
          </w:tcPr>
          <w:p>
            <w:pPr>
              <w:ind w:left="460"/>
              <w:spacing w:after="0"/>
              <w:rPr>
                <w:sz w:val="20"/>
                <w:szCs w:val="20"/>
                <w:color w:val="auto"/>
              </w:rPr>
            </w:pPr>
            <w:r>
              <w:rPr>
                <w:rFonts w:ascii="Arial" w:cs="Arial" w:eastAsia="Arial" w:hAnsi="Arial"/>
                <w:sz w:val="16"/>
                <w:szCs w:val="16"/>
                <w:color w:val="auto"/>
              </w:rPr>
              <w:t>(e)</w:t>
            </w:r>
          </w:p>
        </w:tc>
        <w:tc>
          <w:tcPr>
            <w:tcW w:w="7640" w:type="dxa"/>
            <w:vAlign w:val="bottom"/>
          </w:tcPr>
          <w:p>
            <w:pPr>
              <w:ind w:left="140"/>
              <w:spacing w:after="0"/>
              <w:rPr>
                <w:sz w:val="20"/>
                <w:szCs w:val="20"/>
                <w:color w:val="auto"/>
              </w:rPr>
            </w:pPr>
            <w:r>
              <w:rPr>
                <w:rFonts w:ascii="Arial" w:cs="Arial" w:eastAsia="Arial" w:hAnsi="Arial"/>
                <w:sz w:val="16"/>
                <w:szCs w:val="16"/>
                <w:color w:val="auto"/>
              </w:rPr>
              <w:t>the redemption or repurchase of any shares in the capital of the Company; or</w:t>
            </w:r>
          </w:p>
        </w:tc>
      </w:tr>
      <w:tr>
        <w:trPr>
          <w:trHeight w:val="391"/>
        </w:trPr>
        <w:tc>
          <w:tcPr>
            <w:tcW w:w="3040" w:type="dxa"/>
            <w:vAlign w:val="bottom"/>
          </w:tcPr>
          <w:p>
            <w:pPr>
              <w:spacing w:after="0"/>
              <w:rPr>
                <w:sz w:val="24"/>
                <w:szCs w:val="24"/>
                <w:color w:val="auto"/>
              </w:rPr>
            </w:pPr>
          </w:p>
        </w:tc>
        <w:tc>
          <w:tcPr>
            <w:tcW w:w="780" w:type="dxa"/>
            <w:vAlign w:val="bottom"/>
          </w:tcPr>
          <w:p>
            <w:pPr>
              <w:ind w:left="460"/>
              <w:spacing w:after="0"/>
              <w:rPr>
                <w:sz w:val="20"/>
                <w:szCs w:val="20"/>
                <w:color w:val="auto"/>
              </w:rPr>
            </w:pPr>
            <w:r>
              <w:rPr>
                <w:rFonts w:ascii="Arial" w:cs="Arial" w:eastAsia="Arial" w:hAnsi="Arial"/>
                <w:sz w:val="16"/>
                <w:szCs w:val="16"/>
                <w:color w:val="auto"/>
              </w:rPr>
              <w:t>(f)</w:t>
            </w:r>
          </w:p>
        </w:tc>
        <w:tc>
          <w:tcPr>
            <w:tcW w:w="7640" w:type="dxa"/>
            <w:vAlign w:val="bottom"/>
          </w:tcPr>
          <w:p>
            <w:pPr>
              <w:ind w:left="140"/>
              <w:spacing w:after="0"/>
              <w:rPr>
                <w:sz w:val="20"/>
                <w:szCs w:val="20"/>
                <w:color w:val="auto"/>
              </w:rPr>
            </w:pPr>
            <w:r>
              <w:rPr>
                <w:rFonts w:ascii="Arial" w:cs="Arial" w:eastAsia="Arial" w:hAnsi="Arial"/>
                <w:sz w:val="16"/>
                <w:szCs w:val="16"/>
                <w:color w:val="auto"/>
              </w:rPr>
              <w:t>any other reorganisation of the share capital of the Company,</w:t>
            </w:r>
          </w:p>
        </w:tc>
      </w:tr>
      <w:tr>
        <w:trPr>
          <w:trHeight w:val="380"/>
        </w:trPr>
        <w:tc>
          <w:tcPr>
            <w:tcW w:w="3040" w:type="dxa"/>
            <w:vAlign w:val="bottom"/>
          </w:tcPr>
          <w:p>
            <w:pPr>
              <w:spacing w:after="0"/>
              <w:rPr>
                <w:sz w:val="24"/>
                <w:szCs w:val="24"/>
                <w:color w:val="auto"/>
              </w:rPr>
            </w:pPr>
          </w:p>
        </w:tc>
        <w:tc>
          <w:tcPr>
            <w:tcW w:w="8420" w:type="dxa"/>
            <w:vAlign w:val="bottom"/>
            <w:gridSpan w:val="2"/>
          </w:tcPr>
          <w:p>
            <w:pPr>
              <w:ind w:left="460"/>
              <w:spacing w:after="0"/>
              <w:rPr>
                <w:sz w:val="20"/>
                <w:szCs w:val="20"/>
                <w:color w:val="auto"/>
              </w:rPr>
            </w:pPr>
            <w:r>
              <w:rPr>
                <w:rFonts w:ascii="Arial" w:cs="Arial" w:eastAsia="Arial" w:hAnsi="Arial"/>
                <w:sz w:val="16"/>
                <w:szCs w:val="16"/>
                <w:color w:val="auto"/>
                <w:w w:val="96"/>
              </w:rPr>
              <w:t>save where any of the above is effected solely for the purpose of a demerger of the Company’s and/or its Subsidiary</w:t>
            </w:r>
          </w:p>
        </w:tc>
      </w:tr>
      <w:tr>
        <w:trPr>
          <w:trHeight w:val="196"/>
        </w:trPr>
        <w:tc>
          <w:tcPr>
            <w:tcW w:w="3040" w:type="dxa"/>
            <w:vAlign w:val="bottom"/>
          </w:tcPr>
          <w:p>
            <w:pPr>
              <w:spacing w:after="0"/>
              <w:rPr>
                <w:sz w:val="17"/>
                <w:szCs w:val="17"/>
                <w:color w:val="auto"/>
              </w:rPr>
            </w:pPr>
          </w:p>
        </w:tc>
        <w:tc>
          <w:tcPr>
            <w:tcW w:w="8420" w:type="dxa"/>
            <w:vAlign w:val="bottom"/>
            <w:gridSpan w:val="2"/>
          </w:tcPr>
          <w:p>
            <w:pPr>
              <w:ind w:left="460"/>
              <w:spacing w:after="0"/>
              <w:rPr>
                <w:sz w:val="20"/>
                <w:szCs w:val="20"/>
                <w:color w:val="auto"/>
              </w:rPr>
            </w:pPr>
            <w:r>
              <w:rPr>
                <w:rFonts w:ascii="Arial" w:cs="Arial" w:eastAsia="Arial" w:hAnsi="Arial"/>
                <w:sz w:val="16"/>
                <w:szCs w:val="16"/>
                <w:color w:val="auto"/>
                <w:w w:val="93"/>
              </w:rPr>
              <w:t>Undertaking’s assets (in whole or in part) to a newly incorporated company which will be owned by the Shareholders (in</w:t>
            </w:r>
          </w:p>
        </w:tc>
      </w:tr>
      <w:tr>
        <w:trPr>
          <w:trHeight w:val="207"/>
        </w:trPr>
        <w:tc>
          <w:tcPr>
            <w:tcW w:w="3040" w:type="dxa"/>
            <w:vAlign w:val="bottom"/>
          </w:tcPr>
          <w:p>
            <w:pPr>
              <w:spacing w:after="0"/>
              <w:rPr>
                <w:sz w:val="18"/>
                <w:szCs w:val="18"/>
                <w:color w:val="auto"/>
              </w:rPr>
            </w:pPr>
          </w:p>
        </w:tc>
        <w:tc>
          <w:tcPr>
            <w:tcW w:w="8420" w:type="dxa"/>
            <w:vAlign w:val="bottom"/>
            <w:gridSpan w:val="2"/>
          </w:tcPr>
          <w:p>
            <w:pPr>
              <w:ind w:left="460"/>
              <w:spacing w:after="0"/>
              <w:rPr>
                <w:sz w:val="20"/>
                <w:szCs w:val="20"/>
                <w:color w:val="auto"/>
              </w:rPr>
            </w:pPr>
            <w:r>
              <w:rPr>
                <w:rFonts w:ascii="Arial" w:cs="Arial" w:eastAsia="Arial" w:hAnsi="Arial"/>
                <w:sz w:val="16"/>
                <w:szCs w:val="16"/>
                <w:color w:val="auto"/>
              </w:rPr>
              <w:t>the same proportions, disregarding any Shares held by the Company, as they hold Shares);</w:t>
            </w:r>
          </w:p>
        </w:tc>
      </w:tr>
      <w:tr>
        <w:trPr>
          <w:trHeight w:val="391"/>
        </w:trPr>
        <w:tc>
          <w:tcPr>
            <w:tcW w:w="3040" w:type="dxa"/>
            <w:vAlign w:val="bottom"/>
          </w:tcPr>
          <w:p>
            <w:pPr>
              <w:spacing w:after="0"/>
              <w:rPr>
                <w:sz w:val="20"/>
                <w:szCs w:val="20"/>
                <w:color w:val="auto"/>
              </w:rPr>
            </w:pPr>
            <w:r>
              <w:rPr>
                <w:rFonts w:ascii="Arial" w:cs="Arial" w:eastAsia="Arial" w:hAnsi="Arial"/>
                <w:sz w:val="16"/>
                <w:szCs w:val="16"/>
                <w:b w:val="1"/>
                <w:bCs w:val="1"/>
                <w:color w:val="auto"/>
              </w:rPr>
              <w:t>CIC</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Cambridge Innovation Capital (Jersey) Limited of 19-21 Broad Street, St Helier, Jersey, JE1 3PB;</w:t>
            </w:r>
          </w:p>
        </w:tc>
      </w:tr>
      <w:tr>
        <w:trPr>
          <w:trHeight w:val="391"/>
        </w:trPr>
        <w:tc>
          <w:tcPr>
            <w:tcW w:w="3040" w:type="dxa"/>
            <w:vAlign w:val="bottom"/>
          </w:tcPr>
          <w:p>
            <w:pPr>
              <w:spacing w:after="0"/>
              <w:rPr>
                <w:sz w:val="20"/>
                <w:szCs w:val="20"/>
                <w:color w:val="auto"/>
              </w:rPr>
            </w:pPr>
            <w:r>
              <w:rPr>
                <w:rFonts w:ascii="Arial" w:cs="Arial" w:eastAsia="Arial" w:hAnsi="Arial"/>
                <w:sz w:val="16"/>
                <w:szCs w:val="16"/>
                <w:b w:val="1"/>
                <w:bCs w:val="1"/>
                <w:color w:val="auto"/>
              </w:rPr>
              <w:t>Civil Partner</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in relation to a Shareholder, a civil partner (as defined in the Civil Partnerships Act 2004) of the Shareholder;</w:t>
            </w:r>
          </w:p>
        </w:tc>
      </w:tr>
      <w:tr>
        <w:trPr>
          <w:trHeight w:val="391"/>
        </w:trPr>
        <w:tc>
          <w:tcPr>
            <w:tcW w:w="3040" w:type="dxa"/>
            <w:vAlign w:val="bottom"/>
          </w:tcPr>
          <w:p>
            <w:pPr>
              <w:spacing w:after="0"/>
              <w:rPr>
                <w:sz w:val="20"/>
                <w:szCs w:val="20"/>
                <w:color w:val="auto"/>
              </w:rPr>
            </w:pPr>
            <w:r>
              <w:rPr>
                <w:rFonts w:ascii="Arial" w:cs="Arial" w:eastAsia="Arial" w:hAnsi="Arial"/>
                <w:sz w:val="16"/>
                <w:szCs w:val="16"/>
                <w:b w:val="1"/>
                <w:bCs w:val="1"/>
                <w:color w:val="auto"/>
              </w:rPr>
              <w:t>Commencement Date</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the date the relevant Employee commences his employment or consultancy with the Company;</w:t>
            </w:r>
          </w:p>
        </w:tc>
      </w:tr>
      <w:tr>
        <w:trPr>
          <w:trHeight w:val="391"/>
        </w:trPr>
        <w:tc>
          <w:tcPr>
            <w:tcW w:w="304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Bicycle Therapeutics Limited;</w:t>
            </w:r>
          </w:p>
        </w:tc>
      </w:tr>
      <w:tr>
        <w:trPr>
          <w:trHeight w:val="391"/>
        </w:trPr>
        <w:tc>
          <w:tcPr>
            <w:tcW w:w="3040" w:type="dxa"/>
            <w:vAlign w:val="bottom"/>
          </w:tcPr>
          <w:p>
            <w:pPr>
              <w:spacing w:after="0"/>
              <w:rPr>
                <w:sz w:val="20"/>
                <w:szCs w:val="20"/>
                <w:color w:val="auto"/>
              </w:rPr>
            </w:pPr>
            <w:r>
              <w:rPr>
                <w:rFonts w:ascii="Arial" w:cs="Arial" w:eastAsia="Arial" w:hAnsi="Arial"/>
                <w:sz w:val="16"/>
                <w:szCs w:val="16"/>
                <w:b w:val="1"/>
                <w:bCs w:val="1"/>
                <w:color w:val="auto"/>
              </w:rPr>
              <w:t>Conditions</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shall have the meaning given to the term in Article 8.1;</w:t>
            </w:r>
          </w:p>
        </w:tc>
      </w:tr>
      <w:tr>
        <w:trPr>
          <w:trHeight w:val="380"/>
        </w:trPr>
        <w:tc>
          <w:tcPr>
            <w:tcW w:w="3040" w:type="dxa"/>
            <w:vAlign w:val="bottom"/>
          </w:tcPr>
          <w:p>
            <w:pPr>
              <w:spacing w:after="0"/>
              <w:rPr>
                <w:sz w:val="20"/>
                <w:szCs w:val="20"/>
                <w:color w:val="auto"/>
              </w:rPr>
            </w:pPr>
            <w:r>
              <w:rPr>
                <w:rFonts w:ascii="Arial" w:cs="Arial" w:eastAsia="Arial" w:hAnsi="Arial"/>
                <w:sz w:val="16"/>
                <w:szCs w:val="16"/>
                <w:b w:val="1"/>
                <w:bCs w:val="1"/>
                <w:color w:val="auto"/>
              </w:rPr>
              <w:t>Controlling Interest</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w w:val="97"/>
              </w:rPr>
              <w:t>an interest in shares giving to the holder or holders control of the Company within the meaning of section 1124 of the</w:t>
            </w:r>
          </w:p>
        </w:tc>
      </w:tr>
      <w:tr>
        <w:trPr>
          <w:trHeight w:val="207"/>
        </w:trPr>
        <w:tc>
          <w:tcPr>
            <w:tcW w:w="3040" w:type="dxa"/>
            <w:vAlign w:val="bottom"/>
          </w:tcPr>
          <w:p>
            <w:pPr>
              <w:spacing w:after="0"/>
              <w:rPr>
                <w:sz w:val="18"/>
                <w:szCs w:val="18"/>
                <w:color w:val="auto"/>
              </w:rPr>
            </w:pP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Corporation Tax Act 2010;</w:t>
            </w:r>
          </w:p>
        </w:tc>
      </w:tr>
      <w:tr>
        <w:trPr>
          <w:trHeight w:val="391"/>
        </w:trPr>
        <w:tc>
          <w:tcPr>
            <w:tcW w:w="3040" w:type="dxa"/>
            <w:vAlign w:val="bottom"/>
          </w:tcPr>
          <w:p>
            <w:pPr>
              <w:spacing w:after="0"/>
              <w:rPr>
                <w:sz w:val="20"/>
                <w:szCs w:val="20"/>
                <w:color w:val="auto"/>
              </w:rPr>
            </w:pPr>
            <w:r>
              <w:rPr>
                <w:rFonts w:ascii="Arial" w:cs="Arial" w:eastAsia="Arial" w:hAnsi="Arial"/>
                <w:sz w:val="16"/>
                <w:szCs w:val="16"/>
                <w:b w:val="1"/>
                <w:bCs w:val="1"/>
                <w:color w:val="auto"/>
              </w:rPr>
              <w:t>Conversion Date</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shall have the meaning given to the term in Article 8.1;</w:t>
            </w:r>
          </w:p>
        </w:tc>
      </w:tr>
      <w:tr>
        <w:trPr>
          <w:trHeight w:val="391"/>
        </w:trPr>
        <w:tc>
          <w:tcPr>
            <w:tcW w:w="3040" w:type="dxa"/>
            <w:vAlign w:val="bottom"/>
          </w:tcPr>
          <w:p>
            <w:pPr>
              <w:spacing w:after="0"/>
              <w:rPr>
                <w:sz w:val="20"/>
                <w:szCs w:val="20"/>
                <w:color w:val="auto"/>
              </w:rPr>
            </w:pPr>
            <w:r>
              <w:rPr>
                <w:rFonts w:ascii="Arial" w:cs="Arial" w:eastAsia="Arial" w:hAnsi="Arial"/>
                <w:sz w:val="16"/>
                <w:szCs w:val="16"/>
                <w:b w:val="1"/>
                <w:bCs w:val="1"/>
                <w:color w:val="auto"/>
              </w:rPr>
              <w:t>Conversion Rate</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the A Ordinary Conversion Rate or the B Ordinary Conversion Rate (as applicable);</w:t>
            </w:r>
          </w:p>
        </w:tc>
      </w:tr>
      <w:tr>
        <w:trPr>
          <w:trHeight w:val="391"/>
        </w:trPr>
        <w:tc>
          <w:tcPr>
            <w:tcW w:w="3040" w:type="dxa"/>
            <w:vAlign w:val="bottom"/>
          </w:tcPr>
          <w:p>
            <w:pPr>
              <w:spacing w:after="0"/>
              <w:rPr>
                <w:sz w:val="20"/>
                <w:szCs w:val="20"/>
                <w:color w:val="auto"/>
              </w:rPr>
            </w:pPr>
            <w:r>
              <w:rPr>
                <w:rFonts w:ascii="Arial" w:cs="Arial" w:eastAsia="Arial" w:hAnsi="Arial"/>
                <w:sz w:val="16"/>
                <w:szCs w:val="16"/>
                <w:b w:val="1"/>
                <w:bCs w:val="1"/>
                <w:color w:val="auto"/>
              </w:rPr>
              <w:t>Date of Adoption</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the date on which these Articles were adopted;</w:t>
            </w:r>
          </w:p>
        </w:tc>
      </w:tr>
      <w:tr>
        <w:trPr>
          <w:trHeight w:val="391"/>
        </w:trPr>
        <w:tc>
          <w:tcPr>
            <w:tcW w:w="3040" w:type="dxa"/>
            <w:vAlign w:val="bottom"/>
          </w:tcPr>
          <w:p>
            <w:pPr>
              <w:spacing w:after="0"/>
              <w:rPr>
                <w:sz w:val="20"/>
                <w:szCs w:val="20"/>
                <w:color w:val="auto"/>
              </w:rPr>
            </w:pPr>
            <w:r>
              <w:rPr>
                <w:rFonts w:ascii="Arial" w:cs="Arial" w:eastAsia="Arial" w:hAnsi="Arial"/>
                <w:sz w:val="16"/>
                <w:szCs w:val="16"/>
                <w:b w:val="1"/>
                <w:bCs w:val="1"/>
                <w:color w:val="auto"/>
              </w:rPr>
              <w:t>Deferred Shares</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the deferred shares of £0.01 each in the capital of the Company;</w:t>
            </w:r>
          </w:p>
        </w:tc>
      </w:tr>
      <w:tr>
        <w:trPr>
          <w:trHeight w:val="391"/>
        </w:trPr>
        <w:tc>
          <w:tcPr>
            <w:tcW w:w="3040" w:type="dxa"/>
            <w:vAlign w:val="bottom"/>
          </w:tcPr>
          <w:p>
            <w:pPr>
              <w:spacing w:after="0"/>
              <w:rPr>
                <w:sz w:val="20"/>
                <w:szCs w:val="20"/>
                <w:color w:val="auto"/>
              </w:rPr>
            </w:pPr>
            <w:r>
              <w:rPr>
                <w:rFonts w:ascii="Arial" w:cs="Arial" w:eastAsia="Arial" w:hAnsi="Arial"/>
                <w:sz w:val="16"/>
                <w:szCs w:val="16"/>
                <w:b w:val="1"/>
                <w:bCs w:val="1"/>
                <w:color w:val="auto"/>
              </w:rPr>
              <w:t>Defaulting A Ordinary Share Investor</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shall have the meaning given to the term in Article 8.9(b);</w:t>
            </w:r>
          </w:p>
        </w:tc>
      </w:tr>
      <w:tr>
        <w:trPr>
          <w:trHeight w:val="391"/>
        </w:trPr>
        <w:tc>
          <w:tcPr>
            <w:tcW w:w="3040" w:type="dxa"/>
            <w:vAlign w:val="bottom"/>
          </w:tcPr>
          <w:p>
            <w:pPr>
              <w:spacing w:after="0"/>
              <w:rPr>
                <w:sz w:val="20"/>
                <w:szCs w:val="20"/>
                <w:color w:val="auto"/>
              </w:rPr>
            </w:pPr>
            <w:r>
              <w:rPr>
                <w:rFonts w:ascii="Arial" w:cs="Arial" w:eastAsia="Arial" w:hAnsi="Arial"/>
                <w:sz w:val="16"/>
                <w:szCs w:val="16"/>
                <w:b w:val="1"/>
                <w:bCs w:val="1"/>
                <w:color w:val="auto"/>
              </w:rPr>
              <w:t>Delayed Consideration</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shall have the meaning given to the term in Article 5.8;</w:t>
            </w:r>
          </w:p>
        </w:tc>
      </w:tr>
      <w:tr>
        <w:trPr>
          <w:trHeight w:val="391"/>
        </w:trPr>
        <w:tc>
          <w:tcPr>
            <w:tcW w:w="3040" w:type="dxa"/>
            <w:vAlign w:val="bottom"/>
          </w:tcPr>
          <w:p>
            <w:pPr>
              <w:spacing w:after="0"/>
              <w:rPr>
                <w:sz w:val="20"/>
                <w:szCs w:val="20"/>
                <w:color w:val="auto"/>
              </w:rPr>
            </w:pPr>
            <w:r>
              <w:rPr>
                <w:rFonts w:ascii="Arial" w:cs="Arial" w:eastAsia="Arial" w:hAnsi="Arial"/>
                <w:sz w:val="16"/>
                <w:szCs w:val="16"/>
                <w:b w:val="1"/>
                <w:bCs w:val="1"/>
                <w:color w:val="auto"/>
              </w:rPr>
              <w:t>Director(s)</w:t>
            </w:r>
          </w:p>
        </w:tc>
        <w:tc>
          <w:tcPr>
            <w:tcW w:w="8420" w:type="dxa"/>
            <w:vAlign w:val="bottom"/>
            <w:gridSpan w:val="2"/>
          </w:tcPr>
          <w:p>
            <w:pPr>
              <w:ind w:left="400"/>
              <w:spacing w:after="0"/>
              <w:rPr>
                <w:sz w:val="20"/>
                <w:szCs w:val="20"/>
                <w:color w:val="auto"/>
              </w:rPr>
            </w:pPr>
            <w:r>
              <w:rPr>
                <w:rFonts w:ascii="Arial" w:cs="Arial" w:eastAsia="Arial" w:hAnsi="Arial"/>
                <w:sz w:val="16"/>
                <w:szCs w:val="16"/>
                <w:color w:val="auto"/>
              </w:rPr>
              <w:t>a director or directors of the Company from time to time;</w:t>
            </w:r>
          </w:p>
        </w:tc>
      </w:tr>
      <w:tr>
        <w:trPr>
          <w:trHeight w:val="391"/>
        </w:trPr>
        <w:tc>
          <w:tcPr>
            <w:tcW w:w="3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40" w:type="dxa"/>
            <w:vAlign w:val="bottom"/>
          </w:tcPr>
          <w:p>
            <w:pPr>
              <w:ind w:left="1860"/>
              <w:spacing w:after="0"/>
              <w:rPr>
                <w:sz w:val="20"/>
                <w:szCs w:val="20"/>
                <w:color w:val="auto"/>
              </w:rPr>
            </w:pPr>
            <w:r>
              <w:rPr>
                <w:rFonts w:ascii="Arial" w:cs="Arial" w:eastAsia="Arial" w:hAnsi="Arial"/>
                <w:sz w:val="16"/>
                <w:szCs w:val="16"/>
                <w:color w:val="auto"/>
              </w:rPr>
              <w:t>5</w:t>
            </w:r>
          </w:p>
        </w:tc>
      </w:tr>
      <w:tr>
        <w:trPr>
          <w:trHeight w:val="119"/>
        </w:trPr>
        <w:tc>
          <w:tcPr>
            <w:tcW w:w="30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7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8" w:right="19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11"/>
        </w:trPr>
        <w:tc>
          <w:tcPr>
            <w:tcW w:w="2980" w:type="dxa"/>
            <w:vAlign w:val="bottom"/>
          </w:tcPr>
          <w:p>
            <w:pPr>
              <w:spacing w:after="0"/>
              <w:rPr>
                <w:sz w:val="20"/>
                <w:szCs w:val="20"/>
                <w:color w:val="auto"/>
              </w:rPr>
            </w:pPr>
            <w:r>
              <w:rPr>
                <w:rFonts w:ascii="Arial" w:cs="Arial" w:eastAsia="Arial" w:hAnsi="Arial"/>
                <w:sz w:val="16"/>
                <w:szCs w:val="16"/>
                <w:b w:val="1"/>
                <w:bCs w:val="1"/>
                <w:color w:val="auto"/>
              </w:rPr>
              <w:t>Effective Termination Date</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the date on which the Employee’s employment or consultancy or office with the Company terminates;</w:t>
            </w:r>
          </w:p>
        </w:tc>
      </w:tr>
      <w:tr>
        <w:trPr>
          <w:trHeight w:val="380"/>
        </w:trPr>
        <w:tc>
          <w:tcPr>
            <w:tcW w:w="2980" w:type="dxa"/>
            <w:vAlign w:val="bottom"/>
          </w:tcPr>
          <w:p>
            <w:pPr>
              <w:spacing w:after="0"/>
              <w:rPr>
                <w:sz w:val="20"/>
                <w:szCs w:val="20"/>
                <w:color w:val="auto"/>
              </w:rPr>
            </w:pPr>
            <w:r>
              <w:rPr>
                <w:rFonts w:ascii="Arial" w:cs="Arial" w:eastAsia="Arial" w:hAnsi="Arial"/>
                <w:sz w:val="16"/>
                <w:szCs w:val="16"/>
                <w:b w:val="1"/>
                <w:bCs w:val="1"/>
                <w:color w:val="auto"/>
              </w:rPr>
              <w:t>Employee</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w w:val="93"/>
              </w:rPr>
              <w:t>an individual who is employed by, seconded to or who provides consultancy services to, the Company or any member of</w:t>
            </w:r>
          </w:p>
        </w:tc>
      </w:tr>
      <w:tr>
        <w:trPr>
          <w:trHeight w:val="207"/>
        </w:trPr>
        <w:tc>
          <w:tcPr>
            <w:tcW w:w="2980" w:type="dxa"/>
            <w:vAlign w:val="bottom"/>
          </w:tcPr>
          <w:p>
            <w:pPr>
              <w:spacing w:after="0"/>
              <w:rPr>
                <w:sz w:val="18"/>
                <w:szCs w:val="18"/>
                <w:color w:val="auto"/>
              </w:rPr>
            </w:pP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the Group, and any Director of the Company;</w:t>
            </w:r>
          </w:p>
        </w:tc>
      </w:tr>
      <w:tr>
        <w:trPr>
          <w:trHeight w:val="380"/>
        </w:trPr>
        <w:tc>
          <w:tcPr>
            <w:tcW w:w="2980" w:type="dxa"/>
            <w:vAlign w:val="bottom"/>
          </w:tcPr>
          <w:p>
            <w:pPr>
              <w:spacing w:after="0"/>
              <w:rPr>
                <w:sz w:val="20"/>
                <w:szCs w:val="20"/>
                <w:color w:val="auto"/>
              </w:rPr>
            </w:pPr>
            <w:r>
              <w:rPr>
                <w:rFonts w:ascii="Arial" w:cs="Arial" w:eastAsia="Arial" w:hAnsi="Arial"/>
                <w:sz w:val="16"/>
                <w:szCs w:val="16"/>
                <w:b w:val="1"/>
                <w:bCs w:val="1"/>
                <w:color w:val="auto"/>
              </w:rPr>
              <w:t>Employee Share Plan(s)</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w w:val="96"/>
              </w:rPr>
              <w:t>the Employee share option or share purchase plan(s) of the Company, the terms of which have been approved by the</w:t>
            </w:r>
          </w:p>
        </w:tc>
      </w:tr>
      <w:tr>
        <w:trPr>
          <w:trHeight w:val="207"/>
        </w:trPr>
        <w:tc>
          <w:tcPr>
            <w:tcW w:w="2980" w:type="dxa"/>
            <w:vAlign w:val="bottom"/>
          </w:tcPr>
          <w:p>
            <w:pPr>
              <w:spacing w:after="0"/>
              <w:rPr>
                <w:sz w:val="18"/>
                <w:szCs w:val="18"/>
                <w:color w:val="auto"/>
              </w:rPr>
            </w:pP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Investor Directors;</w:t>
            </w:r>
          </w:p>
        </w:tc>
      </w:tr>
      <w:tr>
        <w:trPr>
          <w:trHeight w:val="391"/>
        </w:trPr>
        <w:tc>
          <w:tcPr>
            <w:tcW w:w="2980" w:type="dxa"/>
            <w:vAlign w:val="bottom"/>
          </w:tcPr>
          <w:p>
            <w:pPr>
              <w:spacing w:after="0"/>
              <w:rPr>
                <w:sz w:val="20"/>
                <w:szCs w:val="20"/>
                <w:color w:val="auto"/>
              </w:rPr>
            </w:pPr>
            <w:r>
              <w:rPr>
                <w:rFonts w:ascii="Arial" w:cs="Arial" w:eastAsia="Arial" w:hAnsi="Arial"/>
                <w:sz w:val="16"/>
                <w:szCs w:val="16"/>
                <w:b w:val="1"/>
                <w:bCs w:val="1"/>
                <w:color w:val="auto"/>
              </w:rPr>
              <w:t>Employee Shares</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in relation to an Employee or Former Employee means all Ordinary Shares held by:</w:t>
            </w:r>
          </w:p>
        </w:tc>
      </w:tr>
      <w:tr>
        <w:trPr>
          <w:trHeight w:val="391"/>
        </w:trPr>
        <w:tc>
          <w:tcPr>
            <w:tcW w:w="2980" w:type="dxa"/>
            <w:vAlign w:val="bottom"/>
          </w:tcPr>
          <w:p>
            <w:pPr>
              <w:spacing w:after="0"/>
              <w:rPr>
                <w:sz w:val="24"/>
                <w:szCs w:val="24"/>
                <w:color w:val="auto"/>
              </w:rPr>
            </w:pPr>
          </w:p>
        </w:tc>
        <w:tc>
          <w:tcPr>
            <w:tcW w:w="840" w:type="dxa"/>
            <w:vAlign w:val="bottom"/>
          </w:tcPr>
          <w:p>
            <w:pPr>
              <w:ind w:left="520"/>
              <w:spacing w:after="0"/>
              <w:rPr>
                <w:sz w:val="20"/>
                <w:szCs w:val="20"/>
                <w:color w:val="auto"/>
              </w:rPr>
            </w:pPr>
            <w:r>
              <w:rPr>
                <w:rFonts w:ascii="Arial" w:cs="Arial" w:eastAsia="Arial" w:hAnsi="Arial"/>
                <w:sz w:val="16"/>
                <w:szCs w:val="16"/>
                <w:color w:val="auto"/>
              </w:rPr>
              <w:t>(g)</w:t>
            </w:r>
          </w:p>
        </w:tc>
        <w:tc>
          <w:tcPr>
            <w:tcW w:w="7640" w:type="dxa"/>
            <w:vAlign w:val="bottom"/>
          </w:tcPr>
          <w:p>
            <w:pPr>
              <w:ind w:left="160"/>
              <w:spacing w:after="0"/>
              <w:rPr>
                <w:sz w:val="20"/>
                <w:szCs w:val="20"/>
                <w:color w:val="auto"/>
              </w:rPr>
            </w:pPr>
            <w:r>
              <w:rPr>
                <w:rFonts w:ascii="Arial" w:cs="Arial" w:eastAsia="Arial" w:hAnsi="Arial"/>
                <w:sz w:val="16"/>
                <w:szCs w:val="16"/>
                <w:color w:val="auto"/>
              </w:rPr>
              <w:t>the Employee or Former Employee in question; and</w:t>
            </w:r>
          </w:p>
        </w:tc>
      </w:tr>
      <w:tr>
        <w:trPr>
          <w:trHeight w:val="380"/>
        </w:trPr>
        <w:tc>
          <w:tcPr>
            <w:tcW w:w="2980" w:type="dxa"/>
            <w:vAlign w:val="bottom"/>
          </w:tcPr>
          <w:p>
            <w:pPr>
              <w:spacing w:after="0"/>
              <w:rPr>
                <w:sz w:val="24"/>
                <w:szCs w:val="24"/>
                <w:color w:val="auto"/>
              </w:rPr>
            </w:pPr>
          </w:p>
        </w:tc>
        <w:tc>
          <w:tcPr>
            <w:tcW w:w="840" w:type="dxa"/>
            <w:vAlign w:val="bottom"/>
          </w:tcPr>
          <w:p>
            <w:pPr>
              <w:ind w:left="520"/>
              <w:spacing w:after="0"/>
              <w:rPr>
                <w:sz w:val="20"/>
                <w:szCs w:val="20"/>
                <w:color w:val="auto"/>
              </w:rPr>
            </w:pPr>
            <w:r>
              <w:rPr>
                <w:rFonts w:ascii="Arial" w:cs="Arial" w:eastAsia="Arial" w:hAnsi="Arial"/>
                <w:sz w:val="16"/>
                <w:szCs w:val="16"/>
                <w:color w:val="auto"/>
              </w:rPr>
              <w:t>(h)</w:t>
            </w:r>
          </w:p>
        </w:tc>
        <w:tc>
          <w:tcPr>
            <w:tcW w:w="7640" w:type="dxa"/>
            <w:vAlign w:val="bottom"/>
          </w:tcPr>
          <w:p>
            <w:pPr>
              <w:ind w:left="140"/>
              <w:spacing w:after="0"/>
              <w:rPr>
                <w:sz w:val="20"/>
                <w:szCs w:val="20"/>
                <w:color w:val="auto"/>
              </w:rPr>
            </w:pPr>
            <w:r>
              <w:rPr>
                <w:rFonts w:ascii="Arial" w:cs="Arial" w:eastAsia="Arial" w:hAnsi="Arial"/>
                <w:sz w:val="16"/>
                <w:szCs w:val="16"/>
                <w:color w:val="auto"/>
                <w:w w:val="96"/>
              </w:rPr>
              <w:t>by any Permitted Transferee of that Employee or Former Employee other than those Ordinary Shares held by</w:t>
            </w:r>
          </w:p>
        </w:tc>
      </w:tr>
      <w:tr>
        <w:trPr>
          <w:trHeight w:val="196"/>
        </w:trPr>
        <w:tc>
          <w:tcPr>
            <w:tcW w:w="2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40" w:type="dxa"/>
            <w:vAlign w:val="bottom"/>
          </w:tcPr>
          <w:p>
            <w:pPr>
              <w:ind w:left="140"/>
              <w:spacing w:after="0"/>
              <w:rPr>
                <w:sz w:val="20"/>
                <w:szCs w:val="20"/>
                <w:color w:val="auto"/>
              </w:rPr>
            </w:pPr>
            <w:r>
              <w:rPr>
                <w:rFonts w:ascii="Arial" w:cs="Arial" w:eastAsia="Arial" w:hAnsi="Arial"/>
                <w:sz w:val="16"/>
                <w:szCs w:val="16"/>
                <w:color w:val="auto"/>
                <w:w w:val="95"/>
              </w:rPr>
              <w:t>those persons that a Preferred Majority is satisfied were not acquired directly or indirectly from the Employee or</w:t>
            </w:r>
          </w:p>
        </w:tc>
      </w:tr>
      <w:tr>
        <w:trPr>
          <w:trHeight w:val="207"/>
        </w:trPr>
        <w:tc>
          <w:tcPr>
            <w:tcW w:w="2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6"/>
                <w:szCs w:val="16"/>
                <w:color w:val="auto"/>
              </w:rPr>
              <w:t>Former Employee or by reason of his/her relationship with the Employee or Former Employee;</w:t>
            </w:r>
          </w:p>
        </w:tc>
      </w:tr>
      <w:tr>
        <w:trPr>
          <w:trHeight w:val="391"/>
        </w:trPr>
        <w:tc>
          <w:tcPr>
            <w:tcW w:w="2980" w:type="dxa"/>
            <w:vAlign w:val="bottom"/>
          </w:tcPr>
          <w:p>
            <w:pPr>
              <w:spacing w:after="0"/>
              <w:rPr>
                <w:sz w:val="20"/>
                <w:szCs w:val="20"/>
                <w:color w:val="auto"/>
              </w:rPr>
            </w:pPr>
            <w:r>
              <w:rPr>
                <w:rFonts w:ascii="Arial" w:cs="Arial" w:eastAsia="Arial" w:hAnsi="Arial"/>
                <w:sz w:val="16"/>
                <w:szCs w:val="16"/>
                <w:b w:val="1"/>
                <w:bCs w:val="1"/>
                <w:color w:val="auto"/>
              </w:rPr>
              <w:t>Employee Trust</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a trust, the terms of which are approved by a Preferred Majority, whose beneficiaries are the Employees;</w:t>
            </w:r>
          </w:p>
        </w:tc>
      </w:tr>
      <w:tr>
        <w:trPr>
          <w:trHeight w:val="391"/>
        </w:trPr>
        <w:tc>
          <w:tcPr>
            <w:tcW w:w="2980" w:type="dxa"/>
            <w:vAlign w:val="bottom"/>
          </w:tcPr>
          <w:p>
            <w:pPr>
              <w:spacing w:after="0"/>
              <w:rPr>
                <w:sz w:val="20"/>
                <w:szCs w:val="20"/>
                <w:color w:val="auto"/>
              </w:rPr>
            </w:pPr>
            <w:r>
              <w:rPr>
                <w:rFonts w:ascii="Arial" w:cs="Arial" w:eastAsia="Arial" w:hAnsi="Arial"/>
                <w:sz w:val="16"/>
                <w:szCs w:val="16"/>
                <w:b w:val="1"/>
                <w:bCs w:val="1"/>
                <w:color w:val="auto"/>
              </w:rPr>
              <w:t>Entitlement Amount</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shall have the meaning given to the term in Article 5.8;</w:t>
            </w:r>
          </w:p>
        </w:tc>
      </w:tr>
      <w:tr>
        <w:trPr>
          <w:trHeight w:val="391"/>
        </w:trPr>
        <w:tc>
          <w:tcPr>
            <w:tcW w:w="2980" w:type="dxa"/>
            <w:vAlign w:val="bottom"/>
          </w:tcPr>
          <w:p>
            <w:pPr>
              <w:spacing w:after="0"/>
              <w:rPr>
                <w:sz w:val="20"/>
                <w:szCs w:val="20"/>
                <w:color w:val="auto"/>
              </w:rPr>
            </w:pPr>
            <w:r>
              <w:rPr>
                <w:rFonts w:ascii="Arial" w:cs="Arial" w:eastAsia="Arial" w:hAnsi="Arial"/>
                <w:sz w:val="16"/>
                <w:szCs w:val="16"/>
                <w:b w:val="1"/>
                <w:bCs w:val="1"/>
                <w:color w:val="auto"/>
              </w:rPr>
              <w:t>Equity Shares</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the Ordinary Shares, the A Ordinary Shares and the B Ordinary Shares from time to time;</w:t>
            </w:r>
          </w:p>
        </w:tc>
      </w:tr>
      <w:tr>
        <w:trPr>
          <w:trHeight w:val="380"/>
        </w:trPr>
        <w:tc>
          <w:tcPr>
            <w:tcW w:w="2980" w:type="dxa"/>
            <w:vAlign w:val="bottom"/>
          </w:tcPr>
          <w:p>
            <w:pPr>
              <w:spacing w:after="0"/>
              <w:rPr>
                <w:sz w:val="20"/>
                <w:szCs w:val="20"/>
                <w:color w:val="auto"/>
              </w:rPr>
            </w:pPr>
            <w:r>
              <w:rPr>
                <w:rFonts w:ascii="Arial" w:cs="Arial" w:eastAsia="Arial" w:hAnsi="Arial"/>
                <w:sz w:val="16"/>
                <w:szCs w:val="16"/>
                <w:b w:val="1"/>
                <w:bCs w:val="1"/>
                <w:color w:val="auto"/>
              </w:rPr>
              <w:t>Family Trusts</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w w:val="96"/>
              </w:rPr>
              <w:t>as regards any particular individual member or deceased or former individual member, trusts (whether arising under a</w:t>
            </w:r>
          </w:p>
        </w:tc>
      </w:tr>
      <w:tr>
        <w:trPr>
          <w:trHeight w:val="196"/>
        </w:trPr>
        <w:tc>
          <w:tcPr>
            <w:tcW w:w="2980" w:type="dxa"/>
            <w:vAlign w:val="bottom"/>
          </w:tcPr>
          <w:p>
            <w:pPr>
              <w:spacing w:after="0"/>
              <w:rPr>
                <w:sz w:val="17"/>
                <w:szCs w:val="17"/>
                <w:color w:val="auto"/>
              </w:rPr>
            </w:pP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w w:val="99"/>
              </w:rPr>
              <w:t>settlement, declaration of trust or other instrument by whomsoever or wheresoever made or under a testamentary</w:t>
            </w:r>
          </w:p>
        </w:tc>
      </w:tr>
      <w:tr>
        <w:trPr>
          <w:trHeight w:val="196"/>
        </w:trPr>
        <w:tc>
          <w:tcPr>
            <w:tcW w:w="2980" w:type="dxa"/>
            <w:vAlign w:val="bottom"/>
          </w:tcPr>
          <w:p>
            <w:pPr>
              <w:spacing w:after="0"/>
              <w:rPr>
                <w:sz w:val="17"/>
                <w:szCs w:val="17"/>
                <w:color w:val="auto"/>
              </w:rPr>
            </w:pP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w w:val="93"/>
              </w:rPr>
              <w:t>disposition or on an intestacy) under which no immediate beneficial interest in any of the shares in question is for the time</w:t>
            </w:r>
          </w:p>
        </w:tc>
      </w:tr>
      <w:tr>
        <w:trPr>
          <w:trHeight w:val="196"/>
        </w:trPr>
        <w:tc>
          <w:tcPr>
            <w:tcW w:w="2980" w:type="dxa"/>
            <w:vAlign w:val="bottom"/>
          </w:tcPr>
          <w:p>
            <w:pPr>
              <w:spacing w:after="0"/>
              <w:rPr>
                <w:sz w:val="17"/>
                <w:szCs w:val="17"/>
                <w:color w:val="auto"/>
              </w:rPr>
            </w:pP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w w:val="97"/>
              </w:rPr>
              <w:t>being vested in any person other than the individual and/or Privileged Relations of that individual; and so that for this</w:t>
            </w:r>
          </w:p>
        </w:tc>
      </w:tr>
      <w:tr>
        <w:trPr>
          <w:trHeight w:val="196"/>
        </w:trPr>
        <w:tc>
          <w:tcPr>
            <w:tcW w:w="2980" w:type="dxa"/>
            <w:vAlign w:val="bottom"/>
          </w:tcPr>
          <w:p>
            <w:pPr>
              <w:spacing w:after="0"/>
              <w:rPr>
                <w:sz w:val="17"/>
                <w:szCs w:val="17"/>
                <w:color w:val="auto"/>
              </w:rPr>
            </w:pP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w w:val="92"/>
              </w:rPr>
              <w:t>purpose a person shall be considered to be beneficially interested in a share if such share or the income thereof is liable to</w:t>
            </w:r>
          </w:p>
        </w:tc>
      </w:tr>
      <w:tr>
        <w:trPr>
          <w:trHeight w:val="196"/>
        </w:trPr>
        <w:tc>
          <w:tcPr>
            <w:tcW w:w="2980" w:type="dxa"/>
            <w:vAlign w:val="bottom"/>
          </w:tcPr>
          <w:p>
            <w:pPr>
              <w:spacing w:after="0"/>
              <w:rPr>
                <w:sz w:val="17"/>
                <w:szCs w:val="17"/>
                <w:color w:val="auto"/>
              </w:rPr>
            </w:pP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w w:val="95"/>
              </w:rPr>
              <w:t>be transferred or paid or applied or appointed to or for the benefit of such person or any voting or other rights attaching</w:t>
            </w:r>
          </w:p>
        </w:tc>
      </w:tr>
      <w:tr>
        <w:trPr>
          <w:trHeight w:val="196"/>
        </w:trPr>
        <w:tc>
          <w:tcPr>
            <w:tcW w:w="2980" w:type="dxa"/>
            <w:vAlign w:val="bottom"/>
          </w:tcPr>
          <w:p>
            <w:pPr>
              <w:spacing w:after="0"/>
              <w:rPr>
                <w:sz w:val="17"/>
                <w:szCs w:val="17"/>
                <w:color w:val="auto"/>
              </w:rPr>
            </w:pP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w w:val="91"/>
              </w:rPr>
              <w:t>thereto are exercisable by or as directed by such person pursuant to the terms of the relevant trusts or in consequence of an</w:t>
            </w:r>
          </w:p>
        </w:tc>
      </w:tr>
      <w:tr>
        <w:trPr>
          <w:trHeight w:val="207"/>
        </w:trPr>
        <w:tc>
          <w:tcPr>
            <w:tcW w:w="2980" w:type="dxa"/>
            <w:vAlign w:val="bottom"/>
          </w:tcPr>
          <w:p>
            <w:pPr>
              <w:spacing w:after="0"/>
              <w:rPr>
                <w:sz w:val="18"/>
                <w:szCs w:val="18"/>
                <w:color w:val="auto"/>
              </w:rPr>
            </w:pP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exercise of a power or discretion conferred thereby on any person or persons;</w:t>
            </w:r>
          </w:p>
        </w:tc>
      </w:tr>
      <w:tr>
        <w:trPr>
          <w:trHeight w:val="380"/>
        </w:trPr>
        <w:tc>
          <w:tcPr>
            <w:tcW w:w="2980" w:type="dxa"/>
            <w:vAlign w:val="bottom"/>
          </w:tcPr>
          <w:p>
            <w:pPr>
              <w:spacing w:after="0"/>
              <w:rPr>
                <w:sz w:val="20"/>
                <w:szCs w:val="20"/>
                <w:color w:val="auto"/>
              </w:rPr>
            </w:pPr>
            <w:r>
              <w:rPr>
                <w:rFonts w:ascii="Arial" w:cs="Arial" w:eastAsia="Arial" w:hAnsi="Arial"/>
                <w:sz w:val="16"/>
                <w:szCs w:val="16"/>
                <w:b w:val="1"/>
                <w:bCs w:val="1"/>
                <w:color w:val="auto"/>
              </w:rPr>
              <w:t>Financial Institution</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w w:val="95"/>
              </w:rPr>
              <w:t>any Financial Services Authority registered financial investor (or a financial investor registered with the equivalent body</w:t>
            </w:r>
          </w:p>
        </w:tc>
      </w:tr>
      <w:tr>
        <w:trPr>
          <w:trHeight w:val="207"/>
        </w:trPr>
        <w:tc>
          <w:tcPr>
            <w:tcW w:w="2980" w:type="dxa"/>
            <w:vAlign w:val="bottom"/>
          </w:tcPr>
          <w:p>
            <w:pPr>
              <w:spacing w:after="0"/>
              <w:rPr>
                <w:sz w:val="18"/>
                <w:szCs w:val="18"/>
                <w:color w:val="auto"/>
              </w:rPr>
            </w:pP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or authority in the country of the relevant financial investor’s principal place of business);</w:t>
            </w:r>
          </w:p>
        </w:tc>
      </w:tr>
      <w:tr>
        <w:trPr>
          <w:trHeight w:val="391"/>
        </w:trPr>
        <w:tc>
          <w:tcPr>
            <w:tcW w:w="2980" w:type="dxa"/>
            <w:vAlign w:val="bottom"/>
          </w:tcPr>
          <w:p>
            <w:pPr>
              <w:spacing w:after="0"/>
              <w:rPr>
                <w:sz w:val="20"/>
                <w:szCs w:val="20"/>
                <w:color w:val="auto"/>
              </w:rPr>
            </w:pPr>
            <w:r>
              <w:rPr>
                <w:rFonts w:ascii="Arial" w:cs="Arial" w:eastAsia="Arial" w:hAnsi="Arial"/>
                <w:sz w:val="16"/>
                <w:szCs w:val="16"/>
                <w:b w:val="1"/>
                <w:bCs w:val="1"/>
                <w:color w:val="auto"/>
              </w:rPr>
              <w:t>Financial Year and Financial Period</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an accounting reference period (as defined by the 2006 Act) of the Company;</w:t>
            </w:r>
          </w:p>
        </w:tc>
      </w:tr>
      <w:tr>
        <w:trPr>
          <w:trHeight w:val="391"/>
        </w:trPr>
        <w:tc>
          <w:tcPr>
            <w:tcW w:w="2980" w:type="dxa"/>
            <w:vAlign w:val="bottom"/>
          </w:tcPr>
          <w:p>
            <w:pPr>
              <w:spacing w:after="0"/>
              <w:rPr>
                <w:sz w:val="20"/>
                <w:szCs w:val="20"/>
                <w:color w:val="auto"/>
              </w:rPr>
            </w:pPr>
            <w:r>
              <w:rPr>
                <w:rFonts w:ascii="Arial" w:cs="Arial" w:eastAsia="Arial" w:hAnsi="Arial"/>
                <w:sz w:val="16"/>
                <w:szCs w:val="16"/>
                <w:b w:val="1"/>
                <w:bCs w:val="1"/>
                <w:color w:val="auto"/>
              </w:rPr>
              <w:t>Former Employee</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an Employee whose employment or consultancy or office with the Company has terminated;</w:t>
            </w:r>
          </w:p>
        </w:tc>
      </w:tr>
      <w:tr>
        <w:trPr>
          <w:trHeight w:val="391"/>
        </w:trPr>
        <w:tc>
          <w:tcPr>
            <w:tcW w:w="2980" w:type="dxa"/>
            <w:vAlign w:val="bottom"/>
          </w:tcPr>
          <w:p>
            <w:pPr>
              <w:spacing w:after="0"/>
              <w:rPr>
                <w:sz w:val="20"/>
                <w:szCs w:val="20"/>
                <w:color w:val="auto"/>
              </w:rPr>
            </w:pPr>
            <w:r>
              <w:rPr>
                <w:rFonts w:ascii="Arial" w:cs="Arial" w:eastAsia="Arial" w:hAnsi="Arial"/>
                <w:sz w:val="16"/>
                <w:szCs w:val="16"/>
                <w:b w:val="1"/>
                <w:bCs w:val="1"/>
                <w:color w:val="auto"/>
              </w:rPr>
              <w:t>Founders</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Sir Gregory Winter and Dr. Christian Heinis;</w:t>
            </w:r>
          </w:p>
        </w:tc>
      </w:tr>
      <w:tr>
        <w:trPr>
          <w:trHeight w:val="391"/>
        </w:trPr>
        <w:tc>
          <w:tcPr>
            <w:tcW w:w="2980" w:type="dxa"/>
            <w:vAlign w:val="bottom"/>
          </w:tcPr>
          <w:p>
            <w:pPr>
              <w:spacing w:after="0"/>
              <w:rPr>
                <w:sz w:val="20"/>
                <w:szCs w:val="20"/>
                <w:color w:val="auto"/>
              </w:rPr>
            </w:pPr>
            <w:r>
              <w:rPr>
                <w:rFonts w:ascii="Arial" w:cs="Arial" w:eastAsia="Arial" w:hAnsi="Arial"/>
                <w:sz w:val="16"/>
                <w:szCs w:val="16"/>
                <w:b w:val="1"/>
                <w:bCs w:val="1"/>
                <w:color w:val="auto"/>
              </w:rPr>
              <w:t>Founder Director</w:t>
            </w:r>
          </w:p>
        </w:tc>
        <w:tc>
          <w:tcPr>
            <w:tcW w:w="8480" w:type="dxa"/>
            <w:vAlign w:val="bottom"/>
            <w:gridSpan w:val="2"/>
          </w:tcPr>
          <w:p>
            <w:pPr>
              <w:ind w:left="460"/>
              <w:spacing w:after="0"/>
              <w:rPr>
                <w:sz w:val="20"/>
                <w:szCs w:val="20"/>
                <w:color w:val="auto"/>
              </w:rPr>
            </w:pPr>
            <w:r>
              <w:rPr>
                <w:rFonts w:ascii="Arial" w:cs="Arial" w:eastAsia="Arial" w:hAnsi="Arial"/>
                <w:sz w:val="16"/>
                <w:szCs w:val="16"/>
                <w:color w:val="auto"/>
              </w:rPr>
              <w:t>Sir Gregory Winter or such other director appointed to replace him from</w:t>
            </w:r>
          </w:p>
        </w:tc>
      </w:tr>
      <w:tr>
        <w:trPr>
          <w:trHeight w:val="391"/>
        </w:trPr>
        <w:tc>
          <w:tcPr>
            <w:tcW w:w="2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40" w:type="dxa"/>
            <w:vAlign w:val="bottom"/>
          </w:tcPr>
          <w:p>
            <w:pPr>
              <w:ind w:left="1860"/>
              <w:spacing w:after="0"/>
              <w:rPr>
                <w:sz w:val="20"/>
                <w:szCs w:val="20"/>
                <w:color w:val="auto"/>
              </w:rPr>
            </w:pPr>
            <w:r>
              <w:rPr>
                <w:rFonts w:ascii="Arial" w:cs="Arial" w:eastAsia="Arial" w:hAnsi="Arial"/>
                <w:sz w:val="16"/>
                <w:szCs w:val="16"/>
                <w:color w:val="auto"/>
              </w:rPr>
              <w:t>6</w:t>
            </w:r>
          </w:p>
        </w:tc>
      </w:tr>
      <w:tr>
        <w:trPr>
          <w:trHeight w:val="119"/>
        </w:trPr>
        <w:tc>
          <w:tcPr>
            <w:tcW w:w="29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7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8" w:right="19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8840" w:type="dxa"/>
            <w:vAlign w:val="bottom"/>
          </w:tcPr>
          <w:p>
            <w:pPr>
              <w:ind w:left="820"/>
              <w:spacing w:after="0"/>
              <w:rPr>
                <w:sz w:val="20"/>
                <w:szCs w:val="20"/>
                <w:color w:val="auto"/>
              </w:rPr>
            </w:pPr>
            <w:r>
              <w:rPr>
                <w:rFonts w:ascii="Arial" w:cs="Arial" w:eastAsia="Arial" w:hAnsi="Arial"/>
                <w:sz w:val="16"/>
                <w:szCs w:val="16"/>
                <w:color w:val="auto"/>
              </w:rPr>
              <w:t>time to time;</w:t>
            </w:r>
          </w:p>
        </w:tc>
      </w:tr>
      <w:tr>
        <w:trPr>
          <w:trHeight w:val="391"/>
        </w:trPr>
        <w:tc>
          <w:tcPr>
            <w:tcW w:w="2620" w:type="dxa"/>
            <w:vAlign w:val="bottom"/>
          </w:tcPr>
          <w:p>
            <w:pPr>
              <w:spacing w:after="0"/>
              <w:rPr>
                <w:sz w:val="20"/>
                <w:szCs w:val="20"/>
                <w:color w:val="auto"/>
              </w:rPr>
            </w:pPr>
            <w:r>
              <w:rPr>
                <w:rFonts w:ascii="Arial" w:cs="Arial" w:eastAsia="Arial" w:hAnsi="Arial"/>
                <w:sz w:val="16"/>
                <w:szCs w:val="16"/>
                <w:b w:val="1"/>
                <w:bCs w:val="1"/>
                <w:color w:val="auto"/>
              </w:rPr>
              <w:t>Fund Manager</w:t>
            </w:r>
          </w:p>
        </w:tc>
        <w:tc>
          <w:tcPr>
            <w:tcW w:w="8840" w:type="dxa"/>
            <w:vAlign w:val="bottom"/>
          </w:tcPr>
          <w:p>
            <w:pPr>
              <w:ind w:left="820"/>
              <w:spacing w:after="0"/>
              <w:rPr>
                <w:sz w:val="20"/>
                <w:szCs w:val="20"/>
                <w:color w:val="auto"/>
              </w:rPr>
            </w:pPr>
            <w:r>
              <w:rPr>
                <w:rFonts w:ascii="Arial" w:cs="Arial" w:eastAsia="Arial" w:hAnsi="Arial"/>
                <w:sz w:val="16"/>
                <w:szCs w:val="16"/>
                <w:color w:val="auto"/>
              </w:rPr>
              <w:t>a person whose principal business is to make, manage or advise upon investments in securities;</w:t>
            </w:r>
          </w:p>
        </w:tc>
      </w:tr>
      <w:tr>
        <w:trPr>
          <w:trHeight w:val="376"/>
        </w:trPr>
        <w:tc>
          <w:tcPr>
            <w:tcW w:w="2620" w:type="dxa"/>
            <w:vAlign w:val="bottom"/>
          </w:tcPr>
          <w:p>
            <w:pPr>
              <w:spacing w:after="0"/>
              <w:rPr>
                <w:sz w:val="20"/>
                <w:szCs w:val="20"/>
                <w:color w:val="auto"/>
              </w:rPr>
            </w:pPr>
            <w:r>
              <w:rPr>
                <w:rFonts w:ascii="Arial" w:cs="Arial" w:eastAsia="Arial" w:hAnsi="Arial"/>
                <w:sz w:val="16"/>
                <w:szCs w:val="16"/>
                <w:b w:val="1"/>
                <w:bCs w:val="1"/>
                <w:color w:val="auto"/>
              </w:rPr>
              <w:t>Group</w:t>
            </w:r>
          </w:p>
        </w:tc>
        <w:tc>
          <w:tcPr>
            <w:tcW w:w="8840" w:type="dxa"/>
            <w:vAlign w:val="bottom"/>
          </w:tcPr>
          <w:p>
            <w:pPr>
              <w:ind w:left="820"/>
              <w:spacing w:after="0"/>
              <w:rPr>
                <w:sz w:val="20"/>
                <w:szCs w:val="20"/>
                <w:color w:val="auto"/>
              </w:rPr>
            </w:pPr>
            <w:r>
              <w:rPr>
                <w:rFonts w:ascii="Arial" w:cs="Arial" w:eastAsia="Arial" w:hAnsi="Arial"/>
                <w:sz w:val="16"/>
                <w:szCs w:val="16"/>
                <w:color w:val="auto"/>
              </w:rPr>
              <w:t>the Company, its Parent Undertaking and its Subsidiary Undertaking(s) (if any) from time to time and “</w:t>
            </w:r>
            <w:r>
              <w:rPr>
                <w:rFonts w:ascii="Arial" w:cs="Arial" w:eastAsia="Arial" w:hAnsi="Arial"/>
                <w:sz w:val="16"/>
                <w:szCs w:val="16"/>
                <w:b w:val="1"/>
                <w:bCs w:val="1"/>
                <w:color w:val="auto"/>
              </w:rPr>
              <w:t>Group</w:t>
            </w:r>
          </w:p>
        </w:tc>
      </w:tr>
      <w:tr>
        <w:trPr>
          <w:trHeight w:val="211"/>
        </w:trPr>
        <w:tc>
          <w:tcPr>
            <w:tcW w:w="2620" w:type="dxa"/>
            <w:vAlign w:val="bottom"/>
          </w:tcPr>
          <w:p>
            <w:pPr>
              <w:spacing w:after="0"/>
              <w:rPr>
                <w:sz w:val="18"/>
                <w:szCs w:val="18"/>
                <w:color w:val="auto"/>
              </w:rPr>
            </w:pPr>
          </w:p>
        </w:tc>
        <w:tc>
          <w:tcPr>
            <w:tcW w:w="8840" w:type="dxa"/>
            <w:vAlign w:val="bottom"/>
          </w:tcPr>
          <w:p>
            <w:pPr>
              <w:ind w:left="820"/>
              <w:spacing w:after="0"/>
              <w:rPr>
                <w:sz w:val="20"/>
                <w:szCs w:val="20"/>
                <w:color w:val="auto"/>
              </w:rPr>
            </w:pPr>
            <w:r>
              <w:rPr>
                <w:rFonts w:ascii="Arial" w:cs="Arial" w:eastAsia="Arial" w:hAnsi="Arial"/>
                <w:sz w:val="16"/>
                <w:szCs w:val="16"/>
                <w:b w:val="1"/>
                <w:bCs w:val="1"/>
                <w:color w:val="auto"/>
              </w:rPr>
              <w:t>Company</w:t>
            </w:r>
            <w:r>
              <w:rPr>
                <w:rFonts w:ascii="Arial" w:cs="Arial" w:eastAsia="Arial" w:hAnsi="Arial"/>
                <w:sz w:val="16"/>
                <w:szCs w:val="16"/>
                <w:color w:val="auto"/>
              </w:rPr>
              <w:t>” shall be construed accordingly;</w:t>
            </w:r>
          </w:p>
        </w:tc>
      </w:tr>
      <w:tr>
        <w:trPr>
          <w:trHeight w:val="391"/>
        </w:trPr>
        <w:tc>
          <w:tcPr>
            <w:tcW w:w="2620" w:type="dxa"/>
            <w:vAlign w:val="bottom"/>
          </w:tcPr>
          <w:p>
            <w:pPr>
              <w:spacing w:after="0"/>
              <w:rPr>
                <w:sz w:val="20"/>
                <w:szCs w:val="20"/>
                <w:color w:val="auto"/>
              </w:rPr>
            </w:pPr>
            <w:r>
              <w:rPr>
                <w:rFonts w:ascii="Arial" w:cs="Arial" w:eastAsia="Arial" w:hAnsi="Arial"/>
                <w:sz w:val="16"/>
                <w:szCs w:val="16"/>
                <w:b w:val="1"/>
                <w:bCs w:val="1"/>
                <w:color w:val="auto"/>
              </w:rPr>
              <w:t>Independent Director</w:t>
            </w:r>
          </w:p>
        </w:tc>
        <w:tc>
          <w:tcPr>
            <w:tcW w:w="8840" w:type="dxa"/>
            <w:vAlign w:val="bottom"/>
          </w:tcPr>
          <w:p>
            <w:pPr>
              <w:ind w:left="820"/>
              <w:spacing w:after="0"/>
              <w:rPr>
                <w:sz w:val="20"/>
                <w:szCs w:val="20"/>
                <w:color w:val="auto"/>
              </w:rPr>
            </w:pPr>
            <w:r>
              <w:rPr>
                <w:rFonts w:ascii="Arial" w:cs="Arial" w:eastAsia="Arial" w:hAnsi="Arial"/>
                <w:sz w:val="16"/>
                <w:szCs w:val="16"/>
                <w:color w:val="auto"/>
              </w:rPr>
              <w:t>any Director of the Company appointed pursuant to Article 23.9;</w:t>
            </w:r>
          </w:p>
        </w:tc>
      </w:tr>
      <w:tr>
        <w:trPr>
          <w:trHeight w:val="391"/>
        </w:trPr>
        <w:tc>
          <w:tcPr>
            <w:tcW w:w="2620" w:type="dxa"/>
            <w:vAlign w:val="bottom"/>
          </w:tcPr>
          <w:p>
            <w:pPr>
              <w:spacing w:after="0"/>
              <w:rPr>
                <w:sz w:val="20"/>
                <w:szCs w:val="20"/>
                <w:color w:val="auto"/>
              </w:rPr>
            </w:pPr>
            <w:r>
              <w:rPr>
                <w:rFonts w:ascii="Arial" w:cs="Arial" w:eastAsia="Arial" w:hAnsi="Arial"/>
                <w:sz w:val="16"/>
                <w:szCs w:val="16"/>
                <w:b w:val="1"/>
                <w:bCs w:val="1"/>
                <w:color w:val="auto"/>
              </w:rPr>
              <w:t>Initial Consideration</w:t>
            </w:r>
          </w:p>
        </w:tc>
        <w:tc>
          <w:tcPr>
            <w:tcW w:w="8840" w:type="dxa"/>
            <w:vAlign w:val="bottom"/>
          </w:tcPr>
          <w:p>
            <w:pPr>
              <w:ind w:left="820"/>
              <w:spacing w:after="0"/>
              <w:rPr>
                <w:sz w:val="20"/>
                <w:szCs w:val="20"/>
                <w:color w:val="auto"/>
              </w:rPr>
            </w:pPr>
            <w:r>
              <w:rPr>
                <w:rFonts w:ascii="Arial" w:cs="Arial" w:eastAsia="Arial" w:hAnsi="Arial"/>
                <w:sz w:val="16"/>
                <w:szCs w:val="16"/>
                <w:color w:val="auto"/>
              </w:rPr>
              <w:t>shall have the meaning given to the term in Article 5.8;</w:t>
            </w:r>
          </w:p>
        </w:tc>
      </w:tr>
      <w:tr>
        <w:trPr>
          <w:trHeight w:val="380"/>
        </w:trPr>
        <w:tc>
          <w:tcPr>
            <w:tcW w:w="2620" w:type="dxa"/>
            <w:vAlign w:val="bottom"/>
          </w:tcPr>
          <w:p>
            <w:pPr>
              <w:spacing w:after="0"/>
              <w:rPr>
                <w:sz w:val="20"/>
                <w:szCs w:val="20"/>
                <w:color w:val="auto"/>
              </w:rPr>
            </w:pPr>
            <w:r>
              <w:rPr>
                <w:rFonts w:ascii="Arial" w:cs="Arial" w:eastAsia="Arial" w:hAnsi="Arial"/>
                <w:sz w:val="16"/>
                <w:szCs w:val="16"/>
                <w:b w:val="1"/>
                <w:bCs w:val="1"/>
                <w:color w:val="auto"/>
              </w:rPr>
              <w:t>Institutional Investor</w:t>
            </w:r>
          </w:p>
        </w:tc>
        <w:tc>
          <w:tcPr>
            <w:tcW w:w="8840" w:type="dxa"/>
            <w:vAlign w:val="bottom"/>
          </w:tcPr>
          <w:p>
            <w:pPr>
              <w:ind w:left="820"/>
              <w:spacing w:after="0"/>
              <w:rPr>
                <w:sz w:val="20"/>
                <w:szCs w:val="20"/>
                <w:color w:val="auto"/>
              </w:rPr>
            </w:pPr>
            <w:r>
              <w:rPr>
                <w:rFonts w:ascii="Arial" w:cs="Arial" w:eastAsia="Arial" w:hAnsi="Arial"/>
                <w:sz w:val="16"/>
                <w:szCs w:val="16"/>
                <w:color w:val="auto"/>
                <w:w w:val="94"/>
              </w:rPr>
              <w:t>a fund, partnership, body corporate, trust or other person or entity whose principal business is to make investments or a</w:t>
            </w:r>
          </w:p>
        </w:tc>
      </w:tr>
      <w:tr>
        <w:trPr>
          <w:trHeight w:val="207"/>
        </w:trPr>
        <w:tc>
          <w:tcPr>
            <w:tcW w:w="2620" w:type="dxa"/>
            <w:vAlign w:val="bottom"/>
          </w:tcPr>
          <w:p>
            <w:pPr>
              <w:spacing w:after="0"/>
              <w:rPr>
                <w:sz w:val="18"/>
                <w:szCs w:val="18"/>
                <w:color w:val="auto"/>
              </w:rPr>
            </w:pPr>
          </w:p>
        </w:tc>
        <w:tc>
          <w:tcPr>
            <w:tcW w:w="8840" w:type="dxa"/>
            <w:vAlign w:val="bottom"/>
          </w:tcPr>
          <w:p>
            <w:pPr>
              <w:ind w:left="820"/>
              <w:spacing w:after="0"/>
              <w:rPr>
                <w:sz w:val="20"/>
                <w:szCs w:val="20"/>
                <w:color w:val="auto"/>
              </w:rPr>
            </w:pPr>
            <w:r>
              <w:rPr>
                <w:rFonts w:ascii="Arial" w:cs="Arial" w:eastAsia="Arial" w:hAnsi="Arial"/>
                <w:sz w:val="16"/>
                <w:szCs w:val="16"/>
                <w:color w:val="auto"/>
              </w:rPr>
              <w:t>person whose business is to make, manage or advise upon investments for any of the foregoing;</w:t>
            </w:r>
          </w:p>
        </w:tc>
      </w:tr>
      <w:tr>
        <w:trPr>
          <w:trHeight w:val="391"/>
        </w:trPr>
        <w:tc>
          <w:tcPr>
            <w:tcW w:w="2620" w:type="dxa"/>
            <w:vAlign w:val="bottom"/>
          </w:tcPr>
          <w:p>
            <w:pPr>
              <w:spacing w:after="0"/>
              <w:rPr>
                <w:sz w:val="20"/>
                <w:szCs w:val="20"/>
                <w:color w:val="auto"/>
              </w:rPr>
            </w:pPr>
            <w:r>
              <w:rPr>
                <w:rFonts w:ascii="Arial" w:cs="Arial" w:eastAsia="Arial" w:hAnsi="Arial"/>
                <w:sz w:val="16"/>
                <w:szCs w:val="16"/>
                <w:b w:val="1"/>
                <w:bCs w:val="1"/>
                <w:color w:val="auto"/>
              </w:rPr>
              <w:t>Investor Director</w:t>
            </w:r>
          </w:p>
        </w:tc>
        <w:tc>
          <w:tcPr>
            <w:tcW w:w="8840" w:type="dxa"/>
            <w:vAlign w:val="bottom"/>
          </w:tcPr>
          <w:p>
            <w:pPr>
              <w:ind w:left="820"/>
              <w:spacing w:after="0"/>
              <w:rPr>
                <w:sz w:val="20"/>
                <w:szCs w:val="20"/>
                <w:color w:val="auto"/>
              </w:rPr>
            </w:pPr>
            <w:r>
              <w:rPr>
                <w:rFonts w:ascii="Arial" w:cs="Arial" w:eastAsia="Arial" w:hAnsi="Arial"/>
                <w:sz w:val="16"/>
                <w:szCs w:val="16"/>
                <w:color w:val="auto"/>
              </w:rPr>
              <w:t>any Director of the Company appointed pursuant to Articles 23.1 to 23.6;</w:t>
            </w:r>
          </w:p>
        </w:tc>
      </w:tr>
      <w:tr>
        <w:trPr>
          <w:trHeight w:val="391"/>
        </w:trPr>
        <w:tc>
          <w:tcPr>
            <w:tcW w:w="2620" w:type="dxa"/>
            <w:vAlign w:val="bottom"/>
          </w:tcPr>
          <w:p>
            <w:pPr>
              <w:spacing w:after="0"/>
              <w:rPr>
                <w:sz w:val="20"/>
                <w:szCs w:val="20"/>
                <w:color w:val="auto"/>
              </w:rPr>
            </w:pPr>
            <w:r>
              <w:rPr>
                <w:rFonts w:ascii="Arial" w:cs="Arial" w:eastAsia="Arial" w:hAnsi="Arial"/>
                <w:sz w:val="16"/>
                <w:szCs w:val="16"/>
                <w:b w:val="1"/>
                <w:bCs w:val="1"/>
                <w:color w:val="auto"/>
              </w:rPr>
              <w:t>Investor Director Consent</w:t>
            </w:r>
          </w:p>
        </w:tc>
        <w:tc>
          <w:tcPr>
            <w:tcW w:w="8840" w:type="dxa"/>
            <w:vAlign w:val="bottom"/>
          </w:tcPr>
          <w:p>
            <w:pPr>
              <w:ind w:left="820"/>
              <w:spacing w:after="0"/>
              <w:rPr>
                <w:sz w:val="20"/>
                <w:szCs w:val="20"/>
                <w:color w:val="auto"/>
              </w:rPr>
            </w:pPr>
            <w:r>
              <w:rPr>
                <w:rFonts w:ascii="Arial" w:cs="Arial" w:eastAsia="Arial" w:hAnsi="Arial"/>
                <w:sz w:val="16"/>
                <w:szCs w:val="16"/>
                <w:color w:val="auto"/>
              </w:rPr>
              <w:t>the prior written consent of a majority of Investor Directors appointed from time to time;</w:t>
            </w:r>
          </w:p>
        </w:tc>
      </w:tr>
      <w:tr>
        <w:trPr>
          <w:trHeight w:val="380"/>
        </w:trPr>
        <w:tc>
          <w:tcPr>
            <w:tcW w:w="2620" w:type="dxa"/>
            <w:vAlign w:val="bottom"/>
          </w:tcPr>
          <w:p>
            <w:pPr>
              <w:spacing w:after="0"/>
              <w:rPr>
                <w:sz w:val="20"/>
                <w:szCs w:val="20"/>
                <w:color w:val="auto"/>
              </w:rPr>
            </w:pPr>
            <w:r>
              <w:rPr>
                <w:rFonts w:ascii="Arial" w:cs="Arial" w:eastAsia="Arial" w:hAnsi="Arial"/>
                <w:sz w:val="16"/>
                <w:szCs w:val="16"/>
                <w:b w:val="1"/>
                <w:bCs w:val="1"/>
                <w:color w:val="auto"/>
              </w:rPr>
              <w:t>IPO</w:t>
            </w:r>
          </w:p>
        </w:tc>
        <w:tc>
          <w:tcPr>
            <w:tcW w:w="8840" w:type="dxa"/>
            <w:vAlign w:val="bottom"/>
          </w:tcPr>
          <w:p>
            <w:pPr>
              <w:ind w:left="820"/>
              <w:spacing w:after="0"/>
              <w:rPr>
                <w:sz w:val="20"/>
                <w:szCs w:val="20"/>
                <w:color w:val="auto"/>
              </w:rPr>
            </w:pPr>
            <w:r>
              <w:rPr>
                <w:rFonts w:ascii="Arial" w:cs="Arial" w:eastAsia="Arial" w:hAnsi="Arial"/>
                <w:sz w:val="16"/>
                <w:szCs w:val="16"/>
                <w:color w:val="auto"/>
                <w:w w:val="96"/>
              </w:rPr>
              <w:t>the admission of all or any of the Shares or securities representing those shares (including without limitation American</w:t>
            </w:r>
          </w:p>
        </w:tc>
      </w:tr>
      <w:tr>
        <w:trPr>
          <w:trHeight w:val="196"/>
        </w:trPr>
        <w:tc>
          <w:tcPr>
            <w:tcW w:w="2620" w:type="dxa"/>
            <w:vAlign w:val="bottom"/>
          </w:tcPr>
          <w:p>
            <w:pPr>
              <w:spacing w:after="0"/>
              <w:rPr>
                <w:sz w:val="17"/>
                <w:szCs w:val="17"/>
                <w:color w:val="auto"/>
              </w:rPr>
            </w:pPr>
          </w:p>
        </w:tc>
        <w:tc>
          <w:tcPr>
            <w:tcW w:w="8840" w:type="dxa"/>
            <w:vAlign w:val="bottom"/>
          </w:tcPr>
          <w:p>
            <w:pPr>
              <w:ind w:left="820"/>
              <w:spacing w:after="0"/>
              <w:rPr>
                <w:sz w:val="20"/>
                <w:szCs w:val="20"/>
                <w:color w:val="auto"/>
              </w:rPr>
            </w:pPr>
            <w:r>
              <w:rPr>
                <w:rFonts w:ascii="Arial" w:cs="Arial" w:eastAsia="Arial" w:hAnsi="Arial"/>
                <w:sz w:val="16"/>
                <w:szCs w:val="16"/>
                <w:color w:val="auto"/>
                <w:w w:val="98"/>
              </w:rPr>
              <w:t>depositary receipts, American depositary shares and/or other instruments) to or the grant of permission by any like</w:t>
            </w:r>
          </w:p>
        </w:tc>
      </w:tr>
      <w:tr>
        <w:trPr>
          <w:trHeight w:val="196"/>
        </w:trPr>
        <w:tc>
          <w:tcPr>
            <w:tcW w:w="2620" w:type="dxa"/>
            <w:vAlign w:val="bottom"/>
          </w:tcPr>
          <w:p>
            <w:pPr>
              <w:spacing w:after="0"/>
              <w:rPr>
                <w:sz w:val="17"/>
                <w:szCs w:val="17"/>
                <w:color w:val="auto"/>
              </w:rPr>
            </w:pPr>
          </w:p>
        </w:tc>
        <w:tc>
          <w:tcPr>
            <w:tcW w:w="8840" w:type="dxa"/>
            <w:vAlign w:val="bottom"/>
          </w:tcPr>
          <w:p>
            <w:pPr>
              <w:ind w:left="820"/>
              <w:spacing w:after="0"/>
              <w:rPr>
                <w:sz w:val="20"/>
                <w:szCs w:val="20"/>
                <w:color w:val="auto"/>
              </w:rPr>
            </w:pPr>
            <w:r>
              <w:rPr>
                <w:rFonts w:ascii="Arial" w:cs="Arial" w:eastAsia="Arial" w:hAnsi="Arial"/>
                <w:sz w:val="16"/>
                <w:szCs w:val="16"/>
                <w:color w:val="auto"/>
                <w:w w:val="96"/>
              </w:rPr>
              <w:t>authority for the same to be traded or quoted on Nasdaq or on the Official List of the United Kingdom Listing Authority</w:t>
            </w:r>
          </w:p>
        </w:tc>
      </w:tr>
      <w:tr>
        <w:trPr>
          <w:trHeight w:val="196"/>
        </w:trPr>
        <w:tc>
          <w:tcPr>
            <w:tcW w:w="2620" w:type="dxa"/>
            <w:vAlign w:val="bottom"/>
          </w:tcPr>
          <w:p>
            <w:pPr>
              <w:spacing w:after="0"/>
              <w:rPr>
                <w:sz w:val="17"/>
                <w:szCs w:val="17"/>
                <w:color w:val="auto"/>
              </w:rPr>
            </w:pPr>
          </w:p>
        </w:tc>
        <w:tc>
          <w:tcPr>
            <w:tcW w:w="8840" w:type="dxa"/>
            <w:vAlign w:val="bottom"/>
          </w:tcPr>
          <w:p>
            <w:pPr>
              <w:ind w:left="820"/>
              <w:spacing w:after="0"/>
              <w:rPr>
                <w:sz w:val="20"/>
                <w:szCs w:val="20"/>
                <w:color w:val="auto"/>
              </w:rPr>
            </w:pPr>
            <w:r>
              <w:rPr>
                <w:rFonts w:ascii="Arial" w:cs="Arial" w:eastAsia="Arial" w:hAnsi="Arial"/>
                <w:sz w:val="16"/>
                <w:szCs w:val="16"/>
                <w:color w:val="auto"/>
                <w:w w:val="97"/>
              </w:rPr>
              <w:t>or on the AIM Market operated by the London Stock Exchange Plc or any other recognised investment exchange (as</w:t>
            </w:r>
          </w:p>
        </w:tc>
      </w:tr>
      <w:tr>
        <w:trPr>
          <w:trHeight w:val="207"/>
        </w:trPr>
        <w:tc>
          <w:tcPr>
            <w:tcW w:w="2620" w:type="dxa"/>
            <w:vAlign w:val="bottom"/>
          </w:tcPr>
          <w:p>
            <w:pPr>
              <w:spacing w:after="0"/>
              <w:rPr>
                <w:sz w:val="18"/>
                <w:szCs w:val="18"/>
                <w:color w:val="auto"/>
              </w:rPr>
            </w:pPr>
          </w:p>
        </w:tc>
        <w:tc>
          <w:tcPr>
            <w:tcW w:w="8840" w:type="dxa"/>
            <w:vAlign w:val="bottom"/>
          </w:tcPr>
          <w:p>
            <w:pPr>
              <w:ind w:left="820"/>
              <w:spacing w:after="0"/>
              <w:rPr>
                <w:sz w:val="20"/>
                <w:szCs w:val="20"/>
                <w:color w:val="auto"/>
              </w:rPr>
            </w:pPr>
            <w:r>
              <w:rPr>
                <w:rFonts w:ascii="Arial" w:cs="Arial" w:eastAsia="Arial" w:hAnsi="Arial"/>
                <w:sz w:val="16"/>
                <w:szCs w:val="16"/>
                <w:color w:val="auto"/>
              </w:rPr>
              <w:t>defined in section 285 of the Financial Services and Markets Act 2000);</w:t>
            </w:r>
          </w:p>
        </w:tc>
      </w:tr>
      <w:tr>
        <w:trPr>
          <w:trHeight w:val="391"/>
        </w:trPr>
        <w:tc>
          <w:tcPr>
            <w:tcW w:w="2620" w:type="dxa"/>
            <w:vAlign w:val="bottom"/>
          </w:tcPr>
          <w:p>
            <w:pPr>
              <w:spacing w:after="0"/>
              <w:rPr>
                <w:sz w:val="20"/>
                <w:szCs w:val="20"/>
                <w:color w:val="auto"/>
              </w:rPr>
            </w:pPr>
            <w:r>
              <w:rPr>
                <w:rFonts w:ascii="Arial" w:cs="Arial" w:eastAsia="Arial" w:hAnsi="Arial"/>
                <w:sz w:val="16"/>
                <w:szCs w:val="16"/>
                <w:b w:val="1"/>
                <w:bCs w:val="1"/>
                <w:color w:val="auto"/>
              </w:rPr>
              <w:t>Issue Price</w:t>
            </w:r>
          </w:p>
        </w:tc>
        <w:tc>
          <w:tcPr>
            <w:tcW w:w="8840" w:type="dxa"/>
            <w:vAlign w:val="bottom"/>
          </w:tcPr>
          <w:p>
            <w:pPr>
              <w:ind w:left="820"/>
              <w:spacing w:after="0"/>
              <w:rPr>
                <w:sz w:val="20"/>
                <w:szCs w:val="20"/>
                <w:color w:val="auto"/>
              </w:rPr>
            </w:pPr>
            <w:r>
              <w:rPr>
                <w:rFonts w:ascii="Arial" w:cs="Arial" w:eastAsia="Arial" w:hAnsi="Arial"/>
                <w:sz w:val="16"/>
                <w:szCs w:val="16"/>
                <w:color w:val="auto"/>
              </w:rPr>
              <w:t>shall mean the A Ordinary Issue Price or the B Ordinary Issue Price (as applicable);</w:t>
            </w:r>
          </w:p>
        </w:tc>
      </w:tr>
      <w:tr>
        <w:trPr>
          <w:trHeight w:val="391"/>
        </w:trPr>
        <w:tc>
          <w:tcPr>
            <w:tcW w:w="2620" w:type="dxa"/>
            <w:vAlign w:val="bottom"/>
          </w:tcPr>
          <w:p>
            <w:pPr>
              <w:spacing w:after="0"/>
              <w:rPr>
                <w:sz w:val="20"/>
                <w:szCs w:val="20"/>
                <w:color w:val="auto"/>
              </w:rPr>
            </w:pPr>
            <w:r>
              <w:rPr>
                <w:rFonts w:ascii="Arial" w:cs="Arial" w:eastAsia="Arial" w:hAnsi="Arial"/>
                <w:sz w:val="16"/>
                <w:szCs w:val="16"/>
                <w:b w:val="1"/>
                <w:bCs w:val="1"/>
                <w:color w:val="auto"/>
              </w:rPr>
              <w:t>ITEPA</w:t>
            </w:r>
          </w:p>
        </w:tc>
        <w:tc>
          <w:tcPr>
            <w:tcW w:w="8840" w:type="dxa"/>
            <w:vAlign w:val="bottom"/>
          </w:tcPr>
          <w:p>
            <w:pPr>
              <w:ind w:left="820"/>
              <w:spacing w:after="0"/>
              <w:rPr>
                <w:sz w:val="20"/>
                <w:szCs w:val="20"/>
                <w:color w:val="auto"/>
              </w:rPr>
            </w:pPr>
            <w:r>
              <w:rPr>
                <w:rFonts w:ascii="Arial" w:cs="Arial" w:eastAsia="Arial" w:hAnsi="Arial"/>
                <w:sz w:val="16"/>
                <w:szCs w:val="16"/>
                <w:color w:val="auto"/>
              </w:rPr>
              <w:t>Income Tax (Earnings and Pensions) Act 2003;</w:t>
            </w:r>
          </w:p>
        </w:tc>
      </w:tr>
      <w:tr>
        <w:trPr>
          <w:trHeight w:val="380"/>
        </w:trPr>
        <w:tc>
          <w:tcPr>
            <w:tcW w:w="2620" w:type="dxa"/>
            <w:vAlign w:val="bottom"/>
          </w:tcPr>
          <w:p>
            <w:pPr>
              <w:spacing w:after="0"/>
              <w:rPr>
                <w:sz w:val="20"/>
                <w:szCs w:val="20"/>
                <w:color w:val="auto"/>
              </w:rPr>
            </w:pPr>
            <w:r>
              <w:rPr>
                <w:rFonts w:ascii="Arial" w:cs="Arial" w:eastAsia="Arial" w:hAnsi="Arial"/>
                <w:sz w:val="16"/>
                <w:szCs w:val="16"/>
                <w:b w:val="1"/>
                <w:bCs w:val="1"/>
                <w:color w:val="auto"/>
              </w:rPr>
              <w:t>Leaver’s Percentage</w:t>
            </w:r>
          </w:p>
        </w:tc>
        <w:tc>
          <w:tcPr>
            <w:tcW w:w="8840" w:type="dxa"/>
            <w:vAlign w:val="bottom"/>
          </w:tcPr>
          <w:p>
            <w:pPr>
              <w:ind w:left="820"/>
              <w:spacing w:after="0"/>
              <w:rPr>
                <w:sz w:val="20"/>
                <w:szCs w:val="20"/>
                <w:color w:val="auto"/>
              </w:rPr>
            </w:pPr>
            <w:r>
              <w:rPr>
                <w:rFonts w:ascii="Arial" w:cs="Arial" w:eastAsia="Arial" w:hAnsi="Arial"/>
                <w:sz w:val="16"/>
                <w:szCs w:val="16"/>
                <w:color w:val="auto"/>
              </w:rPr>
              <w:t>in relation to and for the purposes of determining the number of Employee Shares that are required (pursuant to</w:t>
            </w:r>
          </w:p>
        </w:tc>
      </w:tr>
      <w:tr>
        <w:trPr>
          <w:trHeight w:val="196"/>
        </w:trPr>
        <w:tc>
          <w:tcPr>
            <w:tcW w:w="2620" w:type="dxa"/>
            <w:vAlign w:val="bottom"/>
          </w:tcPr>
          <w:p>
            <w:pPr>
              <w:spacing w:after="0"/>
              <w:rPr>
                <w:sz w:val="17"/>
                <w:szCs w:val="17"/>
                <w:color w:val="auto"/>
              </w:rPr>
            </w:pPr>
          </w:p>
        </w:tc>
        <w:tc>
          <w:tcPr>
            <w:tcW w:w="8840" w:type="dxa"/>
            <w:vAlign w:val="bottom"/>
          </w:tcPr>
          <w:p>
            <w:pPr>
              <w:ind w:left="820"/>
              <w:spacing w:after="0"/>
              <w:rPr>
                <w:sz w:val="20"/>
                <w:szCs w:val="20"/>
                <w:color w:val="auto"/>
              </w:rPr>
            </w:pPr>
            <w:r>
              <w:rPr>
                <w:rFonts w:ascii="Arial" w:cs="Arial" w:eastAsia="Arial" w:hAnsi="Arial"/>
                <w:sz w:val="16"/>
                <w:szCs w:val="16"/>
                <w:color w:val="auto"/>
                <w:w w:val="93"/>
              </w:rPr>
              <w:t>Article 15.5) to be converted into Deferred Shares as a result of an Employee ceasing to be an Employee, the percentage</w:t>
            </w:r>
          </w:p>
        </w:tc>
      </w:tr>
      <w:tr>
        <w:trPr>
          <w:trHeight w:val="207"/>
        </w:trPr>
        <w:tc>
          <w:tcPr>
            <w:tcW w:w="2620" w:type="dxa"/>
            <w:vAlign w:val="bottom"/>
          </w:tcPr>
          <w:p>
            <w:pPr>
              <w:spacing w:after="0"/>
              <w:rPr>
                <w:sz w:val="18"/>
                <w:szCs w:val="18"/>
                <w:color w:val="auto"/>
              </w:rPr>
            </w:pPr>
          </w:p>
        </w:tc>
        <w:tc>
          <w:tcPr>
            <w:tcW w:w="8840" w:type="dxa"/>
            <w:vAlign w:val="bottom"/>
          </w:tcPr>
          <w:p>
            <w:pPr>
              <w:ind w:left="820"/>
              <w:spacing w:after="0"/>
              <w:rPr>
                <w:sz w:val="20"/>
                <w:szCs w:val="20"/>
                <w:color w:val="auto"/>
              </w:rPr>
            </w:pPr>
            <w:r>
              <w:rPr>
                <w:rFonts w:ascii="Arial" w:cs="Arial" w:eastAsia="Arial" w:hAnsi="Arial"/>
                <w:sz w:val="16"/>
                <w:szCs w:val="16"/>
                <w:color w:val="auto"/>
              </w:rPr>
              <w:t>(rounded up to two decimal places), shall be:</w:t>
            </w:r>
          </w:p>
        </w:tc>
      </w:tr>
      <w:tr>
        <w:trPr>
          <w:trHeight w:val="380"/>
        </w:trPr>
        <w:tc>
          <w:tcPr>
            <w:tcW w:w="2620" w:type="dxa"/>
            <w:vAlign w:val="bottom"/>
          </w:tcPr>
          <w:p>
            <w:pPr>
              <w:spacing w:after="0"/>
              <w:rPr>
                <w:sz w:val="24"/>
                <w:szCs w:val="24"/>
                <w:color w:val="auto"/>
              </w:rPr>
            </w:pPr>
          </w:p>
        </w:tc>
        <w:tc>
          <w:tcPr>
            <w:tcW w:w="8840" w:type="dxa"/>
            <w:vAlign w:val="bottom"/>
          </w:tcPr>
          <w:p>
            <w:pPr>
              <w:ind w:left="1000"/>
              <w:spacing w:after="0"/>
              <w:rPr>
                <w:sz w:val="20"/>
                <w:szCs w:val="20"/>
                <w:color w:val="auto"/>
              </w:rPr>
            </w:pPr>
            <w:r>
              <w:rPr>
                <w:rFonts w:ascii="Arial" w:cs="Arial" w:eastAsia="Arial" w:hAnsi="Arial"/>
                <w:sz w:val="16"/>
                <w:szCs w:val="16"/>
                <w:color w:val="auto"/>
                <w:w w:val="94"/>
              </w:rPr>
              <w:t>(a)  in accordance with the applicable vesting schedule set out in any share subscription agreement or employment or</w:t>
            </w:r>
          </w:p>
        </w:tc>
      </w:tr>
      <w:tr>
        <w:trPr>
          <w:trHeight w:val="196"/>
        </w:trPr>
        <w:tc>
          <w:tcPr>
            <w:tcW w:w="2620" w:type="dxa"/>
            <w:vAlign w:val="bottom"/>
          </w:tcPr>
          <w:p>
            <w:pPr>
              <w:spacing w:after="0"/>
              <w:rPr>
                <w:sz w:val="17"/>
                <w:szCs w:val="17"/>
                <w:color w:val="auto"/>
              </w:rPr>
            </w:pPr>
          </w:p>
        </w:tc>
        <w:tc>
          <w:tcPr>
            <w:tcW w:w="8840" w:type="dxa"/>
            <w:vAlign w:val="bottom"/>
          </w:tcPr>
          <w:p>
            <w:pPr>
              <w:ind w:left="1360"/>
              <w:spacing w:after="0"/>
              <w:rPr>
                <w:sz w:val="20"/>
                <w:szCs w:val="20"/>
                <w:color w:val="auto"/>
              </w:rPr>
            </w:pPr>
            <w:r>
              <w:rPr>
                <w:rFonts w:ascii="Arial" w:cs="Arial" w:eastAsia="Arial" w:hAnsi="Arial"/>
                <w:sz w:val="16"/>
                <w:szCs w:val="16"/>
                <w:color w:val="auto"/>
                <w:w w:val="93"/>
              </w:rPr>
              <w:t>consultancy agreement entered into between the Employee and the Company such that the Leaver’s Percentage</w:t>
            </w:r>
          </w:p>
        </w:tc>
      </w:tr>
      <w:tr>
        <w:trPr>
          <w:trHeight w:val="196"/>
        </w:trPr>
        <w:tc>
          <w:tcPr>
            <w:tcW w:w="2620" w:type="dxa"/>
            <w:vAlign w:val="bottom"/>
          </w:tcPr>
          <w:p>
            <w:pPr>
              <w:spacing w:after="0"/>
              <w:rPr>
                <w:sz w:val="17"/>
                <w:szCs w:val="17"/>
                <w:color w:val="auto"/>
              </w:rPr>
            </w:pPr>
          </w:p>
        </w:tc>
        <w:tc>
          <w:tcPr>
            <w:tcW w:w="8840" w:type="dxa"/>
            <w:vAlign w:val="bottom"/>
          </w:tcPr>
          <w:p>
            <w:pPr>
              <w:ind w:left="1360"/>
              <w:spacing w:after="0"/>
              <w:rPr>
                <w:sz w:val="20"/>
                <w:szCs w:val="20"/>
                <w:color w:val="auto"/>
              </w:rPr>
            </w:pPr>
            <w:r>
              <w:rPr>
                <w:rFonts w:ascii="Arial" w:cs="Arial" w:eastAsia="Arial" w:hAnsi="Arial"/>
                <w:sz w:val="16"/>
                <w:szCs w:val="16"/>
                <w:color w:val="auto"/>
                <w:w w:val="96"/>
              </w:rPr>
              <w:t>shall constitute any unvested shares pursuant to the applicable agreement on the Effective Termination Date,</w:t>
            </w:r>
          </w:p>
        </w:tc>
      </w:tr>
      <w:tr>
        <w:trPr>
          <w:trHeight w:val="196"/>
        </w:trPr>
        <w:tc>
          <w:tcPr>
            <w:tcW w:w="2620" w:type="dxa"/>
            <w:vAlign w:val="bottom"/>
          </w:tcPr>
          <w:p>
            <w:pPr>
              <w:spacing w:after="0"/>
              <w:rPr>
                <w:sz w:val="17"/>
                <w:szCs w:val="17"/>
                <w:color w:val="auto"/>
              </w:rPr>
            </w:pPr>
          </w:p>
        </w:tc>
        <w:tc>
          <w:tcPr>
            <w:tcW w:w="8840" w:type="dxa"/>
            <w:vAlign w:val="bottom"/>
          </w:tcPr>
          <w:p>
            <w:pPr>
              <w:ind w:left="1360"/>
              <w:spacing w:after="0"/>
              <w:rPr>
                <w:sz w:val="20"/>
                <w:szCs w:val="20"/>
                <w:color w:val="auto"/>
              </w:rPr>
            </w:pPr>
            <w:r>
              <w:rPr>
                <w:rFonts w:ascii="Arial" w:cs="Arial" w:eastAsia="Arial" w:hAnsi="Arial"/>
                <w:sz w:val="16"/>
                <w:szCs w:val="16"/>
                <w:color w:val="auto"/>
                <w:w w:val="92"/>
              </w:rPr>
              <w:t>provided that if an Employee is a Bad Leaver, the Leaver’s Percentage of any Employee Shares shall be 100% of</w:t>
            </w:r>
          </w:p>
        </w:tc>
      </w:tr>
      <w:tr>
        <w:trPr>
          <w:trHeight w:val="207"/>
        </w:trPr>
        <w:tc>
          <w:tcPr>
            <w:tcW w:w="2620" w:type="dxa"/>
            <w:vAlign w:val="bottom"/>
          </w:tcPr>
          <w:p>
            <w:pPr>
              <w:spacing w:after="0"/>
              <w:rPr>
                <w:sz w:val="18"/>
                <w:szCs w:val="18"/>
                <w:color w:val="auto"/>
              </w:rPr>
            </w:pPr>
          </w:p>
        </w:tc>
        <w:tc>
          <w:tcPr>
            <w:tcW w:w="8840" w:type="dxa"/>
            <w:vAlign w:val="bottom"/>
          </w:tcPr>
          <w:p>
            <w:pPr>
              <w:ind w:left="1360"/>
              <w:spacing w:after="0"/>
              <w:rPr>
                <w:sz w:val="20"/>
                <w:szCs w:val="20"/>
                <w:color w:val="auto"/>
              </w:rPr>
            </w:pPr>
            <w:r>
              <w:rPr>
                <w:rFonts w:ascii="Arial" w:cs="Arial" w:eastAsia="Arial" w:hAnsi="Arial"/>
                <w:sz w:val="16"/>
                <w:szCs w:val="16"/>
                <w:color w:val="auto"/>
              </w:rPr>
              <w:t>the Employee Shares held by such Employee on the Effective Termination Date, and</w:t>
            </w:r>
          </w:p>
        </w:tc>
      </w:tr>
      <w:tr>
        <w:trPr>
          <w:trHeight w:val="380"/>
        </w:trPr>
        <w:tc>
          <w:tcPr>
            <w:tcW w:w="2620" w:type="dxa"/>
            <w:vAlign w:val="bottom"/>
          </w:tcPr>
          <w:p>
            <w:pPr>
              <w:spacing w:after="0"/>
              <w:rPr>
                <w:sz w:val="24"/>
                <w:szCs w:val="24"/>
                <w:color w:val="auto"/>
              </w:rPr>
            </w:pPr>
          </w:p>
        </w:tc>
        <w:tc>
          <w:tcPr>
            <w:tcW w:w="8840" w:type="dxa"/>
            <w:vAlign w:val="bottom"/>
          </w:tcPr>
          <w:p>
            <w:pPr>
              <w:ind w:left="1000"/>
              <w:spacing w:after="0"/>
              <w:rPr>
                <w:sz w:val="20"/>
                <w:szCs w:val="20"/>
                <w:color w:val="auto"/>
              </w:rPr>
            </w:pPr>
            <w:r>
              <w:rPr>
                <w:rFonts w:ascii="Arial" w:cs="Arial" w:eastAsia="Arial" w:hAnsi="Arial"/>
                <w:sz w:val="16"/>
                <w:szCs w:val="16"/>
                <w:color w:val="auto"/>
                <w:w w:val="93"/>
              </w:rPr>
              <w:t>(b)  in respect of Employees whose shares are not subject to further vesting, including Shares acquired upon exercise</w:t>
            </w:r>
          </w:p>
        </w:tc>
      </w:tr>
      <w:tr>
        <w:trPr>
          <w:trHeight w:val="196"/>
        </w:trPr>
        <w:tc>
          <w:tcPr>
            <w:tcW w:w="2620" w:type="dxa"/>
            <w:vAlign w:val="bottom"/>
          </w:tcPr>
          <w:p>
            <w:pPr>
              <w:spacing w:after="0"/>
              <w:rPr>
                <w:sz w:val="17"/>
                <w:szCs w:val="17"/>
                <w:color w:val="auto"/>
              </w:rPr>
            </w:pPr>
          </w:p>
        </w:tc>
        <w:tc>
          <w:tcPr>
            <w:tcW w:w="8840" w:type="dxa"/>
            <w:vAlign w:val="bottom"/>
          </w:tcPr>
          <w:p>
            <w:pPr>
              <w:ind w:left="1360"/>
              <w:spacing w:after="0"/>
              <w:rPr>
                <w:sz w:val="20"/>
                <w:szCs w:val="20"/>
                <w:color w:val="auto"/>
              </w:rPr>
            </w:pPr>
            <w:r>
              <w:rPr>
                <w:rFonts w:ascii="Arial" w:cs="Arial" w:eastAsia="Arial" w:hAnsi="Arial"/>
                <w:sz w:val="16"/>
                <w:szCs w:val="16"/>
                <w:color w:val="auto"/>
                <w:w w:val="94"/>
              </w:rPr>
              <w:t>of options granted under any Employee Share Plan, and Former Employees who in each case are Bad Leavers,</w:t>
            </w:r>
          </w:p>
        </w:tc>
      </w:tr>
      <w:tr>
        <w:trPr>
          <w:trHeight w:val="196"/>
        </w:trPr>
        <w:tc>
          <w:tcPr>
            <w:tcW w:w="2620" w:type="dxa"/>
            <w:vAlign w:val="bottom"/>
          </w:tcPr>
          <w:p>
            <w:pPr>
              <w:spacing w:after="0"/>
              <w:rPr>
                <w:sz w:val="17"/>
                <w:szCs w:val="17"/>
                <w:color w:val="auto"/>
              </w:rPr>
            </w:pPr>
          </w:p>
        </w:tc>
        <w:tc>
          <w:tcPr>
            <w:tcW w:w="8840" w:type="dxa"/>
            <w:vAlign w:val="bottom"/>
          </w:tcPr>
          <w:p>
            <w:pPr>
              <w:ind w:left="1360"/>
              <w:spacing w:after="0"/>
              <w:rPr>
                <w:sz w:val="20"/>
                <w:szCs w:val="20"/>
                <w:color w:val="auto"/>
              </w:rPr>
            </w:pPr>
            <w:r>
              <w:rPr>
                <w:rFonts w:ascii="Arial" w:cs="Arial" w:eastAsia="Arial" w:hAnsi="Arial"/>
                <w:sz w:val="16"/>
                <w:szCs w:val="16"/>
                <w:color w:val="auto"/>
                <w:w w:val="95"/>
              </w:rPr>
              <w:t>either 100% of the Employee Shares held by such Employee on the Effective Termination Date or 100% of the</w:t>
            </w:r>
          </w:p>
        </w:tc>
      </w:tr>
      <w:tr>
        <w:trPr>
          <w:trHeight w:val="207"/>
        </w:trPr>
        <w:tc>
          <w:tcPr>
            <w:tcW w:w="2620" w:type="dxa"/>
            <w:vAlign w:val="bottom"/>
          </w:tcPr>
          <w:p>
            <w:pPr>
              <w:spacing w:after="0"/>
              <w:rPr>
                <w:sz w:val="18"/>
                <w:szCs w:val="18"/>
                <w:color w:val="auto"/>
              </w:rPr>
            </w:pPr>
          </w:p>
        </w:tc>
        <w:tc>
          <w:tcPr>
            <w:tcW w:w="8840" w:type="dxa"/>
            <w:vAlign w:val="bottom"/>
          </w:tcPr>
          <w:p>
            <w:pPr>
              <w:ind w:left="1360"/>
              <w:spacing w:after="0"/>
              <w:rPr>
                <w:sz w:val="20"/>
                <w:szCs w:val="20"/>
                <w:color w:val="auto"/>
              </w:rPr>
            </w:pPr>
            <w:r>
              <w:rPr>
                <w:rFonts w:ascii="Arial" w:cs="Arial" w:eastAsia="Arial" w:hAnsi="Arial"/>
                <w:sz w:val="16"/>
                <w:szCs w:val="16"/>
                <w:color w:val="auto"/>
              </w:rPr>
              <w:t>Employee Shares held by such Former Employee at the time</w:t>
            </w:r>
          </w:p>
        </w:tc>
      </w:tr>
      <w:tr>
        <w:trPr>
          <w:trHeight w:val="391"/>
        </w:trPr>
        <w:tc>
          <w:tcPr>
            <w:tcW w:w="2620" w:type="dxa"/>
            <w:vAlign w:val="bottom"/>
          </w:tcPr>
          <w:p>
            <w:pPr>
              <w:spacing w:after="0"/>
              <w:rPr>
                <w:sz w:val="24"/>
                <w:szCs w:val="24"/>
                <w:color w:val="auto"/>
              </w:rPr>
            </w:pPr>
          </w:p>
        </w:tc>
        <w:tc>
          <w:tcPr>
            <w:tcW w:w="8840" w:type="dxa"/>
            <w:vAlign w:val="bottom"/>
          </w:tcPr>
          <w:p>
            <w:pPr>
              <w:ind w:left="3060"/>
              <w:spacing w:after="0"/>
              <w:rPr>
                <w:sz w:val="20"/>
                <w:szCs w:val="20"/>
                <w:color w:val="auto"/>
              </w:rPr>
            </w:pPr>
            <w:r>
              <w:rPr>
                <w:rFonts w:ascii="Arial" w:cs="Arial" w:eastAsia="Arial" w:hAnsi="Arial"/>
                <w:sz w:val="16"/>
                <w:szCs w:val="16"/>
                <w:color w:val="auto"/>
              </w:rPr>
              <w:t>7</w:t>
            </w:r>
          </w:p>
        </w:tc>
      </w:tr>
      <w:tr>
        <w:trPr>
          <w:trHeight w:val="119"/>
        </w:trPr>
        <w:tc>
          <w:tcPr>
            <w:tcW w:w="2620" w:type="dxa"/>
            <w:vAlign w:val="bottom"/>
            <w:tcBorders>
              <w:bottom w:val="single" w:sz="8" w:color="808080"/>
            </w:tcBorders>
          </w:tcPr>
          <w:p>
            <w:pPr>
              <w:spacing w:after="0"/>
              <w:rPr>
                <w:sz w:val="10"/>
                <w:szCs w:val="10"/>
                <w:color w:val="auto"/>
              </w:rPr>
            </w:pPr>
          </w:p>
        </w:tc>
        <w:tc>
          <w:tcPr>
            <w:tcW w:w="8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22" w:right="19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8"/>
                <w:szCs w:val="18"/>
                <w:color w:val="auto"/>
              </w:rPr>
            </w:pPr>
          </w:p>
        </w:tc>
        <w:tc>
          <w:tcPr>
            <w:tcW w:w="8500" w:type="dxa"/>
            <w:vAlign w:val="bottom"/>
          </w:tcPr>
          <w:p>
            <w:pPr>
              <w:ind w:left="1020"/>
              <w:spacing w:after="0"/>
              <w:rPr>
                <w:sz w:val="20"/>
                <w:szCs w:val="20"/>
                <w:color w:val="auto"/>
              </w:rPr>
            </w:pPr>
            <w:r>
              <w:rPr>
                <w:rFonts w:ascii="Arial" w:cs="Arial" w:eastAsia="Arial" w:hAnsi="Arial"/>
                <w:sz w:val="16"/>
                <w:szCs w:val="16"/>
                <w:color w:val="auto"/>
              </w:rPr>
              <w:t>of the breach of such Former Employee’s Restrictive Covenants;</w:t>
            </w:r>
          </w:p>
        </w:tc>
      </w:tr>
      <w:tr>
        <w:trPr>
          <w:trHeight w:val="391"/>
        </w:trPr>
        <w:tc>
          <w:tcPr>
            <w:tcW w:w="2960" w:type="dxa"/>
            <w:vAlign w:val="bottom"/>
          </w:tcPr>
          <w:p>
            <w:pPr>
              <w:spacing w:after="0"/>
              <w:rPr>
                <w:sz w:val="20"/>
                <w:szCs w:val="20"/>
                <w:color w:val="auto"/>
              </w:rPr>
            </w:pPr>
            <w:r>
              <w:rPr>
                <w:rFonts w:ascii="Arial" w:cs="Arial" w:eastAsia="Arial" w:hAnsi="Arial"/>
                <w:sz w:val="16"/>
                <w:szCs w:val="16"/>
                <w:b w:val="1"/>
                <w:bCs w:val="1"/>
                <w:color w:val="auto"/>
              </w:rPr>
              <w:t>Liquidation Event or Liquidation</w:t>
            </w:r>
          </w:p>
        </w:tc>
        <w:tc>
          <w:tcPr>
            <w:tcW w:w="8500" w:type="dxa"/>
            <w:vAlign w:val="bottom"/>
          </w:tcPr>
          <w:p>
            <w:pPr>
              <w:ind w:left="480"/>
              <w:spacing w:after="0"/>
              <w:rPr>
                <w:sz w:val="20"/>
                <w:szCs w:val="20"/>
                <w:color w:val="auto"/>
              </w:rPr>
            </w:pPr>
            <w:r>
              <w:rPr>
                <w:rFonts w:ascii="Arial" w:cs="Arial" w:eastAsia="Arial" w:hAnsi="Arial"/>
                <w:sz w:val="16"/>
                <w:szCs w:val="16"/>
                <w:color w:val="auto"/>
              </w:rPr>
              <w:t>shall mean any of the following events:</w:t>
            </w:r>
          </w:p>
        </w:tc>
      </w:tr>
      <w:tr>
        <w:trPr>
          <w:trHeight w:val="391"/>
        </w:trPr>
        <w:tc>
          <w:tcPr>
            <w:tcW w:w="2960" w:type="dxa"/>
            <w:vAlign w:val="bottom"/>
          </w:tcPr>
          <w:p>
            <w:pPr>
              <w:spacing w:after="0"/>
              <w:rPr>
                <w:sz w:val="24"/>
                <w:szCs w:val="24"/>
                <w:color w:val="auto"/>
              </w:rPr>
            </w:pPr>
          </w:p>
        </w:tc>
        <w:tc>
          <w:tcPr>
            <w:tcW w:w="8500" w:type="dxa"/>
            <w:vAlign w:val="bottom"/>
          </w:tcPr>
          <w:p>
            <w:pPr>
              <w:ind w:left="700"/>
              <w:spacing w:after="0"/>
              <w:rPr>
                <w:sz w:val="20"/>
                <w:szCs w:val="20"/>
                <w:color w:val="auto"/>
              </w:rPr>
            </w:pPr>
            <w:r>
              <w:rPr>
                <w:rFonts w:ascii="Arial" w:cs="Arial" w:eastAsia="Arial" w:hAnsi="Arial"/>
                <w:sz w:val="16"/>
                <w:szCs w:val="16"/>
                <w:color w:val="auto"/>
              </w:rPr>
              <w:t>(a)  insolvency or bankruptcy of the Company; or</w:t>
            </w:r>
          </w:p>
        </w:tc>
      </w:tr>
      <w:tr>
        <w:trPr>
          <w:trHeight w:val="391"/>
        </w:trPr>
        <w:tc>
          <w:tcPr>
            <w:tcW w:w="2960" w:type="dxa"/>
            <w:vAlign w:val="bottom"/>
          </w:tcPr>
          <w:p>
            <w:pPr>
              <w:spacing w:after="0"/>
              <w:rPr>
                <w:sz w:val="24"/>
                <w:szCs w:val="24"/>
                <w:color w:val="auto"/>
              </w:rPr>
            </w:pPr>
          </w:p>
        </w:tc>
        <w:tc>
          <w:tcPr>
            <w:tcW w:w="8500" w:type="dxa"/>
            <w:vAlign w:val="bottom"/>
          </w:tcPr>
          <w:p>
            <w:pPr>
              <w:ind w:left="700"/>
              <w:spacing w:after="0"/>
              <w:rPr>
                <w:sz w:val="20"/>
                <w:szCs w:val="20"/>
                <w:color w:val="auto"/>
              </w:rPr>
            </w:pPr>
            <w:r>
              <w:rPr>
                <w:rFonts w:ascii="Arial" w:cs="Arial" w:eastAsia="Arial" w:hAnsi="Arial"/>
                <w:sz w:val="16"/>
                <w:szCs w:val="16"/>
                <w:color w:val="auto"/>
              </w:rPr>
              <w:t>(b)  dissolution of the Company for reasons other than those falling under the definition of Sale;</w:t>
            </w:r>
          </w:p>
        </w:tc>
      </w:tr>
      <w:tr>
        <w:trPr>
          <w:trHeight w:val="391"/>
        </w:trPr>
        <w:tc>
          <w:tcPr>
            <w:tcW w:w="2960" w:type="dxa"/>
            <w:vAlign w:val="bottom"/>
          </w:tcPr>
          <w:p>
            <w:pPr>
              <w:spacing w:after="0"/>
              <w:rPr>
                <w:sz w:val="20"/>
                <w:szCs w:val="20"/>
                <w:color w:val="auto"/>
              </w:rPr>
            </w:pPr>
            <w:r>
              <w:rPr>
                <w:rFonts w:ascii="Arial" w:cs="Arial" w:eastAsia="Arial" w:hAnsi="Arial"/>
                <w:sz w:val="16"/>
                <w:szCs w:val="16"/>
                <w:b w:val="1"/>
                <w:bCs w:val="1"/>
                <w:color w:val="auto"/>
              </w:rPr>
              <w:t>Longwood</w:t>
            </w:r>
          </w:p>
        </w:tc>
        <w:tc>
          <w:tcPr>
            <w:tcW w:w="8500" w:type="dxa"/>
            <w:vAlign w:val="bottom"/>
          </w:tcPr>
          <w:p>
            <w:pPr>
              <w:ind w:left="480"/>
              <w:spacing w:after="0"/>
              <w:rPr>
                <w:sz w:val="20"/>
                <w:szCs w:val="20"/>
                <w:color w:val="auto"/>
              </w:rPr>
            </w:pPr>
            <w:r>
              <w:rPr>
                <w:rFonts w:ascii="Arial" w:cs="Arial" w:eastAsia="Arial" w:hAnsi="Arial"/>
                <w:sz w:val="16"/>
                <w:szCs w:val="16"/>
                <w:color w:val="auto"/>
              </w:rPr>
              <w:t>Longwood Fund IV, L.P. of 800 Boylston Suite 1555, Boston, Massachusetts, 02199, USA</w:t>
            </w:r>
          </w:p>
        </w:tc>
      </w:tr>
      <w:tr>
        <w:trPr>
          <w:trHeight w:val="376"/>
        </w:trPr>
        <w:tc>
          <w:tcPr>
            <w:tcW w:w="2960" w:type="dxa"/>
            <w:vAlign w:val="bottom"/>
          </w:tcPr>
          <w:p>
            <w:pPr>
              <w:spacing w:after="0"/>
              <w:rPr>
                <w:sz w:val="20"/>
                <w:szCs w:val="20"/>
                <w:color w:val="auto"/>
              </w:rPr>
            </w:pPr>
            <w:r>
              <w:rPr>
                <w:rFonts w:ascii="Arial" w:cs="Arial" w:eastAsia="Arial" w:hAnsi="Arial"/>
                <w:sz w:val="16"/>
                <w:szCs w:val="16"/>
                <w:b w:val="1"/>
                <w:bCs w:val="1"/>
                <w:color w:val="auto"/>
              </w:rPr>
              <w:t>a Member of the Same Fund Group</w:t>
            </w:r>
          </w:p>
        </w:tc>
        <w:tc>
          <w:tcPr>
            <w:tcW w:w="8500" w:type="dxa"/>
            <w:vAlign w:val="bottom"/>
          </w:tcPr>
          <w:p>
            <w:pPr>
              <w:ind w:left="480"/>
              <w:spacing w:after="0"/>
              <w:rPr>
                <w:sz w:val="20"/>
                <w:szCs w:val="20"/>
                <w:color w:val="auto"/>
              </w:rPr>
            </w:pPr>
            <w:r>
              <w:rPr>
                <w:rFonts w:ascii="Arial" w:cs="Arial" w:eastAsia="Arial" w:hAnsi="Arial"/>
                <w:sz w:val="16"/>
                <w:szCs w:val="16"/>
                <w:color w:val="auto"/>
                <w:w w:val="98"/>
              </w:rPr>
              <w:t>if the Shareholder is a fund, partnership, company, syndicate or other entity whose business is managed by a Fund</w:t>
            </w:r>
          </w:p>
        </w:tc>
      </w:tr>
      <w:tr>
        <w:trPr>
          <w:trHeight w:val="211"/>
        </w:trPr>
        <w:tc>
          <w:tcPr>
            <w:tcW w:w="296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Manager (an “</w:t>
            </w:r>
            <w:r>
              <w:rPr>
                <w:rFonts w:ascii="Arial" w:cs="Arial" w:eastAsia="Arial" w:hAnsi="Arial"/>
                <w:sz w:val="16"/>
                <w:szCs w:val="16"/>
                <w:b w:val="1"/>
                <w:bCs w:val="1"/>
                <w:color w:val="auto"/>
              </w:rPr>
              <w:t>Investment Fund</w:t>
            </w:r>
            <w:r>
              <w:rPr>
                <w:rFonts w:ascii="Arial" w:cs="Arial" w:eastAsia="Arial" w:hAnsi="Arial"/>
                <w:sz w:val="16"/>
                <w:szCs w:val="16"/>
                <w:color w:val="auto"/>
              </w:rPr>
              <w:t>”) or a nominee of that person:</w:t>
            </w:r>
          </w:p>
        </w:tc>
      </w:tr>
      <w:tr>
        <w:trPr>
          <w:trHeight w:val="380"/>
        </w:trPr>
        <w:tc>
          <w:tcPr>
            <w:tcW w:w="2960" w:type="dxa"/>
            <w:vAlign w:val="bottom"/>
          </w:tcPr>
          <w:p>
            <w:pPr>
              <w:spacing w:after="0"/>
              <w:rPr>
                <w:sz w:val="24"/>
                <w:szCs w:val="24"/>
                <w:color w:val="auto"/>
              </w:rPr>
            </w:pPr>
          </w:p>
        </w:tc>
        <w:tc>
          <w:tcPr>
            <w:tcW w:w="8500" w:type="dxa"/>
            <w:vAlign w:val="bottom"/>
          </w:tcPr>
          <w:p>
            <w:pPr>
              <w:ind w:left="700"/>
              <w:spacing w:after="0"/>
              <w:rPr>
                <w:sz w:val="20"/>
                <w:szCs w:val="20"/>
                <w:color w:val="auto"/>
              </w:rPr>
            </w:pPr>
            <w:r>
              <w:rPr>
                <w:rFonts w:ascii="Arial" w:cs="Arial" w:eastAsia="Arial" w:hAnsi="Arial"/>
                <w:sz w:val="16"/>
                <w:szCs w:val="16"/>
                <w:color w:val="auto"/>
                <w:w w:val="96"/>
              </w:rPr>
              <w:t>(a)  any participant or partner in or member of any such Investment Fund or the holders of any unit trust which is a</w:t>
            </w:r>
          </w:p>
        </w:tc>
      </w:tr>
      <w:tr>
        <w:trPr>
          <w:trHeight w:val="196"/>
        </w:trPr>
        <w:tc>
          <w:tcPr>
            <w:tcW w:w="2960" w:type="dxa"/>
            <w:vAlign w:val="bottom"/>
          </w:tcPr>
          <w:p>
            <w:pPr>
              <w:spacing w:after="0"/>
              <w:rPr>
                <w:sz w:val="17"/>
                <w:szCs w:val="17"/>
                <w:color w:val="auto"/>
              </w:rPr>
            </w:pPr>
          </w:p>
        </w:tc>
        <w:tc>
          <w:tcPr>
            <w:tcW w:w="8500" w:type="dxa"/>
            <w:vAlign w:val="bottom"/>
          </w:tcPr>
          <w:p>
            <w:pPr>
              <w:ind w:left="1000"/>
              <w:spacing w:after="0"/>
              <w:rPr>
                <w:sz w:val="20"/>
                <w:szCs w:val="20"/>
                <w:color w:val="auto"/>
              </w:rPr>
            </w:pPr>
            <w:r>
              <w:rPr>
                <w:rFonts w:ascii="Arial" w:cs="Arial" w:eastAsia="Arial" w:hAnsi="Arial"/>
                <w:sz w:val="16"/>
                <w:szCs w:val="16"/>
                <w:color w:val="auto"/>
                <w:w w:val="97"/>
              </w:rPr>
              <w:t>participant or partner in or member of any Investment Fund (but only in connection with the dissolution of the</w:t>
            </w:r>
          </w:p>
        </w:tc>
      </w:tr>
      <w:tr>
        <w:trPr>
          <w:trHeight w:val="196"/>
        </w:trPr>
        <w:tc>
          <w:tcPr>
            <w:tcW w:w="2960" w:type="dxa"/>
            <w:vAlign w:val="bottom"/>
          </w:tcPr>
          <w:p>
            <w:pPr>
              <w:spacing w:after="0"/>
              <w:rPr>
                <w:sz w:val="17"/>
                <w:szCs w:val="17"/>
                <w:color w:val="auto"/>
              </w:rPr>
            </w:pPr>
          </w:p>
        </w:tc>
        <w:tc>
          <w:tcPr>
            <w:tcW w:w="8500" w:type="dxa"/>
            <w:vAlign w:val="bottom"/>
          </w:tcPr>
          <w:p>
            <w:pPr>
              <w:ind w:left="1000"/>
              <w:spacing w:after="0"/>
              <w:rPr>
                <w:sz w:val="20"/>
                <w:szCs w:val="20"/>
                <w:color w:val="auto"/>
              </w:rPr>
            </w:pPr>
            <w:r>
              <w:rPr>
                <w:rFonts w:ascii="Arial" w:cs="Arial" w:eastAsia="Arial" w:hAnsi="Arial"/>
                <w:sz w:val="16"/>
                <w:szCs w:val="16"/>
                <w:color w:val="auto"/>
                <w:w w:val="94"/>
              </w:rPr>
              <w:t>investment Fund or any distribution of assets of the Investment Fund pursuant to the operation of the Investment</w:t>
            </w:r>
          </w:p>
        </w:tc>
      </w:tr>
      <w:tr>
        <w:trPr>
          <w:trHeight w:val="207"/>
        </w:trPr>
        <w:tc>
          <w:tcPr>
            <w:tcW w:w="2960" w:type="dxa"/>
            <w:vAlign w:val="bottom"/>
          </w:tcPr>
          <w:p>
            <w:pPr>
              <w:spacing w:after="0"/>
              <w:rPr>
                <w:sz w:val="18"/>
                <w:szCs w:val="18"/>
                <w:color w:val="auto"/>
              </w:rPr>
            </w:pPr>
          </w:p>
        </w:tc>
        <w:tc>
          <w:tcPr>
            <w:tcW w:w="8500" w:type="dxa"/>
            <w:vAlign w:val="bottom"/>
          </w:tcPr>
          <w:p>
            <w:pPr>
              <w:ind w:left="1000"/>
              <w:spacing w:after="0"/>
              <w:rPr>
                <w:sz w:val="20"/>
                <w:szCs w:val="20"/>
                <w:color w:val="auto"/>
              </w:rPr>
            </w:pPr>
            <w:r>
              <w:rPr>
                <w:rFonts w:ascii="Arial" w:cs="Arial" w:eastAsia="Arial" w:hAnsi="Arial"/>
                <w:sz w:val="16"/>
                <w:szCs w:val="16"/>
                <w:color w:val="auto"/>
              </w:rPr>
              <w:t>Fund in the ordinary course of business); or</w:t>
            </w:r>
          </w:p>
        </w:tc>
      </w:tr>
      <w:tr>
        <w:trPr>
          <w:trHeight w:val="391"/>
        </w:trPr>
        <w:tc>
          <w:tcPr>
            <w:tcW w:w="2960" w:type="dxa"/>
            <w:vAlign w:val="bottom"/>
          </w:tcPr>
          <w:p>
            <w:pPr>
              <w:spacing w:after="0"/>
              <w:rPr>
                <w:sz w:val="24"/>
                <w:szCs w:val="24"/>
                <w:color w:val="auto"/>
              </w:rPr>
            </w:pPr>
          </w:p>
        </w:tc>
        <w:tc>
          <w:tcPr>
            <w:tcW w:w="8500" w:type="dxa"/>
            <w:vAlign w:val="bottom"/>
          </w:tcPr>
          <w:p>
            <w:pPr>
              <w:ind w:left="700"/>
              <w:spacing w:after="0"/>
              <w:rPr>
                <w:sz w:val="20"/>
                <w:szCs w:val="20"/>
                <w:color w:val="auto"/>
              </w:rPr>
            </w:pPr>
            <w:r>
              <w:rPr>
                <w:rFonts w:ascii="Arial" w:cs="Arial" w:eastAsia="Arial" w:hAnsi="Arial"/>
                <w:sz w:val="16"/>
                <w:szCs w:val="16"/>
                <w:color w:val="auto"/>
              </w:rPr>
              <w:t>(b)  any fund managed by such Investment Fund’s Fund Manager; or</w:t>
            </w:r>
          </w:p>
        </w:tc>
      </w:tr>
      <w:tr>
        <w:trPr>
          <w:trHeight w:val="380"/>
        </w:trPr>
        <w:tc>
          <w:tcPr>
            <w:tcW w:w="2960" w:type="dxa"/>
            <w:vAlign w:val="bottom"/>
          </w:tcPr>
          <w:p>
            <w:pPr>
              <w:spacing w:after="0"/>
              <w:rPr>
                <w:sz w:val="24"/>
                <w:szCs w:val="24"/>
                <w:color w:val="auto"/>
              </w:rPr>
            </w:pPr>
          </w:p>
        </w:tc>
        <w:tc>
          <w:tcPr>
            <w:tcW w:w="8500" w:type="dxa"/>
            <w:vAlign w:val="bottom"/>
          </w:tcPr>
          <w:p>
            <w:pPr>
              <w:ind w:left="700"/>
              <w:spacing w:after="0"/>
              <w:rPr>
                <w:sz w:val="20"/>
                <w:szCs w:val="20"/>
                <w:color w:val="auto"/>
              </w:rPr>
            </w:pPr>
            <w:r>
              <w:rPr>
                <w:rFonts w:ascii="Arial" w:cs="Arial" w:eastAsia="Arial" w:hAnsi="Arial"/>
                <w:sz w:val="16"/>
                <w:szCs w:val="16"/>
                <w:color w:val="auto"/>
                <w:w w:val="94"/>
              </w:rPr>
              <w:t>(c)  any Parent Undertaking or Subsidiary Undertaking of such Fund Manager, or any Subsidiary Undertaking of any</w:t>
            </w:r>
          </w:p>
        </w:tc>
      </w:tr>
      <w:tr>
        <w:trPr>
          <w:trHeight w:val="207"/>
        </w:trPr>
        <w:tc>
          <w:tcPr>
            <w:tcW w:w="2960" w:type="dxa"/>
            <w:vAlign w:val="bottom"/>
          </w:tcPr>
          <w:p>
            <w:pPr>
              <w:spacing w:after="0"/>
              <w:rPr>
                <w:sz w:val="18"/>
                <w:szCs w:val="18"/>
                <w:color w:val="auto"/>
              </w:rPr>
            </w:pPr>
          </w:p>
        </w:tc>
        <w:tc>
          <w:tcPr>
            <w:tcW w:w="8500" w:type="dxa"/>
            <w:vAlign w:val="bottom"/>
          </w:tcPr>
          <w:p>
            <w:pPr>
              <w:ind w:left="1000"/>
              <w:spacing w:after="0"/>
              <w:rPr>
                <w:sz w:val="20"/>
                <w:szCs w:val="20"/>
                <w:color w:val="auto"/>
              </w:rPr>
            </w:pPr>
            <w:r>
              <w:rPr>
                <w:rFonts w:ascii="Arial" w:cs="Arial" w:eastAsia="Arial" w:hAnsi="Arial"/>
                <w:sz w:val="16"/>
                <w:szCs w:val="16"/>
                <w:color w:val="auto"/>
              </w:rPr>
              <w:t>Parent Undertaking of such Fund Manager; or</w:t>
            </w:r>
          </w:p>
        </w:tc>
      </w:tr>
      <w:tr>
        <w:trPr>
          <w:trHeight w:val="391"/>
        </w:trPr>
        <w:tc>
          <w:tcPr>
            <w:tcW w:w="2960" w:type="dxa"/>
            <w:vAlign w:val="bottom"/>
          </w:tcPr>
          <w:p>
            <w:pPr>
              <w:spacing w:after="0"/>
              <w:rPr>
                <w:sz w:val="24"/>
                <w:szCs w:val="24"/>
                <w:color w:val="auto"/>
              </w:rPr>
            </w:pPr>
          </w:p>
        </w:tc>
        <w:tc>
          <w:tcPr>
            <w:tcW w:w="8500" w:type="dxa"/>
            <w:vAlign w:val="bottom"/>
          </w:tcPr>
          <w:p>
            <w:pPr>
              <w:ind w:left="700"/>
              <w:spacing w:after="0"/>
              <w:rPr>
                <w:sz w:val="20"/>
                <w:szCs w:val="20"/>
                <w:color w:val="auto"/>
              </w:rPr>
            </w:pPr>
            <w:r>
              <w:rPr>
                <w:rFonts w:ascii="Arial" w:cs="Arial" w:eastAsia="Arial" w:hAnsi="Arial"/>
                <w:sz w:val="16"/>
                <w:szCs w:val="16"/>
                <w:color w:val="auto"/>
              </w:rPr>
              <w:t>(d)  any trustee, nominee or custodian of such Investment Fund and vice versa,</w:t>
            </w:r>
          </w:p>
        </w:tc>
      </w:tr>
      <w:tr>
        <w:trPr>
          <w:trHeight w:val="380"/>
        </w:trPr>
        <w:tc>
          <w:tcPr>
            <w:tcW w:w="2960" w:type="dxa"/>
            <w:vAlign w:val="bottom"/>
          </w:tcPr>
          <w:p>
            <w:pPr>
              <w:spacing w:after="0"/>
              <w:rPr>
                <w:sz w:val="24"/>
                <w:szCs w:val="24"/>
                <w:color w:val="auto"/>
              </w:rPr>
            </w:pPr>
          </w:p>
        </w:tc>
        <w:tc>
          <w:tcPr>
            <w:tcW w:w="8500" w:type="dxa"/>
            <w:vAlign w:val="bottom"/>
          </w:tcPr>
          <w:p>
            <w:pPr>
              <w:ind w:left="700"/>
              <w:spacing w:after="0"/>
              <w:rPr>
                <w:sz w:val="20"/>
                <w:szCs w:val="20"/>
                <w:color w:val="auto"/>
              </w:rPr>
            </w:pPr>
            <w:r>
              <w:rPr>
                <w:rFonts w:ascii="Arial" w:cs="Arial" w:eastAsia="Arial" w:hAnsi="Arial"/>
                <w:sz w:val="16"/>
                <w:szCs w:val="16"/>
                <w:color w:val="auto"/>
                <w:w w:val="96"/>
              </w:rPr>
              <w:t>save that for the purposes of Article 10 and Article 13, the wording in brackets in part (a) above shall be deemed to</w:t>
            </w:r>
          </w:p>
        </w:tc>
      </w:tr>
      <w:tr>
        <w:trPr>
          <w:trHeight w:val="207"/>
        </w:trPr>
        <w:tc>
          <w:tcPr>
            <w:tcW w:w="2960" w:type="dxa"/>
            <w:vAlign w:val="bottom"/>
          </w:tcPr>
          <w:p>
            <w:pPr>
              <w:spacing w:after="0"/>
              <w:rPr>
                <w:sz w:val="18"/>
                <w:szCs w:val="18"/>
                <w:color w:val="auto"/>
              </w:rPr>
            </w:pPr>
          </w:p>
        </w:tc>
        <w:tc>
          <w:tcPr>
            <w:tcW w:w="8500" w:type="dxa"/>
            <w:vAlign w:val="bottom"/>
          </w:tcPr>
          <w:p>
            <w:pPr>
              <w:ind w:left="700"/>
              <w:spacing w:after="0"/>
              <w:rPr>
                <w:sz w:val="20"/>
                <w:szCs w:val="20"/>
                <w:color w:val="auto"/>
              </w:rPr>
            </w:pPr>
            <w:r>
              <w:rPr>
                <w:rFonts w:ascii="Arial" w:cs="Arial" w:eastAsia="Arial" w:hAnsi="Arial"/>
                <w:sz w:val="16"/>
                <w:szCs w:val="16"/>
                <w:color w:val="auto"/>
              </w:rPr>
              <w:t>have been deleted;</w:t>
            </w:r>
          </w:p>
        </w:tc>
      </w:tr>
      <w:tr>
        <w:trPr>
          <w:trHeight w:val="380"/>
        </w:trPr>
        <w:tc>
          <w:tcPr>
            <w:tcW w:w="2960" w:type="dxa"/>
            <w:vAlign w:val="bottom"/>
          </w:tcPr>
          <w:p>
            <w:pPr>
              <w:spacing w:after="0"/>
              <w:rPr>
                <w:sz w:val="20"/>
                <w:szCs w:val="20"/>
                <w:color w:val="auto"/>
              </w:rPr>
            </w:pPr>
            <w:r>
              <w:rPr>
                <w:rFonts w:ascii="Arial" w:cs="Arial" w:eastAsia="Arial" w:hAnsi="Arial"/>
                <w:sz w:val="16"/>
                <w:szCs w:val="16"/>
                <w:b w:val="1"/>
                <w:bCs w:val="1"/>
                <w:color w:val="auto"/>
              </w:rPr>
              <w:t>a Member of the Same Group</w:t>
            </w:r>
          </w:p>
        </w:tc>
        <w:tc>
          <w:tcPr>
            <w:tcW w:w="8500" w:type="dxa"/>
            <w:vAlign w:val="bottom"/>
          </w:tcPr>
          <w:p>
            <w:pPr>
              <w:ind w:left="480"/>
              <w:spacing w:after="0"/>
              <w:rPr>
                <w:sz w:val="20"/>
                <w:szCs w:val="20"/>
                <w:color w:val="auto"/>
              </w:rPr>
            </w:pPr>
            <w:r>
              <w:rPr>
                <w:rFonts w:ascii="Arial" w:cs="Arial" w:eastAsia="Arial" w:hAnsi="Arial"/>
                <w:sz w:val="16"/>
                <w:szCs w:val="16"/>
                <w:color w:val="auto"/>
                <w:w w:val="93"/>
              </w:rPr>
              <w:t>as regards any company, a company which is from time to time a Parent Undertaking or a Subsidiary Undertaking of that</w:t>
            </w:r>
          </w:p>
        </w:tc>
      </w:tr>
      <w:tr>
        <w:trPr>
          <w:trHeight w:val="207"/>
        </w:trPr>
        <w:tc>
          <w:tcPr>
            <w:tcW w:w="296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company or a Subsidiary Undertaking of any such Parent Undertaking</w:t>
            </w:r>
          </w:p>
        </w:tc>
      </w:tr>
      <w:tr>
        <w:trPr>
          <w:trHeight w:val="380"/>
        </w:trPr>
        <w:tc>
          <w:tcPr>
            <w:tcW w:w="2960" w:type="dxa"/>
            <w:vAlign w:val="bottom"/>
          </w:tcPr>
          <w:p>
            <w:pPr>
              <w:spacing w:after="0"/>
              <w:rPr>
                <w:sz w:val="20"/>
                <w:szCs w:val="20"/>
                <w:color w:val="auto"/>
              </w:rPr>
            </w:pPr>
            <w:r>
              <w:rPr>
                <w:rFonts w:ascii="Arial" w:cs="Arial" w:eastAsia="Arial" w:hAnsi="Arial"/>
                <w:sz w:val="16"/>
                <w:szCs w:val="16"/>
                <w:b w:val="1"/>
                <w:bCs w:val="1"/>
                <w:color w:val="auto"/>
              </w:rPr>
              <w:t>Minor Sale</w:t>
            </w:r>
          </w:p>
        </w:tc>
        <w:tc>
          <w:tcPr>
            <w:tcW w:w="8500" w:type="dxa"/>
            <w:vAlign w:val="bottom"/>
          </w:tcPr>
          <w:p>
            <w:pPr>
              <w:ind w:left="480"/>
              <w:spacing w:after="0"/>
              <w:rPr>
                <w:sz w:val="20"/>
                <w:szCs w:val="20"/>
                <w:color w:val="auto"/>
              </w:rPr>
            </w:pPr>
            <w:r>
              <w:rPr>
                <w:rFonts w:ascii="Arial" w:cs="Arial" w:eastAsia="Arial" w:hAnsi="Arial"/>
                <w:sz w:val="16"/>
                <w:szCs w:val="16"/>
                <w:color w:val="auto"/>
                <w:w w:val="93"/>
              </w:rPr>
              <w:t>the disposition of any asset(s) or any business(es) of the Company to a third party (either by way of a sale, licence and/or</w:t>
            </w:r>
          </w:p>
        </w:tc>
      </w:tr>
      <w:tr>
        <w:trPr>
          <w:trHeight w:val="207"/>
        </w:trPr>
        <w:tc>
          <w:tcPr>
            <w:tcW w:w="296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other transfer) which would not otherwise constitute a Business Sale;</w:t>
            </w:r>
          </w:p>
        </w:tc>
      </w:tr>
      <w:tr>
        <w:trPr>
          <w:trHeight w:val="391"/>
        </w:trPr>
        <w:tc>
          <w:tcPr>
            <w:tcW w:w="2960" w:type="dxa"/>
            <w:vAlign w:val="bottom"/>
          </w:tcPr>
          <w:p>
            <w:pPr>
              <w:spacing w:after="0"/>
              <w:rPr>
                <w:sz w:val="20"/>
                <w:szCs w:val="20"/>
                <w:color w:val="auto"/>
              </w:rPr>
            </w:pPr>
            <w:r>
              <w:rPr>
                <w:rFonts w:ascii="Arial" w:cs="Arial" w:eastAsia="Arial" w:hAnsi="Arial"/>
                <w:sz w:val="16"/>
                <w:szCs w:val="16"/>
                <w:b w:val="1"/>
                <w:bCs w:val="1"/>
                <w:color w:val="auto"/>
              </w:rPr>
              <w:t>Minor Sale Proceeds</w:t>
            </w:r>
          </w:p>
        </w:tc>
        <w:tc>
          <w:tcPr>
            <w:tcW w:w="8500" w:type="dxa"/>
            <w:vAlign w:val="bottom"/>
          </w:tcPr>
          <w:p>
            <w:pPr>
              <w:ind w:left="480"/>
              <w:spacing w:after="0"/>
              <w:rPr>
                <w:sz w:val="20"/>
                <w:szCs w:val="20"/>
                <w:color w:val="auto"/>
              </w:rPr>
            </w:pPr>
            <w:r>
              <w:rPr>
                <w:rFonts w:ascii="Arial" w:cs="Arial" w:eastAsia="Arial" w:hAnsi="Arial"/>
                <w:sz w:val="16"/>
                <w:szCs w:val="16"/>
                <w:color w:val="auto"/>
              </w:rPr>
              <w:t>shall have the meaning given to the term in Article 5.2(b);</w:t>
            </w:r>
          </w:p>
        </w:tc>
      </w:tr>
      <w:tr>
        <w:trPr>
          <w:trHeight w:val="391"/>
        </w:trPr>
        <w:tc>
          <w:tcPr>
            <w:tcW w:w="2960" w:type="dxa"/>
            <w:vAlign w:val="bottom"/>
          </w:tcPr>
          <w:p>
            <w:pPr>
              <w:spacing w:after="0"/>
              <w:rPr>
                <w:sz w:val="20"/>
                <w:szCs w:val="20"/>
                <w:color w:val="auto"/>
              </w:rPr>
            </w:pPr>
            <w:r>
              <w:rPr>
                <w:rFonts w:ascii="Arial" w:cs="Arial" w:eastAsia="Arial" w:hAnsi="Arial"/>
                <w:sz w:val="16"/>
                <w:szCs w:val="16"/>
                <w:b w:val="1"/>
                <w:bCs w:val="1"/>
                <w:color w:val="auto"/>
              </w:rPr>
              <w:t>MRC</w:t>
            </w:r>
          </w:p>
        </w:tc>
        <w:tc>
          <w:tcPr>
            <w:tcW w:w="8500" w:type="dxa"/>
            <w:vAlign w:val="bottom"/>
          </w:tcPr>
          <w:p>
            <w:pPr>
              <w:ind w:left="480"/>
              <w:spacing w:after="0"/>
              <w:rPr>
                <w:sz w:val="20"/>
                <w:szCs w:val="20"/>
                <w:color w:val="auto"/>
              </w:rPr>
            </w:pPr>
            <w:r>
              <w:rPr>
                <w:rFonts w:ascii="Arial" w:cs="Arial" w:eastAsia="Arial" w:hAnsi="Arial"/>
                <w:sz w:val="16"/>
                <w:szCs w:val="16"/>
                <w:color w:val="auto"/>
              </w:rPr>
              <w:t>Medical Research Council of 20 Park Crescent, London W1B 1AL;</w:t>
            </w:r>
          </w:p>
        </w:tc>
      </w:tr>
      <w:tr>
        <w:trPr>
          <w:trHeight w:val="391"/>
        </w:trPr>
        <w:tc>
          <w:tcPr>
            <w:tcW w:w="2960" w:type="dxa"/>
            <w:vAlign w:val="bottom"/>
          </w:tcPr>
          <w:p>
            <w:pPr>
              <w:spacing w:after="0"/>
              <w:rPr>
                <w:sz w:val="20"/>
                <w:szCs w:val="20"/>
                <w:color w:val="auto"/>
              </w:rPr>
            </w:pPr>
            <w:r>
              <w:rPr>
                <w:rFonts w:ascii="Arial" w:cs="Arial" w:eastAsia="Arial" w:hAnsi="Arial"/>
                <w:sz w:val="16"/>
                <w:szCs w:val="16"/>
                <w:b w:val="1"/>
                <w:bCs w:val="1"/>
                <w:color w:val="auto"/>
              </w:rPr>
              <w:t>Nasdaq</w:t>
            </w:r>
          </w:p>
        </w:tc>
        <w:tc>
          <w:tcPr>
            <w:tcW w:w="8500" w:type="dxa"/>
            <w:vAlign w:val="bottom"/>
          </w:tcPr>
          <w:p>
            <w:pPr>
              <w:ind w:left="480"/>
              <w:spacing w:after="0"/>
              <w:rPr>
                <w:sz w:val="20"/>
                <w:szCs w:val="20"/>
                <w:color w:val="auto"/>
              </w:rPr>
            </w:pPr>
            <w:r>
              <w:rPr>
                <w:rFonts w:ascii="Arial" w:cs="Arial" w:eastAsia="Arial" w:hAnsi="Arial"/>
                <w:sz w:val="16"/>
                <w:szCs w:val="16"/>
                <w:color w:val="auto"/>
              </w:rPr>
              <w:t>the Nasdaq National Stock Market of the Nasdaq Stock Market Inc.;</w:t>
            </w:r>
          </w:p>
        </w:tc>
      </w:tr>
      <w:tr>
        <w:trPr>
          <w:trHeight w:val="380"/>
        </w:trPr>
        <w:tc>
          <w:tcPr>
            <w:tcW w:w="2960" w:type="dxa"/>
            <w:vAlign w:val="bottom"/>
          </w:tcPr>
          <w:p>
            <w:pPr>
              <w:spacing w:after="0"/>
              <w:rPr>
                <w:sz w:val="20"/>
                <w:szCs w:val="20"/>
                <w:color w:val="auto"/>
              </w:rPr>
            </w:pPr>
            <w:r>
              <w:rPr>
                <w:rFonts w:ascii="Arial" w:cs="Arial" w:eastAsia="Arial" w:hAnsi="Arial"/>
                <w:sz w:val="16"/>
                <w:szCs w:val="16"/>
                <w:b w:val="1"/>
                <w:bCs w:val="1"/>
                <w:color w:val="auto"/>
              </w:rPr>
              <w:t>New Securities</w:t>
            </w:r>
          </w:p>
        </w:tc>
        <w:tc>
          <w:tcPr>
            <w:tcW w:w="8500" w:type="dxa"/>
            <w:vAlign w:val="bottom"/>
          </w:tcPr>
          <w:p>
            <w:pPr>
              <w:ind w:left="480"/>
              <w:spacing w:after="0"/>
              <w:rPr>
                <w:sz w:val="20"/>
                <w:szCs w:val="20"/>
                <w:color w:val="auto"/>
              </w:rPr>
            </w:pPr>
            <w:r>
              <w:rPr>
                <w:rFonts w:ascii="Arial" w:cs="Arial" w:eastAsia="Arial" w:hAnsi="Arial"/>
                <w:sz w:val="16"/>
                <w:szCs w:val="16"/>
                <w:color w:val="auto"/>
                <w:w w:val="93"/>
              </w:rPr>
              <w:t>any shares or other securities convertible into, or carrying the right to subscribe for those shares, issued by the Company</w:t>
            </w:r>
          </w:p>
        </w:tc>
      </w:tr>
      <w:tr>
        <w:trPr>
          <w:trHeight w:val="207"/>
        </w:trPr>
        <w:tc>
          <w:tcPr>
            <w:tcW w:w="296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after the Date of Adoption (other than shares or securities issued as a result of the events set out in Article 10.7);</w:t>
            </w:r>
          </w:p>
        </w:tc>
      </w:tr>
      <w:tr>
        <w:trPr>
          <w:trHeight w:val="391"/>
        </w:trPr>
        <w:tc>
          <w:tcPr>
            <w:tcW w:w="2960" w:type="dxa"/>
            <w:vAlign w:val="bottom"/>
          </w:tcPr>
          <w:p>
            <w:pPr>
              <w:spacing w:after="0"/>
              <w:rPr>
                <w:sz w:val="20"/>
                <w:szCs w:val="20"/>
                <w:color w:val="auto"/>
              </w:rPr>
            </w:pPr>
            <w:r>
              <w:rPr>
                <w:rFonts w:ascii="Arial" w:cs="Arial" w:eastAsia="Arial" w:hAnsi="Arial"/>
                <w:sz w:val="16"/>
                <w:szCs w:val="16"/>
                <w:b w:val="1"/>
                <w:bCs w:val="1"/>
                <w:color w:val="auto"/>
              </w:rPr>
              <w:t>Non-Cash Consideration</w:t>
            </w:r>
          </w:p>
        </w:tc>
        <w:tc>
          <w:tcPr>
            <w:tcW w:w="8500" w:type="dxa"/>
            <w:vAlign w:val="bottom"/>
          </w:tcPr>
          <w:p>
            <w:pPr>
              <w:ind w:left="480"/>
              <w:spacing w:after="0"/>
              <w:rPr>
                <w:sz w:val="20"/>
                <w:szCs w:val="20"/>
                <w:color w:val="auto"/>
              </w:rPr>
            </w:pPr>
            <w:r>
              <w:rPr>
                <w:rFonts w:ascii="Arial" w:cs="Arial" w:eastAsia="Arial" w:hAnsi="Arial"/>
                <w:sz w:val="16"/>
                <w:szCs w:val="16"/>
                <w:color w:val="auto"/>
              </w:rPr>
              <w:t>shall have the meaning given to the term in Article 5.7;</w:t>
            </w:r>
          </w:p>
        </w:tc>
      </w:tr>
      <w:tr>
        <w:trPr>
          <w:trHeight w:val="391"/>
        </w:trPr>
        <w:tc>
          <w:tcPr>
            <w:tcW w:w="2960" w:type="dxa"/>
            <w:vAlign w:val="bottom"/>
          </w:tcPr>
          <w:p>
            <w:pPr>
              <w:spacing w:after="0"/>
              <w:rPr>
                <w:sz w:val="20"/>
                <w:szCs w:val="20"/>
                <w:color w:val="auto"/>
              </w:rPr>
            </w:pPr>
            <w:r>
              <w:rPr>
                <w:rFonts w:ascii="Arial" w:cs="Arial" w:eastAsia="Arial" w:hAnsi="Arial"/>
                <w:sz w:val="16"/>
                <w:szCs w:val="16"/>
                <w:b w:val="1"/>
                <w:bCs w:val="1"/>
                <w:color w:val="auto"/>
              </w:rPr>
              <w:t>Novartis</w:t>
            </w:r>
          </w:p>
        </w:tc>
        <w:tc>
          <w:tcPr>
            <w:tcW w:w="8500" w:type="dxa"/>
            <w:vAlign w:val="bottom"/>
          </w:tcPr>
          <w:p>
            <w:pPr>
              <w:ind w:left="480"/>
              <w:spacing w:after="0"/>
              <w:rPr>
                <w:sz w:val="20"/>
                <w:szCs w:val="20"/>
                <w:color w:val="auto"/>
              </w:rPr>
            </w:pPr>
            <w:r>
              <w:rPr>
                <w:rFonts w:ascii="Arial" w:cs="Arial" w:eastAsia="Arial" w:hAnsi="Arial"/>
                <w:sz w:val="16"/>
                <w:szCs w:val="16"/>
                <w:color w:val="auto"/>
              </w:rPr>
              <w:t>Novartis Bioventures Ltd. of 131 Front Street, Hamilton HM 12, Bermuda;</w:t>
            </w:r>
          </w:p>
        </w:tc>
      </w:tr>
      <w:tr>
        <w:trPr>
          <w:trHeight w:val="391"/>
        </w:trPr>
        <w:tc>
          <w:tcPr>
            <w:tcW w:w="2960" w:type="dxa"/>
            <w:vAlign w:val="bottom"/>
          </w:tcPr>
          <w:p>
            <w:pPr>
              <w:spacing w:after="0"/>
              <w:rPr>
                <w:sz w:val="24"/>
                <w:szCs w:val="24"/>
                <w:color w:val="auto"/>
              </w:rPr>
            </w:pPr>
          </w:p>
        </w:tc>
        <w:tc>
          <w:tcPr>
            <w:tcW w:w="8500" w:type="dxa"/>
            <w:vAlign w:val="bottom"/>
          </w:tcPr>
          <w:p>
            <w:pPr>
              <w:ind w:left="2720"/>
              <w:spacing w:after="0"/>
              <w:rPr>
                <w:sz w:val="20"/>
                <w:szCs w:val="20"/>
                <w:color w:val="auto"/>
              </w:rPr>
            </w:pPr>
            <w:r>
              <w:rPr>
                <w:rFonts w:ascii="Arial" w:cs="Arial" w:eastAsia="Arial" w:hAnsi="Arial"/>
                <w:sz w:val="16"/>
                <w:szCs w:val="16"/>
                <w:color w:val="auto"/>
              </w:rPr>
              <w:t>8</w:t>
            </w:r>
          </w:p>
        </w:tc>
      </w:tr>
      <w:tr>
        <w:trPr>
          <w:trHeight w:val="119"/>
        </w:trPr>
        <w:tc>
          <w:tcPr>
            <w:tcW w:w="2960" w:type="dxa"/>
            <w:vAlign w:val="bottom"/>
            <w:tcBorders>
              <w:bottom w:val="single" w:sz="8" w:color="808080"/>
            </w:tcBorders>
          </w:tcPr>
          <w:p>
            <w:pPr>
              <w:spacing w:after="0"/>
              <w:rPr>
                <w:sz w:val="10"/>
                <w:szCs w:val="10"/>
                <w:color w:val="auto"/>
              </w:rPr>
            </w:pPr>
          </w:p>
        </w:tc>
        <w:tc>
          <w:tcPr>
            <w:tcW w:w="8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22" w:right="199" w:bottom="1440" w:gutter="0" w:footer="0" w:header="0"/>
        </w:sectPr>
      </w:pPr>
    </w:p>
    <w:bookmarkStart w:id="328" w:name="page329"/>
    <w:bookmarkEnd w:id="328"/>
    <w:p>
      <w:pPr>
        <w:spacing w:after="0"/>
        <w:rPr>
          <w:sz w:val="20"/>
          <w:szCs w:val="20"/>
          <w:color w:val="auto"/>
        </w:rPr>
      </w:pPr>
      <w:r>
        <w:rPr>
          <w:rFonts w:ascii="Arial" w:cs="Arial" w:eastAsia="Arial" w:hAnsi="Arial"/>
          <w:sz w:val="14"/>
          <w:szCs w:val="14"/>
          <w:b w:val="1"/>
          <w:bCs w:val="1"/>
          <w:color w:val="auto"/>
        </w:rPr>
        <w:t>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holders from time to time of the Ordinary Shares;</w:t>
      </w:r>
    </w:p>
    <w:p>
      <w:pPr>
        <w:spacing w:after="0" w:line="200" w:lineRule="exact"/>
        <w:rPr>
          <w:sz w:val="20"/>
          <w:szCs w:val="20"/>
          <w:color w:val="auto"/>
        </w:rPr>
      </w:pPr>
    </w:p>
    <w:p>
      <w:pPr>
        <w:sectPr>
          <w:pgSz w:w="11900" w:h="16838" w:orient="portrait"/>
          <w:cols w:equalWidth="0" w:num="2">
            <w:col w:w="2720" w:space="720"/>
            <w:col w:w="8020"/>
          </w:cols>
          <w:pgMar w:left="240" w:top="318" w:right="199" w:bottom="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Ordinary Shares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the ordinary shares of £0.01 each in the capital of the Company;</w:t>
      </w:r>
    </w:p>
    <w:p>
      <w:pPr>
        <w:spacing w:after="0" w:line="200" w:lineRule="exact"/>
        <w:rPr>
          <w:sz w:val="20"/>
          <w:szCs w:val="20"/>
          <w:color w:val="auto"/>
        </w:rPr>
      </w:pPr>
    </w:p>
    <w:p>
      <w:pPr>
        <w:sectPr>
          <w:pgSz w:w="11900" w:h="16838" w:orient="portrait"/>
          <w:cols w:equalWidth="0" w:num="2">
            <w:col w:w="2720" w:space="720"/>
            <w:col w:w="8020"/>
          </w:cols>
          <w:pgMar w:left="240" w:top="318" w:right="199" w:bottom="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Original Shareholder</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shall have the meaning given to the term in Article 13.1;</w:t>
      </w:r>
    </w:p>
    <w:p>
      <w:pPr>
        <w:spacing w:after="0" w:line="200" w:lineRule="exact"/>
        <w:rPr>
          <w:sz w:val="20"/>
          <w:szCs w:val="20"/>
          <w:color w:val="auto"/>
        </w:rPr>
      </w:pPr>
    </w:p>
    <w:p>
      <w:pPr>
        <w:sectPr>
          <w:pgSz w:w="11900" w:h="16838" w:orient="portrait"/>
          <w:cols w:equalWidth="0" w:num="2">
            <w:col w:w="2720" w:space="720"/>
            <w:col w:w="8020"/>
          </w:cols>
          <w:pgMar w:left="240" w:top="318" w:right="199" w:bottom="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Permitted Capitalisation Issue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an issue of Shares by the Company credited as fully paid up as to nominal value from any share premium account of the Company (or otherwise lawfully paid up from a capitalisation of profits or reserves (including any capital redemption reserve)) made pursuant to Article 5;</w:t>
      </w:r>
    </w:p>
    <w:p>
      <w:pPr>
        <w:spacing w:after="0" w:line="158" w:lineRule="exact"/>
        <w:rPr>
          <w:sz w:val="20"/>
          <w:szCs w:val="20"/>
          <w:color w:val="auto"/>
        </w:rPr>
      </w:pPr>
    </w:p>
    <w:p>
      <w:pPr>
        <w:sectPr>
          <w:pgSz w:w="11900" w:h="16838" w:orient="portrait"/>
          <w:cols w:equalWidth="0" w:num="2">
            <w:col w:w="2720" w:space="720"/>
            <w:col w:w="8020"/>
          </w:cols>
          <w:pgMar w:left="240" w:top="318" w:right="199" w:bottom="0" w:gutter="0" w:footer="0" w:header="0"/>
          <w:type w:val="continuous"/>
        </w:sectPr>
      </w:pPr>
    </w:p>
    <w:p>
      <w:pPr>
        <w:spacing w:after="0"/>
        <w:rPr>
          <w:sz w:val="20"/>
          <w:szCs w:val="20"/>
          <w:color w:val="auto"/>
        </w:rPr>
      </w:pPr>
      <w:r>
        <w:rPr>
          <w:rFonts w:ascii="Arial" w:cs="Arial" w:eastAsia="Arial" w:hAnsi="Arial"/>
          <w:sz w:val="15"/>
          <w:szCs w:val="15"/>
          <w:b w:val="1"/>
          <w:bCs w:val="1"/>
          <w:color w:val="auto"/>
        </w:rPr>
        <w:t>Permitted 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 transfer of Shares in accordance with Article 13;</w:t>
      </w:r>
    </w:p>
    <w:p>
      <w:pPr>
        <w:spacing w:after="0" w:line="207" w:lineRule="exact"/>
        <w:rPr>
          <w:sz w:val="20"/>
          <w:szCs w:val="20"/>
          <w:color w:val="auto"/>
        </w:rPr>
      </w:pPr>
    </w:p>
    <w:p>
      <w:pPr>
        <w:sectPr>
          <w:pgSz w:w="11900" w:h="16838" w:orient="portrait"/>
          <w:cols w:equalWidth="0" w:num="2">
            <w:col w:w="2720" w:space="720"/>
            <w:col w:w="8020"/>
          </w:cols>
          <w:pgMar w:left="240" w:top="318" w:right="199"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Permitted Transferee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shall mean any of the following:</w:t>
      </w:r>
    </w:p>
    <w:p>
      <w:pPr>
        <w:spacing w:after="0" w:line="200" w:lineRule="exact"/>
        <w:rPr>
          <w:sz w:val="20"/>
          <w:szCs w:val="20"/>
          <w:color w:val="auto"/>
        </w:rPr>
      </w:pPr>
    </w:p>
    <w:p>
      <w:pPr>
        <w:sectPr>
          <w:pgSz w:w="11900" w:h="16838" w:orient="portrait"/>
          <w:cols w:equalWidth="0" w:num="2">
            <w:col w:w="2720" w:space="720"/>
            <w:col w:w="8020"/>
          </w:cols>
          <w:pgMar w:left="240" w:top="318" w:right="199" w:bottom="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8"/>
                <w:szCs w:val="18"/>
                <w:color w:val="auto"/>
              </w:rPr>
            </w:pPr>
          </w:p>
        </w:tc>
        <w:tc>
          <w:tcPr>
            <w:tcW w:w="8920" w:type="dxa"/>
            <w:vAlign w:val="bottom"/>
          </w:tcPr>
          <w:p>
            <w:pPr>
              <w:ind w:left="1120"/>
              <w:spacing w:after="0"/>
              <w:rPr>
                <w:sz w:val="20"/>
                <w:szCs w:val="20"/>
                <w:color w:val="auto"/>
              </w:rPr>
            </w:pPr>
            <w:r>
              <w:rPr>
                <w:rFonts w:ascii="Arial" w:cs="Arial" w:eastAsia="Arial" w:hAnsi="Arial"/>
                <w:sz w:val="16"/>
                <w:szCs w:val="16"/>
                <w:color w:val="auto"/>
              </w:rPr>
              <w:t>(a)  in relation to a Shareholder who is an individual, any of his Privileged Relations or Trustees;</w:t>
            </w:r>
          </w:p>
        </w:tc>
      </w:tr>
      <w:tr>
        <w:trPr>
          <w:trHeight w:val="380"/>
        </w:trPr>
        <w:tc>
          <w:tcPr>
            <w:tcW w:w="2540" w:type="dxa"/>
            <w:vAlign w:val="bottom"/>
          </w:tcPr>
          <w:p>
            <w:pPr>
              <w:spacing w:after="0"/>
              <w:rPr>
                <w:sz w:val="24"/>
                <w:szCs w:val="24"/>
                <w:color w:val="auto"/>
              </w:rPr>
            </w:pPr>
          </w:p>
        </w:tc>
        <w:tc>
          <w:tcPr>
            <w:tcW w:w="8920" w:type="dxa"/>
            <w:vAlign w:val="bottom"/>
          </w:tcPr>
          <w:p>
            <w:pPr>
              <w:ind w:left="1120"/>
              <w:spacing w:after="0"/>
              <w:rPr>
                <w:sz w:val="20"/>
                <w:szCs w:val="20"/>
                <w:color w:val="auto"/>
              </w:rPr>
            </w:pPr>
            <w:r>
              <w:rPr>
                <w:rFonts w:ascii="Arial" w:cs="Arial" w:eastAsia="Arial" w:hAnsi="Arial"/>
                <w:sz w:val="16"/>
                <w:szCs w:val="16"/>
                <w:color w:val="auto"/>
                <w:w w:val="94"/>
              </w:rPr>
              <w:t>(b)  in relation to a Shareholder which is an undertaking (as defined in section 1161 of the 2006 Act), any Member of</w:t>
            </w:r>
          </w:p>
        </w:tc>
      </w:tr>
      <w:tr>
        <w:trPr>
          <w:trHeight w:val="207"/>
        </w:trPr>
        <w:tc>
          <w:tcPr>
            <w:tcW w:w="2540" w:type="dxa"/>
            <w:vAlign w:val="bottom"/>
          </w:tcPr>
          <w:p>
            <w:pPr>
              <w:spacing w:after="0"/>
              <w:rPr>
                <w:sz w:val="18"/>
                <w:szCs w:val="18"/>
                <w:color w:val="auto"/>
              </w:rPr>
            </w:pPr>
          </w:p>
        </w:tc>
        <w:tc>
          <w:tcPr>
            <w:tcW w:w="8920" w:type="dxa"/>
            <w:vAlign w:val="bottom"/>
          </w:tcPr>
          <w:p>
            <w:pPr>
              <w:ind w:left="1420"/>
              <w:spacing w:after="0"/>
              <w:rPr>
                <w:sz w:val="20"/>
                <w:szCs w:val="20"/>
                <w:color w:val="auto"/>
              </w:rPr>
            </w:pPr>
            <w:r>
              <w:rPr>
                <w:rFonts w:ascii="Arial" w:cs="Arial" w:eastAsia="Arial" w:hAnsi="Arial"/>
                <w:sz w:val="16"/>
                <w:szCs w:val="16"/>
                <w:color w:val="auto"/>
              </w:rPr>
              <w:t>the Same Group;</w:t>
            </w:r>
          </w:p>
        </w:tc>
      </w:tr>
      <w:tr>
        <w:trPr>
          <w:trHeight w:val="391"/>
        </w:trPr>
        <w:tc>
          <w:tcPr>
            <w:tcW w:w="2540" w:type="dxa"/>
            <w:vAlign w:val="bottom"/>
          </w:tcPr>
          <w:p>
            <w:pPr>
              <w:spacing w:after="0"/>
              <w:rPr>
                <w:sz w:val="24"/>
                <w:szCs w:val="24"/>
                <w:color w:val="auto"/>
              </w:rPr>
            </w:pPr>
          </w:p>
        </w:tc>
        <w:tc>
          <w:tcPr>
            <w:tcW w:w="8920" w:type="dxa"/>
            <w:vAlign w:val="bottom"/>
          </w:tcPr>
          <w:p>
            <w:pPr>
              <w:ind w:left="1120"/>
              <w:spacing w:after="0"/>
              <w:rPr>
                <w:sz w:val="20"/>
                <w:szCs w:val="20"/>
                <w:color w:val="auto"/>
              </w:rPr>
            </w:pPr>
            <w:r>
              <w:rPr>
                <w:rFonts w:ascii="Arial" w:cs="Arial" w:eastAsia="Arial" w:hAnsi="Arial"/>
                <w:sz w:val="16"/>
                <w:szCs w:val="16"/>
                <w:color w:val="auto"/>
              </w:rPr>
              <w:t>(c)  in relation to a Shareholder which is an Investment Fund, any Member of the Same Fund Group;</w:t>
            </w:r>
          </w:p>
        </w:tc>
      </w:tr>
      <w:tr>
        <w:trPr>
          <w:trHeight w:val="391"/>
        </w:trPr>
        <w:tc>
          <w:tcPr>
            <w:tcW w:w="2540" w:type="dxa"/>
            <w:vAlign w:val="bottom"/>
          </w:tcPr>
          <w:p>
            <w:pPr>
              <w:spacing w:after="0"/>
              <w:rPr>
                <w:sz w:val="24"/>
                <w:szCs w:val="24"/>
                <w:color w:val="auto"/>
              </w:rPr>
            </w:pPr>
          </w:p>
        </w:tc>
        <w:tc>
          <w:tcPr>
            <w:tcW w:w="8920" w:type="dxa"/>
            <w:vAlign w:val="bottom"/>
          </w:tcPr>
          <w:p>
            <w:pPr>
              <w:ind w:left="1120"/>
              <w:spacing w:after="0"/>
              <w:rPr>
                <w:sz w:val="20"/>
                <w:szCs w:val="20"/>
                <w:color w:val="auto"/>
              </w:rPr>
            </w:pPr>
            <w:r>
              <w:rPr>
                <w:rFonts w:ascii="Arial" w:cs="Arial" w:eastAsia="Arial" w:hAnsi="Arial"/>
                <w:sz w:val="16"/>
                <w:szCs w:val="16"/>
                <w:color w:val="auto"/>
              </w:rPr>
              <w:t>(d)  in relation to a Preferred Shareholder:</w:t>
            </w:r>
          </w:p>
        </w:tc>
      </w:tr>
      <w:tr>
        <w:trPr>
          <w:trHeight w:val="391"/>
        </w:trPr>
        <w:tc>
          <w:tcPr>
            <w:tcW w:w="2540" w:type="dxa"/>
            <w:vAlign w:val="bottom"/>
          </w:tcPr>
          <w:p>
            <w:pPr>
              <w:spacing w:after="0"/>
              <w:rPr>
                <w:sz w:val="24"/>
                <w:szCs w:val="24"/>
                <w:color w:val="auto"/>
              </w:rPr>
            </w:pPr>
          </w:p>
        </w:tc>
        <w:tc>
          <w:tcPr>
            <w:tcW w:w="8920" w:type="dxa"/>
            <w:vAlign w:val="bottom"/>
          </w:tcPr>
          <w:p>
            <w:pPr>
              <w:ind w:left="1360"/>
              <w:spacing w:after="0"/>
              <w:rPr>
                <w:sz w:val="20"/>
                <w:szCs w:val="20"/>
                <w:color w:val="auto"/>
              </w:rPr>
            </w:pPr>
            <w:r>
              <w:rPr>
                <w:rFonts w:ascii="Arial" w:cs="Arial" w:eastAsia="Arial" w:hAnsi="Arial"/>
                <w:sz w:val="16"/>
                <w:szCs w:val="16"/>
                <w:color w:val="auto"/>
              </w:rPr>
              <w:t>i.   to any Member of the Same Group;</w:t>
            </w:r>
          </w:p>
        </w:tc>
      </w:tr>
      <w:tr>
        <w:trPr>
          <w:trHeight w:val="391"/>
        </w:trPr>
        <w:tc>
          <w:tcPr>
            <w:tcW w:w="2540" w:type="dxa"/>
            <w:vAlign w:val="bottom"/>
          </w:tcPr>
          <w:p>
            <w:pPr>
              <w:spacing w:after="0"/>
              <w:rPr>
                <w:sz w:val="24"/>
                <w:szCs w:val="24"/>
                <w:color w:val="auto"/>
              </w:rPr>
            </w:pPr>
          </w:p>
        </w:tc>
        <w:tc>
          <w:tcPr>
            <w:tcW w:w="8920" w:type="dxa"/>
            <w:vAlign w:val="bottom"/>
          </w:tcPr>
          <w:p>
            <w:pPr>
              <w:ind w:left="1360"/>
              <w:spacing w:after="0"/>
              <w:rPr>
                <w:sz w:val="20"/>
                <w:szCs w:val="20"/>
                <w:color w:val="auto"/>
              </w:rPr>
            </w:pPr>
            <w:r>
              <w:rPr>
                <w:rFonts w:ascii="Arial" w:cs="Arial" w:eastAsia="Arial" w:hAnsi="Arial"/>
                <w:sz w:val="16"/>
                <w:szCs w:val="16"/>
                <w:color w:val="auto"/>
              </w:rPr>
              <w:t>ii.  to any Member of the Same Fund Group;</w:t>
            </w:r>
          </w:p>
        </w:tc>
      </w:tr>
      <w:tr>
        <w:trPr>
          <w:trHeight w:val="391"/>
        </w:trPr>
        <w:tc>
          <w:tcPr>
            <w:tcW w:w="2540" w:type="dxa"/>
            <w:vAlign w:val="bottom"/>
          </w:tcPr>
          <w:p>
            <w:pPr>
              <w:spacing w:after="0"/>
              <w:rPr>
                <w:sz w:val="24"/>
                <w:szCs w:val="24"/>
                <w:color w:val="auto"/>
              </w:rPr>
            </w:pPr>
          </w:p>
        </w:tc>
        <w:tc>
          <w:tcPr>
            <w:tcW w:w="8920" w:type="dxa"/>
            <w:vAlign w:val="bottom"/>
          </w:tcPr>
          <w:p>
            <w:pPr>
              <w:ind w:left="1360"/>
              <w:spacing w:after="0"/>
              <w:rPr>
                <w:sz w:val="20"/>
                <w:szCs w:val="20"/>
                <w:color w:val="auto"/>
              </w:rPr>
            </w:pPr>
            <w:r>
              <w:rPr>
                <w:rFonts w:ascii="Arial" w:cs="Arial" w:eastAsia="Arial" w:hAnsi="Arial"/>
                <w:sz w:val="16"/>
                <w:szCs w:val="16"/>
                <w:color w:val="auto"/>
              </w:rPr>
              <w:t>iii.  subject to Investor Director Consent, to any other Preferred Shareholder;</w:t>
            </w:r>
          </w:p>
        </w:tc>
      </w:tr>
      <w:tr>
        <w:trPr>
          <w:trHeight w:val="391"/>
        </w:trPr>
        <w:tc>
          <w:tcPr>
            <w:tcW w:w="2540" w:type="dxa"/>
            <w:vAlign w:val="bottom"/>
          </w:tcPr>
          <w:p>
            <w:pPr>
              <w:spacing w:after="0"/>
              <w:rPr>
                <w:sz w:val="24"/>
                <w:szCs w:val="24"/>
                <w:color w:val="auto"/>
              </w:rPr>
            </w:pPr>
          </w:p>
        </w:tc>
        <w:tc>
          <w:tcPr>
            <w:tcW w:w="8920" w:type="dxa"/>
            <w:vAlign w:val="bottom"/>
          </w:tcPr>
          <w:p>
            <w:pPr>
              <w:ind w:left="1360"/>
              <w:spacing w:after="0"/>
              <w:rPr>
                <w:sz w:val="20"/>
                <w:szCs w:val="20"/>
                <w:color w:val="auto"/>
              </w:rPr>
            </w:pPr>
            <w:r>
              <w:rPr>
                <w:rFonts w:ascii="Arial" w:cs="Arial" w:eastAsia="Arial" w:hAnsi="Arial"/>
                <w:sz w:val="16"/>
                <w:szCs w:val="16"/>
                <w:color w:val="auto"/>
              </w:rPr>
              <w:t>iv.  subject to Investor Director Consent, to any Financial Institution or Institutional Investor;</w:t>
            </w:r>
          </w:p>
        </w:tc>
      </w:tr>
      <w:tr>
        <w:trPr>
          <w:trHeight w:val="391"/>
        </w:trPr>
        <w:tc>
          <w:tcPr>
            <w:tcW w:w="2540" w:type="dxa"/>
            <w:vAlign w:val="bottom"/>
          </w:tcPr>
          <w:p>
            <w:pPr>
              <w:spacing w:after="0"/>
              <w:rPr>
                <w:sz w:val="24"/>
                <w:szCs w:val="24"/>
                <w:color w:val="auto"/>
              </w:rPr>
            </w:pPr>
          </w:p>
        </w:tc>
        <w:tc>
          <w:tcPr>
            <w:tcW w:w="8920" w:type="dxa"/>
            <w:vAlign w:val="bottom"/>
          </w:tcPr>
          <w:p>
            <w:pPr>
              <w:ind w:left="1360"/>
              <w:spacing w:after="0"/>
              <w:rPr>
                <w:sz w:val="20"/>
                <w:szCs w:val="20"/>
                <w:color w:val="auto"/>
              </w:rPr>
            </w:pPr>
            <w:r>
              <w:rPr>
                <w:rFonts w:ascii="Arial" w:cs="Arial" w:eastAsia="Arial" w:hAnsi="Arial"/>
                <w:sz w:val="16"/>
                <w:szCs w:val="16"/>
                <w:color w:val="auto"/>
              </w:rPr>
              <w:t>v.  to any bare nominee of such Preferred Shareholder; or</w:t>
            </w:r>
          </w:p>
        </w:tc>
      </w:tr>
      <w:tr>
        <w:trPr>
          <w:trHeight w:val="380"/>
        </w:trPr>
        <w:tc>
          <w:tcPr>
            <w:tcW w:w="2540" w:type="dxa"/>
            <w:vAlign w:val="bottom"/>
          </w:tcPr>
          <w:p>
            <w:pPr>
              <w:spacing w:after="0"/>
              <w:rPr>
                <w:sz w:val="24"/>
                <w:szCs w:val="24"/>
                <w:color w:val="auto"/>
              </w:rPr>
            </w:pPr>
          </w:p>
        </w:tc>
        <w:tc>
          <w:tcPr>
            <w:tcW w:w="8920" w:type="dxa"/>
            <w:vAlign w:val="bottom"/>
          </w:tcPr>
          <w:p>
            <w:pPr>
              <w:ind w:left="1360"/>
              <w:spacing w:after="0"/>
              <w:rPr>
                <w:sz w:val="20"/>
                <w:szCs w:val="20"/>
                <w:color w:val="auto"/>
              </w:rPr>
            </w:pPr>
            <w:r>
              <w:rPr>
                <w:rFonts w:ascii="Arial" w:cs="Arial" w:eastAsia="Arial" w:hAnsi="Arial"/>
                <w:sz w:val="16"/>
                <w:szCs w:val="16"/>
                <w:color w:val="auto"/>
              </w:rPr>
              <w:t>vi.  subject to Investor Director Consent, to any general or limited partners of a Preferred Shareholder or to</w:t>
            </w:r>
          </w:p>
        </w:tc>
      </w:tr>
      <w:tr>
        <w:trPr>
          <w:trHeight w:val="207"/>
        </w:trPr>
        <w:tc>
          <w:tcPr>
            <w:tcW w:w="2540" w:type="dxa"/>
            <w:vAlign w:val="bottom"/>
          </w:tcPr>
          <w:p>
            <w:pPr>
              <w:spacing w:after="0"/>
              <w:rPr>
                <w:sz w:val="18"/>
                <w:szCs w:val="18"/>
                <w:color w:val="auto"/>
              </w:rPr>
            </w:pPr>
          </w:p>
        </w:tc>
        <w:tc>
          <w:tcPr>
            <w:tcW w:w="8920" w:type="dxa"/>
            <w:vAlign w:val="bottom"/>
          </w:tcPr>
          <w:p>
            <w:pPr>
              <w:ind w:left="1660"/>
              <w:spacing w:after="0"/>
              <w:rPr>
                <w:sz w:val="20"/>
                <w:szCs w:val="20"/>
                <w:color w:val="auto"/>
              </w:rPr>
            </w:pPr>
            <w:r>
              <w:rPr>
                <w:rFonts w:ascii="Arial" w:cs="Arial" w:eastAsia="Arial" w:hAnsi="Arial"/>
                <w:sz w:val="16"/>
                <w:szCs w:val="16"/>
                <w:color w:val="auto"/>
              </w:rPr>
              <w:t>Shareholders operating as a limited partnership or similar;</w:t>
            </w:r>
          </w:p>
        </w:tc>
      </w:tr>
      <w:tr>
        <w:trPr>
          <w:trHeight w:val="380"/>
        </w:trPr>
        <w:tc>
          <w:tcPr>
            <w:tcW w:w="2540" w:type="dxa"/>
            <w:vAlign w:val="bottom"/>
          </w:tcPr>
          <w:p>
            <w:pPr>
              <w:spacing w:after="0"/>
              <w:rPr>
                <w:sz w:val="24"/>
                <w:szCs w:val="24"/>
                <w:color w:val="auto"/>
              </w:rPr>
            </w:pPr>
          </w:p>
        </w:tc>
        <w:tc>
          <w:tcPr>
            <w:tcW w:w="8920" w:type="dxa"/>
            <w:vAlign w:val="bottom"/>
          </w:tcPr>
          <w:p>
            <w:pPr>
              <w:ind w:left="1360"/>
              <w:spacing w:after="0"/>
              <w:rPr>
                <w:sz w:val="20"/>
                <w:szCs w:val="20"/>
                <w:color w:val="auto"/>
              </w:rPr>
            </w:pPr>
            <w:r>
              <w:rPr>
                <w:rFonts w:ascii="Arial" w:cs="Arial" w:eastAsia="Arial" w:hAnsi="Arial"/>
                <w:sz w:val="16"/>
                <w:szCs w:val="16"/>
                <w:color w:val="auto"/>
                <w:w w:val="96"/>
              </w:rPr>
              <w:t>(e)  in relation to MRC, any successor body of MRC which takes over all or substantially all of the business and</w:t>
            </w:r>
          </w:p>
        </w:tc>
      </w:tr>
      <w:tr>
        <w:trPr>
          <w:trHeight w:val="207"/>
        </w:trPr>
        <w:tc>
          <w:tcPr>
            <w:tcW w:w="2540" w:type="dxa"/>
            <w:vAlign w:val="bottom"/>
          </w:tcPr>
          <w:p>
            <w:pPr>
              <w:spacing w:after="0"/>
              <w:rPr>
                <w:sz w:val="18"/>
                <w:szCs w:val="18"/>
                <w:color w:val="auto"/>
              </w:rPr>
            </w:pPr>
          </w:p>
        </w:tc>
        <w:tc>
          <w:tcPr>
            <w:tcW w:w="8920" w:type="dxa"/>
            <w:vAlign w:val="bottom"/>
          </w:tcPr>
          <w:p>
            <w:pPr>
              <w:ind w:left="1660"/>
              <w:spacing w:after="0"/>
              <w:rPr>
                <w:sz w:val="20"/>
                <w:szCs w:val="20"/>
                <w:color w:val="auto"/>
              </w:rPr>
            </w:pPr>
            <w:r>
              <w:rPr>
                <w:rFonts w:ascii="Arial" w:cs="Arial" w:eastAsia="Arial" w:hAnsi="Arial"/>
                <w:sz w:val="16"/>
                <w:szCs w:val="16"/>
                <w:color w:val="auto"/>
              </w:rPr>
              <w:t>functions of MRC; and</w:t>
            </w:r>
          </w:p>
        </w:tc>
      </w:tr>
      <w:tr>
        <w:trPr>
          <w:trHeight w:val="380"/>
        </w:trPr>
        <w:tc>
          <w:tcPr>
            <w:tcW w:w="2540" w:type="dxa"/>
            <w:vAlign w:val="bottom"/>
          </w:tcPr>
          <w:p>
            <w:pPr>
              <w:spacing w:after="0"/>
              <w:rPr>
                <w:sz w:val="24"/>
                <w:szCs w:val="24"/>
                <w:color w:val="auto"/>
              </w:rPr>
            </w:pPr>
          </w:p>
        </w:tc>
        <w:tc>
          <w:tcPr>
            <w:tcW w:w="8920" w:type="dxa"/>
            <w:vAlign w:val="bottom"/>
          </w:tcPr>
          <w:p>
            <w:pPr>
              <w:ind w:left="1360"/>
              <w:spacing w:after="0"/>
              <w:rPr>
                <w:sz w:val="20"/>
                <w:szCs w:val="20"/>
                <w:color w:val="auto"/>
              </w:rPr>
            </w:pPr>
            <w:r>
              <w:rPr>
                <w:rFonts w:ascii="Arial" w:cs="Arial" w:eastAsia="Arial" w:hAnsi="Arial"/>
                <w:sz w:val="16"/>
                <w:szCs w:val="16"/>
                <w:color w:val="auto"/>
              </w:rPr>
              <w:t>(f)  in relation to EPFL, any entity which is controlled by EPFL and which takes over EPFL activities in</w:t>
            </w:r>
          </w:p>
        </w:tc>
      </w:tr>
      <w:tr>
        <w:trPr>
          <w:trHeight w:val="207"/>
        </w:trPr>
        <w:tc>
          <w:tcPr>
            <w:tcW w:w="2540" w:type="dxa"/>
            <w:vAlign w:val="bottom"/>
          </w:tcPr>
          <w:p>
            <w:pPr>
              <w:spacing w:after="0"/>
              <w:rPr>
                <w:sz w:val="18"/>
                <w:szCs w:val="18"/>
                <w:color w:val="auto"/>
              </w:rPr>
            </w:pPr>
          </w:p>
        </w:tc>
        <w:tc>
          <w:tcPr>
            <w:tcW w:w="8920" w:type="dxa"/>
            <w:vAlign w:val="bottom"/>
          </w:tcPr>
          <w:p>
            <w:pPr>
              <w:ind w:left="1660"/>
              <w:spacing w:after="0"/>
              <w:rPr>
                <w:sz w:val="20"/>
                <w:szCs w:val="20"/>
                <w:color w:val="auto"/>
              </w:rPr>
            </w:pPr>
            <w:r>
              <w:rPr>
                <w:rFonts w:ascii="Arial" w:cs="Arial" w:eastAsia="Arial" w:hAnsi="Arial"/>
                <w:sz w:val="16"/>
                <w:szCs w:val="16"/>
                <w:color w:val="auto"/>
              </w:rPr>
              <w:t>connection with equity holdings management;</w:t>
            </w:r>
          </w:p>
        </w:tc>
      </w:tr>
      <w:tr>
        <w:trPr>
          <w:trHeight w:val="380"/>
        </w:trPr>
        <w:tc>
          <w:tcPr>
            <w:tcW w:w="2540" w:type="dxa"/>
            <w:vAlign w:val="bottom"/>
          </w:tcPr>
          <w:p>
            <w:pPr>
              <w:spacing w:after="0"/>
              <w:rPr>
                <w:sz w:val="20"/>
                <w:szCs w:val="20"/>
                <w:color w:val="auto"/>
              </w:rPr>
            </w:pPr>
            <w:r>
              <w:rPr>
                <w:rFonts w:ascii="Arial" w:cs="Arial" w:eastAsia="Arial" w:hAnsi="Arial"/>
                <w:sz w:val="16"/>
                <w:szCs w:val="16"/>
                <w:b w:val="1"/>
                <w:bCs w:val="1"/>
                <w:color w:val="auto"/>
              </w:rPr>
              <w:t>Preferred Majority</w:t>
            </w:r>
          </w:p>
        </w:tc>
        <w:tc>
          <w:tcPr>
            <w:tcW w:w="8920" w:type="dxa"/>
            <w:vAlign w:val="bottom"/>
          </w:tcPr>
          <w:p>
            <w:pPr>
              <w:ind w:left="900"/>
              <w:spacing w:after="0"/>
              <w:rPr>
                <w:sz w:val="20"/>
                <w:szCs w:val="20"/>
                <w:color w:val="auto"/>
              </w:rPr>
            </w:pPr>
            <w:r>
              <w:rPr>
                <w:rFonts w:ascii="Arial" w:cs="Arial" w:eastAsia="Arial" w:hAnsi="Arial"/>
                <w:sz w:val="16"/>
                <w:szCs w:val="16"/>
                <w:color w:val="auto"/>
                <w:w w:val="96"/>
              </w:rPr>
              <w:t>the Preferred Shareholders holding more than fifty percent (50%) of the number of Ordinary Shares held by Preferred</w:t>
            </w:r>
          </w:p>
        </w:tc>
      </w:tr>
      <w:tr>
        <w:trPr>
          <w:trHeight w:val="207"/>
        </w:trPr>
        <w:tc>
          <w:tcPr>
            <w:tcW w:w="2540" w:type="dxa"/>
            <w:vAlign w:val="bottom"/>
          </w:tcPr>
          <w:p>
            <w:pPr>
              <w:spacing w:after="0"/>
              <w:rPr>
                <w:sz w:val="18"/>
                <w:szCs w:val="18"/>
                <w:color w:val="auto"/>
              </w:rPr>
            </w:pPr>
          </w:p>
        </w:tc>
        <w:tc>
          <w:tcPr>
            <w:tcW w:w="8920" w:type="dxa"/>
            <w:vAlign w:val="bottom"/>
          </w:tcPr>
          <w:p>
            <w:pPr>
              <w:ind w:left="900"/>
              <w:spacing w:after="0"/>
              <w:rPr>
                <w:sz w:val="20"/>
                <w:szCs w:val="20"/>
                <w:color w:val="auto"/>
              </w:rPr>
            </w:pPr>
            <w:r>
              <w:rPr>
                <w:rFonts w:ascii="Arial" w:cs="Arial" w:eastAsia="Arial" w:hAnsi="Arial"/>
                <w:sz w:val="16"/>
                <w:szCs w:val="16"/>
                <w:color w:val="auto"/>
              </w:rPr>
              <w:t>Shareholders as at the Date of Adoption on an As Converted Basis;</w:t>
            </w:r>
          </w:p>
        </w:tc>
      </w:tr>
      <w:tr>
        <w:trPr>
          <w:trHeight w:val="391"/>
        </w:trPr>
        <w:tc>
          <w:tcPr>
            <w:tcW w:w="2540" w:type="dxa"/>
            <w:vAlign w:val="bottom"/>
          </w:tcPr>
          <w:p>
            <w:pPr>
              <w:spacing w:after="0"/>
              <w:rPr>
                <w:sz w:val="20"/>
                <w:szCs w:val="20"/>
                <w:color w:val="auto"/>
              </w:rPr>
            </w:pPr>
            <w:r>
              <w:rPr>
                <w:rFonts w:ascii="Arial" w:cs="Arial" w:eastAsia="Arial" w:hAnsi="Arial"/>
                <w:sz w:val="16"/>
                <w:szCs w:val="16"/>
                <w:b w:val="1"/>
                <w:bCs w:val="1"/>
                <w:color w:val="auto"/>
              </w:rPr>
              <w:t>Preferred Shareholders</w:t>
            </w:r>
          </w:p>
        </w:tc>
        <w:tc>
          <w:tcPr>
            <w:tcW w:w="8920" w:type="dxa"/>
            <w:vAlign w:val="bottom"/>
          </w:tcPr>
          <w:p>
            <w:pPr>
              <w:ind w:left="900"/>
              <w:spacing w:after="0"/>
              <w:rPr>
                <w:sz w:val="20"/>
                <w:szCs w:val="20"/>
                <w:color w:val="auto"/>
              </w:rPr>
            </w:pPr>
            <w:r>
              <w:rPr>
                <w:rFonts w:ascii="Arial" w:cs="Arial" w:eastAsia="Arial" w:hAnsi="Arial"/>
                <w:sz w:val="16"/>
                <w:szCs w:val="16"/>
                <w:color w:val="auto"/>
              </w:rPr>
              <w:t>the B Ordinary Shareholders and/or the A Ordinary Shareholders as the context requires;</w:t>
            </w:r>
          </w:p>
        </w:tc>
      </w:tr>
      <w:tr>
        <w:trPr>
          <w:trHeight w:val="391"/>
        </w:trPr>
        <w:tc>
          <w:tcPr>
            <w:tcW w:w="2540" w:type="dxa"/>
            <w:vAlign w:val="bottom"/>
          </w:tcPr>
          <w:p>
            <w:pPr>
              <w:spacing w:after="0"/>
              <w:rPr>
                <w:sz w:val="20"/>
                <w:szCs w:val="20"/>
                <w:color w:val="auto"/>
              </w:rPr>
            </w:pPr>
            <w:r>
              <w:rPr>
                <w:rFonts w:ascii="Arial" w:cs="Arial" w:eastAsia="Arial" w:hAnsi="Arial"/>
                <w:sz w:val="16"/>
                <w:szCs w:val="16"/>
                <w:b w:val="1"/>
                <w:bCs w:val="1"/>
                <w:color w:val="auto"/>
              </w:rPr>
              <w:t>Preferred Shares</w:t>
            </w:r>
          </w:p>
        </w:tc>
        <w:tc>
          <w:tcPr>
            <w:tcW w:w="8920" w:type="dxa"/>
            <w:vAlign w:val="bottom"/>
          </w:tcPr>
          <w:p>
            <w:pPr>
              <w:ind w:left="900"/>
              <w:spacing w:after="0"/>
              <w:rPr>
                <w:sz w:val="20"/>
                <w:szCs w:val="20"/>
                <w:color w:val="auto"/>
              </w:rPr>
            </w:pPr>
            <w:r>
              <w:rPr>
                <w:rFonts w:ascii="Arial" w:cs="Arial" w:eastAsia="Arial" w:hAnsi="Arial"/>
                <w:sz w:val="16"/>
                <w:szCs w:val="16"/>
                <w:color w:val="auto"/>
              </w:rPr>
              <w:t>the B Ordinary Shares and/or the A Ordinary Shares as the context requires;</w:t>
            </w:r>
          </w:p>
        </w:tc>
      </w:tr>
      <w:tr>
        <w:trPr>
          <w:trHeight w:val="391"/>
        </w:trPr>
        <w:tc>
          <w:tcPr>
            <w:tcW w:w="2540" w:type="dxa"/>
            <w:vAlign w:val="bottom"/>
          </w:tcPr>
          <w:p>
            <w:pPr>
              <w:spacing w:after="0"/>
              <w:rPr>
                <w:sz w:val="20"/>
                <w:szCs w:val="20"/>
                <w:color w:val="auto"/>
              </w:rPr>
            </w:pPr>
            <w:r>
              <w:rPr>
                <w:rFonts w:ascii="Arial" w:cs="Arial" w:eastAsia="Arial" w:hAnsi="Arial"/>
                <w:sz w:val="16"/>
                <w:szCs w:val="16"/>
                <w:b w:val="1"/>
                <w:bCs w:val="1"/>
                <w:color w:val="auto"/>
              </w:rPr>
              <w:t>Priority Rights</w:t>
            </w:r>
          </w:p>
        </w:tc>
        <w:tc>
          <w:tcPr>
            <w:tcW w:w="8920" w:type="dxa"/>
            <w:vAlign w:val="bottom"/>
          </w:tcPr>
          <w:p>
            <w:pPr>
              <w:ind w:left="900"/>
              <w:spacing w:after="0"/>
              <w:rPr>
                <w:sz w:val="20"/>
                <w:szCs w:val="20"/>
                <w:color w:val="auto"/>
              </w:rPr>
            </w:pPr>
            <w:r>
              <w:rPr>
                <w:rFonts w:ascii="Arial" w:cs="Arial" w:eastAsia="Arial" w:hAnsi="Arial"/>
                <w:sz w:val="16"/>
                <w:szCs w:val="16"/>
                <w:color w:val="auto"/>
              </w:rPr>
              <w:t>the rights of Shareholders to purchase Shares contained in a Transfer Notice</w:t>
            </w:r>
          </w:p>
        </w:tc>
      </w:tr>
      <w:tr>
        <w:trPr>
          <w:trHeight w:val="391"/>
        </w:trPr>
        <w:tc>
          <w:tcPr>
            <w:tcW w:w="2540" w:type="dxa"/>
            <w:vAlign w:val="bottom"/>
          </w:tcPr>
          <w:p>
            <w:pPr>
              <w:spacing w:after="0"/>
              <w:rPr>
                <w:sz w:val="24"/>
                <w:szCs w:val="24"/>
                <w:color w:val="auto"/>
              </w:rPr>
            </w:pPr>
          </w:p>
        </w:tc>
        <w:tc>
          <w:tcPr>
            <w:tcW w:w="8920" w:type="dxa"/>
            <w:vAlign w:val="bottom"/>
          </w:tcPr>
          <w:p>
            <w:pPr>
              <w:ind w:left="3140"/>
              <w:spacing w:after="0"/>
              <w:rPr>
                <w:sz w:val="20"/>
                <w:szCs w:val="20"/>
                <w:color w:val="auto"/>
              </w:rPr>
            </w:pPr>
            <w:r>
              <w:rPr>
                <w:rFonts w:ascii="Arial" w:cs="Arial" w:eastAsia="Arial" w:hAnsi="Arial"/>
                <w:sz w:val="16"/>
                <w:szCs w:val="16"/>
                <w:color w:val="auto"/>
              </w:rPr>
              <w:t>9</w:t>
            </w:r>
          </w:p>
        </w:tc>
      </w:tr>
      <w:tr>
        <w:trPr>
          <w:trHeight w:val="119"/>
        </w:trPr>
        <w:tc>
          <w:tcPr>
            <w:tcW w:w="2540" w:type="dxa"/>
            <w:vAlign w:val="bottom"/>
            <w:tcBorders>
              <w:bottom w:val="single" w:sz="8" w:color="808080"/>
            </w:tcBorders>
          </w:tcPr>
          <w:p>
            <w:pPr>
              <w:spacing w:after="0"/>
              <w:rPr>
                <w:sz w:val="10"/>
                <w:szCs w:val="10"/>
                <w:color w:val="auto"/>
              </w:rPr>
            </w:pPr>
          </w:p>
        </w:tc>
        <w:tc>
          <w:tcPr>
            <w:tcW w:w="8920" w:type="dxa"/>
            <w:vAlign w:val="bottom"/>
            <w:tcBorders>
              <w:bottom w:val="single" w:sz="8" w:color="808080"/>
            </w:tcBorders>
          </w:tcPr>
          <w:p>
            <w:pPr>
              <w:spacing w:after="0"/>
              <w:rPr>
                <w:sz w:val="10"/>
                <w:szCs w:val="10"/>
                <w:color w:val="auto"/>
              </w:rPr>
            </w:pPr>
          </w:p>
        </w:tc>
      </w:tr>
      <w:tr>
        <w:trPr>
          <w:trHeight w:val="484"/>
        </w:trPr>
        <w:tc>
          <w:tcPr>
            <w:tcW w:w="2540" w:type="dxa"/>
            <w:vAlign w:val="bottom"/>
          </w:tcPr>
          <w:p>
            <w:pPr>
              <w:spacing w:after="0"/>
              <w:rPr>
                <w:sz w:val="24"/>
                <w:szCs w:val="24"/>
                <w:color w:val="auto"/>
              </w:rPr>
            </w:pPr>
          </w:p>
        </w:tc>
        <w:tc>
          <w:tcPr>
            <w:tcW w:w="8920" w:type="dxa"/>
            <w:vAlign w:val="bottom"/>
          </w:tcPr>
          <w:p>
            <w:pPr>
              <w:ind w:left="900"/>
              <w:spacing w:after="0"/>
              <w:rPr>
                <w:sz w:val="20"/>
                <w:szCs w:val="20"/>
                <w:color w:val="auto"/>
              </w:rPr>
            </w:pPr>
            <w:r>
              <w:rPr>
                <w:rFonts w:ascii="Arial" w:cs="Arial" w:eastAsia="Arial" w:hAnsi="Arial"/>
                <w:sz w:val="16"/>
                <w:szCs w:val="16"/>
                <w:color w:val="auto"/>
              </w:rPr>
              <w:t>in the priority stipulated in Article 14.6;</w:t>
            </w:r>
          </w:p>
        </w:tc>
      </w:tr>
      <w:tr>
        <w:trPr>
          <w:trHeight w:val="380"/>
        </w:trPr>
        <w:tc>
          <w:tcPr>
            <w:tcW w:w="2540" w:type="dxa"/>
            <w:vAlign w:val="bottom"/>
          </w:tcPr>
          <w:p>
            <w:pPr>
              <w:spacing w:after="0"/>
              <w:rPr>
                <w:sz w:val="20"/>
                <w:szCs w:val="20"/>
                <w:color w:val="auto"/>
              </w:rPr>
            </w:pPr>
            <w:r>
              <w:rPr>
                <w:rFonts w:ascii="Arial" w:cs="Arial" w:eastAsia="Arial" w:hAnsi="Arial"/>
                <w:sz w:val="16"/>
                <w:szCs w:val="16"/>
                <w:b w:val="1"/>
                <w:bCs w:val="1"/>
                <w:color w:val="auto"/>
              </w:rPr>
              <w:t>Privileged Relation</w:t>
            </w:r>
          </w:p>
        </w:tc>
        <w:tc>
          <w:tcPr>
            <w:tcW w:w="8920" w:type="dxa"/>
            <w:vAlign w:val="bottom"/>
          </w:tcPr>
          <w:p>
            <w:pPr>
              <w:ind w:left="900"/>
              <w:spacing w:after="0"/>
              <w:rPr>
                <w:sz w:val="20"/>
                <w:szCs w:val="20"/>
                <w:color w:val="auto"/>
              </w:rPr>
            </w:pPr>
            <w:r>
              <w:rPr>
                <w:rFonts w:ascii="Arial" w:cs="Arial" w:eastAsia="Arial" w:hAnsi="Arial"/>
                <w:sz w:val="16"/>
                <w:szCs w:val="16"/>
                <w:color w:val="auto"/>
                <w:w w:val="94"/>
              </w:rPr>
              <w:t>in relation to a Shareholder who is an individual member or deceased or former member means a spouse, Civil Partner,</w:t>
            </w:r>
          </w:p>
        </w:tc>
      </w:tr>
      <w:tr>
        <w:trPr>
          <w:trHeight w:val="207"/>
        </w:trPr>
        <w:tc>
          <w:tcPr>
            <w:tcW w:w="2540" w:type="dxa"/>
            <w:vAlign w:val="bottom"/>
          </w:tcPr>
          <w:p>
            <w:pPr>
              <w:spacing w:after="0"/>
              <w:rPr>
                <w:sz w:val="18"/>
                <w:szCs w:val="18"/>
                <w:color w:val="auto"/>
              </w:rPr>
            </w:pPr>
          </w:p>
        </w:tc>
        <w:tc>
          <w:tcPr>
            <w:tcW w:w="8920" w:type="dxa"/>
            <w:vAlign w:val="bottom"/>
          </w:tcPr>
          <w:p>
            <w:pPr>
              <w:ind w:left="900"/>
              <w:spacing w:after="0"/>
              <w:rPr>
                <w:sz w:val="20"/>
                <w:szCs w:val="20"/>
                <w:color w:val="auto"/>
              </w:rPr>
            </w:pPr>
            <w:r>
              <w:rPr>
                <w:rFonts w:ascii="Arial" w:cs="Arial" w:eastAsia="Arial" w:hAnsi="Arial"/>
                <w:sz w:val="16"/>
                <w:szCs w:val="16"/>
                <w:color w:val="auto"/>
              </w:rPr>
              <w:t>child or grandchild (including step or adopted or illegitimate child and their issue);</w:t>
            </w:r>
          </w:p>
        </w:tc>
      </w:tr>
      <w:tr>
        <w:trPr>
          <w:trHeight w:val="391"/>
        </w:trPr>
        <w:tc>
          <w:tcPr>
            <w:tcW w:w="2540" w:type="dxa"/>
            <w:vAlign w:val="bottom"/>
          </w:tcPr>
          <w:p>
            <w:pPr>
              <w:spacing w:after="0"/>
              <w:rPr>
                <w:sz w:val="20"/>
                <w:szCs w:val="20"/>
                <w:color w:val="auto"/>
              </w:rPr>
            </w:pPr>
            <w:r>
              <w:rPr>
                <w:rFonts w:ascii="Arial" w:cs="Arial" w:eastAsia="Arial" w:hAnsi="Arial"/>
                <w:sz w:val="16"/>
                <w:szCs w:val="16"/>
                <w:b w:val="1"/>
                <w:bCs w:val="1"/>
                <w:color w:val="auto"/>
              </w:rPr>
              <w:t>Proceeds</w:t>
            </w:r>
          </w:p>
        </w:tc>
        <w:tc>
          <w:tcPr>
            <w:tcW w:w="8920" w:type="dxa"/>
            <w:vAlign w:val="bottom"/>
          </w:tcPr>
          <w:p>
            <w:pPr>
              <w:ind w:left="900"/>
              <w:spacing w:after="0"/>
              <w:rPr>
                <w:sz w:val="20"/>
                <w:szCs w:val="20"/>
                <w:color w:val="auto"/>
              </w:rPr>
            </w:pPr>
            <w:r>
              <w:rPr>
                <w:rFonts w:ascii="Arial" w:cs="Arial" w:eastAsia="Arial" w:hAnsi="Arial"/>
                <w:sz w:val="16"/>
                <w:szCs w:val="16"/>
                <w:color w:val="auto"/>
              </w:rPr>
              <w:t>shall have the meaning given to the term in Article 5.4;</w:t>
            </w:r>
          </w:p>
        </w:tc>
      </w:tr>
      <w:tr>
        <w:trPr>
          <w:trHeight w:val="380"/>
        </w:trPr>
        <w:tc>
          <w:tcPr>
            <w:tcW w:w="2540" w:type="dxa"/>
            <w:vAlign w:val="bottom"/>
          </w:tcPr>
          <w:p>
            <w:pPr>
              <w:spacing w:after="0"/>
              <w:rPr>
                <w:sz w:val="20"/>
                <w:szCs w:val="20"/>
                <w:color w:val="auto"/>
              </w:rPr>
            </w:pPr>
            <w:r>
              <w:rPr>
                <w:rFonts w:ascii="Arial" w:cs="Arial" w:eastAsia="Arial" w:hAnsi="Arial"/>
                <w:sz w:val="16"/>
                <w:szCs w:val="16"/>
                <w:b w:val="1"/>
                <w:bCs w:val="1"/>
                <w:color w:val="auto"/>
              </w:rPr>
              <w:t>Proceeds of Sale</w:t>
            </w:r>
          </w:p>
        </w:tc>
        <w:tc>
          <w:tcPr>
            <w:tcW w:w="8920" w:type="dxa"/>
            <w:vAlign w:val="bottom"/>
          </w:tcPr>
          <w:p>
            <w:pPr>
              <w:ind w:left="900"/>
              <w:spacing w:after="0"/>
              <w:rPr>
                <w:sz w:val="20"/>
                <w:szCs w:val="20"/>
                <w:color w:val="auto"/>
              </w:rPr>
            </w:pPr>
            <w:r>
              <w:rPr>
                <w:rFonts w:ascii="Arial" w:cs="Arial" w:eastAsia="Arial" w:hAnsi="Arial"/>
                <w:sz w:val="16"/>
                <w:szCs w:val="16"/>
                <w:color w:val="auto"/>
                <w:w w:val="97"/>
              </w:rPr>
              <w:t>the consideration payable (including any deferred consideration) whether in cash or otherwise to those Shareholders</w:t>
            </w:r>
          </w:p>
        </w:tc>
      </w:tr>
      <w:tr>
        <w:trPr>
          <w:trHeight w:val="207"/>
        </w:trPr>
        <w:tc>
          <w:tcPr>
            <w:tcW w:w="2540" w:type="dxa"/>
            <w:vAlign w:val="bottom"/>
          </w:tcPr>
          <w:p>
            <w:pPr>
              <w:spacing w:after="0"/>
              <w:rPr>
                <w:sz w:val="18"/>
                <w:szCs w:val="18"/>
                <w:color w:val="auto"/>
              </w:rPr>
            </w:pPr>
          </w:p>
        </w:tc>
        <w:tc>
          <w:tcPr>
            <w:tcW w:w="8920" w:type="dxa"/>
            <w:vAlign w:val="bottom"/>
          </w:tcPr>
          <w:p>
            <w:pPr>
              <w:ind w:left="900"/>
              <w:spacing w:after="0"/>
              <w:rPr>
                <w:sz w:val="20"/>
                <w:szCs w:val="20"/>
                <w:color w:val="auto"/>
              </w:rPr>
            </w:pPr>
            <w:r>
              <w:rPr>
                <w:rFonts w:ascii="Arial" w:cs="Arial" w:eastAsia="Arial" w:hAnsi="Arial"/>
                <w:sz w:val="16"/>
                <w:szCs w:val="16"/>
                <w:color w:val="auto"/>
              </w:rPr>
              <w:t>selling Shares under a Share Sale net of any transaction costs;</w:t>
            </w:r>
          </w:p>
        </w:tc>
      </w:tr>
      <w:tr>
        <w:trPr>
          <w:trHeight w:val="391"/>
        </w:trPr>
        <w:tc>
          <w:tcPr>
            <w:tcW w:w="2540" w:type="dxa"/>
            <w:vAlign w:val="bottom"/>
          </w:tcPr>
          <w:p>
            <w:pPr>
              <w:spacing w:after="0"/>
              <w:rPr>
                <w:sz w:val="20"/>
                <w:szCs w:val="20"/>
                <w:color w:val="auto"/>
              </w:rPr>
            </w:pPr>
            <w:r>
              <w:rPr>
                <w:rFonts w:ascii="Arial" w:cs="Arial" w:eastAsia="Arial" w:hAnsi="Arial"/>
                <w:sz w:val="16"/>
                <w:szCs w:val="16"/>
                <w:b w:val="1"/>
                <w:bCs w:val="1"/>
                <w:color w:val="auto"/>
              </w:rPr>
              <w:t>Proposed Exit</w:t>
            </w:r>
          </w:p>
        </w:tc>
        <w:tc>
          <w:tcPr>
            <w:tcW w:w="8920" w:type="dxa"/>
            <w:vAlign w:val="bottom"/>
          </w:tcPr>
          <w:p>
            <w:pPr>
              <w:ind w:left="900"/>
              <w:spacing w:after="0"/>
              <w:rPr>
                <w:sz w:val="20"/>
                <w:szCs w:val="20"/>
                <w:color w:val="auto"/>
              </w:rPr>
            </w:pPr>
            <w:r>
              <w:rPr>
                <w:rFonts w:ascii="Arial" w:cs="Arial" w:eastAsia="Arial" w:hAnsi="Arial"/>
                <w:sz w:val="16"/>
                <w:szCs w:val="16"/>
                <w:color w:val="auto"/>
              </w:rPr>
              <w:t>shall have the meaning given to the term in Article 6.2;</w:t>
            </w:r>
          </w:p>
        </w:tc>
      </w:tr>
      <w:tr>
        <w:trPr>
          <w:trHeight w:val="391"/>
        </w:trPr>
        <w:tc>
          <w:tcPr>
            <w:tcW w:w="2540" w:type="dxa"/>
            <w:vAlign w:val="bottom"/>
          </w:tcPr>
          <w:p>
            <w:pPr>
              <w:spacing w:after="0"/>
              <w:rPr>
                <w:sz w:val="20"/>
                <w:szCs w:val="20"/>
                <w:color w:val="auto"/>
              </w:rPr>
            </w:pPr>
            <w:r>
              <w:rPr>
                <w:rFonts w:ascii="Arial" w:cs="Arial" w:eastAsia="Arial" w:hAnsi="Arial"/>
                <w:sz w:val="16"/>
                <w:szCs w:val="16"/>
                <w:b w:val="1"/>
                <w:bCs w:val="1"/>
                <w:color w:val="auto"/>
              </w:rPr>
              <w:t>Proposed Purchaser</w:t>
            </w:r>
          </w:p>
        </w:tc>
        <w:tc>
          <w:tcPr>
            <w:tcW w:w="8920" w:type="dxa"/>
            <w:vAlign w:val="bottom"/>
          </w:tcPr>
          <w:p>
            <w:pPr>
              <w:ind w:left="900"/>
              <w:spacing w:after="0"/>
              <w:rPr>
                <w:sz w:val="20"/>
                <w:szCs w:val="20"/>
                <w:color w:val="auto"/>
              </w:rPr>
            </w:pPr>
            <w:r>
              <w:rPr>
                <w:rFonts w:ascii="Arial" w:cs="Arial" w:eastAsia="Arial" w:hAnsi="Arial"/>
                <w:sz w:val="16"/>
                <w:szCs w:val="16"/>
                <w:color w:val="auto"/>
              </w:rPr>
              <w:t>a proposed purchaser who at the relevant time has made an offer on arm’s length terms;</w:t>
            </w:r>
          </w:p>
        </w:tc>
      </w:tr>
      <w:tr>
        <w:trPr>
          <w:trHeight w:val="391"/>
        </w:trPr>
        <w:tc>
          <w:tcPr>
            <w:tcW w:w="2540" w:type="dxa"/>
            <w:vAlign w:val="bottom"/>
          </w:tcPr>
          <w:p>
            <w:pPr>
              <w:spacing w:after="0"/>
              <w:rPr>
                <w:sz w:val="20"/>
                <w:szCs w:val="20"/>
                <w:color w:val="auto"/>
              </w:rPr>
            </w:pPr>
            <w:r>
              <w:rPr>
                <w:rFonts w:ascii="Arial" w:cs="Arial" w:eastAsia="Arial" w:hAnsi="Arial"/>
                <w:sz w:val="16"/>
                <w:szCs w:val="16"/>
                <w:b w:val="1"/>
                <w:bCs w:val="1"/>
                <w:color w:val="auto"/>
              </w:rPr>
              <w:t>Proposed Seller</w:t>
            </w:r>
          </w:p>
        </w:tc>
        <w:tc>
          <w:tcPr>
            <w:tcW w:w="8920" w:type="dxa"/>
            <w:vAlign w:val="bottom"/>
          </w:tcPr>
          <w:p>
            <w:pPr>
              <w:ind w:left="900"/>
              <w:spacing w:after="0"/>
              <w:rPr>
                <w:sz w:val="20"/>
                <w:szCs w:val="20"/>
                <w:color w:val="auto"/>
              </w:rPr>
            </w:pPr>
            <w:r>
              <w:rPr>
                <w:rFonts w:ascii="Arial" w:cs="Arial" w:eastAsia="Arial" w:hAnsi="Arial"/>
                <w:sz w:val="16"/>
                <w:szCs w:val="16"/>
                <w:color w:val="auto"/>
              </w:rPr>
              <w:t>any person proposing to transfer any shares in the capital of the Company;</w:t>
            </w:r>
          </w:p>
        </w:tc>
      </w:tr>
      <w:tr>
        <w:trPr>
          <w:trHeight w:val="380"/>
        </w:trPr>
        <w:tc>
          <w:tcPr>
            <w:tcW w:w="2540" w:type="dxa"/>
            <w:vAlign w:val="bottom"/>
          </w:tcPr>
          <w:p>
            <w:pPr>
              <w:spacing w:after="0"/>
              <w:rPr>
                <w:sz w:val="20"/>
                <w:szCs w:val="20"/>
                <w:color w:val="auto"/>
              </w:rPr>
            </w:pPr>
            <w:r>
              <w:rPr>
                <w:rFonts w:ascii="Arial" w:cs="Arial" w:eastAsia="Arial" w:hAnsi="Arial"/>
                <w:sz w:val="16"/>
                <w:szCs w:val="16"/>
                <w:b w:val="1"/>
                <w:bCs w:val="1"/>
                <w:color w:val="auto"/>
              </w:rPr>
              <w:t>Qualified IPO</w:t>
            </w:r>
          </w:p>
        </w:tc>
        <w:tc>
          <w:tcPr>
            <w:tcW w:w="8920" w:type="dxa"/>
            <w:vAlign w:val="bottom"/>
          </w:tcPr>
          <w:p>
            <w:pPr>
              <w:ind w:left="900"/>
              <w:spacing w:after="0"/>
              <w:rPr>
                <w:sz w:val="20"/>
                <w:szCs w:val="20"/>
                <w:color w:val="auto"/>
              </w:rPr>
            </w:pPr>
            <w:r>
              <w:rPr>
                <w:rFonts w:ascii="Arial" w:cs="Arial" w:eastAsia="Arial" w:hAnsi="Arial"/>
                <w:sz w:val="16"/>
                <w:szCs w:val="16"/>
                <w:color w:val="auto"/>
                <w:w w:val="95"/>
              </w:rPr>
              <w:t>the admission of all the Shares to the Nasdaq, the Official List of the United Kingdom Listing Authority, the AIM Market</w:t>
            </w:r>
          </w:p>
        </w:tc>
      </w:tr>
      <w:tr>
        <w:trPr>
          <w:trHeight w:val="196"/>
        </w:trPr>
        <w:tc>
          <w:tcPr>
            <w:tcW w:w="2540" w:type="dxa"/>
            <w:vAlign w:val="bottom"/>
          </w:tcPr>
          <w:p>
            <w:pPr>
              <w:spacing w:after="0"/>
              <w:rPr>
                <w:sz w:val="17"/>
                <w:szCs w:val="17"/>
                <w:color w:val="auto"/>
              </w:rPr>
            </w:pPr>
          </w:p>
        </w:tc>
        <w:tc>
          <w:tcPr>
            <w:tcW w:w="8920" w:type="dxa"/>
            <w:vAlign w:val="bottom"/>
          </w:tcPr>
          <w:p>
            <w:pPr>
              <w:ind w:left="900"/>
              <w:spacing w:after="0"/>
              <w:rPr>
                <w:sz w:val="20"/>
                <w:szCs w:val="20"/>
                <w:color w:val="auto"/>
              </w:rPr>
            </w:pPr>
            <w:r>
              <w:rPr>
                <w:rFonts w:ascii="Arial" w:cs="Arial" w:eastAsia="Arial" w:hAnsi="Arial"/>
                <w:sz w:val="16"/>
                <w:szCs w:val="16"/>
                <w:color w:val="auto"/>
                <w:w w:val="98"/>
              </w:rPr>
              <w:t>or any other recognised investment exchange at a per share public offering price of not less than three times the B</w:t>
            </w:r>
          </w:p>
        </w:tc>
      </w:tr>
      <w:tr>
        <w:trPr>
          <w:trHeight w:val="207"/>
        </w:trPr>
        <w:tc>
          <w:tcPr>
            <w:tcW w:w="2540" w:type="dxa"/>
            <w:vAlign w:val="bottom"/>
          </w:tcPr>
          <w:p>
            <w:pPr>
              <w:spacing w:after="0"/>
              <w:rPr>
                <w:sz w:val="18"/>
                <w:szCs w:val="18"/>
                <w:color w:val="auto"/>
              </w:rPr>
            </w:pPr>
          </w:p>
        </w:tc>
        <w:tc>
          <w:tcPr>
            <w:tcW w:w="8920" w:type="dxa"/>
            <w:vAlign w:val="bottom"/>
          </w:tcPr>
          <w:p>
            <w:pPr>
              <w:ind w:left="900"/>
              <w:spacing w:after="0"/>
              <w:rPr>
                <w:sz w:val="20"/>
                <w:szCs w:val="20"/>
                <w:color w:val="auto"/>
              </w:rPr>
            </w:pPr>
            <w:r>
              <w:rPr>
                <w:rFonts w:ascii="Arial" w:cs="Arial" w:eastAsia="Arial" w:hAnsi="Arial"/>
                <w:sz w:val="16"/>
                <w:szCs w:val="16"/>
                <w:color w:val="auto"/>
              </w:rPr>
              <w:t>Ordinary Issue Price (as at the date of Adoption) for a total offering size of not less than £50 million;</w:t>
            </w:r>
          </w:p>
        </w:tc>
      </w:tr>
      <w:tr>
        <w:trPr>
          <w:trHeight w:val="391"/>
        </w:trPr>
        <w:tc>
          <w:tcPr>
            <w:tcW w:w="2540" w:type="dxa"/>
            <w:vAlign w:val="bottom"/>
          </w:tcPr>
          <w:p>
            <w:pPr>
              <w:spacing w:after="0"/>
              <w:rPr>
                <w:sz w:val="20"/>
                <w:szCs w:val="20"/>
                <w:color w:val="auto"/>
              </w:rPr>
            </w:pPr>
            <w:r>
              <w:rPr>
                <w:rFonts w:ascii="Arial" w:cs="Arial" w:eastAsia="Arial" w:hAnsi="Arial"/>
                <w:sz w:val="16"/>
                <w:szCs w:val="16"/>
                <w:b w:val="1"/>
                <w:bCs w:val="1"/>
                <w:color w:val="auto"/>
              </w:rPr>
              <w:t>Qualifying Company</w:t>
            </w:r>
          </w:p>
        </w:tc>
        <w:tc>
          <w:tcPr>
            <w:tcW w:w="8920" w:type="dxa"/>
            <w:vAlign w:val="bottom"/>
          </w:tcPr>
          <w:p>
            <w:pPr>
              <w:ind w:left="900"/>
              <w:spacing w:after="0"/>
              <w:rPr>
                <w:sz w:val="20"/>
                <w:szCs w:val="20"/>
                <w:color w:val="auto"/>
              </w:rPr>
            </w:pPr>
            <w:r>
              <w:rPr>
                <w:rFonts w:ascii="Arial" w:cs="Arial" w:eastAsia="Arial" w:hAnsi="Arial"/>
                <w:sz w:val="16"/>
                <w:szCs w:val="16"/>
                <w:color w:val="auto"/>
              </w:rPr>
              <w:t>shall have the meaning given to the term in Article 13.6;</w:t>
            </w:r>
          </w:p>
        </w:tc>
      </w:tr>
      <w:tr>
        <w:trPr>
          <w:trHeight w:val="391"/>
        </w:trPr>
        <w:tc>
          <w:tcPr>
            <w:tcW w:w="2540" w:type="dxa"/>
            <w:vAlign w:val="bottom"/>
          </w:tcPr>
          <w:p>
            <w:pPr>
              <w:spacing w:after="0"/>
              <w:rPr>
                <w:sz w:val="20"/>
                <w:szCs w:val="20"/>
                <w:color w:val="auto"/>
              </w:rPr>
            </w:pPr>
            <w:r>
              <w:rPr>
                <w:rFonts w:ascii="Arial" w:cs="Arial" w:eastAsia="Arial" w:hAnsi="Arial"/>
                <w:sz w:val="16"/>
                <w:szCs w:val="16"/>
                <w:b w:val="1"/>
                <w:bCs w:val="1"/>
                <w:color w:val="auto"/>
              </w:rPr>
              <w:t>Qualifying Issue</w:t>
            </w:r>
          </w:p>
        </w:tc>
        <w:tc>
          <w:tcPr>
            <w:tcW w:w="8920" w:type="dxa"/>
            <w:vAlign w:val="bottom"/>
          </w:tcPr>
          <w:p>
            <w:pPr>
              <w:ind w:left="900"/>
              <w:spacing w:after="0"/>
              <w:rPr>
                <w:sz w:val="20"/>
                <w:szCs w:val="20"/>
                <w:color w:val="auto"/>
              </w:rPr>
            </w:pPr>
            <w:r>
              <w:rPr>
                <w:rFonts w:ascii="Arial" w:cs="Arial" w:eastAsia="Arial" w:hAnsi="Arial"/>
                <w:sz w:val="16"/>
                <w:szCs w:val="16"/>
                <w:color w:val="auto"/>
              </w:rPr>
              <w:t>shall have the meaning given to the term in Article 8.7;</w:t>
            </w:r>
          </w:p>
        </w:tc>
      </w:tr>
      <w:tr>
        <w:trPr>
          <w:trHeight w:val="380"/>
        </w:trPr>
        <w:tc>
          <w:tcPr>
            <w:tcW w:w="2540" w:type="dxa"/>
            <w:vAlign w:val="bottom"/>
          </w:tcPr>
          <w:p>
            <w:pPr>
              <w:spacing w:after="0"/>
              <w:rPr>
                <w:sz w:val="20"/>
                <w:szCs w:val="20"/>
                <w:color w:val="auto"/>
              </w:rPr>
            </w:pPr>
            <w:r>
              <w:rPr>
                <w:rFonts w:ascii="Arial" w:cs="Arial" w:eastAsia="Arial" w:hAnsi="Arial"/>
                <w:sz w:val="16"/>
                <w:szCs w:val="16"/>
                <w:b w:val="1"/>
                <w:bCs w:val="1"/>
                <w:color w:val="auto"/>
              </w:rPr>
              <w:t>Restrictive Covenants</w:t>
            </w:r>
          </w:p>
        </w:tc>
        <w:tc>
          <w:tcPr>
            <w:tcW w:w="8920" w:type="dxa"/>
            <w:vAlign w:val="bottom"/>
          </w:tcPr>
          <w:p>
            <w:pPr>
              <w:ind w:left="900"/>
              <w:spacing w:after="0"/>
              <w:rPr>
                <w:sz w:val="20"/>
                <w:szCs w:val="20"/>
                <w:color w:val="auto"/>
              </w:rPr>
            </w:pPr>
            <w:r>
              <w:rPr>
                <w:rFonts w:ascii="Arial" w:cs="Arial" w:eastAsia="Arial" w:hAnsi="Arial"/>
                <w:sz w:val="16"/>
                <w:szCs w:val="16"/>
                <w:color w:val="auto"/>
                <w:w w:val="97"/>
              </w:rPr>
              <w:t>obligations in respect of confidentiality, intellectual property, non-solicitation, non-dealing, non-poaching and/or non-</w:t>
            </w:r>
          </w:p>
        </w:tc>
      </w:tr>
      <w:tr>
        <w:trPr>
          <w:trHeight w:val="207"/>
        </w:trPr>
        <w:tc>
          <w:tcPr>
            <w:tcW w:w="2540" w:type="dxa"/>
            <w:vAlign w:val="bottom"/>
          </w:tcPr>
          <w:p>
            <w:pPr>
              <w:spacing w:after="0"/>
              <w:rPr>
                <w:sz w:val="18"/>
                <w:szCs w:val="18"/>
                <w:color w:val="auto"/>
              </w:rPr>
            </w:pPr>
          </w:p>
        </w:tc>
        <w:tc>
          <w:tcPr>
            <w:tcW w:w="8920" w:type="dxa"/>
            <w:vAlign w:val="bottom"/>
          </w:tcPr>
          <w:p>
            <w:pPr>
              <w:ind w:left="900"/>
              <w:spacing w:after="0"/>
              <w:rPr>
                <w:sz w:val="20"/>
                <w:szCs w:val="20"/>
                <w:color w:val="auto"/>
              </w:rPr>
            </w:pPr>
            <w:r>
              <w:rPr>
                <w:rFonts w:ascii="Arial" w:cs="Arial" w:eastAsia="Arial" w:hAnsi="Arial"/>
                <w:sz w:val="16"/>
                <w:szCs w:val="16"/>
                <w:color w:val="auto"/>
              </w:rPr>
              <w:t>competition;</w:t>
            </w:r>
          </w:p>
        </w:tc>
      </w:tr>
      <w:tr>
        <w:trPr>
          <w:trHeight w:val="391"/>
        </w:trPr>
        <w:tc>
          <w:tcPr>
            <w:tcW w:w="2540" w:type="dxa"/>
            <w:vAlign w:val="bottom"/>
          </w:tcPr>
          <w:p>
            <w:pPr>
              <w:spacing w:after="0"/>
              <w:rPr>
                <w:sz w:val="20"/>
                <w:szCs w:val="20"/>
                <w:color w:val="auto"/>
              </w:rPr>
            </w:pPr>
            <w:r>
              <w:rPr>
                <w:rFonts w:ascii="Arial" w:cs="Arial" w:eastAsia="Arial" w:hAnsi="Arial"/>
                <w:sz w:val="16"/>
                <w:szCs w:val="16"/>
                <w:b w:val="1"/>
                <w:bCs w:val="1"/>
                <w:color w:val="auto"/>
              </w:rPr>
              <w:t>Sale Shares</w:t>
            </w:r>
          </w:p>
        </w:tc>
        <w:tc>
          <w:tcPr>
            <w:tcW w:w="8920" w:type="dxa"/>
            <w:vAlign w:val="bottom"/>
          </w:tcPr>
          <w:p>
            <w:pPr>
              <w:ind w:left="900"/>
              <w:spacing w:after="0"/>
              <w:rPr>
                <w:sz w:val="20"/>
                <w:szCs w:val="20"/>
                <w:color w:val="auto"/>
              </w:rPr>
            </w:pPr>
            <w:r>
              <w:rPr>
                <w:rFonts w:ascii="Arial" w:cs="Arial" w:eastAsia="Arial" w:hAnsi="Arial"/>
                <w:sz w:val="16"/>
                <w:szCs w:val="16"/>
                <w:color w:val="auto"/>
              </w:rPr>
              <w:t>shall have the meaning given to the term in Article 14.2(a);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-3689350</wp:posOffset>
            </wp:positionV>
            <wp:extent cx="12700"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-3689350</wp:posOffset>
            </wp:positionV>
            <wp:extent cx="12700"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8" w:right="199" w:bottom="0" w:gutter="0" w:footer="0" w:header="0"/>
          <w:type w:val="continuous"/>
        </w:sectPr>
      </w:pPr>
    </w:p>
    <w:bookmarkStart w:id="329" w:name="page330"/>
    <w:bookmarkEnd w:id="329"/>
    <w:tbl>
      <w:tblPr>
        <w:tblLayout w:type="fixed"/>
        <w:tblInd w:w="0" w:type="dxa"/>
        <w:tblCellMar>
          <w:top w:w="0" w:type="dxa"/>
          <w:left w:w="0" w:type="dxa"/>
          <w:bottom w:w="0" w:type="dxa"/>
          <w:right w:w="0" w:type="dxa"/>
        </w:tblCellMar>
      </w:tblPr>
      <w:tr>
        <w:trPr>
          <w:trHeight w:val="211"/>
        </w:trPr>
        <w:tc>
          <w:tcPr>
            <w:tcW w:w="2340" w:type="dxa"/>
            <w:vAlign w:val="bottom"/>
          </w:tcPr>
          <w:p>
            <w:pPr>
              <w:spacing w:after="0"/>
              <w:rPr>
                <w:sz w:val="20"/>
                <w:szCs w:val="20"/>
                <w:color w:val="auto"/>
              </w:rPr>
            </w:pPr>
            <w:r>
              <w:rPr>
                <w:rFonts w:ascii="Arial" w:cs="Arial" w:eastAsia="Arial" w:hAnsi="Arial"/>
                <w:sz w:val="16"/>
                <w:szCs w:val="16"/>
                <w:b w:val="1"/>
                <w:bCs w:val="1"/>
                <w:color w:val="auto"/>
              </w:rPr>
              <w:t>Sale or Sale Event</w:t>
            </w:r>
          </w:p>
        </w:tc>
        <w:tc>
          <w:tcPr>
            <w:tcW w:w="9120" w:type="dxa"/>
            <w:vAlign w:val="bottom"/>
          </w:tcPr>
          <w:p>
            <w:pPr>
              <w:ind w:left="1100"/>
              <w:spacing w:after="0"/>
              <w:rPr>
                <w:sz w:val="20"/>
                <w:szCs w:val="20"/>
                <w:color w:val="auto"/>
              </w:rPr>
            </w:pPr>
            <w:r>
              <w:rPr>
                <w:rFonts w:ascii="Arial" w:cs="Arial" w:eastAsia="Arial" w:hAnsi="Arial"/>
                <w:sz w:val="16"/>
                <w:szCs w:val="16"/>
                <w:color w:val="auto"/>
              </w:rPr>
              <w:t>shall mean any of the following:</w:t>
            </w:r>
          </w:p>
        </w:tc>
      </w:tr>
      <w:tr>
        <w:trPr>
          <w:trHeight w:val="391"/>
        </w:trPr>
        <w:tc>
          <w:tcPr>
            <w:tcW w:w="2340" w:type="dxa"/>
            <w:vAlign w:val="bottom"/>
          </w:tcPr>
          <w:p>
            <w:pPr>
              <w:spacing w:after="0"/>
              <w:rPr>
                <w:sz w:val="24"/>
                <w:szCs w:val="24"/>
                <w:color w:val="auto"/>
              </w:rPr>
            </w:pPr>
          </w:p>
        </w:tc>
        <w:tc>
          <w:tcPr>
            <w:tcW w:w="9120" w:type="dxa"/>
            <w:vAlign w:val="bottom"/>
          </w:tcPr>
          <w:p>
            <w:pPr>
              <w:ind w:left="1100"/>
              <w:spacing w:after="0"/>
              <w:rPr>
                <w:sz w:val="20"/>
                <w:szCs w:val="20"/>
                <w:color w:val="auto"/>
              </w:rPr>
            </w:pPr>
            <w:r>
              <w:rPr>
                <w:rFonts w:ascii="Arial" w:cs="Arial" w:eastAsia="Arial" w:hAnsi="Arial"/>
                <w:sz w:val="16"/>
                <w:szCs w:val="16"/>
                <w:color w:val="auto"/>
              </w:rPr>
              <w:t>(a)  a Business Sale, unless deemed not to be a Sale Event by a Preferred Majority; or</w:t>
            </w:r>
          </w:p>
        </w:tc>
      </w:tr>
      <w:tr>
        <w:trPr>
          <w:trHeight w:val="391"/>
        </w:trPr>
        <w:tc>
          <w:tcPr>
            <w:tcW w:w="2340" w:type="dxa"/>
            <w:vAlign w:val="bottom"/>
          </w:tcPr>
          <w:p>
            <w:pPr>
              <w:spacing w:after="0"/>
              <w:rPr>
                <w:sz w:val="24"/>
                <w:szCs w:val="24"/>
                <w:color w:val="auto"/>
              </w:rPr>
            </w:pPr>
          </w:p>
        </w:tc>
        <w:tc>
          <w:tcPr>
            <w:tcW w:w="9120" w:type="dxa"/>
            <w:vAlign w:val="bottom"/>
          </w:tcPr>
          <w:p>
            <w:pPr>
              <w:ind w:left="1100"/>
              <w:spacing w:after="0"/>
              <w:rPr>
                <w:sz w:val="20"/>
                <w:szCs w:val="20"/>
                <w:color w:val="auto"/>
              </w:rPr>
            </w:pPr>
            <w:r>
              <w:rPr>
                <w:rFonts w:ascii="Arial" w:cs="Arial" w:eastAsia="Arial" w:hAnsi="Arial"/>
                <w:sz w:val="16"/>
                <w:szCs w:val="16"/>
                <w:color w:val="auto"/>
              </w:rPr>
              <w:t>(b)  a Share Sale,</w:t>
            </w:r>
          </w:p>
        </w:tc>
      </w:tr>
      <w:tr>
        <w:trPr>
          <w:trHeight w:val="391"/>
        </w:trPr>
        <w:tc>
          <w:tcPr>
            <w:tcW w:w="2340" w:type="dxa"/>
            <w:vAlign w:val="bottom"/>
          </w:tcPr>
          <w:p>
            <w:pPr>
              <w:spacing w:after="0"/>
              <w:rPr>
                <w:sz w:val="24"/>
                <w:szCs w:val="24"/>
                <w:color w:val="auto"/>
              </w:rPr>
            </w:pPr>
          </w:p>
        </w:tc>
        <w:tc>
          <w:tcPr>
            <w:tcW w:w="9120" w:type="dxa"/>
            <w:vAlign w:val="bottom"/>
          </w:tcPr>
          <w:p>
            <w:pPr>
              <w:ind w:left="1100"/>
              <w:spacing w:after="0"/>
              <w:rPr>
                <w:sz w:val="20"/>
                <w:szCs w:val="20"/>
                <w:color w:val="auto"/>
              </w:rPr>
            </w:pPr>
            <w:r>
              <w:rPr>
                <w:rFonts w:ascii="Arial" w:cs="Arial" w:eastAsia="Arial" w:hAnsi="Arial"/>
                <w:sz w:val="16"/>
                <w:szCs w:val="16"/>
                <w:color w:val="auto"/>
              </w:rPr>
              <w:t>(each of the foregoing being referred to individually as a “</w:t>
            </w:r>
            <w:r>
              <w:rPr>
                <w:rFonts w:ascii="Arial" w:cs="Arial" w:eastAsia="Arial" w:hAnsi="Arial"/>
                <w:sz w:val="16"/>
                <w:szCs w:val="16"/>
                <w:b w:val="1"/>
                <w:bCs w:val="1"/>
                <w:color w:val="auto"/>
              </w:rPr>
              <w:t>Sale Event</w:t>
            </w:r>
            <w:r>
              <w:rPr>
                <w:rFonts w:ascii="Arial" w:cs="Arial" w:eastAsia="Arial" w:hAnsi="Arial"/>
                <w:sz w:val="16"/>
                <w:szCs w:val="16"/>
                <w:color w:val="auto"/>
              </w:rPr>
              <w:t>”);</w:t>
            </w:r>
          </w:p>
        </w:tc>
      </w:tr>
      <w:tr>
        <w:trPr>
          <w:trHeight w:val="391"/>
        </w:trPr>
        <w:tc>
          <w:tcPr>
            <w:tcW w:w="2340" w:type="dxa"/>
            <w:vAlign w:val="bottom"/>
          </w:tcPr>
          <w:p>
            <w:pPr>
              <w:spacing w:after="0"/>
              <w:rPr>
                <w:sz w:val="20"/>
                <w:szCs w:val="20"/>
                <w:color w:val="auto"/>
              </w:rPr>
            </w:pPr>
            <w:r>
              <w:rPr>
                <w:rFonts w:ascii="Arial" w:cs="Arial" w:eastAsia="Arial" w:hAnsi="Arial"/>
                <w:sz w:val="16"/>
                <w:szCs w:val="16"/>
                <w:b w:val="1"/>
                <w:bCs w:val="1"/>
                <w:color w:val="auto"/>
              </w:rPr>
              <w:t>Seller</w:t>
            </w:r>
          </w:p>
        </w:tc>
        <w:tc>
          <w:tcPr>
            <w:tcW w:w="9120" w:type="dxa"/>
            <w:vAlign w:val="bottom"/>
          </w:tcPr>
          <w:p>
            <w:pPr>
              <w:ind w:left="1100"/>
              <w:spacing w:after="0"/>
              <w:rPr>
                <w:sz w:val="20"/>
                <w:szCs w:val="20"/>
                <w:color w:val="auto"/>
              </w:rPr>
            </w:pPr>
            <w:r>
              <w:rPr>
                <w:rFonts w:ascii="Arial" w:cs="Arial" w:eastAsia="Arial" w:hAnsi="Arial"/>
                <w:sz w:val="16"/>
                <w:szCs w:val="16"/>
                <w:color w:val="auto"/>
              </w:rPr>
              <w:t>shall have the meaning given to the term in Article 14.2;</w:t>
            </w:r>
          </w:p>
        </w:tc>
      </w:tr>
      <w:tr>
        <w:trPr>
          <w:trHeight w:val="380"/>
        </w:trPr>
        <w:tc>
          <w:tcPr>
            <w:tcW w:w="2340" w:type="dxa"/>
            <w:vAlign w:val="bottom"/>
          </w:tcPr>
          <w:p>
            <w:pPr>
              <w:spacing w:after="0"/>
              <w:rPr>
                <w:sz w:val="20"/>
                <w:szCs w:val="20"/>
                <w:color w:val="auto"/>
              </w:rPr>
            </w:pPr>
            <w:r>
              <w:rPr>
                <w:rFonts w:ascii="Arial" w:cs="Arial" w:eastAsia="Arial" w:hAnsi="Arial"/>
                <w:sz w:val="16"/>
                <w:szCs w:val="16"/>
                <w:b w:val="1"/>
                <w:bCs w:val="1"/>
                <w:color w:val="auto"/>
              </w:rPr>
              <w:t>Share Sale</w:t>
            </w:r>
          </w:p>
        </w:tc>
        <w:tc>
          <w:tcPr>
            <w:tcW w:w="9120" w:type="dxa"/>
            <w:vAlign w:val="bottom"/>
          </w:tcPr>
          <w:p>
            <w:pPr>
              <w:ind w:left="1100"/>
              <w:spacing w:after="0"/>
              <w:rPr>
                <w:sz w:val="20"/>
                <w:szCs w:val="20"/>
                <w:color w:val="auto"/>
              </w:rPr>
            </w:pPr>
            <w:r>
              <w:rPr>
                <w:rFonts w:ascii="Arial" w:cs="Arial" w:eastAsia="Arial" w:hAnsi="Arial"/>
                <w:sz w:val="16"/>
                <w:szCs w:val="16"/>
                <w:color w:val="auto"/>
                <w:w w:val="92"/>
              </w:rPr>
              <w:t>means a sale or other transfer of the whole or any part of the issued share capital of the Company on arm’s length terms to</w:t>
            </w:r>
          </w:p>
        </w:tc>
      </w:tr>
      <w:tr>
        <w:trPr>
          <w:trHeight w:val="196"/>
        </w:trPr>
        <w:tc>
          <w:tcPr>
            <w:tcW w:w="2340" w:type="dxa"/>
            <w:vAlign w:val="bottom"/>
          </w:tcPr>
          <w:p>
            <w:pPr>
              <w:spacing w:after="0"/>
              <w:rPr>
                <w:sz w:val="17"/>
                <w:szCs w:val="17"/>
                <w:color w:val="auto"/>
              </w:rPr>
            </w:pPr>
          </w:p>
        </w:tc>
        <w:tc>
          <w:tcPr>
            <w:tcW w:w="9120" w:type="dxa"/>
            <w:vAlign w:val="bottom"/>
          </w:tcPr>
          <w:p>
            <w:pPr>
              <w:ind w:left="1100"/>
              <w:spacing w:after="0"/>
              <w:rPr>
                <w:sz w:val="20"/>
                <w:szCs w:val="20"/>
                <w:color w:val="auto"/>
              </w:rPr>
            </w:pPr>
            <w:r>
              <w:rPr>
                <w:rFonts w:ascii="Arial" w:cs="Arial" w:eastAsia="Arial" w:hAnsi="Arial"/>
                <w:sz w:val="16"/>
                <w:szCs w:val="16"/>
                <w:color w:val="auto"/>
                <w:w w:val="92"/>
              </w:rPr>
              <w:t>any person (or any merger or scheme of arrangement resulting in any persons holding Shares) and resulting in that person</w:t>
            </w:r>
          </w:p>
        </w:tc>
      </w:tr>
      <w:tr>
        <w:trPr>
          <w:trHeight w:val="196"/>
        </w:trPr>
        <w:tc>
          <w:tcPr>
            <w:tcW w:w="2340" w:type="dxa"/>
            <w:vAlign w:val="bottom"/>
          </w:tcPr>
          <w:p>
            <w:pPr>
              <w:spacing w:after="0"/>
              <w:rPr>
                <w:sz w:val="17"/>
                <w:szCs w:val="17"/>
                <w:color w:val="auto"/>
              </w:rPr>
            </w:pPr>
          </w:p>
        </w:tc>
        <w:tc>
          <w:tcPr>
            <w:tcW w:w="9120" w:type="dxa"/>
            <w:vAlign w:val="bottom"/>
          </w:tcPr>
          <w:p>
            <w:pPr>
              <w:ind w:left="1100"/>
              <w:spacing w:after="0"/>
              <w:rPr>
                <w:sz w:val="20"/>
                <w:szCs w:val="20"/>
                <w:color w:val="auto"/>
              </w:rPr>
            </w:pPr>
            <w:r>
              <w:rPr>
                <w:rFonts w:ascii="Arial" w:cs="Arial" w:eastAsia="Arial" w:hAnsi="Arial"/>
                <w:sz w:val="16"/>
                <w:szCs w:val="16"/>
                <w:color w:val="auto"/>
                <w:w w:val="94"/>
              </w:rPr>
              <w:t>together with all person (if any) acting in concert (within the meaning given in the City Code on Takeovers and Mergers)</w:t>
            </w:r>
          </w:p>
        </w:tc>
      </w:tr>
      <w:tr>
        <w:trPr>
          <w:trHeight w:val="207"/>
        </w:trPr>
        <w:tc>
          <w:tcPr>
            <w:tcW w:w="2340" w:type="dxa"/>
            <w:vAlign w:val="bottom"/>
          </w:tcPr>
          <w:p>
            <w:pPr>
              <w:spacing w:after="0"/>
              <w:rPr>
                <w:sz w:val="18"/>
                <w:szCs w:val="18"/>
                <w:color w:val="auto"/>
              </w:rPr>
            </w:pPr>
          </w:p>
        </w:tc>
        <w:tc>
          <w:tcPr>
            <w:tcW w:w="9120" w:type="dxa"/>
            <w:vAlign w:val="bottom"/>
          </w:tcPr>
          <w:p>
            <w:pPr>
              <w:ind w:left="1100"/>
              <w:spacing w:after="0"/>
              <w:rPr>
                <w:sz w:val="20"/>
                <w:szCs w:val="20"/>
                <w:color w:val="auto"/>
              </w:rPr>
            </w:pPr>
            <w:r>
              <w:rPr>
                <w:rFonts w:ascii="Arial" w:cs="Arial" w:eastAsia="Arial" w:hAnsi="Arial"/>
                <w:sz w:val="16"/>
                <w:szCs w:val="16"/>
                <w:color w:val="auto"/>
              </w:rPr>
              <w:t>with such person together holding a Controlling Interest in the Company;</w:t>
            </w:r>
          </w:p>
        </w:tc>
      </w:tr>
      <w:tr>
        <w:trPr>
          <w:trHeight w:val="391"/>
        </w:trPr>
        <w:tc>
          <w:tcPr>
            <w:tcW w:w="2340" w:type="dxa"/>
            <w:vAlign w:val="bottom"/>
          </w:tcPr>
          <w:p>
            <w:pPr>
              <w:spacing w:after="0"/>
              <w:rPr>
                <w:sz w:val="20"/>
                <w:szCs w:val="20"/>
                <w:color w:val="auto"/>
              </w:rPr>
            </w:pPr>
            <w:r>
              <w:rPr>
                <w:rFonts w:ascii="Arial" w:cs="Arial" w:eastAsia="Arial" w:hAnsi="Arial"/>
                <w:sz w:val="16"/>
                <w:szCs w:val="16"/>
                <w:b w:val="1"/>
                <w:bCs w:val="1"/>
                <w:color w:val="auto"/>
              </w:rPr>
              <w:t>Shareholder</w:t>
            </w:r>
          </w:p>
        </w:tc>
        <w:tc>
          <w:tcPr>
            <w:tcW w:w="9120" w:type="dxa"/>
            <w:vAlign w:val="bottom"/>
          </w:tcPr>
          <w:p>
            <w:pPr>
              <w:ind w:left="1100"/>
              <w:spacing w:after="0"/>
              <w:rPr>
                <w:sz w:val="20"/>
                <w:szCs w:val="20"/>
                <w:color w:val="auto"/>
              </w:rPr>
            </w:pPr>
            <w:r>
              <w:rPr>
                <w:rFonts w:ascii="Arial" w:cs="Arial" w:eastAsia="Arial" w:hAnsi="Arial"/>
                <w:sz w:val="16"/>
                <w:szCs w:val="16"/>
                <w:color w:val="auto"/>
              </w:rPr>
              <w:t>any holder of any Shares;</w:t>
            </w:r>
          </w:p>
        </w:tc>
      </w:tr>
      <w:tr>
        <w:trPr>
          <w:trHeight w:val="391"/>
        </w:trPr>
        <w:tc>
          <w:tcPr>
            <w:tcW w:w="2340" w:type="dxa"/>
            <w:vAlign w:val="bottom"/>
          </w:tcPr>
          <w:p>
            <w:pPr>
              <w:spacing w:after="0"/>
              <w:rPr>
                <w:sz w:val="20"/>
                <w:szCs w:val="20"/>
                <w:color w:val="auto"/>
              </w:rPr>
            </w:pPr>
            <w:r>
              <w:rPr>
                <w:rFonts w:ascii="Arial" w:cs="Arial" w:eastAsia="Arial" w:hAnsi="Arial"/>
                <w:sz w:val="16"/>
                <w:szCs w:val="16"/>
                <w:b w:val="1"/>
                <w:bCs w:val="1"/>
                <w:color w:val="auto"/>
              </w:rPr>
              <w:t>Shares</w:t>
            </w:r>
          </w:p>
        </w:tc>
        <w:tc>
          <w:tcPr>
            <w:tcW w:w="9120" w:type="dxa"/>
            <w:vAlign w:val="bottom"/>
          </w:tcPr>
          <w:p>
            <w:pPr>
              <w:ind w:left="1100"/>
              <w:spacing w:after="0"/>
              <w:rPr>
                <w:sz w:val="20"/>
                <w:szCs w:val="20"/>
                <w:color w:val="auto"/>
              </w:rPr>
            </w:pPr>
            <w:r>
              <w:rPr>
                <w:rFonts w:ascii="Arial" w:cs="Arial" w:eastAsia="Arial" w:hAnsi="Arial"/>
                <w:sz w:val="16"/>
                <w:szCs w:val="16"/>
                <w:color w:val="auto"/>
              </w:rPr>
              <w:t>the Deferred Shares, Ordinary Shares, the A Ordinary Shares and B Ordinary Shares from time to time;</w:t>
            </w:r>
          </w:p>
        </w:tc>
      </w:tr>
      <w:tr>
        <w:trPr>
          <w:trHeight w:val="391"/>
        </w:trPr>
        <w:tc>
          <w:tcPr>
            <w:tcW w:w="2340" w:type="dxa"/>
            <w:vAlign w:val="bottom"/>
          </w:tcPr>
          <w:p>
            <w:pPr>
              <w:spacing w:after="0"/>
              <w:rPr>
                <w:sz w:val="24"/>
                <w:szCs w:val="24"/>
                <w:color w:val="auto"/>
              </w:rPr>
            </w:pPr>
          </w:p>
        </w:tc>
        <w:tc>
          <w:tcPr>
            <w:tcW w:w="9120" w:type="dxa"/>
            <w:vAlign w:val="bottom"/>
          </w:tcPr>
          <w:p>
            <w:pPr>
              <w:ind w:left="3300"/>
              <w:spacing w:after="0"/>
              <w:rPr>
                <w:sz w:val="20"/>
                <w:szCs w:val="20"/>
                <w:color w:val="auto"/>
              </w:rPr>
            </w:pPr>
            <w:r>
              <w:rPr>
                <w:rFonts w:ascii="Arial" w:cs="Arial" w:eastAsia="Arial" w:hAnsi="Arial"/>
                <w:sz w:val="16"/>
                <w:szCs w:val="16"/>
                <w:color w:val="auto"/>
              </w:rPr>
              <w:t>10</w:t>
            </w:r>
          </w:p>
        </w:tc>
      </w:tr>
      <w:tr>
        <w:trPr>
          <w:trHeight w:val="119"/>
        </w:trPr>
        <w:tc>
          <w:tcPr>
            <w:tcW w:w="2340" w:type="dxa"/>
            <w:vAlign w:val="bottom"/>
            <w:tcBorders>
              <w:bottom w:val="single" w:sz="8" w:color="808080"/>
            </w:tcBorders>
          </w:tcPr>
          <w:p>
            <w:pPr>
              <w:spacing w:after="0"/>
              <w:rPr>
                <w:sz w:val="10"/>
                <w:szCs w:val="10"/>
                <w:color w:val="auto"/>
              </w:rPr>
            </w:pPr>
          </w:p>
        </w:tc>
        <w:tc>
          <w:tcPr>
            <w:tcW w:w="9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330" w:name="page331"/>
    <w:bookmarkEnd w:id="330"/>
    <w:p>
      <w:pPr>
        <w:ind w:left="2"/>
        <w:spacing w:after="0"/>
        <w:rPr>
          <w:sz w:val="20"/>
          <w:szCs w:val="20"/>
          <w:color w:val="auto"/>
        </w:rPr>
      </w:pPr>
      <w:r>
        <w:rPr>
          <w:rFonts w:ascii="Arial" w:cs="Arial" w:eastAsia="Arial" w:hAnsi="Arial"/>
          <w:sz w:val="14"/>
          <w:szCs w:val="14"/>
          <w:b w:val="1"/>
          <w:bCs w:val="1"/>
          <w:color w:val="auto"/>
        </w:rPr>
        <w:t>S.R. 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S.R. One, Limited of Corporation Service Company, 2595 Interstate Drive, Suite 103, Harrisburg, PA 17110, USA;</w:t>
      </w:r>
    </w:p>
    <w:p>
      <w:pPr>
        <w:spacing w:after="0" w:line="200" w:lineRule="exact"/>
        <w:rPr>
          <w:sz w:val="20"/>
          <w:szCs w:val="20"/>
          <w:color w:val="auto"/>
        </w:rPr>
      </w:pPr>
    </w:p>
    <w:p>
      <w:pPr>
        <w:sectPr>
          <w:pgSz w:w="11900" w:h="16838" w:orient="portrait"/>
          <w:cols w:equalWidth="0" w:num="2">
            <w:col w:w="2722" w:space="720"/>
            <w:col w:w="7920"/>
          </w:cols>
          <w:pgMar w:left="238" w:top="318" w:right="299" w:bottom="1440" w:gutter="0" w:footer="0" w:header="0"/>
        </w:sectPr>
      </w:pPr>
    </w:p>
    <w:p>
      <w:pPr>
        <w:spacing w:after="0" w:line="26" w:lineRule="exact"/>
        <w:rPr>
          <w:sz w:val="20"/>
          <w:szCs w:val="20"/>
          <w:color w:val="auto"/>
        </w:rPr>
      </w:pPr>
    </w:p>
    <w:p>
      <w:pPr>
        <w:ind w:left="2"/>
        <w:spacing w:after="0" w:line="290" w:lineRule="auto"/>
        <w:rPr>
          <w:sz w:val="20"/>
          <w:szCs w:val="20"/>
          <w:color w:val="auto"/>
        </w:rPr>
      </w:pPr>
      <w:r>
        <w:rPr>
          <w:rFonts w:ascii="Arial" w:cs="Arial" w:eastAsia="Arial" w:hAnsi="Arial"/>
          <w:sz w:val="16"/>
          <w:szCs w:val="16"/>
          <w:b w:val="1"/>
          <w:bCs w:val="1"/>
          <w:color w:val="auto"/>
        </w:rPr>
        <w:t>Subsidiary, Subsidiary Undertaking and Parent Undertaking</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shall have the meanings given to the terms in the 2006 Act;</w:t>
      </w:r>
    </w:p>
    <w:p>
      <w:pPr>
        <w:spacing w:after="0" w:line="421" w:lineRule="exact"/>
        <w:rPr>
          <w:sz w:val="20"/>
          <w:szCs w:val="20"/>
          <w:color w:val="auto"/>
        </w:rPr>
      </w:pPr>
    </w:p>
    <w:p>
      <w:pPr>
        <w:sectPr>
          <w:pgSz w:w="11900" w:h="16838" w:orient="portrait"/>
          <w:cols w:equalWidth="0" w:num="2">
            <w:col w:w="2802" w:space="640"/>
            <w:col w:w="7920"/>
          </w:cols>
          <w:pgMar w:left="238" w:top="318" w:right="299" w:bottom="1440" w:gutter="0" w:footer="0" w:header="0"/>
          <w:type w:val="continuous"/>
        </w:sectPr>
      </w:pPr>
    </w:p>
    <w:p>
      <w:pPr>
        <w:ind w:left="2"/>
        <w:spacing w:after="0"/>
        <w:rPr>
          <w:sz w:val="20"/>
          <w:szCs w:val="20"/>
          <w:color w:val="auto"/>
        </w:rPr>
      </w:pPr>
      <w:r>
        <w:rPr>
          <w:rFonts w:ascii="Arial" w:cs="Arial" w:eastAsia="Arial" w:hAnsi="Arial"/>
          <w:sz w:val="15"/>
          <w:szCs w:val="15"/>
          <w:b w:val="1"/>
          <w:bCs w:val="1"/>
          <w:color w:val="auto"/>
        </w:rPr>
        <w:t>Super Preferred Majority</w:t>
      </w:r>
    </w:p>
    <w:p>
      <w:pPr>
        <w:spacing w:after="0" w:line="20" w:lineRule="exact"/>
        <w:rPr>
          <w:sz w:val="20"/>
          <w:szCs w:val="20"/>
          <w:color w:val="auto"/>
        </w:rPr>
      </w:pPr>
      <w:r>
        <w:rPr>
          <w:sz w:val="20"/>
          <w:szCs w:val="20"/>
          <w:color w:val="auto"/>
        </w:rPr>
        <w:br w:type="column"/>
      </w:r>
    </w:p>
    <w:p>
      <w:pPr>
        <w:ind w:right="280"/>
        <w:spacing w:after="0" w:line="285" w:lineRule="auto"/>
        <w:rPr>
          <w:sz w:val="20"/>
          <w:szCs w:val="20"/>
          <w:color w:val="auto"/>
        </w:rPr>
      </w:pPr>
      <w:r>
        <w:rPr>
          <w:rFonts w:ascii="Arial" w:cs="Arial" w:eastAsia="Arial" w:hAnsi="Arial"/>
          <w:sz w:val="16"/>
          <w:szCs w:val="16"/>
          <w:color w:val="auto"/>
        </w:rPr>
        <w:t>the Preferred Shareholders holding more than seventy seven percent (77%) of the number of Ordinary Shares held by Preferred Shareholders as at the Date of Adoption on an As Converted Basis;</w:t>
      </w:r>
    </w:p>
    <w:p>
      <w:pPr>
        <w:spacing w:after="0" w:line="146" w:lineRule="exact"/>
        <w:rPr>
          <w:sz w:val="20"/>
          <w:szCs w:val="20"/>
          <w:color w:val="auto"/>
        </w:rPr>
      </w:pPr>
    </w:p>
    <w:p>
      <w:pPr>
        <w:sectPr>
          <w:pgSz w:w="11900" w:h="16838" w:orient="portrait"/>
          <w:cols w:equalWidth="0" w:num="2">
            <w:col w:w="2722" w:space="720"/>
            <w:col w:w="7920"/>
          </w:cols>
          <w:pgMar w:left="238" w:top="318" w:right="299" w:bottom="1440" w:gutter="0" w:footer="0" w:header="0"/>
          <w:type w:val="continuous"/>
        </w:sectPr>
      </w:pPr>
    </w:p>
    <w:p>
      <w:pPr>
        <w:ind w:left="2"/>
        <w:spacing w:after="0"/>
        <w:rPr>
          <w:sz w:val="20"/>
          <w:szCs w:val="20"/>
          <w:color w:val="auto"/>
        </w:rPr>
      </w:pPr>
      <w:r>
        <w:rPr>
          <w:rFonts w:ascii="Arial" w:cs="Arial" w:eastAsia="Arial" w:hAnsi="Arial"/>
          <w:sz w:val="14"/>
          <w:szCs w:val="14"/>
          <w:b w:val="1"/>
          <w:bCs w:val="1"/>
          <w:color w:val="auto"/>
        </w:rPr>
        <w:t>Surplus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surplus assets of the Company remaining after the payment (or other satisfaction) of its liabilities;</w:t>
      </w:r>
    </w:p>
    <w:p>
      <w:pPr>
        <w:spacing w:after="0" w:line="200" w:lineRule="exact"/>
        <w:rPr>
          <w:sz w:val="20"/>
          <w:szCs w:val="20"/>
          <w:color w:val="auto"/>
        </w:rPr>
      </w:pPr>
    </w:p>
    <w:p>
      <w:pPr>
        <w:sectPr>
          <w:pgSz w:w="11900" w:h="16838" w:orient="portrait"/>
          <w:cols w:equalWidth="0" w:num="2">
            <w:col w:w="2722" w:space="720"/>
            <w:col w:w="7920"/>
          </w:cols>
          <w:pgMar w:left="238" w:top="318" w:right="299" w:bottom="1440" w:gutter="0" w:footer="0" w:header="0"/>
          <w:type w:val="continuous"/>
        </w:sectPr>
      </w:pPr>
    </w:p>
    <w:p>
      <w:pPr>
        <w:spacing w:after="0" w:line="26"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SVLSA</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SV Life Sciences Fund V Strategic Partners, L.P. and/or SV Life Sciences Fund V, L.P. of One Boston Place, Suite 3900, Boston, MA 02118 USA;</w:t>
      </w:r>
    </w:p>
    <w:p>
      <w:pPr>
        <w:spacing w:after="0" w:line="146" w:lineRule="exact"/>
        <w:rPr>
          <w:sz w:val="20"/>
          <w:szCs w:val="20"/>
          <w:color w:val="auto"/>
        </w:rPr>
      </w:pPr>
    </w:p>
    <w:p>
      <w:pPr>
        <w:sectPr>
          <w:pgSz w:w="11900" w:h="16838" w:orient="portrait"/>
          <w:cols w:equalWidth="0" w:num="2">
            <w:col w:w="2722" w:space="720"/>
            <w:col w:w="7920"/>
          </w:cols>
          <w:pgMar w:left="238" w:top="318" w:right="299" w:bottom="1440" w:gutter="0" w:footer="0" w:header="0"/>
          <w:type w:val="continuous"/>
        </w:sectPr>
      </w:pPr>
    </w:p>
    <w:p>
      <w:pPr>
        <w:ind w:left="2"/>
        <w:spacing w:after="0"/>
        <w:rPr>
          <w:sz w:val="20"/>
          <w:szCs w:val="20"/>
          <w:color w:val="auto"/>
        </w:rPr>
      </w:pPr>
      <w:r>
        <w:rPr>
          <w:rFonts w:ascii="Arial" w:cs="Arial" w:eastAsia="Arial" w:hAnsi="Arial"/>
          <w:sz w:val="14"/>
          <w:szCs w:val="14"/>
          <w:b w:val="1"/>
          <w:bCs w:val="1"/>
          <w:color w:val="auto"/>
        </w:rPr>
        <w:t>Trust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shall have the meaning given to the term in Article 5.9;</w:t>
      </w:r>
    </w:p>
    <w:p>
      <w:pPr>
        <w:spacing w:after="0" w:line="200" w:lineRule="exact"/>
        <w:rPr>
          <w:sz w:val="20"/>
          <w:szCs w:val="20"/>
          <w:color w:val="auto"/>
        </w:rPr>
      </w:pPr>
    </w:p>
    <w:p>
      <w:pPr>
        <w:sectPr>
          <w:pgSz w:w="11900" w:h="16838" w:orient="portrait"/>
          <w:cols w:equalWidth="0" w:num="2">
            <w:col w:w="2722" w:space="720"/>
            <w:col w:w="7920"/>
          </w:cols>
          <w:pgMar w:left="238" w:top="318" w:right="299" w:bottom="1440" w:gutter="0" w:footer="0" w:header="0"/>
          <w:type w:val="continuous"/>
        </w:sectPr>
      </w:pPr>
    </w:p>
    <w:p>
      <w:pPr>
        <w:spacing w:after="0" w:line="26"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Transfer Notice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shall have the meaning given to the term in Article 14.2;</w:t>
      </w:r>
    </w:p>
    <w:p>
      <w:pPr>
        <w:spacing w:after="0" w:line="200" w:lineRule="exact"/>
        <w:rPr>
          <w:sz w:val="20"/>
          <w:szCs w:val="20"/>
          <w:color w:val="auto"/>
        </w:rPr>
      </w:pPr>
    </w:p>
    <w:p>
      <w:pPr>
        <w:sectPr>
          <w:pgSz w:w="11900" w:h="16838" w:orient="portrait"/>
          <w:cols w:equalWidth="0" w:num="2">
            <w:col w:w="2722" w:space="720"/>
            <w:col w:w="7920"/>
          </w:cols>
          <w:pgMar w:left="238" w:top="318" w:right="299" w:bottom="1440" w:gutter="0" w:footer="0" w:header="0"/>
          <w:type w:val="continuous"/>
        </w:sectPr>
      </w:pPr>
    </w:p>
    <w:p>
      <w:pPr>
        <w:spacing w:after="0" w:line="26"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Transfer Price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shall have the meaning given to the term in Article 14.2(c);</w:t>
      </w:r>
    </w:p>
    <w:p>
      <w:pPr>
        <w:spacing w:after="0" w:line="200" w:lineRule="exact"/>
        <w:rPr>
          <w:sz w:val="20"/>
          <w:szCs w:val="20"/>
          <w:color w:val="auto"/>
        </w:rPr>
      </w:pPr>
    </w:p>
    <w:p>
      <w:pPr>
        <w:sectPr>
          <w:pgSz w:w="11900" w:h="16838" w:orient="portrait"/>
          <w:cols w:equalWidth="0" w:num="2">
            <w:col w:w="2722" w:space="720"/>
            <w:col w:w="7920"/>
          </w:cols>
          <w:pgMar w:left="238" w:top="318" w:right="299" w:bottom="1440" w:gutter="0" w:footer="0" w:header="0"/>
          <w:type w:val="continuous"/>
        </w:sectPr>
      </w:pPr>
    </w:p>
    <w:p>
      <w:pPr>
        <w:spacing w:after="0" w:line="26"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Trustees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 relation to a Shareholder means the trustee or the trustees of a Family Trust; and</w:t>
      </w:r>
    </w:p>
    <w:p>
      <w:pPr>
        <w:spacing w:after="0" w:line="200" w:lineRule="exact"/>
        <w:rPr>
          <w:sz w:val="20"/>
          <w:szCs w:val="20"/>
          <w:color w:val="auto"/>
        </w:rPr>
      </w:pPr>
    </w:p>
    <w:p>
      <w:pPr>
        <w:sectPr>
          <w:pgSz w:w="11900" w:h="16838" w:orient="portrait"/>
          <w:cols w:equalWidth="0" w:num="2">
            <w:col w:w="2722" w:space="720"/>
            <w:col w:w="7920"/>
          </w:cols>
          <w:pgMar w:left="238" w:top="318" w:right="299" w:bottom="1440" w:gutter="0" w:footer="0" w:header="0"/>
          <w:type w:val="continuous"/>
        </w:sectPr>
      </w:pPr>
    </w:p>
    <w:p>
      <w:pPr>
        <w:spacing w:after="0" w:line="26"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Vertex</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Vertex Global Healthcare Fund I Pte. Ltd of 250 North Bridge Road, #05-01 Raffles City Tower, Singapore 179101.</w:t>
      </w:r>
    </w:p>
    <w:p>
      <w:pPr>
        <w:spacing w:after="0" w:line="207" w:lineRule="exact"/>
        <w:rPr>
          <w:sz w:val="20"/>
          <w:szCs w:val="20"/>
          <w:color w:val="auto"/>
        </w:rPr>
      </w:pPr>
    </w:p>
    <w:p>
      <w:pPr>
        <w:sectPr>
          <w:pgSz w:w="11900" w:h="16838" w:orient="portrait"/>
          <w:cols w:equalWidth="0" w:num="2">
            <w:col w:w="2722" w:space="720"/>
            <w:col w:w="7920"/>
          </w:cols>
          <w:pgMar w:left="238" w:top="318" w:right="299" w:bottom="1440" w:gutter="0" w:footer="0" w:header="0"/>
          <w:type w:val="continuous"/>
        </w:sectPr>
      </w:pPr>
    </w:p>
    <w:p>
      <w:pPr>
        <w:spacing w:after="0" w:line="19"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SHARE CAPITAL</w:t>
      </w:r>
    </w:p>
    <w:p>
      <w:pPr>
        <w:spacing w:after="0" w:line="200" w:lineRule="exact"/>
        <w:rPr>
          <w:sz w:val="20"/>
          <w:szCs w:val="20"/>
          <w:color w:val="auto"/>
        </w:rPr>
      </w:pPr>
    </w:p>
    <w:p>
      <w:pPr>
        <w:sectPr>
          <w:pgSz w:w="11900" w:h="16838" w:orient="portrait"/>
          <w:cols w:equalWidth="0" w:num="2">
            <w:col w:w="122" w:space="460"/>
            <w:col w:w="10780"/>
          </w:cols>
          <w:pgMar w:left="238" w:top="318" w:right="299" w:bottom="1440" w:gutter="0" w:footer="0" w:header="0"/>
          <w:type w:val="continuous"/>
        </w:sectPr>
      </w:pPr>
    </w:p>
    <w:p>
      <w:pPr>
        <w:spacing w:after="0" w:line="11" w:lineRule="exact"/>
        <w:rPr>
          <w:sz w:val="20"/>
          <w:szCs w:val="20"/>
          <w:color w:val="auto"/>
        </w:rPr>
      </w:pPr>
    </w:p>
    <w:p>
      <w:pPr>
        <w:ind w:left="582" w:hanging="586"/>
        <w:spacing w:after="0" w:line="270" w:lineRule="auto"/>
        <w:tabs>
          <w:tab w:leader="none" w:pos="562"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In these Articles, unless the context requires otherwise, references to shares of a particular class shall include shares created and/or issued on or after the Date of Adoption and ranking pari passu in all respects (or in all respects except only as to the date from which those shares rank for dividend) with the shares of the relevant class then in issue.</w:t>
      </w:r>
    </w:p>
    <w:p>
      <w:pPr>
        <w:spacing w:after="0" w:line="162" w:lineRule="exact"/>
        <w:rPr>
          <w:sz w:val="20"/>
          <w:szCs w:val="20"/>
          <w:color w:val="auto"/>
        </w:rPr>
      </w:pPr>
    </w:p>
    <w:p>
      <w:pPr>
        <w:ind w:left="582" w:right="140" w:hanging="586"/>
        <w:spacing w:after="0" w:line="285" w:lineRule="auto"/>
        <w:tabs>
          <w:tab w:leader="none" w:pos="562"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Except as otherwise provided in these Articles, the B Ordinary Shares, the A Ordinary Shares and the Ordinary Shares shall rank pari passu in all respects but shall constitute separate classes of shares.</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color w:val="auto"/>
        </w:rPr>
        <w:t>The Deferred Shares shall have no rights whatsoever, save for the right to receive capital on a Liquidation or Sale Event.</w:t>
      </w:r>
    </w:p>
    <w:p>
      <w:pPr>
        <w:spacing w:after="0" w:line="203" w:lineRule="exact"/>
        <w:rPr>
          <w:sz w:val="20"/>
          <w:szCs w:val="20"/>
          <w:color w:val="auto"/>
        </w:rPr>
      </w:pPr>
    </w:p>
    <w:p>
      <w:pPr>
        <w:ind w:left="582" w:hanging="582"/>
        <w:spacing w:after="0"/>
        <w:tabs>
          <w:tab w:leader="none" w:pos="582"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DIVIDENDS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5"/>
          <w:szCs w:val="15"/>
          <w:color w:val="auto"/>
        </w:rPr>
        <w:t>In respect of any Financial Year, its Available Profits will be applied as set out in this Article 4.</w:t>
      </w:r>
    </w:p>
    <w:p>
      <w:pPr>
        <w:spacing w:after="0" w:line="207" w:lineRule="exact"/>
        <w:rPr>
          <w:sz w:val="20"/>
          <w:szCs w:val="20"/>
          <w:color w:val="auto"/>
        </w:rPr>
      </w:pPr>
    </w:p>
    <w:p>
      <w:pPr>
        <w:ind w:left="582" w:right="320" w:hanging="586"/>
        <w:spacing w:after="0" w:line="360" w:lineRule="auto"/>
        <w:tabs>
          <w:tab w:leader="none" w:pos="562"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color w:val="auto"/>
        </w:rPr>
        <w:t>The Preferred Shares shall rank pari passu in all respects as to dividends with the Ordinary Shares. No dividend shall be declared or paid on the Ordinary Shares without a like dividend being declared or paid, as the case may be, on the Preferred Shares. No dividends shall be declared and paid on the Deferred Shares.</w:t>
      </w:r>
    </w:p>
    <w:p>
      <w:pPr>
        <w:spacing w:after="0" w:line="104" w:lineRule="exact"/>
        <w:rPr>
          <w:sz w:val="20"/>
          <w:szCs w:val="20"/>
          <w:color w:val="auto"/>
        </w:rPr>
      </w:pPr>
    </w:p>
    <w:p>
      <w:pPr>
        <w:ind w:left="582" w:right="100" w:hanging="586"/>
        <w:spacing w:after="0" w:line="285" w:lineRule="auto"/>
        <w:tabs>
          <w:tab w:leader="none" w:pos="562"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Every dividend shall be distributed to the appropriate shareholders pro rata according to the numbers of shares held by them respectively and shall accrue on a daily basis assuming a 365 day year. All dividends are expressed net and shall be paid in cash.</w:t>
      </w:r>
    </w:p>
    <w:p>
      <w:pPr>
        <w:spacing w:after="0" w:line="150"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2"/>
          </w:cols>
          <w:pgMar w:left="238" w:top="318" w:right="299" w:bottom="1440" w:gutter="0" w:footer="0" w:header="0"/>
          <w:type w:val="continuous"/>
        </w:sectPr>
      </w:pPr>
    </w:p>
    <w:bookmarkStart w:id="331" w:name="page332"/>
    <w:bookmarkEnd w:id="331"/>
    <w:p>
      <w:pPr>
        <w:ind w:left="582" w:right="40" w:hanging="586"/>
        <w:spacing w:after="0" w:line="285" w:lineRule="auto"/>
        <w:tabs>
          <w:tab w:leader="none" w:pos="562"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If the Company is unable to pay in full on the due date any dividend by reason of having insufficient Available Profits then it will on that date pay it to the extent that it is then lawfully able to do so.</w:t>
      </w:r>
    </w:p>
    <w:p>
      <w:pPr>
        <w:spacing w:after="0" w:line="150" w:lineRule="exact"/>
        <w:rPr>
          <w:sz w:val="20"/>
          <w:szCs w:val="20"/>
          <w:color w:val="auto"/>
        </w:rPr>
      </w:pPr>
    </w:p>
    <w:p>
      <w:pPr>
        <w:ind w:left="582" w:right="60" w:hanging="586"/>
        <w:spacing w:after="0" w:line="270" w:lineRule="auto"/>
        <w:tabs>
          <w:tab w:leader="none" w:pos="562"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6"/>
          <w:szCs w:val="16"/>
          <w:color w:val="auto"/>
        </w:rPr>
        <w:t>The Company will procure that the profits of any other Group Company available for distribution will be paid by way of dividend to the Company (or, as the case may be, the relevant Group Company that is its immediate holding company or Parent Undertaking) if and to the extent that dividends are necessary to permit lawful and prompt payment by the Company of the shareholder dividends.</w:t>
      </w:r>
    </w:p>
    <w:p>
      <w:pPr>
        <w:spacing w:after="0" w:line="162" w:lineRule="exact"/>
        <w:rPr>
          <w:sz w:val="20"/>
          <w:szCs w:val="20"/>
          <w:color w:val="auto"/>
        </w:rPr>
      </w:pPr>
    </w:p>
    <w:p>
      <w:pPr>
        <w:ind w:left="582" w:right="420" w:hanging="586"/>
        <w:spacing w:after="0" w:line="285" w:lineRule="auto"/>
        <w:tabs>
          <w:tab w:leader="none" w:pos="562"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color w:val="auto"/>
        </w:rPr>
        <w:t>Subject to the 2006 Act, these Articles and Investor Director Consent, the Board may pay interim dividends if justified by the Available Profits in respect of the relevant period.</w:t>
      </w:r>
    </w:p>
    <w:p>
      <w:pPr>
        <w:spacing w:after="0" w:line="146" w:lineRule="exact"/>
        <w:rPr>
          <w:sz w:val="20"/>
          <w:szCs w:val="20"/>
          <w:color w:val="auto"/>
        </w:rPr>
      </w:pPr>
    </w:p>
    <w:p>
      <w:pPr>
        <w:ind w:left="582" w:hanging="582"/>
        <w:spacing w:after="0"/>
        <w:tabs>
          <w:tab w:leader="none" w:pos="582"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DISTRIBUTIONS FOLLOWING A LIQUIDATION OR SALE EVENT</w:t>
      </w:r>
    </w:p>
    <w:p>
      <w:pPr>
        <w:spacing w:after="0" w:line="211" w:lineRule="exact"/>
        <w:rPr>
          <w:sz w:val="20"/>
          <w:szCs w:val="20"/>
          <w:color w:val="auto"/>
        </w:rPr>
      </w:pPr>
    </w:p>
    <w:p>
      <w:pPr>
        <w:jc w:val="center"/>
        <w:ind w:right="398"/>
        <w:spacing w:after="0" w:line="320" w:lineRule="auto"/>
        <w:rPr>
          <w:sz w:val="20"/>
          <w:szCs w:val="20"/>
          <w:color w:val="auto"/>
        </w:rPr>
      </w:pPr>
      <w:r>
        <w:rPr>
          <w:rFonts w:ascii="Arial" w:cs="Arial" w:eastAsia="Arial" w:hAnsi="Arial"/>
          <w:sz w:val="15"/>
          <w:szCs w:val="15"/>
          <w:color w:val="auto"/>
        </w:rPr>
        <w:t>5.1     On a Liquidation or Sale Event, the Surplus Assets (in the case of a Liquidation or a Business Sale) or the Proceeds of Sale (in the case of a Share Sale) shall be applied amongst, and distributed to, the Shareholders in the following order of priority (to the extent that the Company is lawfully permitted to do so):</w:t>
      </w:r>
    </w:p>
    <w:p>
      <w:pPr>
        <w:spacing w:after="0" w:line="127" w:lineRule="exact"/>
        <w:rPr>
          <w:sz w:val="20"/>
          <w:szCs w:val="20"/>
          <w:color w:val="auto"/>
        </w:rPr>
      </w:pPr>
    </w:p>
    <w:p>
      <w:pPr>
        <w:ind w:left="1182" w:right="120" w:hanging="595"/>
        <w:spacing w:after="0" w:line="265" w:lineRule="auto"/>
        <w:tabs>
          <w:tab w:leader="none" w:pos="11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first in paying to each of the B Ordinary Shareholders, in priority to any other classes of Shares, an amount per B Ordinary Share held equal to the B Ordinary Issue Price plus accrued and unpaid dividends (provided that if there are insufficient Surplus Assets or Proceeds of Sale (as applicable) to pay the amounts required, the remaining Surplus Assets or Proceeds of Sale (as applicable) shall be distributed to the B Ordinary Shareholders pro rata to their respective holdings of B Ordinary Shares);</w:t>
      </w:r>
    </w:p>
    <w:p>
      <w:pPr>
        <w:spacing w:after="0" w:line="165" w:lineRule="exact"/>
        <w:rPr>
          <w:rFonts w:ascii="Arial" w:cs="Arial" w:eastAsia="Arial" w:hAnsi="Arial"/>
          <w:sz w:val="16"/>
          <w:szCs w:val="16"/>
          <w:color w:val="auto"/>
        </w:rPr>
      </w:pPr>
    </w:p>
    <w:p>
      <w:pPr>
        <w:ind w:left="1182" w:hanging="595"/>
        <w:spacing w:after="0" w:line="265" w:lineRule="auto"/>
        <w:tabs>
          <w:tab w:leader="none" w:pos="118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second in paying to each of the A Ordinary Shareholders, in priority to the Deferred Shares and Ordinary Shares, an amount per A Ordinary Share held equal to the A Ordinary Issue Price plus accrued and unpaid dividends (provided that if there are insufficient Surplus Assets or Proceeds of Sale (as applicable) to pay the amounts required, the remaining Surplus Assets or Proceeds of Sale (as applicable) shall be distributed to the A Ordinary Shareholders pro rata to their respective holdings of A Ordinary Shares);</w:t>
      </w:r>
    </w:p>
    <w:p>
      <w:pPr>
        <w:spacing w:after="0" w:line="165" w:lineRule="exact"/>
        <w:rPr>
          <w:rFonts w:ascii="Arial" w:cs="Arial" w:eastAsia="Arial" w:hAnsi="Arial"/>
          <w:sz w:val="16"/>
          <w:szCs w:val="16"/>
          <w:color w:val="auto"/>
        </w:rPr>
      </w:pPr>
    </w:p>
    <w:p>
      <w:pPr>
        <w:ind w:left="1182" w:right="180" w:hanging="595"/>
        <w:spacing w:after="0" w:line="285" w:lineRule="auto"/>
        <w:tabs>
          <w:tab w:leader="none" w:pos="119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third, in paying £1.00 for the entire class of Deferred Shares (which payment shall be deemed satisfied by payment to any one holder of Deferred Shares); and</w:t>
      </w:r>
    </w:p>
    <w:p>
      <w:pPr>
        <w:spacing w:after="0" w:line="149" w:lineRule="exact"/>
        <w:rPr>
          <w:rFonts w:ascii="Arial" w:cs="Arial" w:eastAsia="Arial" w:hAnsi="Arial"/>
          <w:sz w:val="16"/>
          <w:szCs w:val="16"/>
          <w:color w:val="auto"/>
        </w:rPr>
      </w:pPr>
    </w:p>
    <w:p>
      <w:pPr>
        <w:ind w:left="1182" w:right="180" w:hanging="595"/>
        <w:spacing w:after="0" w:line="285" w:lineRule="auto"/>
        <w:tabs>
          <w:tab w:leader="none" w:pos="118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balance of the Surplus Assets or the Proceeds of Sale (as applicable) (if any) shall be distributed among the holders of Equity Shares pro rata on an As Converted Basis (as if the Equity Shares constituted one and the same class) to the number of Equity Shares held.</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color w:val="auto"/>
        </w:rPr>
        <w:t>As soon as practicable after the receipt of consideration payable to the Company in respect of:</w:t>
      </w:r>
    </w:p>
    <w:p>
      <w:pPr>
        <w:spacing w:after="0" w:line="207" w:lineRule="exact"/>
        <w:rPr>
          <w:sz w:val="20"/>
          <w:szCs w:val="20"/>
          <w:color w:val="auto"/>
        </w:rPr>
      </w:pPr>
    </w:p>
    <w:p>
      <w:pPr>
        <w:ind w:left="1162" w:hanging="575"/>
        <w:spacing w:after="0"/>
        <w:tabs>
          <w:tab w:leader="none" w:pos="116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 Business Sale; or</w:t>
      </w:r>
    </w:p>
    <w:p>
      <w:pPr>
        <w:spacing w:after="0" w:line="203" w:lineRule="exact"/>
        <w:rPr>
          <w:rFonts w:ascii="Arial" w:cs="Arial" w:eastAsia="Arial" w:hAnsi="Arial"/>
          <w:sz w:val="16"/>
          <w:szCs w:val="16"/>
          <w:color w:val="auto"/>
        </w:rPr>
      </w:pPr>
    </w:p>
    <w:p>
      <w:pPr>
        <w:ind w:left="1182" w:hanging="595"/>
        <w:spacing w:after="0"/>
        <w:tabs>
          <w:tab w:leader="none" w:pos="1182" w:val="left"/>
        </w:tabs>
        <w:numPr>
          <w:ilvl w:val="0"/>
          <w:numId w:val="176"/>
        </w:numPr>
        <w:rPr>
          <w:rFonts w:ascii="Arial" w:cs="Arial" w:eastAsia="Arial" w:hAnsi="Arial"/>
          <w:sz w:val="15"/>
          <w:szCs w:val="15"/>
          <w:color w:val="auto"/>
        </w:rPr>
      </w:pPr>
      <w:r>
        <w:rPr>
          <w:rFonts w:ascii="Arial" w:cs="Arial" w:eastAsia="Arial" w:hAnsi="Arial"/>
          <w:sz w:val="15"/>
          <w:szCs w:val="15"/>
          <w:color w:val="auto"/>
        </w:rPr>
        <w:t>a Minor Sale following which the Board has determined that the relevant proceeds are to be distributed to Shareholders (“</w:t>
      </w:r>
      <w:r>
        <w:rPr>
          <w:rFonts w:ascii="Arial" w:cs="Arial" w:eastAsia="Arial" w:hAnsi="Arial"/>
          <w:sz w:val="15"/>
          <w:szCs w:val="15"/>
          <w:b w:val="1"/>
          <w:bCs w:val="1"/>
          <w:color w:val="auto"/>
        </w:rPr>
        <w:t>Minor Sale Proceeds</w:t>
      </w:r>
      <w:r>
        <w:rPr>
          <w:rFonts w:ascii="Arial" w:cs="Arial" w:eastAsia="Arial" w:hAnsi="Arial"/>
          <w:sz w:val="15"/>
          <w:szCs w:val="15"/>
          <w:color w:val="auto"/>
        </w:rPr>
        <w:t>”),</w:t>
      </w:r>
    </w:p>
    <w:p>
      <w:pPr>
        <w:spacing w:after="0" w:line="223" w:lineRule="exact"/>
        <w:rPr>
          <w:sz w:val="20"/>
          <w:szCs w:val="20"/>
          <w:color w:val="auto"/>
        </w:rPr>
      </w:pPr>
    </w:p>
    <w:p>
      <w:pPr>
        <w:ind w:left="582" w:right="340"/>
        <w:spacing w:after="0" w:line="296" w:lineRule="auto"/>
        <w:rPr>
          <w:sz w:val="20"/>
          <w:szCs w:val="20"/>
          <w:color w:val="auto"/>
        </w:rPr>
      </w:pPr>
      <w:r>
        <w:rPr>
          <w:rFonts w:ascii="Arial" w:cs="Arial" w:eastAsia="Arial" w:hAnsi="Arial"/>
          <w:sz w:val="15"/>
          <w:szCs w:val="15"/>
          <w:color w:val="auto"/>
        </w:rPr>
        <w:t>the Company shall distribute the Surplus Assets or the Minor Sale Proceeds, as applicable, to the Shareholders by means of a dividend or other distribution constituting a Liquidation in accordance with the order of priorities set out in Article 5.1. For the purposes of effecting such distribution, the Directors shall have authority to procure the liquidation of the Company or to distribute the Surplus Assets or the Minor Sale Proceeds to the Shareholders</w:t>
      </w:r>
    </w:p>
    <w:p>
      <w:pPr>
        <w:spacing w:after="0" w:line="144"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332" w:name="page333"/>
    <w:bookmarkEnd w:id="332"/>
    <w:p>
      <w:pPr>
        <w:ind w:left="560"/>
        <w:spacing w:after="0"/>
        <w:rPr>
          <w:sz w:val="20"/>
          <w:szCs w:val="20"/>
          <w:color w:val="auto"/>
        </w:rPr>
      </w:pPr>
      <w:r>
        <w:rPr>
          <w:rFonts w:ascii="Arial" w:cs="Arial" w:eastAsia="Arial" w:hAnsi="Arial"/>
          <w:sz w:val="16"/>
          <w:szCs w:val="16"/>
          <w:color w:val="auto"/>
        </w:rPr>
        <w:t>by way of dividend or otherwise. The provisions of this Article shall prevail over all other provisions of these Articles.</w:t>
      </w:r>
    </w:p>
    <w:p>
      <w:pPr>
        <w:spacing w:after="0" w:line="207" w:lineRule="exact"/>
        <w:rPr>
          <w:sz w:val="20"/>
          <w:szCs w:val="20"/>
          <w:color w:val="auto"/>
        </w:rPr>
      </w:pPr>
    </w:p>
    <w:p>
      <w:pPr>
        <w:ind w:left="560" w:right="400" w:hanging="586"/>
        <w:spacing w:after="0" w:line="285" w:lineRule="auto"/>
        <w:tabs>
          <w:tab w:leader="none" w:pos="5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The total amount payable to the B Ordinary Shareholders (pursuant to Article 5.1(a)), the A Ordinary Shareholders (pursuant to Article 5.1(b)) and the Deferred Shareholders (pursuant to Article 5.1(c)) shall be payable once, however such amounts may be satisfied in any number of payments.</w:t>
      </w:r>
    </w:p>
    <w:p>
      <w:pPr>
        <w:spacing w:after="0" w:line="150" w:lineRule="exact"/>
        <w:rPr>
          <w:sz w:val="20"/>
          <w:szCs w:val="20"/>
          <w:color w:val="auto"/>
        </w:rPr>
      </w:pPr>
    </w:p>
    <w:p>
      <w:pPr>
        <w:ind w:left="560" w:right="60" w:hanging="586"/>
        <w:spacing w:after="0" w:line="281" w:lineRule="auto"/>
        <w:tabs>
          <w:tab w:leader="none" w:pos="54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5"/>
          <w:szCs w:val="15"/>
          <w:color w:val="auto"/>
        </w:rPr>
        <w:t>On an IPO other than a Qualified IPO, the Company shall issue to each holder for the time being of Preferred Shares, such number (if any) of Ordinary Shares (the “</w:t>
      </w:r>
      <w:r>
        <w:rPr>
          <w:rFonts w:ascii="Arial" w:cs="Arial" w:eastAsia="Arial" w:hAnsi="Arial"/>
          <w:sz w:val="15"/>
          <w:szCs w:val="15"/>
          <w:b w:val="1"/>
          <w:bCs w:val="1"/>
          <w:color w:val="auto"/>
        </w:rPr>
        <w:t>Bonus Shares</w:t>
      </w:r>
      <w:r>
        <w:rPr>
          <w:rFonts w:ascii="Arial" w:cs="Arial" w:eastAsia="Arial" w:hAnsi="Arial"/>
          <w:sz w:val="15"/>
          <w:szCs w:val="15"/>
          <w:color w:val="auto"/>
        </w:rPr>
        <w:t>”) so that the proportion of the Shares held by that Preferred Shareholder (following the issue of such Ordinary Shares) as against the total issued share capital of the Company, equals the proportion of the proceeds that such Preferred Shareholder would have been entitled to receive on a Liquidation or Sale Event pursuant to Articles 5.1 and 5.2 (as applicable) (the “</w:t>
      </w:r>
      <w:r>
        <w:rPr>
          <w:rFonts w:ascii="Arial" w:cs="Arial" w:eastAsia="Arial" w:hAnsi="Arial"/>
          <w:sz w:val="15"/>
          <w:szCs w:val="15"/>
          <w:b w:val="1"/>
          <w:bCs w:val="1"/>
          <w:color w:val="auto"/>
        </w:rPr>
        <w:t>Proceeds</w:t>
      </w:r>
      <w:r>
        <w:rPr>
          <w:rFonts w:ascii="Arial" w:cs="Arial" w:eastAsia="Arial" w:hAnsi="Arial"/>
          <w:sz w:val="15"/>
          <w:szCs w:val="15"/>
          <w:color w:val="auto"/>
        </w:rPr>
        <w:t>”). For the purposes of this Article, the Proceeds shall be calculated by multiplying the total number of Ordinary Shares in issue immediately after the IPO (but excluding the Bonus Shares issued pursuant to this Article and any shares issued in return for new monies raised pursuant to such IPO) by the price per Ordinary Share issued by the Company pursuant to such IPO.</w:t>
      </w:r>
    </w:p>
    <w:p>
      <w:pPr>
        <w:spacing w:after="0" w:line="158" w:lineRule="exact"/>
        <w:rPr>
          <w:sz w:val="20"/>
          <w:szCs w:val="20"/>
          <w:color w:val="auto"/>
        </w:rPr>
      </w:pPr>
    </w:p>
    <w:p>
      <w:pPr>
        <w:ind w:left="560" w:right="40" w:hanging="586"/>
        <w:spacing w:after="0" w:line="261" w:lineRule="auto"/>
        <w:tabs>
          <w:tab w:leader="none" w:pos="54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6"/>
          <w:szCs w:val="16"/>
          <w:color w:val="auto"/>
        </w:rPr>
        <w:t>The Bonus Shares issued pursuant to Article 5.4 shall be paid up by the automatic capitalisation of any amount standing to the credit of the share premium account or any other available reserve of the Company as determined by the Directors, and such Bonus Shares shall be issued at their nominal value fully paid. Such capitalisation shall not require any action on the part of the Shareholders, and the Directors shall allot the Bonus Shares arising on such capitalisation to the Preferred Shareholders in accordance with this Article. To the extent that there is insufficient share capital to effect the said issue, the Directors shall procure (so far as they are able) that the Company’s share capital is increased to the extent necessary to permit the issue required and all Shareholders shall vote in favour of the necessary resolutions to effect such increase.</w:t>
      </w:r>
    </w:p>
    <w:p>
      <w:pPr>
        <w:spacing w:after="0" w:line="169" w:lineRule="exact"/>
        <w:rPr>
          <w:sz w:val="20"/>
          <w:szCs w:val="20"/>
          <w:color w:val="auto"/>
        </w:rPr>
      </w:pPr>
    </w:p>
    <w:p>
      <w:pPr>
        <w:ind w:left="560" w:right="160" w:hanging="586"/>
        <w:spacing w:after="0" w:line="285" w:lineRule="auto"/>
        <w:tabs>
          <w:tab w:leader="none" w:pos="54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To the extent that there are insufficient distributable reserves to effect the issue of Bonus Shares as set out above, such issue of Bonus Shares shall be subscribed for by the Preferred Shareholders paid up to their nominal value.</w:t>
      </w:r>
    </w:p>
    <w:p>
      <w:pPr>
        <w:spacing w:after="0" w:line="146" w:lineRule="exact"/>
        <w:rPr>
          <w:sz w:val="20"/>
          <w:szCs w:val="20"/>
          <w:color w:val="auto"/>
        </w:rPr>
      </w:pPr>
    </w:p>
    <w:p>
      <w:pPr>
        <w:ind w:left="560" w:hanging="586"/>
        <w:spacing w:after="0" w:line="310" w:lineRule="auto"/>
        <w:tabs>
          <w:tab w:leader="none" w:pos="54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4"/>
          <w:szCs w:val="14"/>
          <w:color w:val="auto"/>
        </w:rPr>
        <w:t>If the Surplus Assets, the Proceeds of Sale or the Minor Sale Proceeds includes any non-cash consideration (the “</w:t>
      </w:r>
      <w:r>
        <w:rPr>
          <w:rFonts w:ascii="Arial" w:cs="Arial" w:eastAsia="Arial" w:hAnsi="Arial"/>
          <w:sz w:val="14"/>
          <w:szCs w:val="14"/>
          <w:b w:val="1"/>
          <w:bCs w:val="1"/>
          <w:color w:val="auto"/>
        </w:rPr>
        <w:t>Non-Cash Consideration</w:t>
      </w:r>
      <w:r>
        <w:rPr>
          <w:rFonts w:ascii="Arial" w:cs="Arial" w:eastAsia="Arial" w:hAnsi="Arial"/>
          <w:sz w:val="14"/>
          <w:szCs w:val="14"/>
          <w:color w:val="auto"/>
        </w:rPr>
        <w:t>”) then, for the purposes of Articles 5.1 and 5.2 such Non-Cash Consideration shall be deemed to have a cash value equal to such amount as the Auditors (acting as experts and not as arbitrators) may, at the cost of the Company, determine (in their opinion) represents a reasonable estimation of the market value of such Non-Cash Consideration as at the date of such Business Sale, Minor Sale or Share Sale (as the case may be), taking into account such matters, facts and circumstances as the Auditors (in their sole discretion) consider reasonable. In the absence of fraud or manifest error, such determination of the Auditors shall be final and binding on all Shareholders.</w:t>
      </w:r>
    </w:p>
    <w:p>
      <w:pPr>
        <w:spacing w:after="0" w:line="138" w:lineRule="exact"/>
        <w:rPr>
          <w:sz w:val="20"/>
          <w:szCs w:val="20"/>
          <w:color w:val="auto"/>
        </w:rPr>
      </w:pPr>
    </w:p>
    <w:p>
      <w:pPr>
        <w:ind w:left="560" w:hanging="586"/>
        <w:spacing w:after="0" w:line="280" w:lineRule="auto"/>
        <w:tabs>
          <w:tab w:leader="none" w:pos="54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5"/>
          <w:szCs w:val="15"/>
          <w:color w:val="auto"/>
        </w:rPr>
        <w:t>If the Surplus Assets or Proceeds of Sale or Minor Sale Proceeds includes any deferred and/or contingent consideration, including any consideration held in an escrow account for the purpose of satisfying claims by the buyer in connection with a Business Sale or a Share Sale or a Minor Sale, (the “</w:t>
      </w:r>
      <w:r>
        <w:rPr>
          <w:rFonts w:ascii="Arial" w:cs="Arial" w:eastAsia="Arial" w:hAnsi="Arial"/>
          <w:sz w:val="15"/>
          <w:szCs w:val="15"/>
          <w:b w:val="1"/>
          <w:bCs w:val="1"/>
          <w:color w:val="auto"/>
        </w:rPr>
        <w:t>Delayed Consideration</w:t>
      </w:r>
      <w:r>
        <w:rPr>
          <w:rFonts w:ascii="Arial" w:cs="Arial" w:eastAsia="Arial" w:hAnsi="Arial"/>
          <w:sz w:val="15"/>
          <w:szCs w:val="15"/>
          <w:color w:val="auto"/>
        </w:rPr>
        <w:t>”) (and after having determined the deemed value of such Delayed Consideration in accordance with Article 5.7 if such consideration is also Non-Cash Consideration) then for the purposes of Articles 5.1 and 5.2, the potential value of any Delayed Consideration shall be excluded for the purposes of calculating any initial distribution to be made in consequence of such Business Sale or Share Sale or Minor Sale (as the case may be) and only such of the Surplus Assets or Proceeds of Sale or Minor Sale Proceeds which are not Delayed Consideration (the “</w:t>
      </w:r>
      <w:r>
        <w:rPr>
          <w:rFonts w:ascii="Arial" w:cs="Arial" w:eastAsia="Arial" w:hAnsi="Arial"/>
          <w:sz w:val="15"/>
          <w:szCs w:val="15"/>
          <w:b w:val="1"/>
          <w:bCs w:val="1"/>
          <w:color w:val="auto"/>
        </w:rPr>
        <w:t>Initial Consideration</w:t>
      </w:r>
      <w:r>
        <w:rPr>
          <w:rFonts w:ascii="Arial" w:cs="Arial" w:eastAsia="Arial" w:hAnsi="Arial"/>
          <w:sz w:val="15"/>
          <w:szCs w:val="15"/>
          <w:color w:val="auto"/>
        </w:rPr>
        <w:t>”) shall then be distributed in accordance with Articles 5.1 and 5.2. Subsequent distributions pursuant to Articles 5.1 and 5.2 shall be made as Surplus Assets 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74930</wp:posOffset>
            </wp:positionV>
            <wp:extent cx="72802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60" w:top="322" w:right="239" w:bottom="1440" w:gutter="0" w:footer="0" w:header="0"/>
        </w:sectPr>
      </w:pPr>
    </w:p>
    <w:bookmarkStart w:id="333" w:name="page334"/>
    <w:bookmarkEnd w:id="333"/>
    <w:p>
      <w:pPr>
        <w:ind w:left="582" w:right="40"/>
        <w:spacing w:after="0" w:line="261" w:lineRule="auto"/>
        <w:rPr>
          <w:sz w:val="20"/>
          <w:szCs w:val="20"/>
          <w:color w:val="auto"/>
        </w:rPr>
      </w:pPr>
      <w:r>
        <w:rPr>
          <w:rFonts w:ascii="Arial" w:cs="Arial" w:eastAsia="Arial" w:hAnsi="Arial"/>
          <w:sz w:val="16"/>
          <w:szCs w:val="16"/>
          <w:color w:val="auto"/>
        </w:rPr>
        <w:t>Proceeds of Sale or Minor Sale Proceeds become available and as at the time of each distribution of the Delayed Consideration the entitlement of each Shareholders in accordance with Articles 5.1 and 5.2 (including the amounts previously distributed plus the Delayed Consideration to be then distributed) (the “</w:t>
      </w:r>
      <w:r>
        <w:rPr>
          <w:rFonts w:ascii="Arial" w:cs="Arial" w:eastAsia="Arial" w:hAnsi="Arial"/>
          <w:sz w:val="16"/>
          <w:szCs w:val="16"/>
          <w:b w:val="1"/>
          <w:bCs w:val="1"/>
          <w:color w:val="auto"/>
        </w:rPr>
        <w:t>Entitlement</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shall be recalculated and distributed so as to make good any shortfall between the Initial Consideration previously distributed and the Entitlement Amount</w:t>
      </w:r>
      <w:r>
        <w:rPr>
          <w:rFonts w:ascii="Arial" w:cs="Arial" w:eastAsia="Arial" w:hAnsi="Arial"/>
          <w:sz w:val="16"/>
          <w:szCs w:val="16"/>
          <w:b w:val="1"/>
          <w:bCs w:val="1"/>
          <w:color w:val="auto"/>
        </w:rPr>
        <w:t xml:space="preserve"> </w:t>
      </w:r>
      <w:r>
        <w:rPr>
          <w:rFonts w:ascii="Arial" w:cs="Arial" w:eastAsia="Arial" w:hAnsi="Arial"/>
          <w:sz w:val="16"/>
          <w:szCs w:val="16"/>
          <w:color w:val="auto"/>
        </w:rPr>
        <w:t>of each Shareholder. Notwithstanding the foregoing provisions, no Shareholder shall be required to repay or otherwise relinquish any amount previously distributed to them (unless expressly agreed by such Shareholder) in the event that its Entitlement Amount as so calculated is less than the amount of any prior distribution of Surplus Assets or Proceeds of Sale actually made to it under Articles 5.1 and 5.2.</w:t>
      </w:r>
    </w:p>
    <w:p>
      <w:pPr>
        <w:spacing w:after="0" w:line="169" w:lineRule="exact"/>
        <w:rPr>
          <w:sz w:val="20"/>
          <w:szCs w:val="20"/>
          <w:color w:val="auto"/>
        </w:rPr>
      </w:pPr>
    </w:p>
    <w:p>
      <w:pPr>
        <w:ind w:left="582" w:right="260" w:hanging="586"/>
        <w:spacing w:after="0" w:line="284" w:lineRule="auto"/>
        <w:tabs>
          <w:tab w:leader="none" w:pos="562" w:val="left"/>
        </w:tabs>
        <w:rPr>
          <w:sz w:val="20"/>
          <w:szCs w:val="20"/>
          <w:color w:val="auto"/>
        </w:rPr>
      </w:pPr>
      <w:r>
        <w:rPr>
          <w:rFonts w:ascii="Arial" w:cs="Arial" w:eastAsia="Arial" w:hAnsi="Arial"/>
          <w:sz w:val="16"/>
          <w:szCs w:val="16"/>
          <w:color w:val="auto"/>
        </w:rPr>
        <w:t>5.9</w:t>
      </w:r>
      <w:r>
        <w:rPr>
          <w:sz w:val="20"/>
          <w:szCs w:val="20"/>
          <w:color w:val="auto"/>
        </w:rPr>
        <w:tab/>
      </w:r>
      <w:r>
        <w:rPr>
          <w:rFonts w:ascii="Arial" w:cs="Arial" w:eastAsia="Arial" w:hAnsi="Arial"/>
          <w:sz w:val="15"/>
          <w:szCs w:val="15"/>
          <w:color w:val="auto"/>
        </w:rPr>
        <w:t>In the event of a Share Sale then, notwithstanding anything to the contrary in the terms and conditions governing such Share Sale or otherwise, the Company may (and shall, if required to do so by a Preferred Majority) establish a designated trust account in the name of such person as the Company (with the approval of a Preferred Majority) may determine to be a suitable person to act as trustee (the “</w:t>
      </w:r>
      <w:r>
        <w:rPr>
          <w:rFonts w:ascii="Arial" w:cs="Arial" w:eastAsia="Arial" w:hAnsi="Arial"/>
          <w:sz w:val="15"/>
          <w:szCs w:val="15"/>
          <w:b w:val="1"/>
          <w:bCs w:val="1"/>
          <w:color w:val="auto"/>
        </w:rPr>
        <w:t>Trust Account</w:t>
      </w:r>
      <w:r>
        <w:rPr>
          <w:rFonts w:ascii="Arial" w:cs="Arial" w:eastAsia="Arial" w:hAnsi="Arial"/>
          <w:sz w:val="15"/>
          <w:szCs w:val="15"/>
          <w:color w:val="auto"/>
        </w:rPr>
        <w:t>”). The Proceeds of Sale shall be paid into such Trust Account and thereafter distributed in accordance with the order of priority set out in Article 5.1 (subject to the further provisions of Articles 5.4 and 5.8) and each Shareholder shall be bound, and is hereby deemed, to direct that his entitlement shall be paid into the Trust Account.</w:t>
      </w:r>
    </w:p>
    <w:p>
      <w:pPr>
        <w:spacing w:after="0" w:line="149" w:lineRule="exact"/>
        <w:rPr>
          <w:sz w:val="20"/>
          <w:szCs w:val="20"/>
          <w:color w:val="auto"/>
        </w:rPr>
      </w:pPr>
    </w:p>
    <w:p>
      <w:pPr>
        <w:ind w:left="582" w:hanging="582"/>
        <w:spacing w:after="0"/>
        <w:tabs>
          <w:tab w:leader="none" w:pos="582"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SALE PROVISIONS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4"/>
          <w:szCs w:val="14"/>
          <w:color w:val="auto"/>
        </w:rPr>
        <w:t>On a Sale Event, the Directors shall not register any transfer of Shares if the Proceeds of Sale are not distributed in accordance with Article 5 save in respect of any</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5"/>
          <w:szCs w:val="15"/>
          <w:color w:val="auto"/>
        </w:rPr>
        <w:t>Shares not sold in connection with that Sale Event, provided that if the Proceeds of Sale are not settled in their entirety upon completion of the Sale Event:</w:t>
      </w:r>
    </w:p>
    <w:p>
      <w:pPr>
        <w:spacing w:after="0" w:line="207" w:lineRule="exact"/>
        <w:rPr>
          <w:sz w:val="20"/>
          <w:szCs w:val="20"/>
          <w:color w:val="auto"/>
        </w:rPr>
      </w:pPr>
    </w:p>
    <w:p>
      <w:pPr>
        <w:ind w:left="1182" w:right="80" w:hanging="595"/>
        <w:spacing w:after="0" w:line="285" w:lineRule="auto"/>
        <w:tabs>
          <w:tab w:leader="none" w:pos="11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Directors shall not be prohibited from registering the transfer of the relevant Shares so long as the Proceeds of Sale that are settled have been distributed in the order of priority set out in Article 5; and</w:t>
      </w:r>
    </w:p>
    <w:p>
      <w:pPr>
        <w:spacing w:after="0" w:line="149" w:lineRule="exact"/>
        <w:rPr>
          <w:rFonts w:ascii="Arial" w:cs="Arial" w:eastAsia="Arial" w:hAnsi="Arial"/>
          <w:sz w:val="16"/>
          <w:szCs w:val="16"/>
          <w:color w:val="auto"/>
        </w:rPr>
      </w:pPr>
    </w:p>
    <w:p>
      <w:pPr>
        <w:ind w:left="1182" w:right="340" w:hanging="595"/>
        <w:spacing w:after="0" w:line="285" w:lineRule="auto"/>
        <w:tabs>
          <w:tab w:leader="none" w:pos="118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Shareholders shall take any action required by a Preferred Majority to ensure that the Proceeds of Sale in their entirety are distributed in the order of priority set out in Article 5.</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color w:val="auto"/>
        </w:rPr>
        <w:t>Upon the occurrence of a Sale Event approved by the Board and approved under these Articles or following the approval of a Super Preferred Majority (the</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Proposed Exit</w:t>
      </w:r>
      <w:r>
        <w:rPr>
          <w:rFonts w:ascii="Arial" w:cs="Arial" w:eastAsia="Arial" w:hAnsi="Arial"/>
          <w:sz w:val="14"/>
          <w:szCs w:val="14"/>
          <w:color w:val="auto"/>
        </w:rPr>
        <w:t>”), all Shareholders shall consent to, vote for, raise no objections to and waive any applicable rights in connection with the Proposed Exit (“</w:t>
      </w:r>
      <w:r>
        <w:rPr>
          <w:rFonts w:ascii="Arial" w:cs="Arial" w:eastAsia="Arial" w:hAnsi="Arial"/>
          <w:sz w:val="14"/>
          <w:szCs w:val="14"/>
          <w:b w:val="1"/>
          <w:bCs w:val="1"/>
          <w:color w:val="auto"/>
        </w:rPr>
        <w:t>Actions</w:t>
      </w:r>
      <w:r>
        <w:rPr>
          <w:rFonts w:ascii="Arial" w:cs="Arial" w:eastAsia="Arial" w:hAnsi="Arial"/>
          <w:sz w:val="14"/>
          <w:szCs w:val="14"/>
          <w:color w:val="auto"/>
        </w:rPr>
        <w:t>”).</w:t>
      </w:r>
    </w:p>
    <w:p>
      <w:pPr>
        <w:spacing w:after="0" w:line="35" w:lineRule="exact"/>
        <w:rPr>
          <w:sz w:val="20"/>
          <w:szCs w:val="20"/>
          <w:color w:val="auto"/>
        </w:rPr>
      </w:pPr>
    </w:p>
    <w:p>
      <w:pPr>
        <w:ind w:left="582"/>
        <w:spacing w:after="0"/>
        <w:rPr>
          <w:sz w:val="20"/>
          <w:szCs w:val="20"/>
          <w:color w:val="auto"/>
        </w:rPr>
      </w:pPr>
      <w:r>
        <w:rPr>
          <w:rFonts w:ascii="Arial" w:cs="Arial" w:eastAsia="Arial" w:hAnsi="Arial"/>
          <w:sz w:val="15"/>
          <w:szCs w:val="15"/>
          <w:color w:val="auto"/>
        </w:rPr>
        <w:t>The Shareholders shall be required to take all Actions with respect to the Proposed Exit as are required by the Board to facilitate the Proposed Exit. If any</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5"/>
          <w:szCs w:val="15"/>
          <w:color w:val="auto"/>
        </w:rPr>
        <w:t>Shareholder fails to comply with the provisions of this Article, the Company shall be constituted the agent of each defaulting Shareholder for taking such actions as</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5"/>
          <w:szCs w:val="15"/>
          <w:color w:val="auto"/>
        </w:rPr>
        <w:t>are necessary to effect the Proposed Exit and the Directors may authorise an officer or member to execute and deliver on behalf of such defaulting Shareholder the</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5"/>
          <w:szCs w:val="15"/>
          <w:color w:val="auto"/>
        </w:rPr>
        <w:t>necessary documents and the Company may receive any purchase money due to the defaulting Shareholder on trust for each of the defaulting Shareholders.</w:t>
      </w:r>
    </w:p>
    <w:p>
      <w:pPr>
        <w:spacing w:after="0" w:line="203" w:lineRule="exact"/>
        <w:rPr>
          <w:sz w:val="20"/>
          <w:szCs w:val="20"/>
          <w:color w:val="auto"/>
        </w:rPr>
      </w:pPr>
    </w:p>
    <w:p>
      <w:pPr>
        <w:ind w:left="582" w:hanging="582"/>
        <w:spacing w:after="0"/>
        <w:tabs>
          <w:tab w:leader="none" w:pos="582"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VOTES IN GENERAL MEETING</w:t>
      </w:r>
    </w:p>
    <w:p>
      <w:pPr>
        <w:spacing w:after="0" w:line="211" w:lineRule="exact"/>
        <w:rPr>
          <w:sz w:val="20"/>
          <w:szCs w:val="20"/>
          <w:color w:val="auto"/>
        </w:rPr>
      </w:pPr>
    </w:p>
    <w:p>
      <w:pPr>
        <w:ind w:left="582" w:right="640" w:hanging="586"/>
        <w:spacing w:after="0" w:line="285" w:lineRule="auto"/>
        <w:tabs>
          <w:tab w:leader="none" w:pos="562"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color w:val="auto"/>
        </w:rPr>
        <w:t>The B Ordinary Shares shall confer on each B Ordinary Shareholder the right to receive notice of and to attend, speak and vote at all general meetings of the Company.</w:t>
      </w:r>
    </w:p>
    <w:p>
      <w:pPr>
        <w:spacing w:after="0" w:line="150" w:lineRule="exact"/>
        <w:rPr>
          <w:sz w:val="20"/>
          <w:szCs w:val="20"/>
          <w:color w:val="auto"/>
        </w:rPr>
      </w:pPr>
    </w:p>
    <w:p>
      <w:pPr>
        <w:ind w:left="582" w:right="620" w:hanging="586"/>
        <w:spacing w:after="0" w:line="285" w:lineRule="auto"/>
        <w:tabs>
          <w:tab w:leader="none" w:pos="562"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The A Ordinary Shares shall confer on each A Ordinary Shareholder the right to receive notice of and to attend, speak and vote at all general meetings of the Company.</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color w:val="auto"/>
        </w:rPr>
        <w:t>The Ordinary Shares shall confer on each Ordinary Shareholder the right to receive notice of and to attend, speak and vote at all general meetings of the Company.</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334" w:name="page335"/>
    <w:bookmarkEnd w:id="334"/>
    <w:p>
      <w:pPr>
        <w:ind w:left="582" w:right="320" w:hanging="586"/>
        <w:spacing w:after="0" w:line="285" w:lineRule="auto"/>
        <w:tabs>
          <w:tab w:leader="none" w:pos="562"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6"/>
          <w:szCs w:val="16"/>
          <w:color w:val="auto"/>
        </w:rPr>
        <w:t>The Deferred Shares shall confer on each holder of Deferred Shares the right to receive notice of and to attend and speak at general meetings of the Company but shall confer no rights to vote at any such general meeting of the Company.</w:t>
      </w:r>
    </w:p>
    <w:p>
      <w:pPr>
        <w:spacing w:after="0" w:line="150" w:lineRule="exact"/>
        <w:rPr>
          <w:sz w:val="20"/>
          <w:szCs w:val="20"/>
          <w:color w:val="auto"/>
        </w:rPr>
      </w:pPr>
    </w:p>
    <w:p>
      <w:pPr>
        <w:ind w:left="582" w:right="200" w:hanging="586"/>
        <w:spacing w:after="0" w:line="320" w:lineRule="auto"/>
        <w:tabs>
          <w:tab w:leader="none" w:pos="562"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5"/>
          <w:szCs w:val="15"/>
          <w:color w:val="auto"/>
        </w:rPr>
        <w:t>Where the Shares confer a right to vote, on a show of hands each Shareholder who (being an individual) is present in person or by proxy or (being a corporation) is present by a duly authorised representative or by proxy shall have one (1) vote and on a poll each such Shareholder so present shall have:</w:t>
      </w:r>
    </w:p>
    <w:p>
      <w:pPr>
        <w:spacing w:after="0" w:line="127" w:lineRule="exact"/>
        <w:rPr>
          <w:sz w:val="20"/>
          <w:szCs w:val="20"/>
          <w:color w:val="auto"/>
        </w:rPr>
      </w:pPr>
    </w:p>
    <w:p>
      <w:pPr>
        <w:ind w:left="1162" w:hanging="575"/>
        <w:spacing w:after="0"/>
        <w:tabs>
          <w:tab w:leader="none" w:pos="116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one (1) vote for each Ordinary Share held by him; and</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one (1) vote per Ordinary Share such Preferred Shareholder would hold on an As Converted Basis.</w:t>
      </w:r>
    </w:p>
    <w:p>
      <w:pPr>
        <w:spacing w:after="0" w:line="207" w:lineRule="exact"/>
        <w:rPr>
          <w:sz w:val="20"/>
          <w:szCs w:val="20"/>
          <w:color w:val="auto"/>
        </w:rPr>
      </w:pPr>
    </w:p>
    <w:p>
      <w:pPr>
        <w:ind w:left="582" w:right="80" w:hanging="586"/>
        <w:spacing w:after="0" w:line="285" w:lineRule="auto"/>
        <w:tabs>
          <w:tab w:leader="none" w:pos="562"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color w:val="auto"/>
        </w:rPr>
        <w:t>The Preferred Shareholders will vote together with the Ordinary Shareholders and not as a separate class except as specifically provided herein or otherwise required by law.</w:t>
      </w:r>
    </w:p>
    <w:p>
      <w:pPr>
        <w:spacing w:after="0" w:line="146" w:lineRule="exact"/>
        <w:rPr>
          <w:sz w:val="20"/>
          <w:szCs w:val="20"/>
          <w:color w:val="auto"/>
        </w:rPr>
      </w:pPr>
    </w:p>
    <w:p>
      <w:pPr>
        <w:ind w:left="582" w:hanging="582"/>
        <w:spacing w:after="0"/>
        <w:tabs>
          <w:tab w:leader="none" w:pos="582"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CONVERSION OF PREFERRED SHARES</w:t>
      </w:r>
    </w:p>
    <w:p>
      <w:pPr>
        <w:spacing w:after="0" w:line="211" w:lineRule="exact"/>
        <w:rPr>
          <w:sz w:val="20"/>
          <w:szCs w:val="20"/>
          <w:color w:val="auto"/>
        </w:rPr>
      </w:pPr>
    </w:p>
    <w:p>
      <w:pPr>
        <w:ind w:left="582" w:right="100" w:hanging="586"/>
        <w:spacing w:after="0" w:line="265" w:lineRule="auto"/>
        <w:tabs>
          <w:tab w:leader="none" w:pos="562"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color w:val="auto"/>
        </w:rPr>
        <w:t>Each Preferred Shareholder shall be entitled, by notice in writing to the Company, to require conversion into Ordinary Shares of all of the Preferred Shares held by it at the Conversion Rate at any time and those Preferred Shares shall convert at the Conversion Rate into Ordinary Shares automatically on the date the Preferred Shareholder (the “</w:t>
      </w:r>
      <w:r>
        <w:rPr>
          <w:rFonts w:ascii="Arial" w:cs="Arial" w:eastAsia="Arial" w:hAnsi="Arial"/>
          <w:sz w:val="16"/>
          <w:szCs w:val="16"/>
          <w:b w:val="1"/>
          <w:bCs w:val="1"/>
          <w:color w:val="auto"/>
        </w:rPr>
        <w:t>Conversion Date</w:t>
      </w:r>
      <w:r>
        <w:rPr>
          <w:rFonts w:ascii="Arial" w:cs="Arial" w:eastAsia="Arial" w:hAnsi="Arial"/>
          <w:sz w:val="16"/>
          <w:szCs w:val="16"/>
          <w:color w:val="auto"/>
        </w:rPr>
        <w:t>”) gives such notice. The holder may in such notice, state that conversion of its Preferred Shares into Ordinary Shares is conditional upon the occurrence of particular events (the “</w:t>
      </w:r>
      <w:r>
        <w:rPr>
          <w:rFonts w:ascii="Arial" w:cs="Arial" w:eastAsia="Arial" w:hAnsi="Arial"/>
          <w:sz w:val="16"/>
          <w:szCs w:val="16"/>
          <w:b w:val="1"/>
          <w:bCs w:val="1"/>
          <w:color w:val="auto"/>
        </w:rPr>
        <w:t>Conditions</w:t>
      </w:r>
      <w:r>
        <w:rPr>
          <w:rFonts w:ascii="Arial" w:cs="Arial" w:eastAsia="Arial" w:hAnsi="Arial"/>
          <w:sz w:val="16"/>
          <w:szCs w:val="16"/>
          <w:color w:val="auto"/>
        </w:rPr>
        <w:t>”).</w:t>
      </w:r>
    </w:p>
    <w:p>
      <w:pPr>
        <w:spacing w:after="0" w:line="16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4"/>
          <w:szCs w:val="14"/>
          <w:color w:val="auto"/>
        </w:rPr>
        <w:t>All of the Preferred Shares shall automatically convert at the Conversion Rate into Ordinary Shares immediately:</w:t>
      </w:r>
    </w:p>
    <w:p>
      <w:pPr>
        <w:spacing w:after="0" w:line="207" w:lineRule="exact"/>
        <w:rPr>
          <w:sz w:val="20"/>
          <w:szCs w:val="20"/>
          <w:color w:val="auto"/>
        </w:rPr>
      </w:pPr>
    </w:p>
    <w:p>
      <w:pPr>
        <w:ind w:left="1162" w:hanging="575"/>
        <w:spacing w:after="0"/>
        <w:tabs>
          <w:tab w:leader="none" w:pos="116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prior to occurrence of a Qualified IPO; and</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at the election of a Super Preferred Majority.</w:t>
      </w:r>
    </w:p>
    <w:p>
      <w:pPr>
        <w:spacing w:after="0" w:line="207" w:lineRule="exact"/>
        <w:rPr>
          <w:rFonts w:ascii="Arial" w:cs="Arial" w:eastAsia="Arial" w:hAnsi="Arial"/>
          <w:sz w:val="16"/>
          <w:szCs w:val="16"/>
          <w:color w:val="auto"/>
        </w:rPr>
      </w:pPr>
    </w:p>
    <w:p>
      <w:pPr>
        <w:ind w:left="2"/>
        <w:spacing w:after="0"/>
        <w:rPr>
          <w:rFonts w:ascii="Arial" w:cs="Arial" w:eastAsia="Arial" w:hAnsi="Arial"/>
          <w:sz w:val="16"/>
          <w:szCs w:val="16"/>
          <w:color w:val="auto"/>
        </w:rPr>
      </w:pPr>
      <w:r>
        <w:rPr>
          <w:rFonts w:ascii="Arial" w:cs="Arial" w:eastAsia="Arial" w:hAnsi="Arial"/>
          <w:sz w:val="16"/>
          <w:szCs w:val="16"/>
          <w:color w:val="auto"/>
        </w:rPr>
        <w:t>8.3</w:t>
      </w:r>
      <w:r>
        <w:rPr>
          <w:rFonts w:ascii="Arial" w:cs="Arial" w:eastAsia="Arial" w:hAnsi="Arial"/>
          <w:sz w:val="14"/>
          <w:szCs w:val="14"/>
          <w:color w:val="auto"/>
        </w:rPr>
        <w:t>In the case of:</w:t>
      </w:r>
    </w:p>
    <w:p>
      <w:pPr>
        <w:spacing w:after="0" w:line="207" w:lineRule="exact"/>
        <w:rPr>
          <w:sz w:val="20"/>
          <w:szCs w:val="20"/>
          <w:color w:val="auto"/>
        </w:rPr>
      </w:pPr>
    </w:p>
    <w:p>
      <w:pPr>
        <w:ind w:left="1162" w:hanging="575"/>
        <w:spacing w:after="0"/>
        <w:tabs>
          <w:tab w:leader="none" w:pos="116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Article 8.1, at least five (5) Business Days after the Conversion Date;</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Article 8.2(a), at least five (5) Business Days prior to the occurrence of the Qualified IPO; and</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Article 8.2(b), no later than five (5) Business Days following the election of a Preferred Majority,</w:t>
      </w:r>
    </w:p>
    <w:p>
      <w:pPr>
        <w:spacing w:after="0" w:line="207" w:lineRule="exact"/>
        <w:rPr>
          <w:sz w:val="20"/>
          <w:szCs w:val="20"/>
          <w:color w:val="auto"/>
        </w:rPr>
      </w:pPr>
    </w:p>
    <w:p>
      <w:pPr>
        <w:ind w:left="582" w:right="160"/>
        <w:spacing w:after="0" w:line="285" w:lineRule="auto"/>
        <w:rPr>
          <w:sz w:val="20"/>
          <w:szCs w:val="20"/>
          <w:color w:val="auto"/>
        </w:rPr>
      </w:pPr>
      <w:r>
        <w:rPr>
          <w:rFonts w:ascii="Arial" w:cs="Arial" w:eastAsia="Arial" w:hAnsi="Arial"/>
          <w:sz w:val="16"/>
          <w:szCs w:val="16"/>
          <w:color w:val="auto"/>
        </w:rPr>
        <w:t>each Preferred Shareholder shall deliver the certificate (or an indemnity in a form reasonably satisfactory to the Board in respect of any lost certificate(s)) in respect of the Preferred Shares being converted to the Company at its registered office at that time.</w:t>
      </w:r>
    </w:p>
    <w:p>
      <w:pPr>
        <w:spacing w:after="0" w:line="150" w:lineRule="exact"/>
        <w:rPr>
          <w:sz w:val="20"/>
          <w:szCs w:val="20"/>
          <w:color w:val="auto"/>
        </w:rPr>
      </w:pPr>
    </w:p>
    <w:p>
      <w:pPr>
        <w:ind w:left="582" w:hanging="586"/>
        <w:spacing w:after="0" w:line="265" w:lineRule="auto"/>
        <w:tabs>
          <w:tab w:leader="none" w:pos="562"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6"/>
          <w:szCs w:val="16"/>
          <w:color w:val="auto"/>
        </w:rPr>
        <w:t>Where conversion is mandatory on the occurrence of a Qualified IPO, that conversion will be effective only immediately prior to such Qualified IPO (and Conversion Date shall be construed accordingly) and if such Qualified IPO does not become effective or does not take place, such conversion shall be deemed not to have occurred. In the event of a conversion under Article 8.1, if the Conditions have not been satisfied or waived by the relevant Shareholder by the Conversion Date such conversion shall be deemed not to have occurred.</w:t>
      </w:r>
    </w:p>
    <w:p>
      <w:pPr>
        <w:spacing w:after="0" w:line="166" w:lineRule="exact"/>
        <w:rPr>
          <w:sz w:val="20"/>
          <w:szCs w:val="20"/>
          <w:color w:val="auto"/>
        </w:rPr>
      </w:pPr>
    </w:p>
    <w:p>
      <w:pPr>
        <w:ind w:left="582" w:right="400" w:hanging="586"/>
        <w:spacing w:after="0" w:line="285" w:lineRule="auto"/>
        <w:tabs>
          <w:tab w:leader="none" w:pos="562"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6"/>
          <w:szCs w:val="16"/>
          <w:color w:val="auto"/>
        </w:rPr>
        <w:t>On the Conversion Date, the relevant Preferred Shares shall without further authority than is contained in these Articles stand converted into Ordinary Shares or Deferred Shares (as the case may be) at the relevant Conversion Rate and the Ordinary Shares and/or Deferred</w:t>
      </w:r>
    </w:p>
    <w:p>
      <w:pPr>
        <w:spacing w:after="0" w:line="1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335" w:name="page336"/>
    <w:bookmarkEnd w:id="335"/>
    <w:p>
      <w:pPr>
        <w:ind w:left="540"/>
        <w:spacing w:after="0"/>
        <w:rPr>
          <w:sz w:val="20"/>
          <w:szCs w:val="20"/>
          <w:color w:val="auto"/>
        </w:rPr>
      </w:pPr>
      <w:r>
        <w:rPr>
          <w:rFonts w:ascii="Arial" w:cs="Arial" w:eastAsia="Arial" w:hAnsi="Arial"/>
          <w:sz w:val="16"/>
          <w:szCs w:val="16"/>
          <w:color w:val="auto"/>
        </w:rPr>
        <w:t>Shares resulting from that conversion shall in all other respects rank pari passu with the existing issued Ordinary Shares and Deferred Shares.</w:t>
      </w:r>
    </w:p>
    <w:p>
      <w:pPr>
        <w:spacing w:after="0" w:line="207" w:lineRule="exact"/>
        <w:rPr>
          <w:sz w:val="20"/>
          <w:szCs w:val="20"/>
          <w:color w:val="auto"/>
        </w:rPr>
      </w:pPr>
    </w:p>
    <w:p>
      <w:pPr>
        <w:ind w:left="540" w:hanging="586"/>
        <w:spacing w:after="0" w:line="288" w:lineRule="auto"/>
        <w:tabs>
          <w:tab w:leader="none" w:pos="520" w:val="left"/>
        </w:tabs>
        <w:rPr>
          <w:sz w:val="20"/>
          <w:szCs w:val="20"/>
          <w:color w:val="auto"/>
        </w:rPr>
      </w:pPr>
      <w:r>
        <w:rPr>
          <w:rFonts w:ascii="Arial" w:cs="Arial" w:eastAsia="Arial" w:hAnsi="Arial"/>
          <w:sz w:val="16"/>
          <w:szCs w:val="16"/>
          <w:color w:val="auto"/>
        </w:rPr>
        <w:t>8.6</w:t>
      </w:r>
      <w:r>
        <w:rPr>
          <w:sz w:val="20"/>
          <w:szCs w:val="20"/>
          <w:color w:val="auto"/>
        </w:rPr>
        <w:tab/>
      </w:r>
      <w:r>
        <w:rPr>
          <w:rFonts w:ascii="Arial" w:cs="Arial" w:eastAsia="Arial" w:hAnsi="Arial"/>
          <w:sz w:val="15"/>
          <w:szCs w:val="15"/>
          <w:color w:val="auto"/>
        </w:rPr>
        <w:t>The Company shall on the Conversion Date enter the Preferred Shareholder into the register of members of the Company as the holder of the appropriate number of Ordinary Shares and/or Deferred Shares and, subject to the relevant holder delivering its certificate(s) (or indemnity) in respect of the Preferred Shares it held in accordance with this Article 8, the Company shall within ten (10) Business Days of the Conversion Date forward to such Preferred Shareholder by post to his address shown in the register of members, free of charge, a definitive certificate for the appropriate number of fully paid Ordinary Shares and Deferred Shares.</w:t>
      </w:r>
    </w:p>
    <w:p>
      <w:pPr>
        <w:spacing w:after="0" w:line="150" w:lineRule="exact"/>
        <w:rPr>
          <w:sz w:val="20"/>
          <w:szCs w:val="20"/>
          <w:color w:val="auto"/>
        </w:rPr>
      </w:pPr>
    </w:p>
    <w:p>
      <w:pPr>
        <w:jc w:val="both"/>
        <w:ind w:left="540" w:right="60" w:hanging="586"/>
        <w:spacing w:after="0" w:line="265" w:lineRule="auto"/>
        <w:tabs>
          <w:tab w:leader="none" w:pos="520" w:val="left"/>
        </w:tabs>
        <w:rPr>
          <w:sz w:val="20"/>
          <w:szCs w:val="20"/>
          <w:color w:val="auto"/>
        </w:rPr>
      </w:pPr>
      <w:r>
        <w:rPr>
          <w:rFonts w:ascii="Arial" w:cs="Arial" w:eastAsia="Arial" w:hAnsi="Arial"/>
          <w:sz w:val="16"/>
          <w:szCs w:val="16"/>
          <w:color w:val="auto"/>
        </w:rPr>
        <w:t>8.7</w:t>
      </w:r>
      <w:r>
        <w:rPr>
          <w:sz w:val="20"/>
          <w:szCs w:val="20"/>
          <w:color w:val="auto"/>
        </w:rPr>
        <w:tab/>
      </w:r>
      <w:r>
        <w:rPr>
          <w:rFonts w:ascii="Arial" w:cs="Arial" w:eastAsia="Arial" w:hAnsi="Arial"/>
          <w:sz w:val="16"/>
          <w:szCs w:val="16"/>
          <w:color w:val="auto"/>
        </w:rPr>
        <w:t>Notwithstanding any other provision of these Articles, if the Company issues any Additional Shares without consideration or for a consideration per share less than the Issue Price of any Preferred Share (a “</w:t>
      </w:r>
      <w:r>
        <w:rPr>
          <w:rFonts w:ascii="Arial" w:cs="Arial" w:eastAsia="Arial" w:hAnsi="Arial"/>
          <w:sz w:val="16"/>
          <w:szCs w:val="16"/>
          <w:b w:val="1"/>
          <w:bCs w:val="1"/>
          <w:color w:val="auto"/>
        </w:rPr>
        <w:t>Qualifying Issue</w:t>
      </w:r>
      <w:r>
        <w:rPr>
          <w:rFonts w:ascii="Arial" w:cs="Arial" w:eastAsia="Arial" w:hAnsi="Arial"/>
          <w:sz w:val="16"/>
          <w:szCs w:val="16"/>
          <w:color w:val="auto"/>
        </w:rPr>
        <w:t>”), then (save where a Preferred Share is automatically converted under Article 8.2) the Conversion Rate applicable to such Preferred Share immediately prior to such Qualifying Issue shall be adjusted such that the Conversion Rate in respect of a Preferred Share held by a Preferred Shareholder (“</w:t>
      </w:r>
      <w:r>
        <w:rPr>
          <w:rFonts w:ascii="Arial" w:cs="Arial" w:eastAsia="Arial" w:hAnsi="Arial"/>
          <w:sz w:val="16"/>
          <w:szCs w:val="16"/>
          <w:b w:val="1"/>
          <w:bCs w:val="1"/>
          <w:color w:val="auto"/>
        </w:rPr>
        <w:t>X</w:t>
      </w:r>
      <w:r>
        <w:rPr>
          <w:rFonts w:ascii="Arial" w:cs="Arial" w:eastAsia="Arial" w:hAnsi="Arial"/>
          <w:sz w:val="16"/>
          <w:szCs w:val="16"/>
          <w:color w:val="auto"/>
        </w:rPr>
        <w:t>”) shall be the product of the following formula:</w:t>
      </w:r>
    </w:p>
    <w:p>
      <w:pPr>
        <w:spacing w:after="0" w:line="162" w:lineRule="exact"/>
        <w:rPr>
          <w:sz w:val="20"/>
          <w:szCs w:val="20"/>
          <w:color w:val="auto"/>
        </w:rPr>
      </w:pPr>
    </w:p>
    <w:p>
      <w:pPr>
        <w:ind w:left="540"/>
        <w:spacing w:after="0"/>
        <w:tabs>
          <w:tab w:leader="none" w:pos="3660" w:val="left"/>
        </w:tabs>
        <w:rPr>
          <w:sz w:val="20"/>
          <w:szCs w:val="20"/>
          <w:color w:val="auto"/>
        </w:rPr>
      </w:pPr>
      <w:r>
        <w:rPr>
          <w:rFonts w:ascii="Arial" w:cs="Arial" w:eastAsia="Arial" w:hAnsi="Arial"/>
          <w:sz w:val="16"/>
          <w:szCs w:val="16"/>
          <w:b w:val="1"/>
          <w:bCs w:val="1"/>
          <w:color w:val="auto"/>
        </w:rPr>
        <w:t>X =</w:t>
      </w:r>
      <w:r>
        <w:rPr>
          <w:sz w:val="20"/>
          <w:szCs w:val="20"/>
          <w:color w:val="auto"/>
        </w:rPr>
        <w:tab/>
      </w:r>
      <w:r>
        <w:rPr>
          <w:rFonts w:ascii="Arial" w:cs="Arial" w:eastAsia="Arial" w:hAnsi="Arial"/>
          <w:sz w:val="15"/>
          <w:szCs w:val="15"/>
          <w:b w:val="1"/>
          <w:bCs w:val="1"/>
          <w:color w:val="auto"/>
        </w:rPr>
        <w:t>OSP x (ESC + NSC)</w:t>
      </w:r>
    </w:p>
    <w:p>
      <w:pPr>
        <w:spacing w:after="0" w:line="207"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(OSP x ESC) + (ASP x NSC)</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and for the purpose of this Article:</w:t>
      </w:r>
    </w:p>
    <w:p>
      <w:pPr>
        <w:spacing w:after="0" w:line="203" w:lineRule="exact"/>
        <w:rPr>
          <w:sz w:val="20"/>
          <w:szCs w:val="20"/>
          <w:color w:val="auto"/>
        </w:rPr>
      </w:pPr>
    </w:p>
    <w:p>
      <w:pPr>
        <w:ind w:left="420"/>
        <w:spacing w:after="0"/>
        <w:tabs>
          <w:tab w:leader="none" w:pos="1000" w:val="left"/>
        </w:tabs>
        <w:rPr>
          <w:sz w:val="20"/>
          <w:szCs w:val="20"/>
          <w:color w:val="auto"/>
        </w:rPr>
      </w:pPr>
      <w:r>
        <w:rPr>
          <w:rFonts w:ascii="Arial" w:cs="Arial" w:eastAsia="Arial" w:hAnsi="Arial"/>
          <w:sz w:val="16"/>
          <w:szCs w:val="16"/>
          <w:b w:val="1"/>
          <w:bCs w:val="1"/>
          <w:color w:val="auto"/>
        </w:rPr>
        <w:t>OSP</w:t>
      </w:r>
      <w:r>
        <w:rPr>
          <w:sz w:val="20"/>
          <w:szCs w:val="20"/>
          <w:color w:val="auto"/>
        </w:rPr>
        <w:tab/>
      </w:r>
      <w:r>
        <w:rPr>
          <w:rFonts w:ascii="Arial" w:cs="Arial" w:eastAsia="Arial" w:hAnsi="Arial"/>
          <w:sz w:val="16"/>
          <w:szCs w:val="16"/>
          <w:color w:val="auto"/>
        </w:rPr>
        <w:t>is the Issue Price divided by the Conversion Rate of such Preferred Share immediately before the Qualifying Issue.</w:t>
      </w:r>
    </w:p>
    <w:p>
      <w:pPr>
        <w:spacing w:after="0" w:line="207" w:lineRule="exact"/>
        <w:rPr>
          <w:sz w:val="20"/>
          <w:szCs w:val="20"/>
          <w:color w:val="auto"/>
        </w:rPr>
      </w:pPr>
    </w:p>
    <w:p>
      <w:pPr>
        <w:ind w:left="1020" w:right="40" w:hanging="586"/>
        <w:spacing w:after="0" w:line="265" w:lineRule="auto"/>
        <w:tabs>
          <w:tab w:leader="none" w:pos="1000" w:val="left"/>
        </w:tabs>
        <w:rPr>
          <w:sz w:val="20"/>
          <w:szCs w:val="20"/>
          <w:color w:val="auto"/>
        </w:rPr>
      </w:pPr>
      <w:r>
        <w:rPr>
          <w:rFonts w:ascii="Arial" w:cs="Arial" w:eastAsia="Arial" w:hAnsi="Arial"/>
          <w:sz w:val="16"/>
          <w:szCs w:val="16"/>
          <w:b w:val="1"/>
          <w:bCs w:val="1"/>
          <w:color w:val="auto"/>
        </w:rPr>
        <w:t>ESC</w:t>
      </w:r>
      <w:r>
        <w:rPr>
          <w:sz w:val="20"/>
          <w:szCs w:val="20"/>
          <w:color w:val="auto"/>
        </w:rPr>
        <w:tab/>
      </w:r>
      <w:r>
        <w:rPr>
          <w:rFonts w:ascii="Arial" w:cs="Arial" w:eastAsia="Arial" w:hAnsi="Arial"/>
          <w:sz w:val="16"/>
          <w:szCs w:val="16"/>
          <w:color w:val="auto"/>
        </w:rPr>
        <w:t>is the total number of shares in the Company’s equity share capital (as defined by the 2006 Act) that would be in issue on the date of conversion if all Shares the subject of all options, warrants, conversion rights (taking into account the then applicable Conversion Rate for the Preferred Shares) and all other rights of any person to acquire Shares granted by the Company prior to the Qualifying Issue had been exercised and the Shares the subject of such rights had been issued less the total number of shares issued on the Qualifying Issue.</w:t>
      </w:r>
    </w:p>
    <w:p>
      <w:pPr>
        <w:spacing w:after="0" w:line="166" w:lineRule="exact"/>
        <w:rPr>
          <w:sz w:val="20"/>
          <w:szCs w:val="20"/>
          <w:color w:val="auto"/>
        </w:rPr>
      </w:pPr>
    </w:p>
    <w:p>
      <w:pPr>
        <w:jc w:val="right"/>
        <w:ind w:left="420" w:right="280"/>
        <w:spacing w:after="0" w:line="326" w:lineRule="auto"/>
        <w:rPr>
          <w:sz w:val="20"/>
          <w:szCs w:val="20"/>
          <w:color w:val="auto"/>
        </w:rPr>
      </w:pPr>
      <w:r>
        <w:rPr>
          <w:rFonts w:ascii="Arial" w:cs="Arial" w:eastAsia="Arial" w:hAnsi="Arial"/>
          <w:sz w:val="15"/>
          <w:szCs w:val="15"/>
          <w:b w:val="1"/>
          <w:bCs w:val="1"/>
          <w:color w:val="auto"/>
        </w:rPr>
        <w:t xml:space="preserve">ASP    </w:t>
      </w:r>
      <w:r>
        <w:rPr>
          <w:rFonts w:ascii="Arial" w:cs="Arial" w:eastAsia="Arial" w:hAnsi="Arial"/>
          <w:sz w:val="15"/>
          <w:szCs w:val="15"/>
          <w:color w:val="auto"/>
        </w:rPr>
        <w:t>is the average subscription price per Additional Share issued on the Qualifying Issue calculated by dividing the aggregate of amounts paid or to be paid in</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of the Additional Shares issued pursuant to the Qualifying Issue by the total number of Additional Shares issued pursuant to the Qualifying Issue.</w:t>
      </w:r>
    </w:p>
    <w:p>
      <w:pPr>
        <w:spacing w:after="0" w:line="118"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6"/>
          <w:szCs w:val="16"/>
          <w:b w:val="1"/>
          <w:bCs w:val="1"/>
          <w:color w:val="auto"/>
        </w:rPr>
        <w:t>NSC</w:t>
      </w:r>
      <w:r>
        <w:rPr>
          <w:sz w:val="20"/>
          <w:szCs w:val="20"/>
          <w:color w:val="auto"/>
        </w:rPr>
        <w:tab/>
      </w:r>
      <w:r>
        <w:rPr>
          <w:rFonts w:ascii="Arial" w:cs="Arial" w:eastAsia="Arial" w:hAnsi="Arial"/>
          <w:sz w:val="16"/>
          <w:szCs w:val="16"/>
          <w:color w:val="auto"/>
        </w:rPr>
        <w:t>is the total number of shares issued on the Qualifying Issue.</w:t>
      </w:r>
    </w:p>
    <w:p>
      <w:pPr>
        <w:spacing w:after="0" w:line="211" w:lineRule="exact"/>
        <w:rPr>
          <w:sz w:val="20"/>
          <w:szCs w:val="20"/>
          <w:color w:val="auto"/>
        </w:rPr>
      </w:pPr>
    </w:p>
    <w:p>
      <w:pPr>
        <w:ind w:left="540" w:right="200"/>
        <w:spacing w:after="0" w:line="285" w:lineRule="auto"/>
        <w:rPr>
          <w:sz w:val="20"/>
          <w:szCs w:val="20"/>
          <w:color w:val="auto"/>
        </w:rPr>
      </w:pPr>
      <w:r>
        <w:rPr>
          <w:rFonts w:ascii="Arial" w:cs="Arial" w:eastAsia="Arial" w:hAnsi="Arial"/>
          <w:sz w:val="16"/>
          <w:szCs w:val="16"/>
          <w:color w:val="auto"/>
        </w:rPr>
        <w:t>For the avoidance of doubt, the adjustment to the Conversion Rate for each Preferred Share set out in Article 8.7, shall be applied to each class of Preferred Shares issued at the same Issue Price separately.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74930</wp:posOffset>
            </wp:positionV>
            <wp:extent cx="72802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40"/>
          </w:cols>
          <w:pgMar w:left="280" w:top="322" w:right="279" w:bottom="1440" w:gutter="0" w:footer="0" w:header="0"/>
        </w:sectPr>
      </w:pPr>
    </w:p>
    <w:bookmarkStart w:id="336" w:name="page337"/>
    <w:bookmarkEnd w:id="336"/>
    <w:p>
      <w:pPr>
        <w:spacing w:after="0"/>
        <w:tabs>
          <w:tab w:leader="none" w:pos="560"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4"/>
          <w:szCs w:val="14"/>
          <w:color w:val="auto"/>
        </w:rPr>
        <w:t>For the purposes of Article 8.7, the consideration received by the Company for the issue of Additional Shares shall be computed as follows:</w:t>
      </w:r>
    </w:p>
    <w:p>
      <w:pPr>
        <w:spacing w:after="0" w:line="207" w:lineRule="exact"/>
        <w:rPr>
          <w:sz w:val="20"/>
          <w:szCs w:val="20"/>
          <w:color w:val="auto"/>
        </w:rPr>
      </w:pPr>
    </w:p>
    <w:p>
      <w:pPr>
        <w:ind w:left="1180" w:right="640" w:hanging="595"/>
        <w:spacing w:after="0" w:line="285" w:lineRule="auto"/>
        <w:tabs>
          <w:tab w:leader="none" w:pos="117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insofar as it consists of cash, the aggregate of cash received by the Company excluding any amounts paid or payable for accrued interest or accrued dividends;</w:t>
      </w:r>
    </w:p>
    <w:p>
      <w:pPr>
        <w:spacing w:after="0" w:line="149" w:lineRule="exact"/>
        <w:rPr>
          <w:rFonts w:ascii="Arial" w:cs="Arial" w:eastAsia="Arial" w:hAnsi="Arial"/>
          <w:sz w:val="16"/>
          <w:szCs w:val="16"/>
          <w:color w:val="auto"/>
        </w:rPr>
      </w:pPr>
    </w:p>
    <w:p>
      <w:pPr>
        <w:ind w:left="1180" w:right="80" w:hanging="595"/>
        <w:spacing w:after="0" w:line="280" w:lineRule="auto"/>
        <w:tabs>
          <w:tab w:leader="none" w:pos="1187" w:val="left"/>
        </w:tabs>
        <w:numPr>
          <w:ilvl w:val="0"/>
          <w:numId w:val="184"/>
        </w:numPr>
        <w:rPr>
          <w:rFonts w:ascii="Arial" w:cs="Arial" w:eastAsia="Arial" w:hAnsi="Arial"/>
          <w:sz w:val="15"/>
          <w:szCs w:val="15"/>
          <w:color w:val="auto"/>
        </w:rPr>
      </w:pPr>
      <w:r>
        <w:rPr>
          <w:rFonts w:ascii="Arial" w:cs="Arial" w:eastAsia="Arial" w:hAnsi="Arial"/>
          <w:sz w:val="15"/>
          <w:szCs w:val="15"/>
          <w:color w:val="auto"/>
        </w:rPr>
        <w:t>insofar as it consists of property other than cash, the fair market value thereof at the time of such issue, as determined in good faith by the Board provided that if the holders of a majority of the relevant class of Preference Shares issued at the same Issue Price in whose favour the Conversion Rate is being adjusted pursuant to Article 8.7 disagree with such valuation the fair market value shall be determined by an umpire chosen by such holders of a majority of the relevant class of Preference Shares issued at the same Issue Price in whose favour the Conversion Rate is being adjusted pursuant to Article 8.7 and the Board and if they cannot agree on an umpire then on the application of any such Preferred Shareholder(s) by the President of the Institute of Chartered Accountants in England and Wales (and such umpire shall act as an expert and not as an arbitrator, his decision shall be final and binding save in the case of manifest error and his costs shall be met by the Company); and</w:t>
      </w:r>
    </w:p>
    <w:p>
      <w:pPr>
        <w:spacing w:after="0" w:line="156" w:lineRule="exact"/>
        <w:rPr>
          <w:rFonts w:ascii="Arial" w:cs="Arial" w:eastAsia="Arial" w:hAnsi="Arial"/>
          <w:sz w:val="15"/>
          <w:szCs w:val="15"/>
          <w:color w:val="auto"/>
        </w:rPr>
      </w:pPr>
    </w:p>
    <w:p>
      <w:pPr>
        <w:ind w:left="1180" w:right="360" w:hanging="595"/>
        <w:spacing w:after="0" w:line="285" w:lineRule="auto"/>
        <w:tabs>
          <w:tab w:leader="none" w:pos="119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Additional Shares are issued together with other Shares or securities or other assets of the Company for consideration which comprises both cash and property the proportion of such consideration so received shall be computed in accordance with Articles 8.8(a) and 8.8(b).</w:t>
      </w:r>
    </w:p>
    <w:p>
      <w:pPr>
        <w:spacing w:after="0" w:line="150" w:lineRule="exact"/>
        <w:rPr>
          <w:sz w:val="20"/>
          <w:szCs w:val="20"/>
          <w:color w:val="auto"/>
        </w:rPr>
      </w:pPr>
    </w:p>
    <w:p>
      <w:pPr>
        <w:ind w:left="580" w:right="260" w:hanging="586"/>
        <w:spacing w:after="0" w:line="285" w:lineRule="auto"/>
        <w:tabs>
          <w:tab w:leader="none" w:pos="560" w:val="left"/>
        </w:tabs>
        <w:rPr>
          <w:sz w:val="20"/>
          <w:szCs w:val="20"/>
          <w:color w:val="auto"/>
        </w:rPr>
      </w:pPr>
      <w:r>
        <w:rPr>
          <w:rFonts w:ascii="Arial" w:cs="Arial" w:eastAsia="Arial" w:hAnsi="Arial"/>
          <w:sz w:val="16"/>
          <w:szCs w:val="16"/>
          <w:color w:val="auto"/>
        </w:rPr>
        <w:t>8.9</w:t>
      </w:r>
      <w:r>
        <w:rPr>
          <w:sz w:val="20"/>
          <w:szCs w:val="20"/>
          <w:color w:val="auto"/>
        </w:rPr>
        <w:tab/>
      </w:r>
      <w:r>
        <w:rPr>
          <w:rFonts w:ascii="Arial" w:cs="Arial" w:eastAsia="Arial" w:hAnsi="Arial"/>
          <w:sz w:val="16"/>
          <w:szCs w:val="16"/>
          <w:color w:val="auto"/>
        </w:rPr>
        <w:t>If the Company issues Additional Shares after the Date of Adoption and an A Ordinary Shareholder is entitled to participate in such new issue by virtue of its pre-emption rights (whether arising under these Articles or otherwise) and the A Ordinary Shareholder in question:</w:t>
      </w:r>
    </w:p>
    <w:p>
      <w:pPr>
        <w:spacing w:after="0" w:line="150" w:lineRule="exact"/>
        <w:rPr>
          <w:sz w:val="20"/>
          <w:szCs w:val="20"/>
          <w:color w:val="auto"/>
        </w:rPr>
      </w:pPr>
    </w:p>
    <w:p>
      <w:pPr>
        <w:ind w:left="1180" w:hanging="595"/>
        <w:spacing w:after="0" w:line="270" w:lineRule="auto"/>
        <w:tabs>
          <w:tab w:leader="none" w:pos="117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subscribes for the full pro rata number of Additional Shares to which it is entitled to subscribe under such pre-emption rights (ignoring any rights which arise from the failure of another person to subscribe), the anti-dilution adjustment in Article 8.7 will adjust the Conversion Rate of all the A Ordinary Shares then held by that holder; or</w:t>
      </w:r>
    </w:p>
    <w:p>
      <w:pPr>
        <w:spacing w:after="0" w:line="161" w:lineRule="exact"/>
        <w:rPr>
          <w:rFonts w:ascii="Arial" w:cs="Arial" w:eastAsia="Arial" w:hAnsi="Arial"/>
          <w:sz w:val="16"/>
          <w:szCs w:val="16"/>
          <w:color w:val="auto"/>
        </w:rPr>
      </w:pPr>
    </w:p>
    <w:p>
      <w:pPr>
        <w:ind w:left="1180" w:right="100" w:hanging="595"/>
        <w:spacing w:after="0" w:line="296" w:lineRule="auto"/>
        <w:tabs>
          <w:tab w:leader="none" w:pos="1187" w:val="left"/>
        </w:tabs>
        <w:numPr>
          <w:ilvl w:val="0"/>
          <w:numId w:val="185"/>
        </w:numPr>
        <w:rPr>
          <w:rFonts w:ascii="Arial" w:cs="Arial" w:eastAsia="Arial" w:hAnsi="Arial"/>
          <w:sz w:val="15"/>
          <w:szCs w:val="15"/>
          <w:color w:val="auto"/>
        </w:rPr>
      </w:pPr>
      <w:r>
        <w:rPr>
          <w:rFonts w:ascii="Arial" w:cs="Arial" w:eastAsia="Arial" w:hAnsi="Arial"/>
          <w:sz w:val="15"/>
          <w:szCs w:val="15"/>
          <w:color w:val="auto"/>
        </w:rPr>
        <w:t>does not subscribe for the total pro rata number of Additional Shares to which it is entitled to subscribe under such pre-emption rights (ignoring any rights which arise from the failure of another person to subscribe) (the “</w:t>
      </w:r>
      <w:r>
        <w:rPr>
          <w:rFonts w:ascii="Arial" w:cs="Arial" w:eastAsia="Arial" w:hAnsi="Arial"/>
          <w:sz w:val="15"/>
          <w:szCs w:val="15"/>
          <w:b w:val="1"/>
          <w:bCs w:val="1"/>
          <w:color w:val="auto"/>
        </w:rPr>
        <w:t>Defaulting A Ordinary Share Investor</w:t>
      </w:r>
      <w:r>
        <w:rPr>
          <w:rFonts w:ascii="Arial" w:cs="Arial" w:eastAsia="Arial" w:hAnsi="Arial"/>
          <w:sz w:val="15"/>
          <w:szCs w:val="15"/>
          <w:color w:val="auto"/>
        </w:rPr>
        <w:t>”), the anti-dilution adjustment in Article 8.7 will adjust the Conversion Rate of a proportion of that holder’s A Ordinary Shares only. Such proportion will be calculated by the following formula:</w:t>
      </w:r>
    </w:p>
    <w:p>
      <w:pPr>
        <w:spacing w:after="0" w:line="144" w:lineRule="exact"/>
        <w:rPr>
          <w:rFonts w:ascii="Arial" w:cs="Arial" w:eastAsia="Arial" w:hAnsi="Arial"/>
          <w:sz w:val="15"/>
          <w:szCs w:val="15"/>
          <w:color w:val="auto"/>
        </w:rPr>
      </w:pPr>
    </w:p>
    <w:p>
      <w:pPr>
        <w:jc w:val="both"/>
        <w:ind w:left="1180" w:right="9720"/>
        <w:spacing w:after="0" w:line="541" w:lineRule="auto"/>
        <w:rPr>
          <w:rFonts w:ascii="Arial" w:cs="Arial" w:eastAsia="Arial" w:hAnsi="Arial"/>
          <w:sz w:val="15"/>
          <w:szCs w:val="15"/>
          <w:color w:val="auto"/>
        </w:rPr>
      </w:pPr>
      <w:r>
        <w:rPr>
          <w:rFonts w:ascii="Arial" w:cs="Arial" w:eastAsia="Arial" w:hAnsi="Arial"/>
          <w:sz w:val="15"/>
          <w:szCs w:val="15"/>
          <w:color w:val="auto"/>
        </w:rPr>
        <w:t xml:space="preserve">Y = </w:t>
      </w:r>
      <w:r>
        <w:rPr>
          <w:rFonts w:ascii="Arial" w:cs="Arial" w:eastAsia="Arial" w:hAnsi="Arial"/>
          <w:sz w:val="15"/>
          <w:szCs w:val="15"/>
          <w:i w:val="1"/>
          <w:iCs w:val="1"/>
          <w:color w:val="auto"/>
        </w:rPr>
        <w:t>B/A</w:t>
      </w:r>
      <w:r>
        <w:rPr>
          <w:rFonts w:ascii="Arial" w:cs="Arial" w:eastAsia="Arial" w:hAnsi="Arial"/>
          <w:sz w:val="15"/>
          <w:szCs w:val="15"/>
          <w:color w:val="auto"/>
        </w:rPr>
        <w:t xml:space="preserve"> Where:</w:t>
      </w:r>
    </w:p>
    <w:p>
      <w:pPr>
        <w:ind w:left="1180" w:right="200"/>
        <w:spacing w:after="0" w:line="510" w:lineRule="auto"/>
        <w:rPr>
          <w:rFonts w:ascii="Arial" w:cs="Arial" w:eastAsia="Arial" w:hAnsi="Arial"/>
          <w:sz w:val="15"/>
          <w:szCs w:val="15"/>
          <w:color w:val="auto"/>
        </w:rPr>
      </w:pPr>
      <w:r>
        <w:rPr>
          <w:rFonts w:ascii="Arial" w:cs="Arial" w:eastAsia="Arial" w:hAnsi="Arial"/>
          <w:sz w:val="16"/>
          <w:szCs w:val="16"/>
          <w:b w:val="1"/>
          <w:bCs w:val="1"/>
          <w:color w:val="auto"/>
        </w:rPr>
        <w:t xml:space="preserve">Y </w:t>
      </w:r>
      <w:r>
        <w:rPr>
          <w:rFonts w:ascii="Arial" w:cs="Arial" w:eastAsia="Arial" w:hAnsi="Arial"/>
          <w:sz w:val="16"/>
          <w:szCs w:val="16"/>
          <w:color w:val="auto"/>
        </w:rPr>
        <w:t>= the number of A Ordinary Shares in respect of which the adjusted anti-dilution Conversion Rate calculated in accordance with Article 8.7 shall apply.</w:t>
      </w:r>
      <w:r>
        <w:rPr>
          <w:rFonts w:ascii="Arial" w:cs="Arial" w:eastAsia="Arial" w:hAnsi="Arial"/>
          <w:sz w:val="16"/>
          <w:szCs w:val="16"/>
          <w:b w:val="1"/>
          <w:bCs w:val="1"/>
          <w:color w:val="auto"/>
        </w:rPr>
        <w:t xml:space="preserve"> B </w:t>
      </w:r>
      <w:r>
        <w:rPr>
          <w:rFonts w:ascii="Arial" w:cs="Arial" w:eastAsia="Arial" w:hAnsi="Arial"/>
          <w:sz w:val="16"/>
          <w:szCs w:val="16"/>
          <w:color w:val="auto"/>
        </w:rPr>
        <w:t>= the number of Additional Shares subscribed by the Defaulting A Ordinary Share Investor on the new issue.</w:t>
      </w:r>
    </w:p>
    <w:p>
      <w:pPr>
        <w:ind w:left="1180" w:right="600"/>
        <w:spacing w:after="0" w:line="290" w:lineRule="auto"/>
        <w:rPr>
          <w:rFonts w:ascii="Arial" w:cs="Arial" w:eastAsia="Arial" w:hAnsi="Arial"/>
          <w:sz w:val="15"/>
          <w:szCs w:val="15"/>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 the total number of Additional Shares to which the Defaulting A Ordinary Share Investor was entitled to subscribe in respect of his full 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entitlement on the new issue.</w:t>
      </w:r>
    </w:p>
    <w:p>
      <w:pPr>
        <w:spacing w:after="0" w:line="146" w:lineRule="exact"/>
        <w:rPr>
          <w:rFonts w:ascii="Arial" w:cs="Arial" w:eastAsia="Arial" w:hAnsi="Arial"/>
          <w:sz w:val="15"/>
          <w:szCs w:val="15"/>
          <w:color w:val="auto"/>
        </w:rPr>
      </w:pPr>
    </w:p>
    <w:p>
      <w:pPr>
        <w:ind w:left="1180" w:right="560"/>
        <w:spacing w:after="0" w:line="285" w:lineRule="auto"/>
        <w:rPr>
          <w:rFonts w:ascii="Arial" w:cs="Arial" w:eastAsia="Arial" w:hAnsi="Arial"/>
          <w:sz w:val="15"/>
          <w:szCs w:val="15"/>
          <w:color w:val="auto"/>
        </w:rPr>
      </w:pPr>
      <w:r>
        <w:rPr>
          <w:rFonts w:ascii="Arial" w:cs="Arial" w:eastAsia="Arial" w:hAnsi="Arial"/>
          <w:sz w:val="16"/>
          <w:szCs w:val="16"/>
          <w:color w:val="auto"/>
        </w:rPr>
        <w:t>In this event, the Conversion Rate for all other A Ordinary Shares of that holder shall be the Conversion Rate applicable in respect of a Defaulting A Ordinary Share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337" w:name="page338"/>
    <w:bookmarkEnd w:id="337"/>
    <w:p>
      <w:pPr>
        <w:ind w:left="1182"/>
        <w:spacing w:after="0"/>
        <w:rPr>
          <w:sz w:val="20"/>
          <w:szCs w:val="20"/>
          <w:color w:val="auto"/>
        </w:rPr>
      </w:pPr>
      <w:r>
        <w:rPr>
          <w:rFonts w:ascii="Arial" w:cs="Arial" w:eastAsia="Arial" w:hAnsi="Arial"/>
          <w:sz w:val="16"/>
          <w:szCs w:val="16"/>
          <w:color w:val="auto"/>
        </w:rPr>
        <w:t>Investor’s A Ordinary Shares prior to the Qualifying Issue subject always to adjustment to reflect any Capital Reorganisation from time to time.</w:t>
      </w:r>
    </w:p>
    <w:p>
      <w:pPr>
        <w:spacing w:after="0" w:line="207" w:lineRule="exact"/>
        <w:rPr>
          <w:sz w:val="20"/>
          <w:szCs w:val="20"/>
          <w:color w:val="auto"/>
        </w:rPr>
      </w:pPr>
    </w:p>
    <w:p>
      <w:pPr>
        <w:ind w:left="1182" w:hanging="595"/>
        <w:spacing w:after="0" w:line="270" w:lineRule="auto"/>
        <w:tabs>
          <w:tab w:leader="none" w:pos="119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As a result of the operation of the above provisions of this Article 8, individual A Ordinary Shares held by a single holder may, at any time, carry different Conversion Rates. Accordingly, the anti-dilution adjustment in Article 8.7 shall be calculated separately for each A Ordinary Share (or parcel of A Ordinary Shares) having the same Conversion Rate immediately prior to the Qualifying Issue</w:t>
      </w:r>
    </w:p>
    <w:p>
      <w:pPr>
        <w:spacing w:after="0" w:line="162" w:lineRule="exact"/>
        <w:rPr>
          <w:sz w:val="20"/>
          <w:szCs w:val="20"/>
          <w:color w:val="auto"/>
        </w:rPr>
      </w:pPr>
    </w:p>
    <w:p>
      <w:pPr>
        <w:ind w:left="582" w:right="80" w:hanging="586"/>
        <w:spacing w:after="0" w:line="265" w:lineRule="auto"/>
        <w:tabs>
          <w:tab w:leader="none" w:pos="562" w:val="left"/>
        </w:tabs>
        <w:rPr>
          <w:sz w:val="20"/>
          <w:szCs w:val="20"/>
          <w:color w:val="auto"/>
        </w:rPr>
      </w:pPr>
      <w:r>
        <w:rPr>
          <w:rFonts w:ascii="Arial" w:cs="Arial" w:eastAsia="Arial" w:hAnsi="Arial"/>
          <w:sz w:val="16"/>
          <w:szCs w:val="16"/>
          <w:color w:val="auto"/>
        </w:rPr>
        <w:t>8.10</w:t>
      </w:r>
      <w:r>
        <w:rPr>
          <w:sz w:val="20"/>
          <w:szCs w:val="20"/>
          <w:color w:val="auto"/>
        </w:rPr>
        <w:tab/>
      </w:r>
      <w:r>
        <w:rPr>
          <w:rFonts w:ascii="Arial" w:cs="Arial" w:eastAsia="Arial" w:hAnsi="Arial"/>
          <w:sz w:val="16"/>
          <w:szCs w:val="16"/>
          <w:color w:val="auto"/>
        </w:rPr>
        <w:t>In the event that a Capital Reorganisation takes place whilst any Preferred Shares remain unconverted, the Auditors (acting as experts and not as arbitrators) shall determine whether it is fair and reasonable to adjust the Conversion Rate in respect of all those Preferred Shares and, if so determined, the Conversion Rate shall be proportionately adjusted in such manner as is determined by the Auditors (acting as experts and not as arbitrators) to be fair and reasonable. The Auditor’s fees and expenses shall be paid by the Company.</w:t>
      </w:r>
    </w:p>
    <w:p>
      <w:pPr>
        <w:spacing w:after="0" w:line="162" w:lineRule="exact"/>
        <w:rPr>
          <w:sz w:val="20"/>
          <w:szCs w:val="20"/>
          <w:color w:val="auto"/>
        </w:rPr>
      </w:pPr>
    </w:p>
    <w:p>
      <w:pPr>
        <w:ind w:left="582" w:hanging="582"/>
        <w:spacing w:after="0"/>
        <w:tabs>
          <w:tab w:leader="none" w:pos="582"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VARIATION OF RIGHTS</w:t>
      </w:r>
    </w:p>
    <w:p>
      <w:pPr>
        <w:spacing w:after="0" w:line="211" w:lineRule="exact"/>
        <w:rPr>
          <w:rFonts w:ascii="Arial" w:cs="Arial" w:eastAsia="Arial" w:hAnsi="Arial"/>
          <w:sz w:val="16"/>
          <w:szCs w:val="16"/>
          <w:b w:val="1"/>
          <w:bCs w:val="1"/>
          <w:color w:val="auto"/>
        </w:rPr>
      </w:pPr>
    </w:p>
    <w:p>
      <w:pPr>
        <w:ind w:left="582" w:right="140"/>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Whenever the share capital of the Company is divided into different classes of shares, the special rights attached to any such class may only be varied or abrogated (either whilst the Company is a going concern or during or in contemplation of a winding-up) with the consent in writing of the holders of more than seventy five percent (75%) in nominal value of the issued shares of that class save that the rights (for the avoidance of doubt this will include class rights and any other rights) attaching to any class of Preferred Shares may only be varied or abrogated:</w:t>
      </w:r>
    </w:p>
    <w:p>
      <w:pPr>
        <w:spacing w:after="0" w:line="165" w:lineRule="exact"/>
        <w:rPr>
          <w:rFonts w:ascii="Arial" w:cs="Arial" w:eastAsia="Arial" w:hAnsi="Arial"/>
          <w:sz w:val="16"/>
          <w:szCs w:val="16"/>
          <w:b w:val="1"/>
          <w:bCs w:val="1"/>
          <w:color w:val="auto"/>
        </w:rPr>
      </w:pPr>
    </w:p>
    <w:p>
      <w:pPr>
        <w:jc w:val="both"/>
        <w:ind w:left="582" w:right="280" w:firstLine="5"/>
        <w:spacing w:after="0" w:line="270" w:lineRule="auto"/>
        <w:tabs>
          <w:tab w:leader="none" w:pos="873" w:val="left"/>
        </w:tabs>
        <w:numPr>
          <w:ilvl w:val="1"/>
          <w:numId w:val="187"/>
        </w:numPr>
        <w:rPr>
          <w:rFonts w:ascii="Arial" w:cs="Arial" w:eastAsia="Arial" w:hAnsi="Arial"/>
          <w:sz w:val="16"/>
          <w:szCs w:val="16"/>
          <w:color w:val="auto"/>
        </w:rPr>
      </w:pPr>
      <w:r>
        <w:rPr>
          <w:rFonts w:ascii="Arial" w:cs="Arial" w:eastAsia="Arial" w:hAnsi="Arial"/>
          <w:sz w:val="16"/>
          <w:szCs w:val="16"/>
          <w:color w:val="auto"/>
        </w:rPr>
        <w:t>with an Investor Director Consent where less than twenty five percent (25%) of the A Ordinary Shares (where the rights of the A Ordinary Shareholders are being varied or abrogated) or B Ordinary Shares (where the rights of the B Ordinary Shareholders are being varied or abrogated) issued on or around the Date of Adoption remain in issue as at the date of such variation or abrogation; or</w:t>
      </w:r>
    </w:p>
    <w:p>
      <w:pPr>
        <w:spacing w:after="0" w:line="161" w:lineRule="exact"/>
        <w:rPr>
          <w:rFonts w:ascii="Arial" w:cs="Arial" w:eastAsia="Arial" w:hAnsi="Arial"/>
          <w:sz w:val="16"/>
          <w:szCs w:val="16"/>
          <w:color w:val="auto"/>
        </w:rPr>
      </w:pPr>
    </w:p>
    <w:p>
      <w:pPr>
        <w:ind w:left="582" w:right="100" w:firstLine="5"/>
        <w:spacing w:after="0" w:line="308" w:lineRule="auto"/>
        <w:tabs>
          <w:tab w:leader="none" w:pos="882" w:val="left"/>
        </w:tabs>
        <w:numPr>
          <w:ilvl w:val="1"/>
          <w:numId w:val="187"/>
        </w:numPr>
        <w:rPr>
          <w:rFonts w:ascii="Arial" w:cs="Arial" w:eastAsia="Arial" w:hAnsi="Arial"/>
          <w:sz w:val="14"/>
          <w:szCs w:val="14"/>
          <w:color w:val="auto"/>
        </w:rPr>
      </w:pPr>
      <w:r>
        <w:rPr>
          <w:rFonts w:ascii="Arial" w:cs="Arial" w:eastAsia="Arial" w:hAnsi="Arial"/>
          <w:sz w:val="14"/>
          <w:szCs w:val="14"/>
          <w:color w:val="auto"/>
        </w:rPr>
        <w:t>with the approval of A Ordinary Shareholders (where the rights of the A Ordinary Shareholders are being varied or abrogated) or B Ordinary Shareholders (where the rights of the B Ordinary Shareholders are being varied or abrogated), as applicable, holding more than seventy five percent (75%) of such number of Ordinary Shares considered to be held by such Shareholders of that class of Shares on an As Converted basis (by nominal value), where at least twenty five percent (25%) of the A Ordinary Shares (where the rights of the A Ordinary Shareholders are being varied or abrogated) or B Ordinary Shares (where the rights of the B Ordinary Shareholders are being varied or abrogated) issued on or around the Date of Adoption remain in issue as at the date of such variation or abrogation.</w:t>
      </w:r>
    </w:p>
    <w:p>
      <w:pPr>
        <w:spacing w:after="0" w:line="136" w:lineRule="exact"/>
        <w:rPr>
          <w:rFonts w:ascii="Arial" w:cs="Arial" w:eastAsia="Arial" w:hAnsi="Arial"/>
          <w:sz w:val="14"/>
          <w:szCs w:val="14"/>
          <w:color w:val="auto"/>
        </w:rPr>
      </w:pPr>
    </w:p>
    <w:p>
      <w:pPr>
        <w:ind w:left="582" w:hanging="582"/>
        <w:spacing w:after="0"/>
        <w:tabs>
          <w:tab w:leader="none" w:pos="582"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ALLOTMENT OF NEW SHARES OR OTHER SECURITIES: PRE-EMPTION</w:t>
      </w:r>
    </w:p>
    <w:p>
      <w:pPr>
        <w:spacing w:after="0" w:line="211" w:lineRule="exact"/>
        <w:rPr>
          <w:sz w:val="20"/>
          <w:szCs w:val="20"/>
          <w:color w:val="auto"/>
        </w:rPr>
      </w:pPr>
    </w:p>
    <w:p>
      <w:pPr>
        <w:ind w:left="582" w:right="200" w:hanging="586"/>
        <w:spacing w:after="0" w:line="285" w:lineRule="auto"/>
        <w:tabs>
          <w:tab w:leader="none" w:pos="562"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Subject to the remaining provisions of this Article 10, the Directors are generally and unconditionally authorised for the purpose of section 551 of the 2006 Act to exercise any power of the Company to:</w:t>
      </w:r>
    </w:p>
    <w:p>
      <w:pPr>
        <w:spacing w:after="0" w:line="150" w:lineRule="exact"/>
        <w:rPr>
          <w:sz w:val="20"/>
          <w:szCs w:val="20"/>
          <w:color w:val="auto"/>
        </w:rPr>
      </w:pPr>
    </w:p>
    <w:p>
      <w:pPr>
        <w:ind w:left="1162" w:hanging="575"/>
        <w:spacing w:after="0"/>
        <w:tabs>
          <w:tab w:leader="none" w:pos="116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offer, allot or grant rights to subscribe for, or</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convert securities into, or</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otherwise deal in, or dispose of,</w:t>
      </w:r>
    </w:p>
    <w:p>
      <w:pPr>
        <w:spacing w:after="0" w:line="207" w:lineRule="exact"/>
        <w:rPr>
          <w:sz w:val="20"/>
          <w:szCs w:val="20"/>
          <w:color w:val="auto"/>
        </w:rPr>
      </w:pPr>
    </w:p>
    <w:p>
      <w:pPr>
        <w:ind w:left="582" w:right="500"/>
        <w:spacing w:after="0" w:line="285" w:lineRule="auto"/>
        <w:rPr>
          <w:sz w:val="20"/>
          <w:szCs w:val="20"/>
          <w:color w:val="auto"/>
        </w:rPr>
      </w:pPr>
      <w:r>
        <w:rPr>
          <w:rFonts w:ascii="Arial" w:cs="Arial" w:eastAsia="Arial" w:hAnsi="Arial"/>
          <w:sz w:val="16"/>
          <w:szCs w:val="16"/>
          <w:color w:val="auto"/>
        </w:rPr>
        <w:t>any Shares or any other relevant securities in the Company to any persons, at any times and subject to any terms and conditions as the Directors think proper, provided that:</w:t>
      </w:r>
    </w:p>
    <w:p>
      <w:pPr>
        <w:spacing w:after="0" w:line="150" w:lineRule="exact"/>
        <w:rPr>
          <w:sz w:val="20"/>
          <w:szCs w:val="20"/>
          <w:color w:val="auto"/>
        </w:rPr>
      </w:pPr>
    </w:p>
    <w:p>
      <w:pPr>
        <w:ind w:left="5642" w:right="5180" w:hanging="5055"/>
        <w:spacing w:after="0" w:line="592" w:lineRule="auto"/>
        <w:tabs>
          <w:tab w:leader="none" w:pos="1179"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this authority shall be limited to a maximum nominal amount of £43,904.86;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72802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42"/>
          </w:cols>
          <w:pgMar w:left="238" w:top="322" w:right="319" w:bottom="1440" w:gutter="0" w:footer="0" w:header="0"/>
        </w:sectPr>
      </w:pPr>
    </w:p>
    <w:bookmarkStart w:id="338" w:name="page339"/>
    <w:bookmarkEnd w:id="338"/>
    <w:p>
      <w:pPr>
        <w:spacing w:after="0" w:line="5" w:lineRule="exact"/>
        <w:rPr>
          <w:sz w:val="20"/>
          <w:szCs w:val="20"/>
          <w:color w:val="auto"/>
        </w:rPr>
      </w:pPr>
    </w:p>
    <w:p>
      <w:pPr>
        <w:ind w:left="1182" w:hanging="595"/>
        <w:spacing w:after="0"/>
        <w:tabs>
          <w:tab w:leader="none" w:pos="118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this authority shall only apply insofar as the Company in general meeting has not waived or revoked it;</w:t>
      </w:r>
    </w:p>
    <w:p>
      <w:pPr>
        <w:spacing w:after="0" w:line="207" w:lineRule="exact"/>
        <w:rPr>
          <w:rFonts w:ascii="Arial" w:cs="Arial" w:eastAsia="Arial" w:hAnsi="Arial"/>
          <w:sz w:val="16"/>
          <w:szCs w:val="16"/>
          <w:color w:val="auto"/>
        </w:rPr>
      </w:pPr>
    </w:p>
    <w:p>
      <w:pPr>
        <w:ind w:left="1182" w:right="40" w:hanging="595"/>
        <w:spacing w:after="0" w:line="270" w:lineRule="auto"/>
        <w:tabs>
          <w:tab w:leader="none" w:pos="119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this authority may only be exercised for a period of five (5) years commencing upon the Date of Adoption, save that the Directors may make an offer or agreement which would or might require relevant securities to be allotted after the expiry of such authority (and the Directors may allot relevant securities in pursuance of an offer or agreement as if such authority had not expired).</w:t>
      </w:r>
    </w:p>
    <w:p>
      <w:pPr>
        <w:spacing w:after="0" w:line="162"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In accordance with section 567(1) of the 2006 Act, sections 561(1) and 562(1) to (5) (inclusive) of the 2006 Act do not apply to an allotment of equity securities made by the Company.</w:t>
      </w:r>
    </w:p>
    <w:p>
      <w:pPr>
        <w:spacing w:after="0" w:line="150" w:lineRule="exact"/>
        <w:rPr>
          <w:sz w:val="20"/>
          <w:szCs w:val="20"/>
          <w:color w:val="auto"/>
        </w:rPr>
      </w:pPr>
    </w:p>
    <w:p>
      <w:pPr>
        <w:ind w:left="582" w:right="40" w:hanging="586"/>
        <w:spacing w:after="0" w:line="261" w:lineRule="auto"/>
        <w:tabs>
          <w:tab w:leader="none" w:pos="562"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Unless otherwise agreed by a Preferred Majority and subject to Article 10.7 below, if the Company proposes to allot any New Securities those New Securities shall not be allotted to any person unless the Company has in the first instance offered them to all the Preferred Shareholders, on the same terms and at the same price as those New Securities are being offered to other persons on a pari passu and pro rata basis to the number of Ordinary Shares held by the Preferred Shareholders on an As Converted Basis (as nearly as may be without involving fractions). Any Preferred Shareholder may elect for a Member of the Same Fund Group or a Member of the Same Group to take up such offer on such Preferred Shareholder’s behalf and subscribe for the relevant Preferred Shareholder’s pro rata proportion in accordance with this Article.</w:t>
      </w:r>
    </w:p>
    <w:p>
      <w:pPr>
        <w:spacing w:after="0" w:line="169"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color w:val="auto"/>
        </w:rPr>
        <w:t>The offer:</w:t>
      </w:r>
    </w:p>
    <w:p>
      <w:pPr>
        <w:spacing w:after="0" w:line="207" w:lineRule="exact"/>
        <w:rPr>
          <w:sz w:val="20"/>
          <w:szCs w:val="20"/>
          <w:color w:val="auto"/>
        </w:rPr>
      </w:pPr>
    </w:p>
    <w:p>
      <w:pPr>
        <w:ind w:left="1162" w:hanging="575"/>
        <w:spacing w:after="0"/>
        <w:tabs>
          <w:tab w:leader="none" w:pos="116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shall be in writing, give details of the number and subscription price of the New Securities; and</w:t>
      </w:r>
    </w:p>
    <w:p>
      <w:pPr>
        <w:spacing w:after="0" w:line="207" w:lineRule="exact"/>
        <w:rPr>
          <w:rFonts w:ascii="Arial" w:cs="Arial" w:eastAsia="Arial" w:hAnsi="Arial"/>
          <w:sz w:val="16"/>
          <w:szCs w:val="16"/>
          <w:color w:val="auto"/>
        </w:rPr>
      </w:pPr>
    </w:p>
    <w:p>
      <w:pPr>
        <w:jc w:val="both"/>
        <w:ind w:left="1182" w:right="420" w:hanging="595"/>
        <w:spacing w:after="0" w:line="270" w:lineRule="auto"/>
        <w:tabs>
          <w:tab w:leader="none" w:pos="118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shall stipulate that any Preferred Shareholder (or a Member of the Same Fund Group or a Member of the Same Group (as appropriate)) who wishes to subscribe for a number of New Securities in excess of the proportion to which each is entitled shall in their acceptance state the number of excess New Securities (the “</w:t>
      </w:r>
      <w:r>
        <w:rPr>
          <w:rFonts w:ascii="Arial" w:cs="Arial" w:eastAsia="Arial" w:hAnsi="Arial"/>
          <w:sz w:val="16"/>
          <w:szCs w:val="16"/>
          <w:b w:val="1"/>
          <w:bCs w:val="1"/>
          <w:color w:val="auto"/>
        </w:rPr>
        <w:t>Excess Securities</w:t>
      </w:r>
      <w:r>
        <w:rPr>
          <w:rFonts w:ascii="Arial" w:cs="Arial" w:eastAsia="Arial" w:hAnsi="Arial"/>
          <w:sz w:val="16"/>
          <w:szCs w:val="16"/>
          <w:color w:val="auto"/>
        </w:rPr>
        <w:t>”) for which they wish to subscribe.</w:t>
      </w:r>
    </w:p>
    <w:p>
      <w:pPr>
        <w:spacing w:after="0" w:line="162" w:lineRule="exact"/>
        <w:rPr>
          <w:sz w:val="20"/>
          <w:szCs w:val="20"/>
          <w:color w:val="auto"/>
        </w:rPr>
      </w:pPr>
    </w:p>
    <w:p>
      <w:pPr>
        <w:ind w:left="582" w:right="240" w:hanging="586"/>
        <w:spacing w:after="0" w:line="281" w:lineRule="auto"/>
        <w:tabs>
          <w:tab w:leader="none" w:pos="562"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5"/>
          <w:szCs w:val="15"/>
          <w:color w:val="auto"/>
        </w:rPr>
        <w:t>Any New Securities not accepted by the Preferred Shareholders pursuant to the offer made to them in accordance with Article 10.3 shall be used for satisfying any requests for Excess Securities made pursuant to Article 10.3 and in the event that there are insufficient Excess Securities to satisfy such requests, the Excess Securities shall be allotted to the applicants on a pro rata basis to the number of Shares held by the applicants immediately prior to the offer made to Preferred Shareholders in accordance with Article 10.3 (as nearly as may be without involving fractions or increasing the number allotted to any Shareholder beyond that applied for by him) and after that allotment, any Excess Securities remaining shall be offered, subject to Article 10.8, to any other person as the Directors may determine at the same price and on the same terms as the offer to the Preferred Shareholders.</w:t>
      </w:r>
    </w:p>
    <w:p>
      <w:pPr>
        <w:spacing w:after="0" w:line="158" w:lineRule="exact"/>
        <w:rPr>
          <w:sz w:val="20"/>
          <w:szCs w:val="20"/>
          <w:color w:val="auto"/>
        </w:rPr>
      </w:pPr>
    </w:p>
    <w:p>
      <w:pPr>
        <w:ind w:left="582" w:right="40" w:hanging="586"/>
        <w:spacing w:after="0" w:line="270" w:lineRule="auto"/>
        <w:tabs>
          <w:tab w:leader="none" w:pos="562"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6"/>
          <w:szCs w:val="16"/>
          <w:color w:val="auto"/>
        </w:rPr>
        <w:t>Subject to Articles 10.3, 10.4 and 10.5 and to the provisions of section 551 of the 2006 Act, any New Securities shall be at the disposal of the Board who may allot, grant options over or otherwise dispose of them to any persons at those times and generally on the terms and conditions they think proper, provided that the allotment to that person must be approved in writing by a Preferred Majority.</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5"/>
          <w:szCs w:val="15"/>
          <w:color w:val="auto"/>
        </w:rPr>
        <w:t>The provisions of Articles 10.3, 10.4 and 10.5 shall not apply to:</w:t>
      </w:r>
    </w:p>
    <w:p>
      <w:pPr>
        <w:spacing w:after="0" w:line="207" w:lineRule="exact"/>
        <w:rPr>
          <w:sz w:val="20"/>
          <w:szCs w:val="20"/>
          <w:color w:val="auto"/>
        </w:rPr>
      </w:pPr>
    </w:p>
    <w:p>
      <w:pPr>
        <w:ind w:left="5642" w:right="260" w:hanging="5055"/>
        <w:spacing w:after="0" w:line="540" w:lineRule="auto"/>
        <w:tabs>
          <w:tab w:leader="none" w:pos="117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Ordinary Shares issued to Employees that have been approved by the Board or options to subscribe for Ordinary Shares under any Employee Share Plan; 19</w:t>
      </w:r>
    </w:p>
    <w:p>
      <w:pPr>
        <w:spacing w:after="0" w:line="186" w:lineRule="exact"/>
        <w:rPr>
          <w:rFonts w:ascii="Arial" w:cs="Arial" w:eastAsia="Arial" w:hAnsi="Arial"/>
          <w:sz w:val="16"/>
          <w:szCs w:val="16"/>
          <w:color w:val="auto"/>
        </w:rPr>
      </w:pPr>
    </w:p>
    <w:p>
      <w:pPr>
        <w:ind w:left="1182" w:hanging="595"/>
        <w:spacing w:after="0"/>
        <w:tabs>
          <w:tab w:leader="none" w:pos="118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New Securities issued or granted in order for the Company to comply with its obligations under these Articles;</w:t>
      </w:r>
    </w:p>
    <w:p>
      <w:pPr>
        <w:spacing w:after="0" w:line="207" w:lineRule="exact"/>
        <w:rPr>
          <w:rFonts w:ascii="Arial" w:cs="Arial" w:eastAsia="Arial" w:hAnsi="Arial"/>
          <w:sz w:val="16"/>
          <w:szCs w:val="16"/>
          <w:color w:val="auto"/>
        </w:rPr>
      </w:pPr>
    </w:p>
    <w:p>
      <w:pPr>
        <w:ind w:left="1182" w:right="220" w:hanging="595"/>
        <w:spacing w:after="0" w:line="285" w:lineRule="auto"/>
        <w:tabs>
          <w:tab w:leader="none" w:pos="119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New Securities issued in consideration of the acquisition by the Company of any company or business which has been approved in writing by a Preferred Majority;</w:t>
      </w:r>
    </w:p>
    <w:p>
      <w:pPr>
        <w:spacing w:after="0" w:line="149" w:lineRule="exact"/>
        <w:rPr>
          <w:rFonts w:ascii="Arial" w:cs="Arial" w:eastAsia="Arial" w:hAnsi="Arial"/>
          <w:sz w:val="16"/>
          <w:szCs w:val="16"/>
          <w:color w:val="auto"/>
        </w:rPr>
      </w:pPr>
    </w:p>
    <w:p>
      <w:pPr>
        <w:ind w:left="1182" w:hanging="595"/>
        <w:spacing w:after="0"/>
        <w:tabs>
          <w:tab w:leader="none" w:pos="118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New Securities which a Preferred Majority has agreed in writing should be issued without complying with the procedure set out in this Article 10;</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New Securities issued as a result of a bonus issue of shares which has been approved in writing by a Preferred Majority;</w:t>
      </w:r>
    </w:p>
    <w:p>
      <w:pPr>
        <w:spacing w:after="0" w:line="207" w:lineRule="exact"/>
        <w:rPr>
          <w:rFonts w:ascii="Arial" w:cs="Arial" w:eastAsia="Arial" w:hAnsi="Arial"/>
          <w:sz w:val="16"/>
          <w:szCs w:val="16"/>
          <w:color w:val="auto"/>
        </w:rPr>
      </w:pPr>
    </w:p>
    <w:p>
      <w:pPr>
        <w:ind w:left="1182" w:right="260" w:hanging="595"/>
        <w:spacing w:after="0" w:line="285" w:lineRule="auto"/>
        <w:tabs>
          <w:tab w:leader="none" w:pos="118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Shares, warrants for Shares or options for Shares issued or granted in accordance with the terms of any agreement among the Company and Shareholders holding more than fifty percent (50%) of the Preferred Shares (by nominal value) as at the Date of Adoption; and</w:t>
      </w:r>
    </w:p>
    <w:p>
      <w:pPr>
        <w:spacing w:after="0" w:line="149" w:lineRule="exact"/>
        <w:rPr>
          <w:rFonts w:ascii="Arial" w:cs="Arial" w:eastAsia="Arial" w:hAnsi="Arial"/>
          <w:sz w:val="16"/>
          <w:szCs w:val="16"/>
          <w:color w:val="auto"/>
        </w:rPr>
      </w:pPr>
    </w:p>
    <w:p>
      <w:pPr>
        <w:ind w:left="1202" w:hanging="615"/>
        <w:spacing w:after="0"/>
        <w:tabs>
          <w:tab w:leader="none" w:pos="120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New Securities issued in connection with a strategic transaction approved by a Preferred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-1811020</wp:posOffset>
            </wp:positionV>
            <wp:extent cx="72802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187" w:lineRule="exact"/>
        <w:rPr>
          <w:sz w:val="20"/>
          <w:szCs w:val="20"/>
          <w:color w:val="auto"/>
        </w:rPr>
      </w:pPr>
    </w:p>
    <w:p>
      <w:pPr>
        <w:ind w:left="582" w:right="160" w:hanging="586"/>
        <w:spacing w:after="0" w:line="285" w:lineRule="auto"/>
        <w:tabs>
          <w:tab w:leader="none" w:pos="562"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No Shares shall be allotted to any Employee, Director, prospective employee or director unless such person has entered into a joint section 431 ITEPA election with the Company.</w:t>
      </w:r>
    </w:p>
    <w:p>
      <w:pPr>
        <w:spacing w:after="0" w:line="150" w:lineRule="exact"/>
        <w:rPr>
          <w:sz w:val="20"/>
          <w:szCs w:val="20"/>
          <w:color w:val="auto"/>
        </w:rPr>
      </w:pPr>
    </w:p>
    <w:p>
      <w:pPr>
        <w:ind w:left="582" w:right="60" w:hanging="586"/>
        <w:spacing w:after="0" w:line="284" w:lineRule="auto"/>
        <w:tabs>
          <w:tab w:leader="none" w:pos="562"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5"/>
          <w:szCs w:val="15"/>
          <w:color w:val="auto"/>
        </w:rPr>
        <w:t>In the event that a Preferred Majority consents to Shares being issued other than in accordance with Article 10.3 above, then such consent shall only be given in respect of Shares issued to persons who are not Investors (or any Member of the Same Fund Group or a Member of the Same Group) or Permitted Transferees. Should the Company offer any Investor (or any Member of the Same Fund Group or a Member of the Same Group) or Permitted Transferee the right to subscribe for any such Shares, then such offer must be extended to all the Investors and Permitted Transferees in accordance with this Article 10 in respect of those Shares offered to such Investor (or any Member of the Same Fund Group or a Member of the Same Group) or Permitted Transferee.</w:t>
      </w:r>
    </w:p>
    <w:p>
      <w:pPr>
        <w:spacing w:after="0" w:line="149" w:lineRule="exact"/>
        <w:rPr>
          <w:sz w:val="20"/>
          <w:szCs w:val="20"/>
          <w:color w:val="auto"/>
        </w:rPr>
      </w:pPr>
    </w:p>
    <w:p>
      <w:pPr>
        <w:ind w:left="582" w:hanging="582"/>
        <w:spacing w:after="0"/>
        <w:tabs>
          <w:tab w:leader="none" w:pos="582"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LIEN</w:t>
      </w:r>
    </w:p>
    <w:p>
      <w:pPr>
        <w:spacing w:after="0" w:line="211" w:lineRule="exact"/>
        <w:rPr>
          <w:rFonts w:ascii="Arial" w:cs="Arial" w:eastAsia="Arial" w:hAnsi="Arial"/>
          <w:sz w:val="16"/>
          <w:szCs w:val="16"/>
          <w:b w:val="1"/>
          <w:bCs w:val="1"/>
          <w:color w:val="auto"/>
        </w:rPr>
      </w:pPr>
    </w:p>
    <w:p>
      <w:pPr>
        <w:ind w:left="582" w:right="360"/>
        <w:spacing w:after="0" w:line="270" w:lineRule="auto"/>
        <w:rPr>
          <w:rFonts w:ascii="Arial" w:cs="Arial" w:eastAsia="Arial" w:hAnsi="Arial"/>
          <w:sz w:val="16"/>
          <w:szCs w:val="16"/>
          <w:b w:val="1"/>
          <w:bCs w:val="1"/>
          <w:color w:val="auto"/>
        </w:rPr>
      </w:pPr>
      <w:r>
        <w:rPr>
          <w:rFonts w:ascii="Arial" w:cs="Arial" w:eastAsia="Arial" w:hAnsi="Arial"/>
          <w:sz w:val="16"/>
          <w:szCs w:val="16"/>
          <w:color w:val="auto"/>
        </w:rPr>
        <w:t>The Company shall have a first and paramount lien on every Share not fully paid for all and any indebtedness of any holder of it to the Company (whether a sole holder or one of two or more joint holders), whether or not that indebtedness or liability is in respect of the Shares concerned and whether or not it is presently payable.</w:t>
      </w:r>
    </w:p>
    <w:p>
      <w:pPr>
        <w:spacing w:after="0" w:line="157" w:lineRule="exact"/>
        <w:rPr>
          <w:rFonts w:ascii="Arial" w:cs="Arial" w:eastAsia="Arial" w:hAnsi="Arial"/>
          <w:sz w:val="16"/>
          <w:szCs w:val="16"/>
          <w:b w:val="1"/>
          <w:bCs w:val="1"/>
          <w:color w:val="auto"/>
        </w:rPr>
      </w:pPr>
    </w:p>
    <w:p>
      <w:pPr>
        <w:ind w:left="582" w:hanging="582"/>
        <w:spacing w:after="0"/>
        <w:tabs>
          <w:tab w:leader="none" w:pos="582"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TRANSFERS OF SHARES — GENERAL</w:t>
      </w:r>
    </w:p>
    <w:p>
      <w:pPr>
        <w:spacing w:after="0" w:line="211" w:lineRule="exact"/>
        <w:rPr>
          <w:sz w:val="20"/>
          <w:szCs w:val="20"/>
          <w:color w:val="auto"/>
        </w:rPr>
      </w:pPr>
    </w:p>
    <w:p>
      <w:pPr>
        <w:ind w:left="582" w:right="120" w:hanging="586"/>
        <w:spacing w:after="0" w:line="285" w:lineRule="auto"/>
        <w:tabs>
          <w:tab w:leader="none" w:pos="562"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In Articles 12 to 17 inclusive, reference to the transfer of a Share includes the transfer or assignment of a beneficial or other interest in that Share or the creation of a trust or encumbrance over that Share and reference to a Share includes a beneficial or other interest in a Share.</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4"/>
          <w:szCs w:val="14"/>
          <w:color w:val="auto"/>
        </w:rPr>
        <w:t>No Share may be transferred unless the transfer is made in accordance with these Articles.</w:t>
      </w:r>
    </w:p>
    <w:p>
      <w:pPr>
        <w:spacing w:after="0" w:line="207" w:lineRule="exact"/>
        <w:rPr>
          <w:sz w:val="20"/>
          <w:szCs w:val="20"/>
          <w:color w:val="auto"/>
        </w:rPr>
      </w:pPr>
    </w:p>
    <w:p>
      <w:pPr>
        <w:ind w:left="582" w:right="240" w:hanging="586"/>
        <w:spacing w:after="0" w:line="285" w:lineRule="auto"/>
        <w:tabs>
          <w:tab w:leader="none" w:pos="562"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If a Shareholder transfers or purports to transfer a Share otherwise than in accordance with these Articles he will be deemed immediately to have served a Transfer Notice in respect of all Shares held by him.</w:t>
      </w:r>
    </w:p>
    <w:p>
      <w:pPr>
        <w:spacing w:after="0" w:line="150" w:lineRule="exact"/>
        <w:rPr>
          <w:sz w:val="20"/>
          <w:szCs w:val="20"/>
          <w:color w:val="auto"/>
        </w:rPr>
      </w:pPr>
    </w:p>
    <w:p>
      <w:pPr>
        <w:ind w:left="582" w:right="140" w:hanging="586"/>
        <w:spacing w:after="0" w:line="285" w:lineRule="auto"/>
        <w:tabs>
          <w:tab w:leader="none" w:pos="562"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6"/>
          <w:szCs w:val="16"/>
          <w:color w:val="auto"/>
        </w:rPr>
        <w:t>Any transfer of a Share by way of sale which is required to be made under Articles 14 to 17 (inclusive) will be deemed to include a warranty that the transferor sells with full title guarantee.</w:t>
      </w:r>
    </w:p>
    <w:p>
      <w:pPr>
        <w:sectPr>
          <w:pgSz w:w="11900" w:h="16843" w:orient="portrait"/>
          <w:cols w:equalWidth="0" w:num="1">
            <w:col w:w="11422"/>
          </w:cols>
          <w:pgMar w:left="238" w:top="323" w:right="239" w:bottom="0" w:gutter="0" w:footer="0" w:header="0"/>
        </w:sectPr>
      </w:pPr>
    </w:p>
    <w:bookmarkStart w:id="339" w:name="page340"/>
    <w:bookmarkEnd w:id="339"/>
    <w:p>
      <w:pPr>
        <w:jc w:val="center"/>
        <w:ind w:right="-2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89535</wp:posOffset>
            </wp:positionV>
            <wp:extent cx="72802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sectPr>
      </w:pPr>
    </w:p>
    <w:bookmarkStart w:id="340" w:name="page341"/>
    <w:bookmarkEnd w:id="340"/>
    <w:p>
      <w:pPr>
        <w:ind w:left="580" w:right="560" w:hanging="586"/>
        <w:spacing w:after="0" w:line="285" w:lineRule="auto"/>
        <w:tabs>
          <w:tab w:leader="none" w:pos="56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6"/>
          <w:szCs w:val="16"/>
          <w:color w:val="auto"/>
        </w:rPr>
        <w:t>Unless express provision is made in these Articles to the contrary, and until a Sale or an IPO, no Ordinary Shares shall be transferred without the consent of a Preferred Majority.</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4"/>
          <w:szCs w:val="14"/>
          <w:color w:val="auto"/>
        </w:rPr>
        <w:t>In addition to the provisions of Regulation 24 of Table A, the Directors may refuse to register a transfer if:</w:t>
      </w:r>
    </w:p>
    <w:p>
      <w:pPr>
        <w:spacing w:after="0" w:line="207" w:lineRule="exact"/>
        <w:rPr>
          <w:sz w:val="20"/>
          <w:szCs w:val="20"/>
          <w:color w:val="auto"/>
        </w:rPr>
      </w:pPr>
    </w:p>
    <w:p>
      <w:pPr>
        <w:ind w:left="1160" w:hanging="575"/>
        <w:spacing w:after="0"/>
        <w:tabs>
          <w:tab w:leader="none" w:pos="11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it is a transfer of a share to a bankrupt, a minor or a person of unsound mind;</w:t>
      </w:r>
    </w:p>
    <w:p>
      <w:pPr>
        <w:spacing w:after="0" w:line="207" w:lineRule="exact"/>
        <w:rPr>
          <w:rFonts w:ascii="Arial" w:cs="Arial" w:eastAsia="Arial" w:hAnsi="Arial"/>
          <w:sz w:val="16"/>
          <w:szCs w:val="16"/>
          <w:color w:val="auto"/>
        </w:rPr>
      </w:pPr>
    </w:p>
    <w:p>
      <w:pPr>
        <w:ind w:left="1180" w:right="140" w:hanging="595"/>
        <w:spacing w:after="0" w:line="285" w:lineRule="auto"/>
        <w:tabs>
          <w:tab w:leader="none" w:pos="118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transfer is to an Employee, Director or prospective employee or director and such person has not entered in a joint section 431 ITEPA election with the Company,</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and Regulation 24 of Table A shall be modified accordingly.</w:t>
      </w:r>
    </w:p>
    <w:p>
      <w:pPr>
        <w:spacing w:after="0" w:line="207" w:lineRule="exact"/>
        <w:rPr>
          <w:sz w:val="20"/>
          <w:szCs w:val="20"/>
          <w:color w:val="auto"/>
        </w:rPr>
      </w:pPr>
    </w:p>
    <w:p>
      <w:pPr>
        <w:ind w:left="580" w:hanging="586"/>
        <w:spacing w:after="0" w:line="284" w:lineRule="auto"/>
        <w:tabs>
          <w:tab w:leader="none" w:pos="560" w:val="left"/>
        </w:tabs>
        <w:rPr>
          <w:sz w:val="20"/>
          <w:szCs w:val="20"/>
          <w:color w:val="auto"/>
        </w:rPr>
      </w:pPr>
      <w:r>
        <w:rPr>
          <w:rFonts w:ascii="Arial" w:cs="Arial" w:eastAsia="Arial" w:hAnsi="Arial"/>
          <w:sz w:val="16"/>
          <w:szCs w:val="16"/>
          <w:color w:val="auto"/>
        </w:rPr>
        <w:t>12.7</w:t>
      </w:r>
      <w:r>
        <w:rPr>
          <w:sz w:val="20"/>
          <w:szCs w:val="20"/>
          <w:color w:val="auto"/>
        </w:rPr>
        <w:tab/>
      </w:r>
      <w:r>
        <w:rPr>
          <w:rFonts w:ascii="Arial" w:cs="Arial" w:eastAsia="Arial" w:hAnsi="Arial"/>
          <w:sz w:val="15"/>
          <w:szCs w:val="15"/>
          <w:color w:val="auto"/>
        </w:rPr>
        <w:t>The Directors may, as a condition to the registration of any transfer of shares in the Company (whether pursuant to a Permitted Transfer or otherwise), require the transferee to execute and deliver to the Company a deed agreeing to be bound by the terms of any shareholders’ agreement or similar document in force between some or all of the shareholders and the Company in any form as the Directors may reasonably require (but not so as to oblige the transferee to have any obligations or liabilities greater than those of the proposed transferor under any such agreement or other document) and if any condition is imposed in accordance with this Article the transfer may not be registered unless that deed has been executed and delivered to the Company’s registered office by the transferee.</w:t>
      </w:r>
    </w:p>
    <w:p>
      <w:pPr>
        <w:spacing w:after="0" w:line="153" w:lineRule="exact"/>
        <w:rPr>
          <w:sz w:val="20"/>
          <w:szCs w:val="20"/>
          <w:color w:val="auto"/>
        </w:rPr>
      </w:pPr>
    </w:p>
    <w:p>
      <w:pPr>
        <w:ind w:left="580" w:right="80" w:hanging="586"/>
        <w:spacing w:after="0" w:line="301" w:lineRule="auto"/>
        <w:tabs>
          <w:tab w:leader="none" w:pos="560" w:val="left"/>
        </w:tabs>
        <w:rPr>
          <w:sz w:val="20"/>
          <w:szCs w:val="20"/>
          <w:color w:val="auto"/>
        </w:rPr>
      </w:pPr>
      <w:r>
        <w:rPr>
          <w:rFonts w:ascii="Arial" w:cs="Arial" w:eastAsia="Arial" w:hAnsi="Arial"/>
          <w:sz w:val="16"/>
          <w:szCs w:val="16"/>
          <w:color w:val="auto"/>
        </w:rPr>
        <w:t>12.8</w:t>
      </w:r>
      <w:r>
        <w:rPr>
          <w:sz w:val="20"/>
          <w:szCs w:val="20"/>
          <w:color w:val="auto"/>
        </w:rPr>
        <w:tab/>
      </w:r>
      <w:r>
        <w:rPr>
          <w:rFonts w:ascii="Arial" w:cs="Arial" w:eastAsia="Arial" w:hAnsi="Arial"/>
          <w:sz w:val="14"/>
          <w:szCs w:val="14"/>
          <w:color w:val="auto"/>
        </w:rPr>
        <w:t>To enable the Directors to determine whether or not there has been any disposal of shares in the capital of the Company (or any interest in shares in the capital of the Company) in breach of these Articles the Directors may, with Investor Director Consent, require any holder or the legal personal representatives of any deceased holder or any person named as transferee in any transfer lodged for registration or any other person who the Directors or the Investor Directors may reasonably believe to have information relevant to that purpose, to furnish to the Company that information and evidence the Directors may request regarding any matter which they deem relevant to that purpose, including (but not limited to) the names, addresses and interests of all persons respectively having interests in the shares in the capital of the Company from time to time registered in the holder’s name. If the information or evidence is not provided to enable the Directors to determine to their reasonable satisfaction that no breach has occurred, or where as a result of the information and evidence the Directors are reasonably satisfied that a breach has occurred, the Directors shall immediately notify the holder of such shares in the capital of the Company in writing of that fact and the following shall occur:</w:t>
      </w:r>
    </w:p>
    <w:p>
      <w:pPr>
        <w:spacing w:after="0" w:line="145" w:lineRule="exact"/>
        <w:rPr>
          <w:sz w:val="20"/>
          <w:szCs w:val="20"/>
          <w:color w:val="auto"/>
        </w:rPr>
      </w:pPr>
    </w:p>
    <w:p>
      <w:pPr>
        <w:ind w:left="1160" w:hanging="575"/>
        <w:spacing w:after="0"/>
        <w:tabs>
          <w:tab w:leader="none" w:pos="11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relevant shares shall cease to confer upon the holder of them (or any proxy) any rights:</w:t>
      </w:r>
    </w:p>
    <w:p>
      <w:pPr>
        <w:spacing w:after="0" w:line="207" w:lineRule="exact"/>
        <w:rPr>
          <w:rFonts w:ascii="Arial" w:cs="Arial" w:eastAsia="Arial" w:hAnsi="Arial"/>
          <w:sz w:val="16"/>
          <w:szCs w:val="16"/>
          <w:color w:val="auto"/>
        </w:rPr>
      </w:pPr>
    </w:p>
    <w:p>
      <w:pPr>
        <w:ind w:left="1760" w:right="300" w:hanging="588"/>
        <w:spacing w:after="0" w:line="270" w:lineRule="auto"/>
        <w:tabs>
          <w:tab w:leader="none" w:pos="1779"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to vote whether on a show of hands or on a poll and whether exercisable at a general meeting of the Company or at any separate meeting of the class in question or by written resolution, provided that such rights shall not cease if as a result of such cessation the Company shall become a Subsidiary of a Preferred Shareholder; or</w:t>
      </w:r>
    </w:p>
    <w:p>
      <w:pPr>
        <w:spacing w:after="0" w:line="161" w:lineRule="exact"/>
        <w:rPr>
          <w:rFonts w:ascii="Arial" w:cs="Arial" w:eastAsia="Arial" w:hAnsi="Arial"/>
          <w:sz w:val="16"/>
          <w:szCs w:val="16"/>
          <w:color w:val="auto"/>
        </w:rPr>
      </w:pPr>
    </w:p>
    <w:p>
      <w:pPr>
        <w:ind w:left="1760" w:right="420" w:hanging="588"/>
        <w:spacing w:after="0" w:line="285" w:lineRule="auto"/>
        <w:tabs>
          <w:tab w:leader="none" w:pos="178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to receive dividends or other distributions (other than the amount they may be entitled to pursuant to the application of Article 4.2) otherwise attaching to those shares or to any further shares issued in respect of those shares,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rights referred to in (a) above may be reinstated by the Board subject to Investor Director Consent.</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12.9</w:t>
      </w:r>
      <w:r>
        <w:rPr>
          <w:sz w:val="20"/>
          <w:szCs w:val="20"/>
          <w:color w:val="auto"/>
        </w:rPr>
        <w:tab/>
      </w:r>
      <w:r>
        <w:rPr>
          <w:rFonts w:ascii="Arial" w:cs="Arial" w:eastAsia="Arial" w:hAnsi="Arial"/>
          <w:sz w:val="14"/>
          <w:szCs w:val="14"/>
          <w:color w:val="auto"/>
        </w:rPr>
        <w:t>In any case where the Board may require a Transfer Notice to be given in respect of any Shares, if a Transfer Notice is not duly given within a period of ten</w:t>
      </w:r>
    </w:p>
    <w:p>
      <w:pPr>
        <w:spacing w:after="0" w:line="23" w:lineRule="exact"/>
        <w:rPr>
          <w:sz w:val="20"/>
          <w:szCs w:val="20"/>
          <w:color w:val="auto"/>
        </w:rPr>
      </w:pPr>
    </w:p>
    <w:p>
      <w:pPr>
        <w:ind w:left="5640" w:right="4040" w:hanging="5055"/>
        <w:spacing w:after="0" w:line="525" w:lineRule="auto"/>
        <w:tabs>
          <w:tab w:leader="none" w:pos="90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Business Days of demand being made, a Transfer Notice shall be deemed to have been given at the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802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sectPr>
      </w:pPr>
    </w:p>
    <w:bookmarkStart w:id="341" w:name="page342"/>
    <w:bookmarkEnd w:id="341"/>
    <w:p>
      <w:pPr>
        <w:ind w:left="582" w:right="400"/>
        <w:spacing w:after="0" w:line="285" w:lineRule="auto"/>
        <w:rPr>
          <w:sz w:val="20"/>
          <w:szCs w:val="20"/>
          <w:color w:val="auto"/>
        </w:rPr>
      </w:pPr>
      <w:r>
        <w:rPr>
          <w:rFonts w:ascii="Arial" w:cs="Arial" w:eastAsia="Arial" w:hAnsi="Arial"/>
          <w:sz w:val="16"/>
          <w:szCs w:val="16"/>
          <w:color w:val="auto"/>
        </w:rPr>
        <w:t>expiration of that period. If a Transfer Notice is required to be given or is deemed to have been given under these Articles, the Transfer Notice will be treated as having specified that:</w:t>
      </w:r>
    </w:p>
    <w:p>
      <w:pPr>
        <w:spacing w:after="0" w:line="150" w:lineRule="exact"/>
        <w:rPr>
          <w:sz w:val="20"/>
          <w:szCs w:val="20"/>
          <w:color w:val="auto"/>
        </w:rPr>
      </w:pPr>
    </w:p>
    <w:p>
      <w:pPr>
        <w:ind w:left="1162" w:hanging="575"/>
        <w:spacing w:after="0"/>
        <w:tabs>
          <w:tab w:leader="none" w:pos="116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Transfer Price for the Sale Shares will be the proposed price agreed between the Seller and the proposed bona fide buyer;</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it does not include a Minimum Transfer Condition (as defined in Article 14.2(d)); and</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Seller wishes to transfer all of the Shares held by it.</w:t>
      </w:r>
    </w:p>
    <w:p>
      <w:pPr>
        <w:spacing w:after="0" w:line="203" w:lineRule="exact"/>
        <w:rPr>
          <w:rFonts w:ascii="Arial" w:cs="Arial" w:eastAsia="Arial" w:hAnsi="Arial"/>
          <w:sz w:val="16"/>
          <w:szCs w:val="16"/>
          <w:color w:val="auto"/>
        </w:rPr>
      </w:pPr>
    </w:p>
    <w:p>
      <w:pPr>
        <w:ind w:left="582" w:hanging="582"/>
        <w:spacing w:after="0"/>
        <w:tabs>
          <w:tab w:leader="none" w:pos="582"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PERMITTED TRANSFERS</w:t>
      </w:r>
    </w:p>
    <w:p>
      <w:pPr>
        <w:spacing w:after="0" w:line="207" w:lineRule="exact"/>
        <w:rPr>
          <w:sz w:val="20"/>
          <w:szCs w:val="20"/>
          <w:color w:val="auto"/>
        </w:rPr>
      </w:pPr>
    </w:p>
    <w:p>
      <w:pPr>
        <w:ind w:left="582" w:right="300" w:hanging="586"/>
        <w:spacing w:after="0" w:line="290" w:lineRule="auto"/>
        <w:tabs>
          <w:tab w:leader="none" w:pos="562"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6"/>
          <w:szCs w:val="16"/>
          <w:color w:val="auto"/>
        </w:rPr>
        <w:t>Subject to Article 12.5, a Shareholder (the “</w:t>
      </w:r>
      <w:r>
        <w:rPr>
          <w:rFonts w:ascii="Arial" w:cs="Arial" w:eastAsia="Arial" w:hAnsi="Arial"/>
          <w:sz w:val="16"/>
          <w:szCs w:val="16"/>
          <w:b w:val="1"/>
          <w:bCs w:val="1"/>
          <w:color w:val="auto"/>
        </w:rPr>
        <w:t>Original Shareholder</w:t>
      </w:r>
      <w:r>
        <w:rPr>
          <w:rFonts w:ascii="Arial" w:cs="Arial" w:eastAsia="Arial" w:hAnsi="Arial"/>
          <w:sz w:val="16"/>
          <w:szCs w:val="16"/>
          <w:color w:val="auto"/>
        </w:rPr>
        <w:t>”) may transfer all or any of his or its Shares to a Permitted Transferee without restriction as to price or otherwise.</w:t>
      </w:r>
    </w:p>
    <w:p>
      <w:pPr>
        <w:spacing w:after="0" w:line="146" w:lineRule="exact"/>
        <w:rPr>
          <w:sz w:val="20"/>
          <w:szCs w:val="20"/>
          <w:color w:val="auto"/>
        </w:rPr>
      </w:pPr>
    </w:p>
    <w:p>
      <w:pPr>
        <w:ind w:left="582" w:right="80" w:hanging="586"/>
        <w:spacing w:after="0" w:line="288" w:lineRule="auto"/>
        <w:tabs>
          <w:tab w:leader="none" w:pos="562"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5"/>
          <w:szCs w:val="15"/>
          <w:color w:val="auto"/>
        </w:rPr>
        <w:t>Where under the provision of a deceased Shareholder’s will or laws as to intestacy, the persons legally or beneficially entitled to any Shares, whether immediately or contingently, are Permitted Transferees of the deceased Shareholder, the legal representative of the deceased Shareholder may transfer any Share to those Permitted Transferees, in each case without restriction as to price or otherwise. Shares previously transferred as permitted by this Article 13.2 may be transferred by the transferee to any other Permitted Transferee of the Original Shareholder without restriction as to price or otherwise.</w:t>
      </w:r>
    </w:p>
    <w:p>
      <w:pPr>
        <w:spacing w:after="0" w:line="150" w:lineRule="exact"/>
        <w:rPr>
          <w:sz w:val="20"/>
          <w:szCs w:val="20"/>
          <w:color w:val="auto"/>
        </w:rPr>
      </w:pPr>
    </w:p>
    <w:p>
      <w:pPr>
        <w:ind w:left="582" w:right="100" w:hanging="586"/>
        <w:spacing w:after="0" w:line="265" w:lineRule="auto"/>
        <w:tabs>
          <w:tab w:leader="none" w:pos="562"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6"/>
          <w:szCs w:val="16"/>
          <w:color w:val="auto"/>
        </w:rPr>
        <w:t>If a Permitted Transferee who was a Member of the Same Group as the Original Shareholder ceases to be a Member of the Same Group as the Original Shareholder, the Permitted Transferee must not later than five (5) Business Days after the date on which the Permitted Transferee so ceases, transfer the Shares held by it to the Original Shareholder or a Member of the Same Group as the Original Shareholder (which in either case is not in liquidation) without restriction as to price or otherwise failing which it will be deemed to have given a Transfer Notice in respect of those Shares.</w:t>
      </w:r>
    </w:p>
    <w:p>
      <w:pPr>
        <w:spacing w:after="0" w:line="166" w:lineRule="exact"/>
        <w:rPr>
          <w:sz w:val="20"/>
          <w:szCs w:val="20"/>
          <w:color w:val="auto"/>
        </w:rPr>
      </w:pPr>
    </w:p>
    <w:p>
      <w:pPr>
        <w:ind w:left="582" w:hanging="586"/>
        <w:spacing w:after="0" w:line="265" w:lineRule="auto"/>
        <w:tabs>
          <w:tab w:leader="none" w:pos="562"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If a Permitted Transferee who was a Member of the Same Fund Group as the Original Shareholder ceases to be a Member of the Same Fund Group as the Original Shareholder, the Permitted Transferee must not later than five (5) Business Days after the date on which the Permitted Transferee so ceases, transfer the Shares held by it to the Original Shareholder or a Member of the Same Fund Group as the Original Shareholder (which in either case is not in liquidation) without restriction as to price or otherwise failing which it will be deemed to give a Transfer Notice in respect of such Shares.</w:t>
      </w:r>
    </w:p>
    <w:p>
      <w:pPr>
        <w:spacing w:after="0" w:line="166" w:lineRule="exact"/>
        <w:rPr>
          <w:sz w:val="20"/>
          <w:szCs w:val="20"/>
          <w:color w:val="auto"/>
        </w:rPr>
      </w:pPr>
    </w:p>
    <w:p>
      <w:pPr>
        <w:ind w:left="582" w:right="20" w:hanging="586"/>
        <w:spacing w:after="0" w:line="261" w:lineRule="auto"/>
        <w:tabs>
          <w:tab w:leader="none" w:pos="562"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6"/>
          <w:szCs w:val="16"/>
          <w:color w:val="auto"/>
        </w:rPr>
        <w:t>A transfer of any Shares approved by a Preferred Majority may be made without restriction as to price or otherwise and each such transfer shall be registered by the Directors. In the event that a Preferred Majority has approved Shares being transferred without restriction, then such approval shall only be given in respect of Shares transferred to persons who are not Investors (or any Member of the Same Fund Group or a Member of the Same Group) or Permitted Transferees. Should the Seller offer any Investor (or any Member of the Same Fund Group or a Member of the Same Group) or Permitted Transferee the right to acquire any Shares, then such offer must be extended to all the Investors in accordance with this article in respect of those Shares being offered to any Investor (or any Member of the Same Fund Group or a Member of the Same Group) or Permitted Transferee.</w:t>
      </w:r>
    </w:p>
    <w:p>
      <w:pPr>
        <w:spacing w:after="0" w:line="165" w:lineRule="exact"/>
        <w:rPr>
          <w:sz w:val="20"/>
          <w:szCs w:val="20"/>
          <w:color w:val="auto"/>
        </w:rPr>
      </w:pPr>
    </w:p>
    <w:p>
      <w:pPr>
        <w:ind w:left="582" w:right="260" w:hanging="586"/>
        <w:spacing w:after="0" w:line="272" w:lineRule="auto"/>
        <w:tabs>
          <w:tab w:leader="none" w:pos="562"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6"/>
          <w:szCs w:val="16"/>
          <w:color w:val="auto"/>
        </w:rPr>
        <w:t>Trustees may (i) transfer Shares to a company in which they hold the whole of the share capital and which they control (a “</w:t>
      </w:r>
      <w:r>
        <w:rPr>
          <w:rFonts w:ascii="Arial" w:cs="Arial" w:eastAsia="Arial" w:hAnsi="Arial"/>
          <w:sz w:val="16"/>
          <w:szCs w:val="16"/>
          <w:b w:val="1"/>
          <w:bCs w:val="1"/>
          <w:color w:val="auto"/>
        </w:rPr>
        <w:t>Qualifying Company</w:t>
      </w:r>
      <w:r>
        <w:rPr>
          <w:rFonts w:ascii="Arial" w:cs="Arial" w:eastAsia="Arial" w:hAnsi="Arial"/>
          <w:sz w:val="16"/>
          <w:szCs w:val="16"/>
          <w:color w:val="auto"/>
        </w:rPr>
        <w:t>”) or (ii) transfer Shares to the Original Shareholder or to another Permitted Transferee of the Original Shareholder or (iii) transfer Shares to the new or remaining trustees upon a change of Trustees without restrictions as to price or otherwise.</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342" w:name="page343"/>
    <w:bookmarkEnd w:id="342"/>
    <w:p>
      <w:pPr>
        <w:ind w:left="2"/>
        <w:spacing w:after="0"/>
        <w:tabs>
          <w:tab w:leader="none" w:pos="562" w:val="left"/>
        </w:tabs>
        <w:rPr>
          <w:sz w:val="20"/>
          <w:szCs w:val="20"/>
          <w:color w:val="auto"/>
        </w:rPr>
      </w:pPr>
      <w:r>
        <w:rPr>
          <w:rFonts w:ascii="Arial" w:cs="Arial" w:eastAsia="Arial" w:hAnsi="Arial"/>
          <w:sz w:val="16"/>
          <w:szCs w:val="16"/>
          <w:color w:val="auto"/>
        </w:rPr>
        <w:t>13.7</w:t>
      </w:r>
      <w:r>
        <w:rPr>
          <w:sz w:val="20"/>
          <w:szCs w:val="20"/>
          <w:color w:val="auto"/>
        </w:rPr>
        <w:tab/>
      </w:r>
      <w:r>
        <w:rPr>
          <w:rFonts w:ascii="Arial" w:cs="Arial" w:eastAsia="Arial" w:hAnsi="Arial"/>
          <w:sz w:val="14"/>
          <w:szCs w:val="14"/>
          <w:color w:val="auto"/>
        </w:rPr>
        <w:t>No transfer of Shares may be made to Trustees unless the Board is satisfied:</w:t>
      </w:r>
    </w:p>
    <w:p>
      <w:pPr>
        <w:spacing w:after="0" w:line="207" w:lineRule="exact"/>
        <w:rPr>
          <w:sz w:val="20"/>
          <w:szCs w:val="20"/>
          <w:color w:val="auto"/>
        </w:rPr>
      </w:pPr>
    </w:p>
    <w:p>
      <w:pPr>
        <w:ind w:left="1162" w:hanging="575"/>
        <w:spacing w:after="0"/>
        <w:tabs>
          <w:tab w:leader="none" w:pos="116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with the terms of the trust instrument and in particular with the powers of the trustees;</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with the identity of the proposed trustees;</w:t>
      </w:r>
    </w:p>
    <w:p>
      <w:pPr>
        <w:spacing w:after="0" w:line="207" w:lineRule="exact"/>
        <w:rPr>
          <w:rFonts w:ascii="Arial" w:cs="Arial" w:eastAsia="Arial" w:hAnsi="Arial"/>
          <w:sz w:val="16"/>
          <w:szCs w:val="16"/>
          <w:color w:val="auto"/>
        </w:rPr>
      </w:pPr>
    </w:p>
    <w:p>
      <w:pPr>
        <w:ind w:left="1182" w:right="80" w:hanging="595"/>
        <w:spacing w:after="0" w:line="285" w:lineRule="auto"/>
        <w:tabs>
          <w:tab w:leader="none" w:pos="119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proposed transfer will not result in fifty percent (50%) or more of the aggregate of the Company’s equity share capital being held by trustees of that and any other trusts; and</w:t>
      </w:r>
    </w:p>
    <w:p>
      <w:pPr>
        <w:spacing w:after="0" w:line="149" w:lineRule="exact"/>
        <w:rPr>
          <w:rFonts w:ascii="Arial" w:cs="Arial" w:eastAsia="Arial" w:hAnsi="Arial"/>
          <w:sz w:val="16"/>
          <w:szCs w:val="16"/>
          <w:color w:val="auto"/>
        </w:rPr>
      </w:pPr>
    </w:p>
    <w:p>
      <w:pPr>
        <w:ind w:left="1182" w:hanging="595"/>
        <w:spacing w:after="0"/>
        <w:tabs>
          <w:tab w:leader="none" w:pos="118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that no costs incurred in connection with the setting up or administration of the Family Trust in question are to be paid by the Company.</w:t>
      </w:r>
    </w:p>
    <w:p>
      <w:pPr>
        <w:spacing w:after="0" w:line="207" w:lineRule="exact"/>
        <w:rPr>
          <w:sz w:val="20"/>
          <w:szCs w:val="20"/>
          <w:color w:val="auto"/>
        </w:rPr>
      </w:pPr>
    </w:p>
    <w:p>
      <w:pPr>
        <w:ind w:left="582" w:right="100" w:hanging="586"/>
        <w:spacing w:after="0" w:line="270" w:lineRule="auto"/>
        <w:tabs>
          <w:tab w:leader="none" w:pos="562" w:val="left"/>
        </w:tabs>
        <w:rPr>
          <w:sz w:val="20"/>
          <w:szCs w:val="20"/>
          <w:color w:val="auto"/>
        </w:rPr>
      </w:pPr>
      <w:r>
        <w:rPr>
          <w:rFonts w:ascii="Arial" w:cs="Arial" w:eastAsia="Arial" w:hAnsi="Arial"/>
          <w:sz w:val="16"/>
          <w:szCs w:val="16"/>
          <w:color w:val="auto"/>
        </w:rPr>
        <w:t>13.8</w:t>
      </w:r>
      <w:r>
        <w:rPr>
          <w:sz w:val="20"/>
          <w:szCs w:val="20"/>
          <w:color w:val="auto"/>
        </w:rPr>
        <w:tab/>
      </w:r>
      <w:r>
        <w:rPr>
          <w:rFonts w:ascii="Arial" w:cs="Arial" w:eastAsia="Arial" w:hAnsi="Arial"/>
          <w:sz w:val="16"/>
          <w:szCs w:val="16"/>
          <w:color w:val="auto"/>
        </w:rPr>
        <w:t>If a company to which a Share has been transferred under Article 13.6, ceases to be a Qualifying Company it must within five (5) Business Days of so ceasing, transfer the Shares held by it to the Trustees or to a Qualifying Company (any may do so without restriction as to price or otherwise) failing which it will be deemed to have given a Transfer Notice in respect of such Shares.</w:t>
      </w:r>
    </w:p>
    <w:p>
      <w:pPr>
        <w:spacing w:after="0" w:line="162" w:lineRule="exact"/>
        <w:rPr>
          <w:sz w:val="20"/>
          <w:szCs w:val="20"/>
          <w:color w:val="auto"/>
        </w:rPr>
      </w:pPr>
    </w:p>
    <w:p>
      <w:pPr>
        <w:ind w:left="582" w:right="180" w:hanging="586"/>
        <w:spacing w:after="0" w:line="285" w:lineRule="auto"/>
        <w:tabs>
          <w:tab w:leader="none" w:pos="562" w:val="left"/>
        </w:tabs>
        <w:rPr>
          <w:sz w:val="20"/>
          <w:szCs w:val="20"/>
          <w:color w:val="auto"/>
        </w:rPr>
      </w:pPr>
      <w:r>
        <w:rPr>
          <w:rFonts w:ascii="Arial" w:cs="Arial" w:eastAsia="Arial" w:hAnsi="Arial"/>
          <w:sz w:val="16"/>
          <w:szCs w:val="16"/>
          <w:color w:val="auto"/>
        </w:rPr>
        <w:t>13.9</w:t>
      </w:r>
      <w:r>
        <w:rPr>
          <w:sz w:val="20"/>
          <w:szCs w:val="20"/>
          <w:color w:val="auto"/>
        </w:rPr>
        <w:tab/>
      </w:r>
      <w:r>
        <w:rPr>
          <w:rFonts w:ascii="Arial" w:cs="Arial" w:eastAsia="Arial" w:hAnsi="Arial"/>
          <w:sz w:val="16"/>
          <w:szCs w:val="16"/>
          <w:color w:val="auto"/>
        </w:rPr>
        <w:t>If a Permitted Transferee who is a spouse or Civil Partner of the Original Shareholder ceases to be a spouse or Civil Partner of the Original Shareholder whether by reason of divorce or otherwise he must, within fifteen (15) Business Days of so ceasing either:</w:t>
      </w:r>
    </w:p>
    <w:p>
      <w:pPr>
        <w:spacing w:after="0" w:line="150" w:lineRule="exact"/>
        <w:rPr>
          <w:sz w:val="20"/>
          <w:szCs w:val="20"/>
          <w:color w:val="auto"/>
        </w:rPr>
      </w:pPr>
    </w:p>
    <w:p>
      <w:pPr>
        <w:ind w:left="1182" w:right="580" w:hanging="595"/>
        <w:spacing w:after="0" w:line="285" w:lineRule="auto"/>
        <w:tabs>
          <w:tab w:leader="none" w:pos="11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execute and deliver to the Company a transfer of the Shares held by him to the Original Shareholder (or, to any Permitted Transferee of the Original Shareholder) for such consideration as may be agreed between them; or</w:t>
      </w:r>
    </w:p>
    <w:p>
      <w:pPr>
        <w:spacing w:after="0" w:line="149" w:lineRule="exact"/>
        <w:rPr>
          <w:rFonts w:ascii="Arial" w:cs="Arial" w:eastAsia="Arial" w:hAnsi="Arial"/>
          <w:sz w:val="16"/>
          <w:szCs w:val="16"/>
          <w:color w:val="auto"/>
        </w:rPr>
      </w:pPr>
    </w:p>
    <w:p>
      <w:pPr>
        <w:ind w:left="1182" w:hanging="595"/>
        <w:spacing w:after="0"/>
        <w:tabs>
          <w:tab w:leader="none" w:pos="1182" w:val="left"/>
        </w:tabs>
        <w:numPr>
          <w:ilvl w:val="0"/>
          <w:numId w:val="200"/>
        </w:numPr>
        <w:rPr>
          <w:rFonts w:ascii="Arial" w:cs="Arial" w:eastAsia="Arial" w:hAnsi="Arial"/>
          <w:sz w:val="16"/>
          <w:szCs w:val="16"/>
          <w:color w:val="auto"/>
        </w:rPr>
      </w:pPr>
      <w:r>
        <w:rPr>
          <w:rFonts w:ascii="Arial" w:cs="Arial" w:eastAsia="Arial" w:hAnsi="Arial"/>
          <w:sz w:val="16"/>
          <w:szCs w:val="16"/>
          <w:color w:val="auto"/>
        </w:rPr>
        <w:t>give a Transfer Notice to the Company in accordance with Article 14.2; failing which he shall be deemed to have given a Transfer Notice.</w:t>
      </w:r>
    </w:p>
    <w:p>
      <w:pPr>
        <w:spacing w:after="0" w:line="207" w:lineRule="exact"/>
        <w:rPr>
          <w:sz w:val="20"/>
          <w:szCs w:val="20"/>
          <w:color w:val="auto"/>
        </w:rPr>
      </w:pPr>
    </w:p>
    <w:p>
      <w:pPr>
        <w:ind w:left="582" w:hanging="586"/>
        <w:spacing w:after="0" w:line="280" w:lineRule="auto"/>
        <w:tabs>
          <w:tab w:leader="none" w:pos="562" w:val="left"/>
        </w:tabs>
        <w:rPr>
          <w:sz w:val="20"/>
          <w:szCs w:val="20"/>
          <w:color w:val="auto"/>
        </w:rPr>
      </w:pPr>
      <w:r>
        <w:rPr>
          <w:rFonts w:ascii="Arial" w:cs="Arial" w:eastAsia="Arial" w:hAnsi="Arial"/>
          <w:sz w:val="16"/>
          <w:szCs w:val="16"/>
          <w:color w:val="auto"/>
        </w:rPr>
        <w:t>13.10</w:t>
      </w:r>
      <w:r>
        <w:rPr>
          <w:sz w:val="20"/>
          <w:szCs w:val="20"/>
          <w:color w:val="auto"/>
        </w:rPr>
        <w:tab/>
      </w:r>
      <w:r>
        <w:rPr>
          <w:rFonts w:ascii="Arial" w:cs="Arial" w:eastAsia="Arial" w:hAnsi="Arial"/>
          <w:sz w:val="15"/>
          <w:szCs w:val="15"/>
          <w:color w:val="auto"/>
        </w:rPr>
        <w:t>On the death (subject to Article 13.2), bankruptcy, liquidation, administrator or administrative receivership of a Permitted Transferee (other than a joint holder) his personal representatives or trustee in bankruptcy, or its liquidator, administrator or administrative receiver must with in five (5) Business Days after the date of the grant of probate, the making of the bankruptcy order or the appointment of the liquidator, administrator or the administrative receiver execute and deliver to the Company a transfer of the Shares held by the Permitted Transferee without restriction as to price or otherwise. The transfer shall be to the Original Shareholder if still living (and not bankrupt or in liquidation) or, if so directed by the Original Shareholder, to any Permitted Transferee of the Original Shareholder. If the transfer is not executed and delivered within five (5) Business Days of such period or if the Original Shareholder has died or is bankrupt or is in liquidation, the personal representative or trustee in bankruptcy or liquidator will be deemed to have given a Transfer Notice.</w:t>
      </w:r>
    </w:p>
    <w:p>
      <w:pPr>
        <w:spacing w:after="0" w:line="152" w:lineRule="exact"/>
        <w:rPr>
          <w:sz w:val="20"/>
          <w:szCs w:val="20"/>
          <w:color w:val="auto"/>
        </w:rPr>
      </w:pPr>
    </w:p>
    <w:p>
      <w:pPr>
        <w:ind w:left="582" w:hanging="582"/>
        <w:spacing w:after="0"/>
        <w:tabs>
          <w:tab w:leader="none" w:pos="582"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TRANSFERS OF SHARES SUBJECT TO PRE-EMPTION RIGHTS</w:t>
      </w:r>
    </w:p>
    <w:p>
      <w:pPr>
        <w:spacing w:after="0" w:line="211" w:lineRule="exact"/>
        <w:rPr>
          <w:sz w:val="20"/>
          <w:szCs w:val="20"/>
          <w:color w:val="auto"/>
        </w:rPr>
      </w:pPr>
    </w:p>
    <w:p>
      <w:pPr>
        <w:ind w:left="582" w:right="460" w:hanging="586"/>
        <w:spacing w:after="0" w:line="285" w:lineRule="auto"/>
        <w:tabs>
          <w:tab w:leader="none" w:pos="562"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6"/>
          <w:szCs w:val="16"/>
          <w:color w:val="auto"/>
        </w:rPr>
        <w:t>Save where the provisions of Articles 13, 15.7 and 17 apply, any transfer of Shares by a Shareholder shall be subject to the pre-emption rights contained in this Article 14.</w:t>
      </w:r>
    </w:p>
    <w:p>
      <w:pPr>
        <w:spacing w:after="0" w:line="146" w:lineRule="exact"/>
        <w:rPr>
          <w:sz w:val="20"/>
          <w:szCs w:val="20"/>
          <w:color w:val="auto"/>
        </w:rPr>
      </w:pPr>
    </w:p>
    <w:p>
      <w:pPr>
        <w:ind w:left="582" w:right="20" w:hanging="586"/>
        <w:spacing w:after="0" w:line="290" w:lineRule="auto"/>
        <w:tabs>
          <w:tab w:leader="none" w:pos="562" w:val="left"/>
        </w:tabs>
        <w:rPr>
          <w:sz w:val="20"/>
          <w:szCs w:val="20"/>
          <w:color w:val="auto"/>
        </w:rPr>
      </w:pPr>
      <w:r>
        <w:rPr>
          <w:rFonts w:ascii="Arial" w:cs="Arial" w:eastAsia="Arial" w:hAnsi="Arial"/>
          <w:sz w:val="16"/>
          <w:szCs w:val="16"/>
          <w:color w:val="auto"/>
        </w:rPr>
        <w:t>14.2</w:t>
      </w:r>
      <w:r>
        <w:rPr>
          <w:sz w:val="20"/>
          <w:szCs w:val="20"/>
          <w:color w:val="auto"/>
        </w:rPr>
        <w:tab/>
      </w:r>
      <w:r>
        <w:rPr>
          <w:rFonts w:ascii="Arial" w:cs="Arial" w:eastAsia="Arial" w:hAnsi="Arial"/>
          <w:sz w:val="16"/>
          <w:szCs w:val="16"/>
          <w:color w:val="auto"/>
        </w:rPr>
        <w:t>Subject always to Article 14.9(f), a Shareholder who wishes to transfer Shares (a “</w:t>
      </w:r>
      <w:r>
        <w:rPr>
          <w:rFonts w:ascii="Arial" w:cs="Arial" w:eastAsia="Arial" w:hAnsi="Arial"/>
          <w:sz w:val="16"/>
          <w:szCs w:val="16"/>
          <w:b w:val="1"/>
          <w:bCs w:val="1"/>
          <w:color w:val="auto"/>
        </w:rPr>
        <w:t>Seller</w:t>
      </w:r>
      <w:r>
        <w:rPr>
          <w:rFonts w:ascii="Arial" w:cs="Arial" w:eastAsia="Arial" w:hAnsi="Arial"/>
          <w:sz w:val="16"/>
          <w:szCs w:val="16"/>
          <w:color w:val="auto"/>
        </w:rPr>
        <w:t>”) shall, except as otherwise provided in these Articles, before transferring or agreeing to transfer any Shares give notice in writing (a “</w:t>
      </w:r>
      <w:r>
        <w:rPr>
          <w:rFonts w:ascii="Arial" w:cs="Arial" w:eastAsia="Arial" w:hAnsi="Arial"/>
          <w:sz w:val="16"/>
          <w:szCs w:val="16"/>
          <w:b w:val="1"/>
          <w:bCs w:val="1"/>
          <w:color w:val="auto"/>
        </w:rPr>
        <w:t>Transfer Notice</w:t>
      </w:r>
      <w:r>
        <w:rPr>
          <w:rFonts w:ascii="Arial" w:cs="Arial" w:eastAsia="Arial" w:hAnsi="Arial"/>
          <w:sz w:val="16"/>
          <w:szCs w:val="16"/>
          <w:color w:val="auto"/>
        </w:rPr>
        <w:t>”) to the Company specifying:</w:t>
      </w:r>
    </w:p>
    <w:p>
      <w:pPr>
        <w:spacing w:after="0" w:line="142" w:lineRule="exact"/>
        <w:rPr>
          <w:sz w:val="20"/>
          <w:szCs w:val="20"/>
          <w:color w:val="auto"/>
        </w:rPr>
      </w:pPr>
    </w:p>
    <w:p>
      <w:pPr>
        <w:ind w:left="1162" w:hanging="575"/>
        <w:spacing w:after="0"/>
        <w:tabs>
          <w:tab w:leader="none" w:pos="116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number of Shares which he wishes to transfer (the “</w:t>
      </w:r>
      <w:r>
        <w:rPr>
          <w:rFonts w:ascii="Arial" w:cs="Arial" w:eastAsia="Arial" w:hAnsi="Arial"/>
          <w:sz w:val="16"/>
          <w:szCs w:val="16"/>
          <w:b w:val="1"/>
          <w:bCs w:val="1"/>
          <w:color w:val="auto"/>
        </w:rPr>
        <w:t>Sale Shares</w:t>
      </w:r>
      <w:r>
        <w:rPr>
          <w:rFonts w:ascii="Arial" w:cs="Arial" w:eastAsia="Arial" w:hAnsi="Arial"/>
          <w:sz w:val="16"/>
          <w:szCs w:val="16"/>
          <w:color w:val="auto"/>
        </w:rPr>
        <w:t>”);</w:t>
      </w:r>
    </w:p>
    <w:p>
      <w:pPr>
        <w:spacing w:after="0" w:line="211" w:lineRule="exact"/>
        <w:rPr>
          <w:rFonts w:ascii="Arial" w:cs="Arial" w:eastAsia="Arial" w:hAnsi="Arial"/>
          <w:sz w:val="16"/>
          <w:szCs w:val="16"/>
          <w:color w:val="auto"/>
        </w:rPr>
      </w:pPr>
    </w:p>
    <w:p>
      <w:pPr>
        <w:ind w:left="5642" w:right="4520" w:hanging="5055"/>
        <w:spacing w:after="0" w:line="540" w:lineRule="auto"/>
        <w:tabs>
          <w:tab w:leader="none" w:pos="118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if he wishes to sell the Sale Shares to a third party, the name of the proposed transferee;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2802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343" w:name="page344"/>
    <w:bookmarkEnd w:id="343"/>
    <w:p>
      <w:pPr>
        <w:ind w:left="1180" w:hanging="595"/>
        <w:spacing w:after="0" w:line="285" w:lineRule="auto"/>
        <w:tabs>
          <w:tab w:leader="none" w:pos="119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price (in cash) at which he wishes to transfer the Sale Shares (which will be deemed to be fair value of the Sale Shares if no cash price is agreed between the Seller and the Board (including the Investor Directors) (the “</w:t>
      </w:r>
      <w:r>
        <w:rPr>
          <w:rFonts w:ascii="Arial" w:cs="Arial" w:eastAsia="Arial" w:hAnsi="Arial"/>
          <w:sz w:val="16"/>
          <w:szCs w:val="16"/>
          <w:b w:val="1"/>
          <w:bCs w:val="1"/>
          <w:color w:val="auto"/>
        </w:rPr>
        <w:t>Transfer Price</w:t>
      </w:r>
      <w:r>
        <w:rPr>
          <w:rFonts w:ascii="Arial" w:cs="Arial" w:eastAsia="Arial" w:hAnsi="Arial"/>
          <w:sz w:val="16"/>
          <w:szCs w:val="16"/>
          <w:color w:val="auto"/>
        </w:rPr>
        <w:t>”); and</w:t>
      </w:r>
    </w:p>
    <w:p>
      <w:pPr>
        <w:spacing w:after="0" w:line="145" w:lineRule="exact"/>
        <w:rPr>
          <w:rFonts w:ascii="Arial" w:cs="Arial" w:eastAsia="Arial" w:hAnsi="Arial"/>
          <w:sz w:val="16"/>
          <w:szCs w:val="16"/>
          <w:color w:val="auto"/>
        </w:rPr>
      </w:pPr>
    </w:p>
    <w:p>
      <w:pPr>
        <w:ind w:right="160" w:firstLine="585"/>
        <w:spacing w:after="0" w:line="547" w:lineRule="auto"/>
        <w:tabs>
          <w:tab w:leader="none" w:pos="118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whether the Transfer Notice is conditional on all or a specific number of the Sale Shares being sold to Shareholders (a “</w:t>
      </w:r>
      <w:r>
        <w:rPr>
          <w:rFonts w:ascii="Arial" w:cs="Arial" w:eastAsia="Arial" w:hAnsi="Arial"/>
          <w:sz w:val="15"/>
          <w:szCs w:val="15"/>
          <w:b w:val="1"/>
          <w:bCs w:val="1"/>
          <w:color w:val="auto"/>
        </w:rPr>
        <w:t>Minimum Transfer Condition</w:t>
      </w:r>
      <w:r>
        <w:rPr>
          <w:rFonts w:ascii="Arial" w:cs="Arial" w:eastAsia="Arial" w:hAnsi="Arial"/>
          <w:sz w:val="15"/>
          <w:szCs w:val="15"/>
          <w:color w:val="auto"/>
        </w:rPr>
        <w:t>”). 14.3 Except with the Investor Director Consent, no Transfer Notice once given or deemed to have been given under these Articles may be withdrawn.</w:t>
      </w:r>
    </w:p>
    <w:p>
      <w:pPr>
        <w:spacing w:after="0"/>
        <w:rPr>
          <w:rFonts w:ascii="Arial" w:cs="Arial" w:eastAsia="Arial" w:hAnsi="Arial"/>
          <w:sz w:val="15"/>
          <w:szCs w:val="15"/>
          <w:color w:val="auto"/>
        </w:rPr>
      </w:pPr>
      <w:r>
        <w:rPr>
          <w:rFonts w:ascii="Arial" w:cs="Arial" w:eastAsia="Arial" w:hAnsi="Arial"/>
          <w:sz w:val="16"/>
          <w:szCs w:val="16"/>
          <w:color w:val="auto"/>
        </w:rPr>
        <w:t>14.4    A Transfer Notice constitutes the Company the agent of the Seller for the sale of the Sale Shares at the Transfer Price.</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14.5</w:t>
      </w:r>
      <w:r>
        <w:rPr>
          <w:sz w:val="20"/>
          <w:szCs w:val="20"/>
          <w:color w:val="auto"/>
        </w:rPr>
        <w:tab/>
      </w:r>
      <w:r>
        <w:rPr>
          <w:rFonts w:ascii="Arial" w:cs="Arial" w:eastAsia="Arial" w:hAnsi="Arial"/>
          <w:sz w:val="14"/>
          <w:szCs w:val="14"/>
          <w:color w:val="auto"/>
        </w:rPr>
        <w:t>As soon as practicable following the receipt of a Transfer Notice the Board shall offer the Sale Shares for sale to the Shareholders in the manner set out in Articles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14.6 to 14.8. Each offer must be in writing and give details of the number and Transfer Price of the Sale Shares offered.</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14.6</w:t>
      </w:r>
      <w:r>
        <w:rPr>
          <w:sz w:val="20"/>
          <w:szCs w:val="20"/>
          <w:color w:val="auto"/>
        </w:rPr>
        <w:tab/>
      </w:r>
      <w:r>
        <w:rPr>
          <w:rFonts w:ascii="Arial" w:cs="Arial" w:eastAsia="Arial" w:hAnsi="Arial"/>
          <w:sz w:val="15"/>
          <w:szCs w:val="15"/>
          <w:i w:val="1"/>
          <w:iCs w:val="1"/>
          <w:color w:val="auto"/>
        </w:rPr>
        <w:t>Priority for offer of Sale Shares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shall offer the Sale Shares in the following priority:</w:t>
      </w:r>
    </w:p>
    <w:p>
      <w:pPr>
        <w:spacing w:after="0" w:line="207" w:lineRule="exact"/>
        <w:rPr>
          <w:sz w:val="20"/>
          <w:szCs w:val="20"/>
          <w:color w:val="auto"/>
        </w:rPr>
      </w:pPr>
    </w:p>
    <w:p>
      <w:pPr>
        <w:ind w:left="1180" w:hanging="595"/>
        <w:spacing w:after="0" w:line="285" w:lineRule="auto"/>
        <w:tabs>
          <w:tab w:leader="none" w:pos="117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first, to the Preferred Shareholders (pro rata to the number of Ordinary Shares each Preferred Shareholder holds as a proportion of all Preferred Shareholders on an As Converted Basis); and</w:t>
      </w:r>
    </w:p>
    <w:p>
      <w:pPr>
        <w:spacing w:after="0" w:line="149" w:lineRule="exact"/>
        <w:rPr>
          <w:rFonts w:ascii="Arial" w:cs="Arial" w:eastAsia="Arial" w:hAnsi="Arial"/>
          <w:sz w:val="16"/>
          <w:szCs w:val="16"/>
          <w:color w:val="auto"/>
        </w:rPr>
      </w:pPr>
    </w:p>
    <w:p>
      <w:pPr>
        <w:ind w:left="1180" w:hanging="595"/>
        <w:spacing w:after="0"/>
        <w:tabs>
          <w:tab w:leader="none" w:pos="11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second, to the Ordinary Shareholders;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each case on the basis as set out in Article 14.7.</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14.7</w:t>
      </w:r>
      <w:r>
        <w:rPr>
          <w:sz w:val="20"/>
          <w:szCs w:val="20"/>
          <w:color w:val="auto"/>
        </w:rPr>
        <w:tab/>
      </w:r>
      <w:r>
        <w:rPr>
          <w:rFonts w:ascii="Arial" w:cs="Arial" w:eastAsia="Arial" w:hAnsi="Arial"/>
          <w:sz w:val="15"/>
          <w:szCs w:val="15"/>
          <w:i w:val="1"/>
          <w:iCs w:val="1"/>
          <w:color w:val="auto"/>
        </w:rPr>
        <w:t>Transfers: First Offer</w:t>
      </w:r>
    </w:p>
    <w:p>
      <w:pPr>
        <w:spacing w:after="0" w:line="207" w:lineRule="exact"/>
        <w:rPr>
          <w:sz w:val="20"/>
          <w:szCs w:val="20"/>
          <w:color w:val="auto"/>
        </w:rPr>
      </w:pPr>
    </w:p>
    <w:p>
      <w:pPr>
        <w:ind w:left="1180" w:right="60" w:hanging="595"/>
        <w:spacing w:after="0" w:line="285" w:lineRule="auto"/>
        <w:tabs>
          <w:tab w:leader="none" w:pos="117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 accordance with the priority rights contained in Article 14.6, the Board shall offer the Sale Shares to all the Preferred Shareholders (other than the Seller) inviting them to apply in writing for the maximum number of Sale Shares they wish to buy.</w:t>
      </w:r>
    </w:p>
    <w:p>
      <w:pPr>
        <w:spacing w:after="0" w:line="149" w:lineRule="exact"/>
        <w:rPr>
          <w:rFonts w:ascii="Arial" w:cs="Arial" w:eastAsia="Arial" w:hAnsi="Arial"/>
          <w:sz w:val="16"/>
          <w:szCs w:val="16"/>
          <w:color w:val="auto"/>
        </w:rPr>
      </w:pPr>
    </w:p>
    <w:p>
      <w:pPr>
        <w:ind w:left="1180" w:right="220" w:hanging="595"/>
        <w:spacing w:after="0" w:line="285" w:lineRule="auto"/>
        <w:tabs>
          <w:tab w:leader="none" w:pos="118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Preferred Shareholders shall be invited to apply in writing within the period from the date of the offer to the date fifteen (15) Business Days after the offer (inclusive) (the “</w:t>
      </w:r>
      <w:r>
        <w:rPr>
          <w:rFonts w:ascii="Arial" w:cs="Arial" w:eastAsia="Arial" w:hAnsi="Arial"/>
          <w:sz w:val="16"/>
          <w:szCs w:val="16"/>
          <w:b w:val="1"/>
          <w:bCs w:val="1"/>
          <w:color w:val="auto"/>
        </w:rPr>
        <w:t>First Offer Period</w:t>
      </w:r>
      <w:r>
        <w:rPr>
          <w:rFonts w:ascii="Arial" w:cs="Arial" w:eastAsia="Arial" w:hAnsi="Arial"/>
          <w:sz w:val="16"/>
          <w:szCs w:val="16"/>
          <w:color w:val="auto"/>
        </w:rPr>
        <w:t>”).</w:t>
      </w:r>
    </w:p>
    <w:p>
      <w:pPr>
        <w:spacing w:after="0" w:line="149" w:lineRule="exact"/>
        <w:rPr>
          <w:rFonts w:ascii="Arial" w:cs="Arial" w:eastAsia="Arial" w:hAnsi="Arial"/>
          <w:sz w:val="16"/>
          <w:szCs w:val="16"/>
          <w:color w:val="auto"/>
        </w:rPr>
      </w:pPr>
    </w:p>
    <w:p>
      <w:pPr>
        <w:ind w:left="1180" w:right="200" w:hanging="595"/>
        <w:spacing w:after="0" w:line="284" w:lineRule="auto"/>
        <w:tabs>
          <w:tab w:leader="none" w:pos="119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If, at the end of the First Offer Period, the number of Sale Shares applied for is more than the total number of Sale Shares, the Board shall allocate the remaining Sale Shares to each Preferred Shareholder in the proportion (fractional entitlements being rounded to the nearest whole number) which his existing holding of Preferred Shares bears to the total number of Ordinary Shares held by Preferred Shareholders on an As Converted Basis held by those Preferred Shareholders who have applied during the First Offer Period for Sale Shares but no allocation shall be made to a Preferred Shareholder of more than the maximum number of Sale Shares which he has stated he is willing to buy.</w:t>
      </w:r>
    </w:p>
    <w:p>
      <w:pPr>
        <w:spacing w:after="0" w:line="153" w:lineRule="exact"/>
        <w:rPr>
          <w:rFonts w:ascii="Arial" w:cs="Arial" w:eastAsia="Arial" w:hAnsi="Arial"/>
          <w:sz w:val="15"/>
          <w:szCs w:val="15"/>
          <w:color w:val="auto"/>
        </w:rPr>
      </w:pPr>
    </w:p>
    <w:p>
      <w:pPr>
        <w:ind w:left="1180" w:right="20" w:hanging="595"/>
        <w:spacing w:after="0" w:line="296" w:lineRule="auto"/>
        <w:tabs>
          <w:tab w:leader="none" w:pos="1187" w:val="left"/>
        </w:tabs>
        <w:numPr>
          <w:ilvl w:val="0"/>
          <w:numId w:val="205"/>
        </w:numPr>
        <w:rPr>
          <w:rFonts w:ascii="Arial" w:cs="Arial" w:eastAsia="Arial" w:hAnsi="Arial"/>
          <w:sz w:val="15"/>
          <w:szCs w:val="15"/>
          <w:color w:val="auto"/>
        </w:rPr>
      </w:pPr>
      <w:r>
        <w:rPr>
          <w:rFonts w:ascii="Arial" w:cs="Arial" w:eastAsia="Arial" w:hAnsi="Arial"/>
          <w:sz w:val="15"/>
          <w:szCs w:val="15"/>
          <w:color w:val="auto"/>
        </w:rPr>
        <w:t>If, at the end of the First Offer Period, the number of Sale Shares applied for is less than the total number of Sale Shares, the Board shall offer the balance to the Ordinary Shareholders (other than the Seller), in accordance with the priority rights in Article 14.6, who shall be invited to apply in writing within the period from the date of that offer to the date fifteen (15) Business Days after that offer (inclusive) (the “</w:t>
      </w:r>
      <w:r>
        <w:rPr>
          <w:rFonts w:ascii="Arial" w:cs="Arial" w:eastAsia="Arial" w:hAnsi="Arial"/>
          <w:sz w:val="15"/>
          <w:szCs w:val="15"/>
          <w:b w:val="1"/>
          <w:bCs w:val="1"/>
          <w:color w:val="auto"/>
        </w:rPr>
        <w:t>Second Offer Period</w:t>
      </w:r>
      <w:r>
        <w:rPr>
          <w:rFonts w:ascii="Arial" w:cs="Arial" w:eastAsia="Arial" w:hAnsi="Arial"/>
          <w:sz w:val="15"/>
          <w:szCs w:val="15"/>
          <w:color w:val="auto"/>
        </w:rPr>
        <w: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0"/>
          </w:cols>
          <w:pgMar w:left="240" w:top="322" w:right="279" w:bottom="1440" w:gutter="0" w:footer="0" w:header="0"/>
        </w:sectPr>
      </w:pPr>
    </w:p>
    <w:bookmarkStart w:id="344" w:name="page345"/>
    <w:bookmarkEnd w:id="344"/>
    <w:p>
      <w:pPr>
        <w:ind w:left="1180" w:hanging="595"/>
        <w:spacing w:after="0" w:line="284" w:lineRule="auto"/>
        <w:tabs>
          <w:tab w:leader="none" w:pos="119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If, at the end of the Second Offer Period, the number of Sale Shares applied for is more than the balance of Sale Shares following the First Offer Period (the “</w:t>
      </w:r>
      <w:r>
        <w:rPr>
          <w:rFonts w:ascii="Arial" w:cs="Arial" w:eastAsia="Arial" w:hAnsi="Arial"/>
          <w:sz w:val="15"/>
          <w:szCs w:val="15"/>
          <w:b w:val="1"/>
          <w:bCs w:val="1"/>
          <w:color w:val="auto"/>
        </w:rPr>
        <w:t>Second Offer Sale Shares</w:t>
      </w:r>
      <w:r>
        <w:rPr>
          <w:rFonts w:ascii="Arial" w:cs="Arial" w:eastAsia="Arial" w:hAnsi="Arial"/>
          <w:sz w:val="15"/>
          <w:szCs w:val="15"/>
          <w:color w:val="auto"/>
        </w:rPr>
        <w:t>”), the Board shall allocate the Second Offer Sale Shares to each Ordinary Shareholder in the proportion (fractional entitlements being rounded to the nearest whole number) which his existing holding of Ordinary Shares bears to the total number of Ordinary Shares held by those Ordinary Shareholders who have applied during the Second Offer Period for Second Offer Sale Shares but no allocation shall be made to an Ordinary Shareholder of more than the maximum number of Second Offer Sale Shares which he has stated he is willing to buy.</w:t>
      </w:r>
    </w:p>
    <w:p>
      <w:pPr>
        <w:spacing w:after="0" w:line="153" w:lineRule="exact"/>
        <w:rPr>
          <w:rFonts w:ascii="Arial" w:cs="Arial" w:eastAsia="Arial" w:hAnsi="Arial"/>
          <w:sz w:val="15"/>
          <w:szCs w:val="15"/>
          <w:color w:val="auto"/>
        </w:rPr>
      </w:pPr>
    </w:p>
    <w:p>
      <w:pPr>
        <w:ind w:left="1180" w:right="120" w:hanging="595"/>
        <w:spacing w:after="0" w:line="265" w:lineRule="auto"/>
        <w:tabs>
          <w:tab w:leader="none" w:pos="118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at the end of the Second Offer Period, the total number of Sale Shares applied for by both the Preferred Shareholders and the Ordinary Shareholders (other than the Seller) (the “</w:t>
      </w:r>
      <w:r>
        <w:rPr>
          <w:rFonts w:ascii="Arial" w:cs="Arial" w:eastAsia="Arial" w:hAnsi="Arial"/>
          <w:sz w:val="16"/>
          <w:szCs w:val="16"/>
          <w:b w:val="1"/>
          <w:bCs w:val="1"/>
          <w:color w:val="auto"/>
        </w:rPr>
        <w:t>Continuing Shareholders</w:t>
      </w:r>
      <w:r>
        <w:rPr>
          <w:rFonts w:ascii="Arial" w:cs="Arial" w:eastAsia="Arial" w:hAnsi="Arial"/>
          <w:sz w:val="16"/>
          <w:szCs w:val="16"/>
          <w:color w:val="auto"/>
        </w:rPr>
        <w:t>”) is less than the number of Sale Shares, the Board shall allocate the Sale Shares to such Shareholders in accordance with their respective applications and the overall balance (the “</w:t>
      </w:r>
      <w:r>
        <w:rPr>
          <w:rFonts w:ascii="Arial" w:cs="Arial" w:eastAsia="Arial" w:hAnsi="Arial"/>
          <w:sz w:val="16"/>
          <w:szCs w:val="16"/>
          <w:b w:val="1"/>
          <w:bCs w:val="1"/>
          <w:color w:val="auto"/>
        </w:rPr>
        <w:t>Initial Surplus Shares</w:t>
      </w:r>
      <w:r>
        <w:rPr>
          <w:rFonts w:ascii="Arial" w:cs="Arial" w:eastAsia="Arial" w:hAnsi="Arial"/>
          <w:sz w:val="16"/>
          <w:szCs w:val="16"/>
          <w:color w:val="auto"/>
        </w:rPr>
        <w:t>”) will be dealt with in accordance with Article 14.8.</w:t>
      </w:r>
    </w:p>
    <w:p>
      <w:pPr>
        <w:spacing w:after="0" w:line="165" w:lineRule="exact"/>
        <w:rPr>
          <w:rFonts w:ascii="Arial" w:cs="Arial" w:eastAsia="Arial" w:hAnsi="Arial"/>
          <w:sz w:val="16"/>
          <w:szCs w:val="16"/>
          <w:color w:val="auto"/>
        </w:rPr>
      </w:pPr>
    </w:p>
    <w:p>
      <w:pPr>
        <w:ind w:left="1180" w:right="360" w:hanging="595"/>
        <w:spacing w:after="0" w:line="285" w:lineRule="auto"/>
        <w:tabs>
          <w:tab w:leader="none" w:pos="119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the Sale Shares are subject to a Minimum Transfer Condition then any allocation made under this Article and Article 14.8 will be conditional on the fulfilment of the Minimum Transfer Condition.</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14.8</w:t>
      </w:r>
      <w:r>
        <w:rPr>
          <w:sz w:val="20"/>
          <w:szCs w:val="20"/>
          <w:color w:val="auto"/>
        </w:rPr>
        <w:tab/>
      </w:r>
      <w:r>
        <w:rPr>
          <w:rFonts w:ascii="Arial" w:cs="Arial" w:eastAsia="Arial" w:hAnsi="Arial"/>
          <w:sz w:val="14"/>
          <w:szCs w:val="14"/>
          <w:i w:val="1"/>
          <w:iCs w:val="1"/>
          <w:color w:val="auto"/>
        </w:rPr>
        <w:t>Transfers: Second Offer</w:t>
      </w:r>
    </w:p>
    <w:p>
      <w:pPr>
        <w:spacing w:after="0" w:line="207" w:lineRule="exact"/>
        <w:rPr>
          <w:sz w:val="20"/>
          <w:szCs w:val="20"/>
          <w:color w:val="auto"/>
        </w:rPr>
      </w:pPr>
    </w:p>
    <w:p>
      <w:pPr>
        <w:jc w:val="both"/>
        <w:ind w:left="1180" w:right="140" w:hanging="595"/>
        <w:spacing w:after="0" w:line="270" w:lineRule="auto"/>
        <w:tabs>
          <w:tab w:leader="none" w:pos="117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At the end of the Second Offer Period, the Board shall offer the Initial Surplus Shares to all the Continuing Shareholders inviting them to apply in writing within the period from the date of the offer to the date fifteen (15) Business Days after the date of the offer (inclusive) (the “</w:t>
      </w:r>
      <w:r>
        <w:rPr>
          <w:rFonts w:ascii="Arial" w:cs="Arial" w:eastAsia="Arial" w:hAnsi="Arial"/>
          <w:sz w:val="16"/>
          <w:szCs w:val="16"/>
          <w:b w:val="1"/>
          <w:bCs w:val="1"/>
          <w:color w:val="auto"/>
        </w:rPr>
        <w:t>Third Offer Period</w:t>
      </w:r>
      <w:r>
        <w:rPr>
          <w:rFonts w:ascii="Arial" w:cs="Arial" w:eastAsia="Arial" w:hAnsi="Arial"/>
          <w:sz w:val="16"/>
          <w:szCs w:val="16"/>
          <w:color w:val="auto"/>
        </w:rPr>
        <w:t>”) for the maximum number of the Initial Surplus Shares they wish to buy.</w:t>
      </w:r>
    </w:p>
    <w:p>
      <w:pPr>
        <w:spacing w:after="0" w:line="161" w:lineRule="exact"/>
        <w:rPr>
          <w:rFonts w:ascii="Arial" w:cs="Arial" w:eastAsia="Arial" w:hAnsi="Arial"/>
          <w:sz w:val="16"/>
          <w:szCs w:val="16"/>
          <w:color w:val="auto"/>
        </w:rPr>
      </w:pPr>
    </w:p>
    <w:p>
      <w:pPr>
        <w:ind w:left="1180" w:right="120" w:hanging="595"/>
        <w:spacing w:after="0" w:line="261" w:lineRule="auto"/>
        <w:tabs>
          <w:tab w:leader="none" w:pos="118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at the end of the Third Offer Period, the number of Initial Surplus Shares applied for exceeds the number of Initial Surplus Shares, the Board shall allocate the remaining Initial Surplus Shares to each Continuing Shareholder in the proportion (fractional entitlements being rounded to the nearest whole number) which his existing holding of Ordinary Shares bears to the total number of Ordinary Shares (assuming that the Preferred Shareholders which constitute Continuing Shareholders hold Ordinary Shares on an As Converted Basis) held by those Continuing Shareholders who have applied during the Third Offer Period for Initial Surplus Shares but no allocation shall be made to a Shareholder of more than the maximum number of Initial Surplus Shares which he has stated he is willing to buy.</w:t>
      </w:r>
    </w:p>
    <w:p>
      <w:pPr>
        <w:spacing w:after="0" w:line="168" w:lineRule="exact"/>
        <w:rPr>
          <w:rFonts w:ascii="Arial" w:cs="Arial" w:eastAsia="Arial" w:hAnsi="Arial"/>
          <w:sz w:val="16"/>
          <w:szCs w:val="16"/>
          <w:color w:val="auto"/>
        </w:rPr>
      </w:pPr>
    </w:p>
    <w:p>
      <w:pPr>
        <w:ind w:left="1180" w:hanging="595"/>
        <w:spacing w:after="0" w:line="270" w:lineRule="auto"/>
        <w:tabs>
          <w:tab w:leader="none" w:pos="119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at the end of the Third Offer Period, the number of Initial Surplus Shares applied for is less than the number of Initial Surplus Shares, the Board shall allocate the Initial Surplus Shares to the Continuing Shareholders in accordance with their applications and the balance (the “</w:t>
      </w:r>
      <w:r>
        <w:rPr>
          <w:rFonts w:ascii="Arial" w:cs="Arial" w:eastAsia="Arial" w:hAnsi="Arial"/>
          <w:sz w:val="16"/>
          <w:szCs w:val="16"/>
          <w:b w:val="1"/>
          <w:bCs w:val="1"/>
          <w:color w:val="auto"/>
        </w:rPr>
        <w:t>Second Surplus Shares</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will be offered to any other person in accordance with 14.9(e).</w:t>
      </w:r>
    </w:p>
    <w:p>
      <w:pPr>
        <w:spacing w:after="0" w:line="16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14.9</w:t>
      </w:r>
      <w:r>
        <w:rPr>
          <w:sz w:val="20"/>
          <w:szCs w:val="20"/>
          <w:color w:val="auto"/>
        </w:rPr>
        <w:tab/>
      </w:r>
      <w:r>
        <w:rPr>
          <w:rFonts w:ascii="Arial" w:cs="Arial" w:eastAsia="Arial" w:hAnsi="Arial"/>
          <w:sz w:val="14"/>
          <w:szCs w:val="14"/>
          <w:i w:val="1"/>
          <w:iCs w:val="1"/>
          <w:color w:val="auto"/>
        </w:rPr>
        <w:t>Completion of transfer of Sale Shares</w:t>
      </w:r>
    </w:p>
    <w:p>
      <w:pPr>
        <w:spacing w:after="0" w:line="207" w:lineRule="exact"/>
        <w:rPr>
          <w:sz w:val="20"/>
          <w:szCs w:val="20"/>
          <w:color w:val="auto"/>
        </w:rPr>
      </w:pPr>
    </w:p>
    <w:p>
      <w:pPr>
        <w:ind w:left="1180" w:right="120" w:hanging="595"/>
        <w:spacing w:after="0" w:line="270" w:lineRule="auto"/>
        <w:tabs>
          <w:tab w:leader="none" w:pos="117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If the Transfer Notice includes a Minimum Transfer Condition and the total number of Shares applied for is less than the number of Sale Shares the Board shall notify the Seller and all those to whom Sale Shares have been conditionally allocated under Articles 14.7 and 14.8 stating the Minimum Transfer Condition has not been met and that the relevant Transfer Notice has lapsed with immediate effect.</w:t>
      </w:r>
    </w:p>
    <w:p>
      <w:pPr>
        <w:spacing w:after="0" w:line="161" w:lineRule="exact"/>
        <w:rPr>
          <w:rFonts w:ascii="Arial" w:cs="Arial" w:eastAsia="Arial" w:hAnsi="Arial"/>
          <w:sz w:val="16"/>
          <w:szCs w:val="16"/>
          <w:color w:val="auto"/>
        </w:rPr>
      </w:pPr>
    </w:p>
    <w:p>
      <w:pPr>
        <w:ind w:left="1180" w:hanging="595"/>
        <w:spacing w:after="0"/>
        <w:tabs>
          <w:tab w:leader="none" w:pos="11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If:</w:t>
      </w:r>
    </w:p>
    <w:p>
      <w:pPr>
        <w:spacing w:after="0" w:line="207" w:lineRule="exact"/>
        <w:rPr>
          <w:rFonts w:ascii="Arial" w:cs="Arial" w:eastAsia="Arial" w:hAnsi="Arial"/>
          <w:sz w:val="16"/>
          <w:szCs w:val="16"/>
          <w:color w:val="auto"/>
        </w:rPr>
      </w:pPr>
    </w:p>
    <w:p>
      <w:pPr>
        <w:ind w:left="1740" w:hanging="568"/>
        <w:spacing w:after="0"/>
        <w:tabs>
          <w:tab w:leader="none" w:pos="174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Transfer Notice does not include a Minimum Transfer Condition; or</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40"/>
          </w:cols>
          <w:pgMar w:left="240" w:top="322" w:right="319" w:bottom="1440" w:gutter="0" w:footer="0" w:header="0"/>
        </w:sectPr>
      </w:pPr>
    </w:p>
    <w:bookmarkStart w:id="345" w:name="page346"/>
    <w:bookmarkEnd w:id="345"/>
    <w:p>
      <w:pPr>
        <w:ind w:left="1175" w:hanging="588"/>
        <w:spacing w:after="0"/>
        <w:tabs>
          <w:tab w:leader="none" w:pos="117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allocations have been made in respect of all the Sale Shares,</w:t>
      </w:r>
    </w:p>
    <w:p>
      <w:pPr>
        <w:spacing w:after="0" w:line="203" w:lineRule="exact"/>
        <w:rPr>
          <w:sz w:val="20"/>
          <w:szCs w:val="20"/>
          <w:color w:val="auto"/>
        </w:rPr>
      </w:pPr>
    </w:p>
    <w:p>
      <w:pPr>
        <w:ind w:left="595" w:right="160"/>
        <w:spacing w:after="0" w:line="267" w:lineRule="auto"/>
        <w:rPr>
          <w:sz w:val="20"/>
          <w:szCs w:val="20"/>
          <w:color w:val="auto"/>
        </w:rPr>
      </w:pPr>
      <w:r>
        <w:rPr>
          <w:rFonts w:ascii="Arial" w:cs="Arial" w:eastAsia="Arial" w:hAnsi="Arial"/>
          <w:sz w:val="16"/>
          <w:szCs w:val="16"/>
          <w:color w:val="auto"/>
        </w:rPr>
        <w:t>the Board shall, when no further offers are required to be made under Articles 14.7 and 14.8, give written notice of allocation (an “</w:t>
      </w:r>
      <w:r>
        <w:rPr>
          <w:rFonts w:ascii="Arial" w:cs="Arial" w:eastAsia="Arial" w:hAnsi="Arial"/>
          <w:sz w:val="16"/>
          <w:szCs w:val="16"/>
          <w:b w:val="1"/>
          <w:bCs w:val="1"/>
          <w:color w:val="auto"/>
        </w:rPr>
        <w:t>Allocation Notice</w:t>
      </w:r>
      <w:r>
        <w:rPr>
          <w:rFonts w:ascii="Arial" w:cs="Arial" w:eastAsia="Arial" w:hAnsi="Arial"/>
          <w:sz w:val="16"/>
          <w:szCs w:val="16"/>
          <w:color w:val="auto"/>
        </w:rPr>
        <w:t>”) to the Seller and each party to whom Sale Shares have been allocated (an “</w:t>
      </w:r>
      <w:r>
        <w:rPr>
          <w:rFonts w:ascii="Arial" w:cs="Arial" w:eastAsia="Arial" w:hAnsi="Arial"/>
          <w:sz w:val="16"/>
          <w:szCs w:val="16"/>
          <w:b w:val="1"/>
          <w:bCs w:val="1"/>
          <w:color w:val="auto"/>
        </w:rPr>
        <w:t>Applicant</w:t>
      </w:r>
      <w:r>
        <w:rPr>
          <w:rFonts w:ascii="Arial" w:cs="Arial" w:eastAsia="Arial" w:hAnsi="Arial"/>
          <w:sz w:val="16"/>
          <w:szCs w:val="16"/>
          <w:color w:val="auto"/>
        </w:rPr>
        <w:t>”) specifying the number of Sale Shares allocated to each Applicant and the place and time (being not less than ten (10) Business Days nor more than twenty (20) Business Days after the date of the Allocation Notice) for completion of the transfer of the Sale Shares.</w:t>
      </w:r>
    </w:p>
    <w:p>
      <w:pPr>
        <w:spacing w:after="0" w:line="163" w:lineRule="exact"/>
        <w:rPr>
          <w:sz w:val="20"/>
          <w:szCs w:val="20"/>
          <w:color w:val="auto"/>
        </w:rPr>
      </w:pPr>
    </w:p>
    <w:p>
      <w:pPr>
        <w:ind w:left="595" w:right="200" w:hanging="595"/>
        <w:spacing w:after="0" w:line="285" w:lineRule="auto"/>
        <w:tabs>
          <w:tab w:leader="none" w:pos="60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Upon service of an Allocation Notice, the Seller must, against payment of the Transfer Price, transfer the Sale Shares in accordance with the requirements specified in it.</w:t>
      </w:r>
    </w:p>
    <w:p>
      <w:pPr>
        <w:spacing w:after="0" w:line="149" w:lineRule="exact"/>
        <w:rPr>
          <w:rFonts w:ascii="Arial" w:cs="Arial" w:eastAsia="Arial" w:hAnsi="Arial"/>
          <w:sz w:val="16"/>
          <w:szCs w:val="16"/>
          <w:color w:val="auto"/>
        </w:rPr>
      </w:pPr>
    </w:p>
    <w:p>
      <w:pPr>
        <w:ind w:left="595" w:hanging="595"/>
        <w:spacing w:after="0"/>
        <w:tabs>
          <w:tab w:leader="none" w:pos="59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If the Seller fails to comply with the provisions of Article 14.9(c):</w:t>
      </w:r>
    </w:p>
    <w:p>
      <w:pPr>
        <w:spacing w:after="0" w:line="207" w:lineRule="exact"/>
        <w:rPr>
          <w:rFonts w:ascii="Arial" w:cs="Arial" w:eastAsia="Arial" w:hAnsi="Arial"/>
          <w:sz w:val="16"/>
          <w:szCs w:val="16"/>
          <w:color w:val="auto"/>
        </w:rPr>
      </w:pPr>
    </w:p>
    <w:p>
      <w:pPr>
        <w:ind w:left="1175" w:right="160" w:hanging="588"/>
        <w:spacing w:after="0" w:line="285" w:lineRule="auto"/>
        <w:tabs>
          <w:tab w:leader="none" w:pos="119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Chairman of the company or, failing him, one of the directors, or some other person nominated by a resolution of the Board, may on behalf of the Seller:</w:t>
      </w:r>
    </w:p>
    <w:p>
      <w:pPr>
        <w:spacing w:after="0" w:line="149" w:lineRule="exact"/>
        <w:rPr>
          <w:rFonts w:ascii="Arial" w:cs="Arial" w:eastAsia="Arial" w:hAnsi="Arial"/>
          <w:sz w:val="16"/>
          <w:szCs w:val="16"/>
          <w:color w:val="auto"/>
        </w:rPr>
      </w:pPr>
    </w:p>
    <w:p>
      <w:pPr>
        <w:ind w:left="1755" w:right="660" w:hanging="581"/>
        <w:spacing w:after="0" w:line="285" w:lineRule="auto"/>
        <w:tabs>
          <w:tab w:leader="none" w:pos="1774" w:val="left"/>
        </w:tabs>
        <w:numPr>
          <w:ilvl w:val="2"/>
          <w:numId w:val="210"/>
        </w:numPr>
        <w:rPr>
          <w:rFonts w:ascii="Arial" w:cs="Arial" w:eastAsia="Arial" w:hAnsi="Arial"/>
          <w:sz w:val="16"/>
          <w:szCs w:val="16"/>
          <w:color w:val="auto"/>
        </w:rPr>
      </w:pPr>
      <w:r>
        <w:rPr>
          <w:rFonts w:ascii="Arial" w:cs="Arial" w:eastAsia="Arial" w:hAnsi="Arial"/>
          <w:sz w:val="16"/>
          <w:szCs w:val="16"/>
          <w:color w:val="auto"/>
        </w:rPr>
        <w:t>complete, execute and deliver in his name all documents necessary to give effect to the transfer of the relevant Sale Shares to the Applicants;</w:t>
      </w:r>
    </w:p>
    <w:p>
      <w:pPr>
        <w:spacing w:after="0" w:line="149" w:lineRule="exact"/>
        <w:rPr>
          <w:rFonts w:ascii="Arial" w:cs="Arial" w:eastAsia="Arial" w:hAnsi="Arial"/>
          <w:sz w:val="16"/>
          <w:szCs w:val="16"/>
          <w:color w:val="auto"/>
        </w:rPr>
      </w:pPr>
    </w:p>
    <w:p>
      <w:pPr>
        <w:ind w:left="1775" w:hanging="601"/>
        <w:spacing w:after="0"/>
        <w:tabs>
          <w:tab w:leader="none" w:pos="1775" w:val="left"/>
        </w:tabs>
        <w:numPr>
          <w:ilvl w:val="2"/>
          <w:numId w:val="210"/>
        </w:numPr>
        <w:rPr>
          <w:rFonts w:ascii="Arial" w:cs="Arial" w:eastAsia="Arial" w:hAnsi="Arial"/>
          <w:sz w:val="16"/>
          <w:szCs w:val="16"/>
          <w:color w:val="auto"/>
        </w:rPr>
      </w:pPr>
      <w:r>
        <w:rPr>
          <w:rFonts w:ascii="Arial" w:cs="Arial" w:eastAsia="Arial" w:hAnsi="Arial"/>
          <w:sz w:val="16"/>
          <w:szCs w:val="16"/>
          <w:color w:val="auto"/>
        </w:rPr>
        <w:t>receive the Transfer Price and give a good discharge for it; and</w:t>
      </w:r>
    </w:p>
    <w:p>
      <w:pPr>
        <w:spacing w:after="0" w:line="207" w:lineRule="exact"/>
        <w:rPr>
          <w:rFonts w:ascii="Arial" w:cs="Arial" w:eastAsia="Arial" w:hAnsi="Arial"/>
          <w:sz w:val="16"/>
          <w:szCs w:val="16"/>
          <w:color w:val="auto"/>
        </w:rPr>
      </w:pPr>
    </w:p>
    <w:p>
      <w:pPr>
        <w:ind w:left="1755" w:right="420" w:hanging="581"/>
        <w:spacing w:after="0" w:line="285" w:lineRule="auto"/>
        <w:tabs>
          <w:tab w:leader="none" w:pos="1765" w:val="left"/>
        </w:tabs>
        <w:numPr>
          <w:ilvl w:val="2"/>
          <w:numId w:val="210"/>
        </w:numPr>
        <w:rPr>
          <w:rFonts w:ascii="Arial" w:cs="Arial" w:eastAsia="Arial" w:hAnsi="Arial"/>
          <w:sz w:val="16"/>
          <w:szCs w:val="16"/>
          <w:color w:val="auto"/>
        </w:rPr>
      </w:pPr>
      <w:r>
        <w:rPr>
          <w:rFonts w:ascii="Arial" w:cs="Arial" w:eastAsia="Arial" w:hAnsi="Arial"/>
          <w:sz w:val="16"/>
          <w:szCs w:val="16"/>
          <w:color w:val="auto"/>
        </w:rPr>
        <w:t>(subject to the transfer being duly stamped) enter the Applicants in the register of Shareholders as the holders of the Ordinary Shares purchased by them; and</w:t>
      </w:r>
    </w:p>
    <w:p>
      <w:pPr>
        <w:spacing w:after="0" w:line="149" w:lineRule="exact"/>
        <w:rPr>
          <w:rFonts w:ascii="Arial" w:cs="Arial" w:eastAsia="Arial" w:hAnsi="Arial"/>
          <w:sz w:val="16"/>
          <w:szCs w:val="16"/>
          <w:color w:val="auto"/>
        </w:rPr>
      </w:pPr>
    </w:p>
    <w:p>
      <w:pPr>
        <w:jc w:val="both"/>
        <w:ind w:left="1175" w:right="80" w:hanging="588"/>
        <w:spacing w:after="0" w:line="270" w:lineRule="auto"/>
        <w:tabs>
          <w:tab w:leader="none" w:pos="1203"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Company shall pay the Transfer Price into a separate bank account in the Company’s name on trust (but without interest) for the Seller until he has delivered to the Company his certificate or certificates for the relevant Shares (or an indemnity, in a form reasonably satisfactory to the Board, in respect of any lost certificate).</w:t>
      </w:r>
    </w:p>
    <w:p>
      <w:pPr>
        <w:spacing w:after="0" w:line="161" w:lineRule="exact"/>
        <w:rPr>
          <w:rFonts w:ascii="Arial" w:cs="Arial" w:eastAsia="Arial" w:hAnsi="Arial"/>
          <w:sz w:val="16"/>
          <w:szCs w:val="16"/>
          <w:color w:val="auto"/>
        </w:rPr>
      </w:pPr>
    </w:p>
    <w:p>
      <w:pPr>
        <w:ind w:left="595" w:hanging="595"/>
        <w:spacing w:after="0" w:line="270" w:lineRule="auto"/>
        <w:tabs>
          <w:tab w:leader="none" w:pos="60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If an Allocation Notice does not relate to all the Sale Shares then, subject to Article 14.9(f), the Seller may, within eight (8) weeks after service of the Allocation Notice, transfer the Second Surplus Shares to any person at a price at least equal to the Transfer Price provided that the sale of the Second Surplus Shares shall continue to be subject to any Minimum Transfer Condition.</w:t>
      </w:r>
    </w:p>
    <w:p>
      <w:pPr>
        <w:spacing w:after="0" w:line="161" w:lineRule="exact"/>
        <w:rPr>
          <w:rFonts w:ascii="Arial" w:cs="Arial" w:eastAsia="Arial" w:hAnsi="Arial"/>
          <w:sz w:val="16"/>
          <w:szCs w:val="16"/>
          <w:color w:val="auto"/>
        </w:rPr>
      </w:pPr>
    </w:p>
    <w:p>
      <w:pPr>
        <w:ind w:left="595" w:hanging="595"/>
        <w:spacing w:after="0"/>
        <w:tabs>
          <w:tab w:leader="none" w:pos="59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right of the Seller to transfer Shares under this Article 14 does not apply if the Board is of the opinion on reasonable grounds that:</w:t>
      </w:r>
    </w:p>
    <w:p>
      <w:pPr>
        <w:spacing w:after="0" w:line="207" w:lineRule="exact"/>
        <w:rPr>
          <w:rFonts w:ascii="Arial" w:cs="Arial" w:eastAsia="Arial" w:hAnsi="Arial"/>
          <w:sz w:val="16"/>
          <w:szCs w:val="16"/>
          <w:color w:val="auto"/>
        </w:rPr>
      </w:pPr>
    </w:p>
    <w:p>
      <w:pPr>
        <w:ind w:left="1175" w:right="20" w:hanging="588"/>
        <w:spacing w:after="0" w:line="320" w:lineRule="auto"/>
        <w:tabs>
          <w:tab w:leader="none" w:pos="1194" w:val="left"/>
        </w:tabs>
        <w:numPr>
          <w:ilvl w:val="1"/>
          <w:numId w:val="210"/>
        </w:numPr>
        <w:rPr>
          <w:rFonts w:ascii="Arial" w:cs="Arial" w:eastAsia="Arial" w:hAnsi="Arial"/>
          <w:sz w:val="15"/>
          <w:szCs w:val="15"/>
          <w:color w:val="auto"/>
        </w:rPr>
      </w:pPr>
      <w:r>
        <w:rPr>
          <w:rFonts w:ascii="Arial" w:cs="Arial" w:eastAsia="Arial" w:hAnsi="Arial"/>
          <w:sz w:val="15"/>
          <w:szCs w:val="15"/>
          <w:color w:val="auto"/>
        </w:rPr>
        <w:t>the transferee is a person (or a nominee for a person) whom the Directors (with Investor Director Consent) determines in their absolute discretion is a competitor with (or an Associate of a competitor with) the business of the Company or with a Subsidiary Undertaking of the Company;</w:t>
      </w:r>
    </w:p>
    <w:p>
      <w:pPr>
        <w:spacing w:after="0" w:line="126" w:lineRule="exact"/>
        <w:rPr>
          <w:rFonts w:ascii="Arial" w:cs="Arial" w:eastAsia="Arial" w:hAnsi="Arial"/>
          <w:sz w:val="15"/>
          <w:szCs w:val="15"/>
          <w:color w:val="auto"/>
        </w:rPr>
      </w:pPr>
    </w:p>
    <w:p>
      <w:pPr>
        <w:ind w:left="1195" w:hanging="608"/>
        <w:spacing w:after="0"/>
        <w:tabs>
          <w:tab w:leader="none" w:pos="1195"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sale of the Sale Shares is not bona fide or the price is subject to a deduction, rebate or allowance to the transferee; or</w:t>
      </w:r>
    </w:p>
    <w:p>
      <w:pPr>
        <w:spacing w:after="0" w:line="207" w:lineRule="exact"/>
        <w:rPr>
          <w:sz w:val="20"/>
          <w:szCs w:val="20"/>
          <w:color w:val="auto"/>
        </w:rPr>
      </w:pPr>
    </w:p>
    <w:p>
      <w:pPr>
        <w:ind w:left="5055"/>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74930</wp:posOffset>
            </wp:positionV>
            <wp:extent cx="72802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835"/>
          </w:cols>
          <w:pgMar w:left="825" w:top="322" w:right="239" w:bottom="1440" w:gutter="0" w:footer="0" w:header="0"/>
        </w:sectPr>
      </w:pPr>
    </w:p>
    <w:bookmarkStart w:id="346" w:name="page347"/>
    <w:bookmarkEnd w:id="346"/>
    <w:p>
      <w:pPr>
        <w:ind w:left="1762" w:right="320" w:hanging="588"/>
        <w:spacing w:after="0" w:line="285" w:lineRule="auto"/>
        <w:tabs>
          <w:tab w:leader="none" w:pos="1799" w:val="left"/>
        </w:tabs>
        <w:numPr>
          <w:ilvl w:val="1"/>
          <w:numId w:val="211"/>
        </w:numPr>
        <w:rPr>
          <w:rFonts w:ascii="Arial" w:cs="Arial" w:eastAsia="Arial" w:hAnsi="Arial"/>
          <w:sz w:val="16"/>
          <w:szCs w:val="16"/>
          <w:color w:val="auto"/>
        </w:rPr>
      </w:pPr>
      <w:r>
        <w:rPr>
          <w:rFonts w:ascii="Arial" w:cs="Arial" w:eastAsia="Arial" w:hAnsi="Arial"/>
          <w:sz w:val="16"/>
          <w:szCs w:val="16"/>
          <w:color w:val="auto"/>
        </w:rPr>
        <w:t>the Seller has failed or refused to provide promptly information available to it or him and reasonably requested by the Board for the purpose of enabling it to form the opinion mentioned above.</w:t>
      </w:r>
    </w:p>
    <w:p>
      <w:pPr>
        <w:spacing w:after="0" w:line="145" w:lineRule="exact"/>
        <w:rPr>
          <w:rFonts w:ascii="Arial" w:cs="Arial" w:eastAsia="Arial" w:hAnsi="Arial"/>
          <w:sz w:val="16"/>
          <w:szCs w:val="16"/>
          <w:color w:val="auto"/>
        </w:rPr>
      </w:pPr>
    </w:p>
    <w:p>
      <w:pPr>
        <w:ind w:left="582" w:hanging="582"/>
        <w:spacing w:after="0"/>
        <w:tabs>
          <w:tab w:leader="none" w:pos="582"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COMPULSORY TRANSFERS AND DEFERRED SHARES</w:t>
      </w:r>
    </w:p>
    <w:p>
      <w:pPr>
        <w:spacing w:after="0" w:line="211" w:lineRule="exact"/>
        <w:rPr>
          <w:sz w:val="20"/>
          <w:szCs w:val="20"/>
          <w:color w:val="auto"/>
        </w:rPr>
      </w:pPr>
    </w:p>
    <w:p>
      <w:pPr>
        <w:ind w:left="582" w:right="360" w:hanging="586"/>
        <w:spacing w:after="0" w:line="285" w:lineRule="auto"/>
        <w:tabs>
          <w:tab w:leader="none" w:pos="562" w:val="left"/>
        </w:tabs>
        <w:rPr>
          <w:sz w:val="20"/>
          <w:szCs w:val="20"/>
          <w:color w:val="auto"/>
        </w:rPr>
      </w:pPr>
      <w:r>
        <w:rPr>
          <w:rFonts w:ascii="Arial" w:cs="Arial" w:eastAsia="Arial" w:hAnsi="Arial"/>
          <w:sz w:val="16"/>
          <w:szCs w:val="16"/>
          <w:color w:val="auto"/>
        </w:rPr>
        <w:t>15.1</w:t>
      </w:r>
      <w:r>
        <w:rPr>
          <w:sz w:val="20"/>
          <w:szCs w:val="20"/>
          <w:color w:val="auto"/>
        </w:rPr>
        <w:tab/>
      </w:r>
      <w:r>
        <w:rPr>
          <w:rFonts w:ascii="Arial" w:cs="Arial" w:eastAsia="Arial" w:hAnsi="Arial"/>
          <w:sz w:val="16"/>
          <w:szCs w:val="16"/>
          <w:color w:val="auto"/>
        </w:rPr>
        <w:t>A person entitled to a Share in consequence of the bankruptcy of a Shareholder shall be deemed to have given a Transfer Notice in respect of that Share at a time determined by the Directors.</w:t>
      </w:r>
    </w:p>
    <w:p>
      <w:pPr>
        <w:spacing w:after="0" w:line="150"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6"/>
          <w:szCs w:val="16"/>
          <w:color w:val="auto"/>
        </w:rPr>
        <w:t>If a Share remains registered in the name of a deceased Shareholder for longer than one (1) year after the date of his death the Directors may require the legal personal representatives of that deceased Shareholder either:</w:t>
      </w:r>
    </w:p>
    <w:p>
      <w:pPr>
        <w:spacing w:after="0" w:line="150" w:lineRule="exact"/>
        <w:rPr>
          <w:sz w:val="20"/>
          <w:szCs w:val="20"/>
          <w:color w:val="auto"/>
        </w:rPr>
      </w:pPr>
    </w:p>
    <w:p>
      <w:pPr>
        <w:ind w:left="1162" w:hanging="575"/>
        <w:spacing w:after="0"/>
        <w:tabs>
          <w:tab w:leader="none" w:pos="116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to effect a Permitted Transfer of such Shares (including for this purpose an election to be registered in respect of the Permitted Transfer); or</w:t>
      </w:r>
    </w:p>
    <w:p>
      <w:pPr>
        <w:spacing w:after="0" w:line="207" w:lineRule="exact"/>
        <w:rPr>
          <w:rFonts w:ascii="Arial" w:cs="Arial" w:eastAsia="Arial" w:hAnsi="Arial"/>
          <w:sz w:val="16"/>
          <w:szCs w:val="16"/>
          <w:color w:val="auto"/>
        </w:rPr>
      </w:pPr>
    </w:p>
    <w:p>
      <w:pPr>
        <w:ind w:left="1182" w:right="300" w:hanging="595"/>
        <w:spacing w:after="0" w:line="285" w:lineRule="auto"/>
        <w:tabs>
          <w:tab w:leader="none" w:pos="118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to show to the satisfaction of the Directors that a Permitted Transfer will be effected before or promptly upon the completion of the administration of the estate of the deceased Shareholder,</w:t>
      </w:r>
    </w:p>
    <w:p>
      <w:pPr>
        <w:spacing w:after="0" w:line="150" w:lineRule="exact"/>
        <w:rPr>
          <w:sz w:val="20"/>
          <w:szCs w:val="20"/>
          <w:color w:val="auto"/>
        </w:rPr>
      </w:pPr>
    </w:p>
    <w:p>
      <w:pPr>
        <w:ind w:left="582" w:right="220"/>
        <w:spacing w:after="0" w:line="285" w:lineRule="auto"/>
        <w:rPr>
          <w:sz w:val="20"/>
          <w:szCs w:val="20"/>
          <w:color w:val="auto"/>
        </w:rPr>
      </w:pPr>
      <w:r>
        <w:rPr>
          <w:rFonts w:ascii="Arial" w:cs="Arial" w:eastAsia="Arial" w:hAnsi="Arial"/>
          <w:sz w:val="16"/>
          <w:szCs w:val="16"/>
          <w:color w:val="auto"/>
        </w:rPr>
        <w:t>if either requirement in this Article shall not be fulfilled to the satisfaction of the Directors a Transfer Notice shall be deemed to have been given in respect of each such Share save to the extent that, the Directors may otherwise determine.</w:t>
      </w:r>
    </w:p>
    <w:p>
      <w:pPr>
        <w:spacing w:after="0" w:line="150" w:lineRule="exact"/>
        <w:rPr>
          <w:sz w:val="20"/>
          <w:szCs w:val="20"/>
          <w:color w:val="auto"/>
        </w:rPr>
      </w:pPr>
    </w:p>
    <w:p>
      <w:pPr>
        <w:ind w:left="582" w:right="160" w:hanging="586"/>
        <w:spacing w:after="0" w:line="326" w:lineRule="auto"/>
        <w:tabs>
          <w:tab w:leader="none" w:pos="562" w:val="left"/>
        </w:tabs>
        <w:rPr>
          <w:sz w:val="20"/>
          <w:szCs w:val="20"/>
          <w:color w:val="auto"/>
        </w:rPr>
      </w:pPr>
      <w:r>
        <w:rPr>
          <w:rFonts w:ascii="Arial" w:cs="Arial" w:eastAsia="Arial" w:hAnsi="Arial"/>
          <w:sz w:val="16"/>
          <w:szCs w:val="16"/>
          <w:color w:val="auto"/>
        </w:rPr>
        <w:t>15.3</w:t>
      </w:r>
      <w:r>
        <w:rPr>
          <w:sz w:val="20"/>
          <w:szCs w:val="20"/>
          <w:color w:val="auto"/>
        </w:rPr>
        <w:tab/>
      </w:r>
      <w:r>
        <w:rPr>
          <w:rFonts w:ascii="Arial" w:cs="Arial" w:eastAsia="Arial" w:hAnsi="Arial"/>
          <w:sz w:val="14"/>
          <w:szCs w:val="14"/>
          <w:color w:val="auto"/>
        </w:rPr>
        <w:t>If a Shareholder which is a company or a Permitted Transferee of that Shareholder, either suffers or resolves for the appointment of a liquidator, administrator or administrative receiver over it or any material part of its assets, the relevant Shareholder or Permitted Transferee shall be deemed to have given a Transfer Notice in respect of all the shares held by the relevant Shareholder and/or such Permitted Transferee save to the extent that, and at a time, the Directors may determine.</w:t>
      </w:r>
    </w:p>
    <w:p>
      <w:pPr>
        <w:spacing w:after="0" w:line="126" w:lineRule="exact"/>
        <w:rPr>
          <w:sz w:val="20"/>
          <w:szCs w:val="20"/>
          <w:color w:val="auto"/>
        </w:rPr>
      </w:pPr>
    </w:p>
    <w:p>
      <w:pPr>
        <w:ind w:left="582" w:right="60" w:hanging="586"/>
        <w:spacing w:after="0" w:line="262" w:lineRule="auto"/>
        <w:tabs>
          <w:tab w:leader="none" w:pos="562" w:val="left"/>
        </w:tabs>
        <w:rPr>
          <w:sz w:val="20"/>
          <w:szCs w:val="20"/>
          <w:color w:val="auto"/>
        </w:rPr>
      </w:pPr>
      <w:r>
        <w:rPr>
          <w:rFonts w:ascii="Arial" w:cs="Arial" w:eastAsia="Arial" w:hAnsi="Arial"/>
          <w:sz w:val="16"/>
          <w:szCs w:val="16"/>
          <w:color w:val="auto"/>
        </w:rPr>
        <w:t>15.4</w:t>
      </w:r>
      <w:r>
        <w:rPr>
          <w:sz w:val="20"/>
          <w:szCs w:val="20"/>
          <w:color w:val="auto"/>
        </w:rPr>
        <w:tab/>
      </w:r>
      <w:r>
        <w:rPr>
          <w:rFonts w:ascii="Arial" w:cs="Arial" w:eastAsia="Arial" w:hAnsi="Arial"/>
          <w:sz w:val="16"/>
          <w:szCs w:val="16"/>
          <w:color w:val="auto"/>
        </w:rPr>
        <w:t>If there is a change in control (as control is defined in section 1124 of the Corporation Tax Act 2010) of any Shareholder which is a company, it shall be bound at any time, if and when required in writing by the Directors to do so, to give (or procure the giving in the case of a nominee) a Transfer Notice in respect of all the Shares registered in its and their names and their respective nominees’ names save that, in the case of the Permitted Transferee, it shall first be permitted to transfer those Shares back to the original Shareholder from whom it received its Shares or to any other Permitted Transferee before being required to serve a Transfer Notice. This Article shall not apply to a member that is a Preferred Shareholder or to MRC.</w:t>
      </w:r>
    </w:p>
    <w:p>
      <w:pPr>
        <w:spacing w:after="0" w:line="170" w:lineRule="exact"/>
        <w:rPr>
          <w:sz w:val="20"/>
          <w:szCs w:val="20"/>
          <w:color w:val="auto"/>
        </w:rPr>
      </w:pPr>
    </w:p>
    <w:p>
      <w:pPr>
        <w:ind w:left="582"/>
        <w:spacing w:after="0"/>
        <w:rPr>
          <w:sz w:val="20"/>
          <w:szCs w:val="20"/>
          <w:color w:val="auto"/>
        </w:rPr>
      </w:pPr>
      <w:r>
        <w:rPr>
          <w:rFonts w:ascii="Arial" w:cs="Arial" w:eastAsia="Arial" w:hAnsi="Arial"/>
          <w:sz w:val="16"/>
          <w:szCs w:val="16"/>
          <w:b w:val="1"/>
          <w:bCs w:val="1"/>
          <w:i w:val="1"/>
          <w:iCs w:val="1"/>
          <w:color w:val="auto"/>
        </w:rPr>
        <w:t>Employees</w:t>
      </w:r>
    </w:p>
    <w:p>
      <w:pPr>
        <w:spacing w:after="0" w:line="207" w:lineRule="exact"/>
        <w:rPr>
          <w:sz w:val="20"/>
          <w:szCs w:val="20"/>
          <w:color w:val="auto"/>
        </w:rPr>
      </w:pPr>
    </w:p>
    <w:p>
      <w:pPr>
        <w:ind w:left="582" w:right="360" w:hanging="586"/>
        <w:spacing w:after="0" w:line="270" w:lineRule="auto"/>
        <w:tabs>
          <w:tab w:leader="none" w:pos="562" w:val="left"/>
        </w:tabs>
        <w:rPr>
          <w:sz w:val="20"/>
          <w:szCs w:val="20"/>
          <w:color w:val="auto"/>
        </w:rPr>
      </w:pPr>
      <w:r>
        <w:rPr>
          <w:rFonts w:ascii="Arial" w:cs="Arial" w:eastAsia="Arial" w:hAnsi="Arial"/>
          <w:sz w:val="16"/>
          <w:szCs w:val="16"/>
          <w:color w:val="auto"/>
        </w:rPr>
        <w:t>15.5</w:t>
      </w:r>
      <w:r>
        <w:rPr>
          <w:sz w:val="20"/>
          <w:szCs w:val="20"/>
          <w:color w:val="auto"/>
        </w:rPr>
        <w:tab/>
      </w:r>
      <w:r>
        <w:rPr>
          <w:rFonts w:ascii="Arial" w:cs="Arial" w:eastAsia="Arial" w:hAnsi="Arial"/>
          <w:sz w:val="16"/>
          <w:szCs w:val="16"/>
          <w:color w:val="auto"/>
        </w:rPr>
        <w:t>If any Employee ceases to be an Employee, the Leaver’s Percentage of Employee Shares held by such Employee shall immediately convert into Deferred Shares (rounded down to the nearest whole share). If a Former Employee becomes a Bad Leaver, 100% of the Employee Shares held by such Former Employee shall immediately convert into Deferred Shares.</w:t>
      </w:r>
    </w:p>
    <w:p>
      <w:pPr>
        <w:spacing w:after="0" w:line="158" w:lineRule="exact"/>
        <w:rPr>
          <w:sz w:val="20"/>
          <w:szCs w:val="20"/>
          <w:color w:val="auto"/>
        </w:rPr>
      </w:pPr>
    </w:p>
    <w:p>
      <w:pPr>
        <w:ind w:left="582" w:right="140" w:hanging="586"/>
        <w:spacing w:after="0" w:line="290" w:lineRule="auto"/>
        <w:tabs>
          <w:tab w:leader="none" w:pos="562" w:val="left"/>
        </w:tabs>
        <w:rPr>
          <w:sz w:val="20"/>
          <w:szCs w:val="20"/>
          <w:color w:val="auto"/>
        </w:rPr>
      </w:pPr>
      <w:r>
        <w:rPr>
          <w:rFonts w:ascii="Arial" w:cs="Arial" w:eastAsia="Arial" w:hAnsi="Arial"/>
          <w:sz w:val="16"/>
          <w:szCs w:val="16"/>
          <w:color w:val="auto"/>
        </w:rPr>
        <w:t>15.6</w:t>
      </w:r>
      <w:r>
        <w:rPr>
          <w:sz w:val="20"/>
          <w:szCs w:val="20"/>
          <w:color w:val="auto"/>
        </w:rPr>
        <w:tab/>
      </w:r>
      <w:r>
        <w:rPr>
          <w:rFonts w:ascii="Arial" w:cs="Arial" w:eastAsia="Arial" w:hAnsi="Arial"/>
          <w:sz w:val="16"/>
          <w:szCs w:val="16"/>
          <w:color w:val="auto"/>
        </w:rPr>
        <w:t>All voting rights attached to any Employee Shares held by a leaving Employee (the “</w:t>
      </w:r>
      <w:r>
        <w:rPr>
          <w:rFonts w:ascii="Arial" w:cs="Arial" w:eastAsia="Arial" w:hAnsi="Arial"/>
          <w:sz w:val="16"/>
          <w:szCs w:val="16"/>
          <w:b w:val="1"/>
          <w:bCs w:val="1"/>
          <w:color w:val="auto"/>
        </w:rPr>
        <w:t>Restricted Member</w:t>
      </w:r>
      <w:r>
        <w:rPr>
          <w:rFonts w:ascii="Arial" w:cs="Arial" w:eastAsia="Arial" w:hAnsi="Arial"/>
          <w:sz w:val="16"/>
          <w:szCs w:val="16"/>
          <w:color w:val="auto"/>
        </w:rPr>
        <w:t>”), if any, shall at the time he ceases to be an Employee be suspended unless the Board (with Investor Director Consent) notify him otherwise.</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347" w:name="page348"/>
    <w:bookmarkEnd w:id="347"/>
    <w:p>
      <w:pPr>
        <w:ind w:left="582" w:hanging="586"/>
        <w:spacing w:after="0" w:line="264" w:lineRule="auto"/>
        <w:tabs>
          <w:tab w:leader="none" w:pos="562" w:val="left"/>
        </w:tabs>
        <w:rPr>
          <w:sz w:val="20"/>
          <w:szCs w:val="20"/>
          <w:color w:val="auto"/>
        </w:rPr>
      </w:pPr>
      <w:r>
        <w:rPr>
          <w:rFonts w:ascii="Arial" w:cs="Arial" w:eastAsia="Arial" w:hAnsi="Arial"/>
          <w:sz w:val="16"/>
          <w:szCs w:val="16"/>
          <w:color w:val="auto"/>
        </w:rPr>
        <w:t>15.7</w:t>
      </w:r>
      <w:r>
        <w:rPr>
          <w:sz w:val="20"/>
          <w:szCs w:val="20"/>
          <w:color w:val="auto"/>
        </w:rPr>
        <w:tab/>
      </w:r>
      <w:r>
        <w:rPr>
          <w:rFonts w:ascii="Arial" w:cs="Arial" w:eastAsia="Arial" w:hAnsi="Arial"/>
          <w:sz w:val="16"/>
          <w:szCs w:val="16"/>
          <w:color w:val="auto"/>
        </w:rPr>
        <w:t>Any Employee Shares whose voting rights are suspended pursuant to Article 15.6 (the “</w:t>
      </w:r>
      <w:r>
        <w:rPr>
          <w:rFonts w:ascii="Arial" w:cs="Arial" w:eastAsia="Arial" w:hAnsi="Arial"/>
          <w:sz w:val="16"/>
          <w:szCs w:val="16"/>
          <w:b w:val="1"/>
          <w:bCs w:val="1"/>
          <w:color w:val="auto"/>
        </w:rPr>
        <w:t>Restricted Shares</w:t>
      </w:r>
      <w:r>
        <w:rPr>
          <w:rFonts w:ascii="Arial" w:cs="Arial" w:eastAsia="Arial" w:hAnsi="Arial"/>
          <w:sz w:val="16"/>
          <w:szCs w:val="16"/>
          <w:color w:val="auto"/>
        </w:rPr>
        <w:t>”) shall confer on the holders of Restricted Shares the right to receive a notice of and attend all general meetings of the Company but shall have no right to vote either in person or by proxy. Voting rights suspended pursuant to Article 15.6 shall be automatically restored immediately prior to an IPO. If a Restricted Member transfers any Restricted Shares in the Company in accordance with these Articles all voting rights attached to the Restricted Shares so transferred shall upon completion of the transfer (as evidenced by the transferee’s name being entered in the Company’s register of shareholders) automatically be restored.</w:t>
      </w:r>
    </w:p>
    <w:p>
      <w:pPr>
        <w:spacing w:after="0" w:line="162" w:lineRule="exact"/>
        <w:rPr>
          <w:sz w:val="20"/>
          <w:szCs w:val="20"/>
          <w:color w:val="auto"/>
        </w:rPr>
      </w:pPr>
    </w:p>
    <w:p>
      <w:pPr>
        <w:ind w:left="582" w:hanging="582"/>
        <w:spacing w:after="0"/>
        <w:tabs>
          <w:tab w:leader="none" w:pos="582"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TAG ALONG</w:t>
      </w:r>
    </w:p>
    <w:p>
      <w:pPr>
        <w:spacing w:after="0" w:line="207" w:lineRule="exact"/>
        <w:rPr>
          <w:sz w:val="20"/>
          <w:szCs w:val="20"/>
          <w:color w:val="auto"/>
        </w:rPr>
      </w:pPr>
    </w:p>
    <w:p>
      <w:pPr>
        <w:ind w:left="582" w:right="100" w:hanging="586"/>
        <w:spacing w:after="0" w:line="290" w:lineRule="auto"/>
        <w:tabs>
          <w:tab w:leader="none" w:pos="562" w:val="left"/>
        </w:tabs>
        <w:rPr>
          <w:sz w:val="20"/>
          <w:szCs w:val="20"/>
          <w:color w:val="auto"/>
        </w:rPr>
      </w:pPr>
      <w:r>
        <w:rPr>
          <w:rFonts w:ascii="Arial" w:cs="Arial" w:eastAsia="Arial" w:hAnsi="Arial"/>
          <w:sz w:val="16"/>
          <w:szCs w:val="16"/>
          <w:color w:val="auto"/>
        </w:rPr>
        <w:t>16.1</w:t>
      </w:r>
      <w:r>
        <w:rPr>
          <w:sz w:val="20"/>
          <w:szCs w:val="20"/>
          <w:color w:val="auto"/>
        </w:rPr>
        <w:tab/>
      </w:r>
      <w:r>
        <w:rPr>
          <w:rFonts w:ascii="Arial" w:cs="Arial" w:eastAsia="Arial" w:hAnsi="Arial"/>
          <w:sz w:val="15"/>
          <w:szCs w:val="15"/>
          <w:color w:val="auto"/>
        </w:rPr>
        <w:t>In the case of any transfer or series of transfers by a Shareholder (the “</w:t>
      </w:r>
      <w:r>
        <w:rPr>
          <w:rFonts w:ascii="Arial" w:cs="Arial" w:eastAsia="Arial" w:hAnsi="Arial"/>
          <w:sz w:val="15"/>
          <w:szCs w:val="15"/>
          <w:b w:val="1"/>
          <w:bCs w:val="1"/>
          <w:color w:val="auto"/>
        </w:rPr>
        <w:t>Selling Shareholder</w:t>
      </w:r>
      <w:r>
        <w:rPr>
          <w:rFonts w:ascii="Arial" w:cs="Arial" w:eastAsia="Arial" w:hAnsi="Arial"/>
          <w:sz w:val="15"/>
          <w:szCs w:val="15"/>
          <w:color w:val="auto"/>
        </w:rPr>
        <w:t>”) (not being either a Permitted Transfer or a transfer pursuant to a Transfer Notice required or deemed to be given other than pursuant to Article 15 or 17) of Shares (the “</w:t>
      </w:r>
      <w:r>
        <w:rPr>
          <w:rFonts w:ascii="Arial" w:cs="Arial" w:eastAsia="Arial" w:hAnsi="Arial"/>
          <w:sz w:val="15"/>
          <w:szCs w:val="15"/>
          <w:b w:val="1"/>
          <w:bCs w:val="1"/>
          <w:color w:val="auto"/>
        </w:rPr>
        <w:t>Sale Shares</w:t>
      </w:r>
      <w:r>
        <w:rPr>
          <w:rFonts w:ascii="Arial" w:cs="Arial" w:eastAsia="Arial" w:hAnsi="Arial"/>
          <w:sz w:val="15"/>
          <w:szCs w:val="15"/>
          <w:color w:val="auto"/>
        </w:rPr>
        <w:t>”) pursuant to an offer which would result in the proposed purchaser(s) holding between ten percent (10%) and fifty percent (50%) of the Equity Share capital on an As Converted Basis, any Preferred Shareholder may require that such Selling Shareholder will not sell any such Shares unless the proposed purchaser(s) of such Shares:</w:t>
      </w:r>
    </w:p>
    <w:p>
      <w:pPr>
        <w:spacing w:after="0" w:line="145" w:lineRule="exact"/>
        <w:rPr>
          <w:sz w:val="20"/>
          <w:szCs w:val="20"/>
          <w:color w:val="auto"/>
        </w:rPr>
      </w:pPr>
    </w:p>
    <w:p>
      <w:pPr>
        <w:ind w:left="1182" w:right="80" w:hanging="595"/>
        <w:spacing w:after="0" w:line="290" w:lineRule="auto"/>
        <w:tabs>
          <w:tab w:leader="none" w:pos="118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shall have offered to purchase from the Preferred Shareholders at the price offered by the proposed purchaser(s) (the “</w:t>
      </w:r>
      <w:r>
        <w:rPr>
          <w:rFonts w:ascii="Arial" w:cs="Arial" w:eastAsia="Arial" w:hAnsi="Arial"/>
          <w:sz w:val="15"/>
          <w:szCs w:val="15"/>
          <w:b w:val="1"/>
          <w:bCs w:val="1"/>
          <w:color w:val="auto"/>
        </w:rPr>
        <w:t>Prescribed Price</w:t>
      </w:r>
      <w:r>
        <w:rPr>
          <w:rFonts w:ascii="Arial" w:cs="Arial" w:eastAsia="Arial" w:hAnsi="Arial"/>
          <w:sz w:val="15"/>
          <w:szCs w:val="15"/>
          <w:color w:val="auto"/>
        </w:rPr>
        <w:t>”) (in the case of Shares of the same class as the Sale Shares) and such price as shall be determined in accordance with Article 14 in the case of Shares of a different class to the Sale Shares) such proportion of each class of Equity Shares held by the Preferred Shares as is equal to the proportion which the Sale Shares bears to the Selling Shareholders’ total shareholding (including the Shares to be sold and calculated on an As Converted Basis); and</w:t>
      </w:r>
    </w:p>
    <w:p>
      <w:pPr>
        <w:spacing w:after="0" w:line="148" w:lineRule="exact"/>
        <w:rPr>
          <w:rFonts w:ascii="Arial" w:cs="Arial" w:eastAsia="Arial" w:hAnsi="Arial"/>
          <w:sz w:val="15"/>
          <w:szCs w:val="15"/>
          <w:color w:val="auto"/>
        </w:rPr>
      </w:pPr>
    </w:p>
    <w:p>
      <w:pPr>
        <w:ind w:left="1182" w:right="280" w:hanging="595"/>
        <w:spacing w:after="0" w:line="285" w:lineRule="auto"/>
        <w:tabs>
          <w:tab w:leader="none" w:pos="1189"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shall, in respect of any Shareholder that wishes to take up the offer referred to in Article 16.1(a) above, acquire from such Shareholder in question at the relevant price simultaneously with the acquisition from the Selling Shareholder of the Sale Shares to be sold.</w:t>
      </w:r>
    </w:p>
    <w:p>
      <w:pPr>
        <w:spacing w:after="0" w:line="150" w:lineRule="exact"/>
        <w:rPr>
          <w:sz w:val="20"/>
          <w:szCs w:val="20"/>
          <w:color w:val="auto"/>
        </w:rPr>
      </w:pPr>
    </w:p>
    <w:p>
      <w:pPr>
        <w:ind w:left="582" w:right="60" w:hanging="586"/>
        <w:spacing w:after="0" w:line="360" w:lineRule="auto"/>
        <w:tabs>
          <w:tab w:leader="none" w:pos="562" w:val="left"/>
        </w:tabs>
        <w:rPr>
          <w:sz w:val="20"/>
          <w:szCs w:val="20"/>
          <w:color w:val="auto"/>
        </w:rPr>
      </w:pPr>
      <w:r>
        <w:rPr>
          <w:rFonts w:ascii="Arial" w:cs="Arial" w:eastAsia="Arial" w:hAnsi="Arial"/>
          <w:sz w:val="16"/>
          <w:szCs w:val="16"/>
          <w:color w:val="auto"/>
        </w:rPr>
        <w:t>16.2</w:t>
      </w:r>
      <w:r>
        <w:rPr>
          <w:sz w:val="20"/>
          <w:szCs w:val="20"/>
          <w:color w:val="auto"/>
        </w:rPr>
        <w:tab/>
      </w:r>
      <w:r>
        <w:rPr>
          <w:rFonts w:ascii="Arial" w:cs="Arial" w:eastAsia="Arial" w:hAnsi="Arial"/>
          <w:sz w:val="14"/>
          <w:szCs w:val="14"/>
          <w:color w:val="auto"/>
        </w:rPr>
        <w:t>In the case of any transfer or series of transfers which would result in the proposed purchaser(s) holding more than fifty percent (50%) of the issued Equity Shares of the Company pursuant to an offer, the Selling Shareholder will not sell any such Sale Shares under this Article unless the proposed purchaser(s) of such Shares:</w:t>
      </w:r>
    </w:p>
    <w:p>
      <w:pPr>
        <w:spacing w:after="0" w:line="104" w:lineRule="exact"/>
        <w:rPr>
          <w:sz w:val="20"/>
          <w:szCs w:val="20"/>
          <w:color w:val="auto"/>
        </w:rPr>
      </w:pPr>
    </w:p>
    <w:p>
      <w:pPr>
        <w:jc w:val="both"/>
        <w:ind w:left="1182" w:right="240" w:hanging="595"/>
        <w:spacing w:after="0" w:line="270" w:lineRule="auto"/>
        <w:tabs>
          <w:tab w:leader="none" w:pos="118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shall have offered to purchase from all the other Shareholders (at the Prescribed Price in the case of Shares of the same class as the Sale Shares, and such price as shall be determined in accordance with Article 14 in the case of Shares of a different class to the Sale Shares) all of the Shares held by each such Shareholder; and</w:t>
      </w:r>
    </w:p>
    <w:p>
      <w:pPr>
        <w:spacing w:after="0" w:line="161" w:lineRule="exact"/>
        <w:rPr>
          <w:rFonts w:ascii="Arial" w:cs="Arial" w:eastAsia="Arial" w:hAnsi="Arial"/>
          <w:sz w:val="16"/>
          <w:szCs w:val="16"/>
          <w:color w:val="auto"/>
        </w:rPr>
      </w:pPr>
    </w:p>
    <w:p>
      <w:pPr>
        <w:ind w:left="1182" w:right="40" w:hanging="595"/>
        <w:spacing w:after="0" w:line="285" w:lineRule="auto"/>
        <w:tabs>
          <w:tab w:leader="none" w:pos="1189" w:val="left"/>
        </w:tabs>
        <w:numPr>
          <w:ilvl w:val="1"/>
          <w:numId w:val="216"/>
        </w:numPr>
        <w:rPr>
          <w:rFonts w:ascii="Arial" w:cs="Arial" w:eastAsia="Arial" w:hAnsi="Arial"/>
          <w:sz w:val="16"/>
          <w:szCs w:val="16"/>
          <w:color w:val="auto"/>
        </w:rPr>
      </w:pPr>
      <w:r>
        <w:rPr>
          <w:rFonts w:ascii="Arial" w:cs="Arial" w:eastAsia="Arial" w:hAnsi="Arial"/>
          <w:sz w:val="16"/>
          <w:szCs w:val="16"/>
          <w:color w:val="auto"/>
        </w:rPr>
        <w:t>shall, in respect of any Shareholder which wishes to take up the offer referred to in Article 16.2(a) above, acquire from such holder the Shares in question at the relevant price simultaneously with the acquisition from the Selling Shareholder of the Sale Shares to be sold.</w:t>
      </w:r>
    </w:p>
    <w:p>
      <w:pPr>
        <w:spacing w:after="0" w:line="145" w:lineRule="exact"/>
        <w:rPr>
          <w:rFonts w:ascii="Arial" w:cs="Arial" w:eastAsia="Arial" w:hAnsi="Arial"/>
          <w:sz w:val="16"/>
          <w:szCs w:val="16"/>
          <w:color w:val="auto"/>
        </w:rPr>
      </w:pPr>
    </w:p>
    <w:p>
      <w:pPr>
        <w:ind w:left="582" w:hanging="582"/>
        <w:spacing w:after="0"/>
        <w:tabs>
          <w:tab w:leader="none" w:pos="582" w:val="left"/>
        </w:tabs>
        <w:numPr>
          <w:ilvl w:val="0"/>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DRAG-ALONG</w:t>
      </w:r>
    </w:p>
    <w:p>
      <w:pPr>
        <w:spacing w:after="0" w:line="211" w:lineRule="exact"/>
        <w:rPr>
          <w:sz w:val="20"/>
          <w:szCs w:val="20"/>
          <w:color w:val="auto"/>
        </w:rPr>
      </w:pPr>
    </w:p>
    <w:p>
      <w:pPr>
        <w:ind w:left="582" w:right="60" w:hanging="586"/>
        <w:spacing w:after="0" w:line="270" w:lineRule="auto"/>
        <w:tabs>
          <w:tab w:leader="none" w:pos="562"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6"/>
          <w:szCs w:val="16"/>
          <w:color w:val="auto"/>
        </w:rPr>
        <w:t>Notwithstanding the provisions of Articles 15.6 - 15.7 and 16, if a Super Preferred Majority wishes to transfer all or more than fifty percent (50%) of their interest in Shares (the “</w:t>
      </w:r>
      <w:r>
        <w:rPr>
          <w:rFonts w:ascii="Arial" w:cs="Arial" w:eastAsia="Arial" w:hAnsi="Arial"/>
          <w:sz w:val="16"/>
          <w:szCs w:val="16"/>
          <w:b w:val="1"/>
          <w:bCs w:val="1"/>
          <w:color w:val="auto"/>
        </w:rPr>
        <w:t>Sellers’ Shares</w:t>
      </w:r>
      <w:r>
        <w:rPr>
          <w:rFonts w:ascii="Arial" w:cs="Arial" w:eastAsia="Arial" w:hAnsi="Arial"/>
          <w:sz w:val="16"/>
          <w:szCs w:val="16"/>
          <w:color w:val="auto"/>
        </w:rPr>
        <w:t>”) to a third party Proposed Purchaser pursuant to a Bona Fide Offer the Selling Shareholders shall have the option (the “</w:t>
      </w:r>
      <w:r>
        <w:rPr>
          <w:rFonts w:ascii="Arial" w:cs="Arial" w:eastAsia="Arial" w:hAnsi="Arial"/>
          <w:sz w:val="16"/>
          <w:szCs w:val="16"/>
          <w:b w:val="1"/>
          <w:bCs w:val="1"/>
          <w:color w:val="auto"/>
        </w:rPr>
        <w:t>Drag Along</w:t>
      </w:r>
      <w:r>
        <w:rPr>
          <w:rFonts w:ascii="Arial" w:cs="Arial" w:eastAsia="Arial" w:hAnsi="Arial"/>
          <w:sz w:val="16"/>
          <w:szCs w:val="16"/>
          <w:color w:val="auto"/>
        </w:rPr>
        <w:t xml:space="preserve"> </w:t>
      </w:r>
      <w:r>
        <w:rPr>
          <w:rFonts w:ascii="Arial" w:cs="Arial" w:eastAsia="Arial" w:hAnsi="Arial"/>
          <w:sz w:val="16"/>
          <w:szCs w:val="16"/>
          <w:b w:val="1"/>
          <w:bCs w:val="1"/>
          <w:color w:val="auto"/>
        </w:rPr>
        <w:t>Option</w:t>
      </w:r>
      <w:r>
        <w:rPr>
          <w:rFonts w:ascii="Arial" w:cs="Arial" w:eastAsia="Arial" w:hAnsi="Arial"/>
          <w:sz w:val="16"/>
          <w:szCs w:val="16"/>
          <w:color w:val="auto"/>
        </w:rPr>
        <w:t>”) to require all the other holders of Shares (the “</w:t>
      </w:r>
      <w:r>
        <w:rPr>
          <w:rFonts w:ascii="Arial" w:cs="Arial" w:eastAsia="Arial" w:hAnsi="Arial"/>
          <w:sz w:val="16"/>
          <w:szCs w:val="16"/>
          <w:b w:val="1"/>
          <w:bCs w:val="1"/>
          <w:color w:val="auto"/>
        </w:rPr>
        <w:t>Called Shareholders</w:t>
      </w:r>
      <w:r>
        <w:rPr>
          <w:rFonts w:ascii="Arial" w:cs="Arial" w:eastAsia="Arial" w:hAnsi="Arial"/>
          <w:sz w:val="16"/>
          <w:szCs w:val="16"/>
          <w:color w:val="auto"/>
        </w:rPr>
        <w:t>”) to sell and transfer all their Shares to</w:t>
      </w:r>
    </w:p>
    <w:p>
      <w:pPr>
        <w:spacing w:after="0" w:line="162"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2"/>
          </w:cols>
          <w:pgMar w:left="238" w:top="318" w:right="279" w:bottom="1440" w:gutter="0" w:footer="0" w:header="0"/>
        </w:sectPr>
      </w:pPr>
    </w:p>
    <w:bookmarkStart w:id="348" w:name="page349"/>
    <w:bookmarkEnd w:id="348"/>
    <w:p>
      <w:pPr>
        <w:ind w:left="582"/>
        <w:spacing w:after="0"/>
        <w:rPr>
          <w:sz w:val="20"/>
          <w:szCs w:val="20"/>
          <w:color w:val="auto"/>
        </w:rPr>
      </w:pPr>
      <w:r>
        <w:rPr>
          <w:rFonts w:ascii="Arial" w:cs="Arial" w:eastAsia="Arial" w:hAnsi="Arial"/>
          <w:sz w:val="16"/>
          <w:szCs w:val="16"/>
          <w:color w:val="auto"/>
        </w:rPr>
        <w:t>the Proposed Purchaser or as the Proposed Purchaser shall direct in accordance with the provisions of this Article.</w:t>
      </w:r>
    </w:p>
    <w:p>
      <w:pPr>
        <w:spacing w:after="0" w:line="203" w:lineRule="exact"/>
        <w:rPr>
          <w:sz w:val="20"/>
          <w:szCs w:val="20"/>
          <w:color w:val="auto"/>
        </w:rPr>
      </w:pPr>
    </w:p>
    <w:p>
      <w:pPr>
        <w:ind w:left="582" w:right="140" w:hanging="586"/>
        <w:spacing w:after="0" w:line="267" w:lineRule="auto"/>
        <w:tabs>
          <w:tab w:leader="none" w:pos="562"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6"/>
          <w:szCs w:val="16"/>
          <w:color w:val="auto"/>
        </w:rPr>
        <w:t>Selling Shareholder(s) may exercise the Drag Along Option by giving a written notice to that effect (a “</w:t>
      </w:r>
      <w:r>
        <w:rPr>
          <w:rFonts w:ascii="Arial" w:cs="Arial" w:eastAsia="Arial" w:hAnsi="Arial"/>
          <w:sz w:val="16"/>
          <w:szCs w:val="16"/>
          <w:b w:val="1"/>
          <w:bCs w:val="1"/>
          <w:color w:val="auto"/>
        </w:rPr>
        <w:t>Drag Along Notice</w:t>
      </w:r>
      <w:r>
        <w:rPr>
          <w:rFonts w:ascii="Arial" w:cs="Arial" w:eastAsia="Arial" w:hAnsi="Arial"/>
          <w:sz w:val="16"/>
          <w:szCs w:val="16"/>
          <w:color w:val="auto"/>
        </w:rPr>
        <w:t>”) to the Called Shareholders at any time before the transfer of the Sellers’ Shares to the Proposed Purchaser. A Drag Along Notice shall specify that the Called Shareholders are required to transfer all their Shares (the “</w:t>
      </w:r>
      <w:r>
        <w:rPr>
          <w:rFonts w:ascii="Arial" w:cs="Arial" w:eastAsia="Arial" w:hAnsi="Arial"/>
          <w:sz w:val="16"/>
          <w:szCs w:val="16"/>
          <w:b w:val="1"/>
          <w:bCs w:val="1"/>
          <w:color w:val="auto"/>
        </w:rPr>
        <w:t>Called Shares</w:t>
      </w:r>
      <w:r>
        <w:rPr>
          <w:rFonts w:ascii="Arial" w:cs="Arial" w:eastAsia="Arial" w:hAnsi="Arial"/>
          <w:sz w:val="16"/>
          <w:szCs w:val="16"/>
          <w:color w:val="auto"/>
        </w:rPr>
        <w:t>”) under this Article, the person to whom they are to be transferred, the consideration for which the Called Shares are to be transferred (calculated in accordance with this Article) and the proposed date of transfer.</w:t>
      </w:r>
    </w:p>
    <w:p>
      <w:pPr>
        <w:spacing w:after="0" w:line="163" w:lineRule="exact"/>
        <w:rPr>
          <w:sz w:val="20"/>
          <w:szCs w:val="20"/>
          <w:color w:val="auto"/>
        </w:rPr>
      </w:pPr>
    </w:p>
    <w:p>
      <w:pPr>
        <w:ind w:left="582" w:right="40" w:hanging="586"/>
        <w:spacing w:after="0" w:line="270" w:lineRule="auto"/>
        <w:tabs>
          <w:tab w:leader="none" w:pos="562" w:val="left"/>
        </w:tabs>
        <w:rPr>
          <w:sz w:val="20"/>
          <w:szCs w:val="20"/>
          <w:color w:val="auto"/>
        </w:rPr>
      </w:pPr>
      <w:r>
        <w:rPr>
          <w:rFonts w:ascii="Arial" w:cs="Arial" w:eastAsia="Arial" w:hAnsi="Arial"/>
          <w:sz w:val="16"/>
          <w:szCs w:val="16"/>
          <w:color w:val="auto"/>
        </w:rPr>
        <w:t>17.3</w:t>
      </w:r>
      <w:r>
        <w:rPr>
          <w:sz w:val="20"/>
          <w:szCs w:val="20"/>
          <w:color w:val="auto"/>
        </w:rPr>
        <w:tab/>
      </w:r>
      <w:r>
        <w:rPr>
          <w:rFonts w:ascii="Arial" w:cs="Arial" w:eastAsia="Arial" w:hAnsi="Arial"/>
          <w:sz w:val="16"/>
          <w:szCs w:val="16"/>
          <w:color w:val="auto"/>
        </w:rPr>
        <w:t>Drag Along Notices shall be irrevocable but will lapse if for any reason there is not a sale of the Sellers’ Shares by the Selling Shareholder(s) to the Proposed Purchaser within forty (40) Business Days after the date of service of the Drag Along Notice. The Selling Shareholder(s) shall be entitled to serve further Drag Along Notices following the lapse of any particular Drag Along Notice.</w:t>
      </w:r>
    </w:p>
    <w:p>
      <w:pPr>
        <w:spacing w:after="0" w:line="162" w:lineRule="exact"/>
        <w:rPr>
          <w:sz w:val="20"/>
          <w:szCs w:val="20"/>
          <w:color w:val="auto"/>
        </w:rPr>
      </w:pPr>
    </w:p>
    <w:p>
      <w:pPr>
        <w:ind w:left="582" w:right="340" w:hanging="586"/>
        <w:spacing w:after="0" w:line="270" w:lineRule="auto"/>
        <w:tabs>
          <w:tab w:leader="none" w:pos="562" w:val="left"/>
        </w:tabs>
        <w:rPr>
          <w:sz w:val="20"/>
          <w:szCs w:val="20"/>
          <w:color w:val="auto"/>
        </w:rPr>
      </w:pPr>
      <w:r>
        <w:rPr>
          <w:rFonts w:ascii="Arial" w:cs="Arial" w:eastAsia="Arial" w:hAnsi="Arial"/>
          <w:sz w:val="16"/>
          <w:szCs w:val="16"/>
          <w:color w:val="auto"/>
        </w:rPr>
        <w:t>17.4</w:t>
      </w:r>
      <w:r>
        <w:rPr>
          <w:sz w:val="20"/>
          <w:szCs w:val="20"/>
          <w:color w:val="auto"/>
        </w:rPr>
        <w:tab/>
      </w:r>
      <w:r>
        <w:rPr>
          <w:rFonts w:ascii="Arial" w:cs="Arial" w:eastAsia="Arial" w:hAnsi="Arial"/>
          <w:sz w:val="16"/>
          <w:szCs w:val="16"/>
          <w:color w:val="auto"/>
        </w:rPr>
        <w:t>The consideration (in cash or otherwise) for which the Called Shareholders shall be obliged to sell each of the Called Shares shall be that to which they would be entitled if the total consideration proposed to be paid by the Proposed Purchaser were distributed to the holders of the Called Shares and the Sellers’ Shares in accordance with Article 5.</w:t>
      </w:r>
    </w:p>
    <w:p>
      <w:pPr>
        <w:spacing w:after="0" w:line="162" w:lineRule="exact"/>
        <w:rPr>
          <w:sz w:val="20"/>
          <w:szCs w:val="20"/>
          <w:color w:val="auto"/>
        </w:rPr>
      </w:pPr>
    </w:p>
    <w:p>
      <w:pPr>
        <w:ind w:left="582" w:right="20" w:hanging="586"/>
        <w:spacing w:after="0" w:line="262" w:lineRule="auto"/>
        <w:tabs>
          <w:tab w:leader="none" w:pos="562" w:val="left"/>
        </w:tabs>
        <w:rPr>
          <w:sz w:val="20"/>
          <w:szCs w:val="20"/>
          <w:color w:val="auto"/>
        </w:rPr>
      </w:pPr>
      <w:r>
        <w:rPr>
          <w:rFonts w:ascii="Arial" w:cs="Arial" w:eastAsia="Arial" w:hAnsi="Arial"/>
          <w:sz w:val="16"/>
          <w:szCs w:val="16"/>
          <w:color w:val="auto"/>
        </w:rPr>
        <w:t>17.5</w:t>
      </w:r>
      <w:r>
        <w:rPr>
          <w:sz w:val="20"/>
          <w:szCs w:val="20"/>
          <w:color w:val="auto"/>
        </w:rPr>
        <w:tab/>
      </w:r>
      <w:r>
        <w:rPr>
          <w:rFonts w:ascii="Arial" w:cs="Arial" w:eastAsia="Arial" w:hAnsi="Arial"/>
          <w:sz w:val="16"/>
          <w:szCs w:val="16"/>
          <w:color w:val="auto"/>
        </w:rPr>
        <w:t>No Drag Along Notice may require a Called Shareholder to agree to any terms except: (a) that such Called Shareholder has the authority to transfer the Called Shares, is the legal and beneficial owner of the Called Shares and has good and valid title to the Called Shares, free and clear of any and all encumbrances; (b) that the transfer of the Called Shares does not violate any agreement to which such Called Shareholder is a party or by which it is bound; and (c) to the extent securities are offered, in whole or in part, as consideration in the Bona Fide Offer, such customary representations as may be required under any applicable laws or by any applicable regulatory authority.</w:t>
      </w:r>
    </w:p>
    <w:p>
      <w:pPr>
        <w:spacing w:after="0" w:line="170" w:lineRule="exact"/>
        <w:rPr>
          <w:sz w:val="20"/>
          <w:szCs w:val="20"/>
          <w:color w:val="auto"/>
        </w:rPr>
      </w:pPr>
    </w:p>
    <w:p>
      <w:pPr>
        <w:ind w:left="582" w:hanging="586"/>
        <w:spacing w:after="0" w:line="275" w:lineRule="auto"/>
        <w:tabs>
          <w:tab w:leader="none" w:pos="562" w:val="left"/>
        </w:tabs>
        <w:rPr>
          <w:sz w:val="20"/>
          <w:szCs w:val="20"/>
          <w:color w:val="auto"/>
        </w:rPr>
      </w:pPr>
      <w:r>
        <w:rPr>
          <w:rFonts w:ascii="Arial" w:cs="Arial" w:eastAsia="Arial" w:hAnsi="Arial"/>
          <w:sz w:val="16"/>
          <w:szCs w:val="16"/>
          <w:color w:val="auto"/>
        </w:rPr>
        <w:t>17.6</w:t>
      </w:r>
      <w:r>
        <w:rPr>
          <w:sz w:val="20"/>
          <w:szCs w:val="20"/>
          <w:color w:val="auto"/>
        </w:rPr>
        <w:tab/>
      </w:r>
      <w:r>
        <w:rPr>
          <w:rFonts w:ascii="Arial" w:cs="Arial" w:eastAsia="Arial" w:hAnsi="Arial"/>
          <w:sz w:val="15"/>
          <w:szCs w:val="15"/>
          <w:color w:val="auto"/>
        </w:rPr>
        <w:t>Within five (5) Business Days of the Proposed Purchaser serving a Drag Along Notice on the Called Shareholders, the Called Shareholders shall deliver stock transfer forms for their shares in favour of the Proposed Purchaser or as the Proposed Purchaser shall direct, together with the relevant share certificate(s) (or a suitable indemnity in lieu thereof) to the Company. On the expiration of that five (5) Business Day period the Company shall pay the Called Shareholders, on behalf of the Proposed Purchaser, the amounts they are due pursuant to Article 17.4 to the extent the Proposed Purchaser has put the Company in the requisite funds. The Company’s receipt for the price shall be a good discharge to the Purchaser. The Company shall hold the amounts due to the Called Shareholders pursuant to</w:t>
      </w:r>
    </w:p>
    <w:p>
      <w:pPr>
        <w:spacing w:after="0" w:line="2" w:lineRule="exact"/>
        <w:rPr>
          <w:sz w:val="20"/>
          <w:szCs w:val="20"/>
          <w:color w:val="auto"/>
        </w:rPr>
      </w:pPr>
    </w:p>
    <w:p>
      <w:pPr>
        <w:ind w:left="582"/>
        <w:spacing w:after="0"/>
        <w:rPr>
          <w:sz w:val="20"/>
          <w:szCs w:val="20"/>
          <w:color w:val="auto"/>
        </w:rPr>
      </w:pPr>
      <w:r>
        <w:rPr>
          <w:rFonts w:ascii="Arial" w:cs="Arial" w:eastAsia="Arial" w:hAnsi="Arial"/>
          <w:sz w:val="16"/>
          <w:szCs w:val="16"/>
          <w:color w:val="auto"/>
        </w:rPr>
        <w:t>Article 17.4 in trust for the Called Shareholders without any obligation to pay interest.</w:t>
      </w:r>
    </w:p>
    <w:p>
      <w:pPr>
        <w:spacing w:after="0" w:line="196" w:lineRule="exact"/>
        <w:rPr>
          <w:sz w:val="20"/>
          <w:szCs w:val="20"/>
          <w:color w:val="auto"/>
        </w:rPr>
      </w:pPr>
    </w:p>
    <w:p>
      <w:pPr>
        <w:jc w:val="both"/>
        <w:ind w:left="582" w:right="100" w:hanging="586"/>
        <w:spacing w:after="0" w:line="270" w:lineRule="auto"/>
        <w:tabs>
          <w:tab w:leader="none" w:pos="562" w:val="left"/>
        </w:tabs>
        <w:rPr>
          <w:sz w:val="20"/>
          <w:szCs w:val="20"/>
          <w:color w:val="auto"/>
        </w:rPr>
      </w:pPr>
      <w:r>
        <w:rPr>
          <w:rFonts w:ascii="Arial" w:cs="Arial" w:eastAsia="Arial" w:hAnsi="Arial"/>
          <w:sz w:val="16"/>
          <w:szCs w:val="16"/>
          <w:color w:val="auto"/>
        </w:rPr>
        <w:t>17.7</w:t>
      </w:r>
      <w:r>
        <w:rPr>
          <w:sz w:val="20"/>
          <w:szCs w:val="20"/>
          <w:color w:val="auto"/>
        </w:rPr>
        <w:tab/>
      </w:r>
      <w:r>
        <w:rPr>
          <w:rFonts w:ascii="Arial" w:cs="Arial" w:eastAsia="Arial" w:hAnsi="Arial"/>
          <w:sz w:val="16"/>
          <w:szCs w:val="16"/>
          <w:color w:val="auto"/>
        </w:rPr>
        <w:t>To the extent that the Proposed Purchaser has not, on the expiration of such five (5) Business Day period, put the Company in funds to pay the price due pursuant to Article 17.6, the Called Shareholders shall be entitled to the return of the stock transfer forms and share certificate (or suitable indemnity) for the relevant shares and the Called Shareholders shall have no further rights or obligations under this Article 17 in respect of their shares.</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17.8</w:t>
      </w:r>
      <w:r>
        <w:rPr>
          <w:sz w:val="20"/>
          <w:szCs w:val="20"/>
          <w:color w:val="auto"/>
        </w:rPr>
        <w:tab/>
      </w:r>
      <w:r>
        <w:rPr>
          <w:rFonts w:ascii="Arial" w:cs="Arial" w:eastAsia="Arial" w:hAnsi="Arial"/>
          <w:sz w:val="14"/>
          <w:szCs w:val="14"/>
          <w:color w:val="auto"/>
        </w:rPr>
        <w:t>If a Called Shareholder fails to deliver stock transfer forms and share certificates (or suitable indemnity) for its shares to the Company upon the expiration of that five</w:t>
      </w:r>
    </w:p>
    <w:p>
      <w:pPr>
        <w:spacing w:after="0" w:line="23" w:lineRule="exact"/>
        <w:rPr>
          <w:sz w:val="20"/>
          <w:szCs w:val="20"/>
          <w:color w:val="auto"/>
        </w:rPr>
      </w:pPr>
    </w:p>
    <w:p>
      <w:pPr>
        <w:ind w:left="582" w:right="20" w:firstLine="5"/>
        <w:spacing w:after="0" w:line="260" w:lineRule="auto"/>
        <w:tabs>
          <w:tab w:leader="none" w:pos="81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Business Day period, the Directors shall, if requested by the Proposed Purchaser, authorise any Director to transfer the Called Shareholders shares on the Called Shareholder’s behalf to the Proposed Purchaser (or its nominee(s)) to the extent the Proposed Purchaser has, at the expiration of that five (5) Business Day period, put the Company in funds to pay the price for the Called Shareholder’s shares offered to him. The Board shall then authorise registration of the transfer once appropriate stamp duty has been paid. The defaulting Called Shareholder shall</w:t>
      </w:r>
    </w:p>
    <w:p>
      <w:pPr>
        <w:spacing w:after="0" w:line="16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82" w:right="420"/>
        <w:spacing w:after="0" w:line="285" w:lineRule="auto"/>
        <w:rPr>
          <w:sz w:val="20"/>
          <w:szCs w:val="20"/>
          <w:color w:val="auto"/>
        </w:rPr>
      </w:pPr>
      <w:r>
        <w:rPr>
          <w:rFonts w:ascii="Arial" w:cs="Arial" w:eastAsia="Arial" w:hAnsi="Arial"/>
          <w:sz w:val="16"/>
          <w:szCs w:val="16"/>
          <w:color w:val="auto"/>
        </w:rPr>
        <w:t>surrender his share certificate for his shares (or provide a suitable indemnity) to the Company. On surrender, he shall be entitled to the amount due to him under Article 17.4.</w:t>
      </w:r>
    </w:p>
    <w:p>
      <w:pPr>
        <w:spacing w:after="0" w:line="150" w:lineRule="exact"/>
        <w:rPr>
          <w:sz w:val="20"/>
          <w:szCs w:val="20"/>
          <w:color w:val="auto"/>
        </w:rPr>
      </w:pPr>
    </w:p>
    <w:p>
      <w:pPr>
        <w:ind w:left="582" w:right="220" w:hanging="586"/>
        <w:spacing w:after="0" w:line="285" w:lineRule="auto"/>
        <w:tabs>
          <w:tab w:leader="none" w:pos="562" w:val="left"/>
        </w:tabs>
        <w:rPr>
          <w:sz w:val="20"/>
          <w:szCs w:val="20"/>
          <w:color w:val="auto"/>
        </w:rPr>
      </w:pPr>
      <w:r>
        <w:rPr>
          <w:rFonts w:ascii="Arial" w:cs="Arial" w:eastAsia="Arial" w:hAnsi="Arial"/>
          <w:sz w:val="16"/>
          <w:szCs w:val="16"/>
          <w:color w:val="auto"/>
        </w:rPr>
        <w:t>17.9</w:t>
      </w:r>
      <w:r>
        <w:rPr>
          <w:sz w:val="20"/>
          <w:szCs w:val="20"/>
          <w:color w:val="auto"/>
        </w:rPr>
        <w:tab/>
      </w:r>
      <w:r>
        <w:rPr>
          <w:rFonts w:ascii="Arial" w:cs="Arial" w:eastAsia="Arial" w:hAnsi="Arial"/>
          <w:sz w:val="16"/>
          <w:szCs w:val="16"/>
          <w:color w:val="auto"/>
        </w:rPr>
        <w:t>Any transfer of shares to a Proposed Purchaser (or as they may direct) pursuant to a sale in respect of which a Drag Along Notice has been duly served shall not be subject to the provisions of Article 14.</w:t>
      </w:r>
    </w:p>
    <w:p>
      <w:pPr>
        <w:spacing w:after="0" w:line="150" w:lineRule="exact"/>
        <w:rPr>
          <w:sz w:val="20"/>
          <w:szCs w:val="20"/>
          <w:color w:val="auto"/>
        </w:rPr>
      </w:pPr>
    </w:p>
    <w:p>
      <w:pPr>
        <w:ind w:left="582" w:right="40" w:hanging="586"/>
        <w:spacing w:after="0" w:line="308" w:lineRule="auto"/>
        <w:tabs>
          <w:tab w:leader="none" w:pos="562" w:val="left"/>
        </w:tabs>
        <w:rPr>
          <w:sz w:val="20"/>
          <w:szCs w:val="20"/>
          <w:color w:val="auto"/>
        </w:rPr>
      </w:pPr>
      <w:r>
        <w:rPr>
          <w:rFonts w:ascii="Arial" w:cs="Arial" w:eastAsia="Arial" w:hAnsi="Arial"/>
          <w:sz w:val="16"/>
          <w:szCs w:val="16"/>
          <w:color w:val="auto"/>
        </w:rPr>
        <w:t>17.10</w:t>
      </w:r>
      <w:r>
        <w:rPr>
          <w:sz w:val="20"/>
          <w:szCs w:val="20"/>
          <w:color w:val="auto"/>
        </w:rPr>
        <w:tab/>
      </w:r>
      <w:r>
        <w:rPr>
          <w:rFonts w:ascii="Arial" w:cs="Arial" w:eastAsia="Arial" w:hAnsi="Arial"/>
          <w:sz w:val="14"/>
          <w:szCs w:val="14"/>
          <w:color w:val="auto"/>
        </w:rPr>
        <w:t>On any person, following the issue of a Drag Along Notice, becoming a Shareholder of the Company pursuant to the exercise of a pre-existing option to acquire shares in the Company or pursuant to the conversion of any convertible security of the Company (a “</w:t>
      </w:r>
      <w:r>
        <w:rPr>
          <w:rFonts w:ascii="Arial" w:cs="Arial" w:eastAsia="Arial" w:hAnsi="Arial"/>
          <w:sz w:val="14"/>
          <w:szCs w:val="14"/>
          <w:b w:val="1"/>
          <w:bCs w:val="1"/>
          <w:color w:val="auto"/>
        </w:rPr>
        <w:t>New Shareholder</w:t>
      </w:r>
      <w:r>
        <w:rPr>
          <w:rFonts w:ascii="Arial" w:cs="Arial" w:eastAsia="Arial" w:hAnsi="Arial"/>
          <w:sz w:val="14"/>
          <w:szCs w:val="14"/>
          <w:color w:val="auto"/>
        </w:rPr>
        <w:t>”), a Drag Along Notice shall be deemed to have been served on the New Shareholder on the same terms as the previous Drag Along Notice who shall then be bound to sell and transfer all Shares so acquired to the Proposed Purchaser or as the Proposed Purchaser may direct and the provisions of this Article shall apply with the necessary changes to the New Shareholder except that completion of the sale of the Shares shall take place immediately on the Drag Along Notice being deemed served on the New Shareholder.</w:t>
      </w:r>
    </w:p>
    <w:p>
      <w:pPr>
        <w:spacing w:after="0" w:line="137" w:lineRule="exact"/>
        <w:rPr>
          <w:sz w:val="20"/>
          <w:szCs w:val="20"/>
          <w:color w:val="auto"/>
        </w:rPr>
      </w:pPr>
    </w:p>
    <w:p>
      <w:pPr>
        <w:ind w:left="582" w:hanging="582"/>
        <w:spacing w:after="0"/>
        <w:tabs>
          <w:tab w:leader="none" w:pos="582"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GENERAL MEETINGS</w:t>
      </w:r>
    </w:p>
    <w:p>
      <w:pPr>
        <w:spacing w:after="0" w:line="211" w:lineRule="exact"/>
        <w:rPr>
          <w:rFonts w:ascii="Arial" w:cs="Arial" w:eastAsia="Arial" w:hAnsi="Arial"/>
          <w:sz w:val="16"/>
          <w:szCs w:val="16"/>
          <w:b w:val="1"/>
          <w:bCs w:val="1"/>
          <w:color w:val="auto"/>
        </w:rPr>
      </w:pPr>
    </w:p>
    <w:p>
      <w:pPr>
        <w:ind w:left="582" w:right="10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The Directors may call general meetings and, on the requisition of members pursuant to the provisions of the 2006 Act, shall forthwith proceed to convene a general meeting in accordance with the provisions of the 2006 Act.</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PROXIES</w:t>
      </w:r>
    </w:p>
    <w:p>
      <w:pPr>
        <w:spacing w:after="0" w:line="211" w:lineRule="exact"/>
        <w:rPr>
          <w:rFonts w:ascii="Arial" w:cs="Arial" w:eastAsia="Arial" w:hAnsi="Arial"/>
          <w:sz w:val="16"/>
          <w:szCs w:val="16"/>
          <w:b w:val="1"/>
          <w:bCs w:val="1"/>
          <w:color w:val="auto"/>
        </w:rPr>
      </w:pPr>
    </w:p>
    <w:p>
      <w:pPr>
        <w:ind w:left="582" w:right="10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The instrument appointing a proxy and any authority under which it is executed or a copy of such authority certified notarially or in some other way approved by the Directors may:</w:t>
      </w:r>
    </w:p>
    <w:p>
      <w:pPr>
        <w:spacing w:after="0" w:line="149" w:lineRule="exact"/>
        <w:rPr>
          <w:rFonts w:ascii="Arial" w:cs="Arial" w:eastAsia="Arial" w:hAnsi="Arial"/>
          <w:sz w:val="16"/>
          <w:szCs w:val="16"/>
          <w:b w:val="1"/>
          <w:bCs w:val="1"/>
          <w:color w:val="auto"/>
        </w:rPr>
      </w:pPr>
    </w:p>
    <w:p>
      <w:pPr>
        <w:ind w:left="1182" w:right="180" w:hanging="595"/>
        <w:spacing w:after="0" w:line="270" w:lineRule="auto"/>
        <w:tabs>
          <w:tab w:leader="none" w:pos="118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be deposited at the office or at any other place within the United Kingdom as may be specified in the notice convening the meeting or in any instrument of proxy sent out by the Company in relation to the meeting at any time before the time for holding the meeting or adjourned meeting at which the person named in the instrument proposes to vote;</w:t>
      </w:r>
    </w:p>
    <w:p>
      <w:pPr>
        <w:spacing w:after="0" w:line="161" w:lineRule="exact"/>
        <w:rPr>
          <w:rFonts w:ascii="Arial" w:cs="Arial" w:eastAsia="Arial" w:hAnsi="Arial"/>
          <w:sz w:val="16"/>
          <w:szCs w:val="16"/>
          <w:color w:val="auto"/>
        </w:rPr>
      </w:pPr>
    </w:p>
    <w:p>
      <w:pPr>
        <w:ind w:left="1182" w:right="60" w:hanging="595"/>
        <w:spacing w:after="0" w:line="285" w:lineRule="auto"/>
        <w:tabs>
          <w:tab w:leader="none" w:pos="1189" w:val="left"/>
        </w:tabs>
        <w:numPr>
          <w:ilvl w:val="1"/>
          <w:numId w:val="219"/>
        </w:numPr>
        <w:rPr>
          <w:rFonts w:ascii="Arial" w:cs="Arial" w:eastAsia="Arial" w:hAnsi="Arial"/>
          <w:sz w:val="16"/>
          <w:szCs w:val="16"/>
          <w:color w:val="auto"/>
        </w:rPr>
      </w:pPr>
      <w:r>
        <w:rPr>
          <w:rFonts w:ascii="Arial" w:cs="Arial" w:eastAsia="Arial" w:hAnsi="Arial"/>
          <w:sz w:val="16"/>
          <w:szCs w:val="16"/>
          <w:color w:val="auto"/>
        </w:rPr>
        <w:t>be delivered at the meeting or adjourned meeting at which the person named in the instrument proposes to vote to the Chairman or to the Secretary or to any Director; or</w:t>
      </w:r>
    </w:p>
    <w:p>
      <w:pPr>
        <w:spacing w:after="0" w:line="149" w:lineRule="exact"/>
        <w:rPr>
          <w:rFonts w:ascii="Arial" w:cs="Arial" w:eastAsia="Arial" w:hAnsi="Arial"/>
          <w:sz w:val="16"/>
          <w:szCs w:val="16"/>
          <w:color w:val="auto"/>
        </w:rPr>
      </w:pPr>
    </w:p>
    <w:p>
      <w:pPr>
        <w:ind w:left="1182" w:right="240" w:hanging="595"/>
        <w:spacing w:after="0" w:line="285" w:lineRule="auto"/>
        <w:tabs>
          <w:tab w:leader="none" w:pos="1192" w:val="left"/>
        </w:tabs>
        <w:numPr>
          <w:ilvl w:val="1"/>
          <w:numId w:val="219"/>
        </w:numPr>
        <w:rPr>
          <w:rFonts w:ascii="Arial" w:cs="Arial" w:eastAsia="Arial" w:hAnsi="Arial"/>
          <w:sz w:val="16"/>
          <w:szCs w:val="16"/>
          <w:color w:val="auto"/>
        </w:rPr>
      </w:pPr>
      <w:r>
        <w:rPr>
          <w:rFonts w:ascii="Arial" w:cs="Arial" w:eastAsia="Arial" w:hAnsi="Arial"/>
          <w:sz w:val="16"/>
          <w:szCs w:val="16"/>
          <w:color w:val="auto"/>
        </w:rPr>
        <w:t>in the case of a poll, be delivered at the meeting at which the poll was demanded to the Chairman or to the Secretary or to any Director, or at the time and place at which the poll is held to the Chairman or to the Secretary or to any Director or scrutineer,</w:t>
      </w:r>
    </w:p>
    <w:p>
      <w:pPr>
        <w:spacing w:after="0" w:line="150" w:lineRule="exact"/>
        <w:rPr>
          <w:sz w:val="20"/>
          <w:szCs w:val="20"/>
          <w:color w:val="auto"/>
        </w:rPr>
      </w:pPr>
    </w:p>
    <w:p>
      <w:pPr>
        <w:ind w:left="582"/>
        <w:spacing w:after="0"/>
        <w:rPr>
          <w:sz w:val="20"/>
          <w:szCs w:val="20"/>
          <w:color w:val="auto"/>
        </w:rPr>
      </w:pPr>
      <w:r>
        <w:rPr>
          <w:rFonts w:ascii="Arial" w:cs="Arial" w:eastAsia="Arial" w:hAnsi="Arial"/>
          <w:sz w:val="16"/>
          <w:szCs w:val="16"/>
          <w:color w:val="auto"/>
        </w:rPr>
        <w:t>and an instrument of proxy which is not deposited or delivered in a manner so permitted shall be invalid.</w:t>
      </w:r>
    </w:p>
    <w:p>
      <w:pPr>
        <w:spacing w:after="0" w:line="203" w:lineRule="exact"/>
        <w:rPr>
          <w:sz w:val="20"/>
          <w:szCs w:val="20"/>
          <w:color w:val="auto"/>
        </w:rPr>
      </w:pPr>
    </w:p>
    <w:p>
      <w:pPr>
        <w:ind w:left="582" w:hanging="582"/>
        <w:spacing w:after="0"/>
        <w:tabs>
          <w:tab w:leader="none" w:pos="582"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BORROWING POWERS</w:t>
      </w:r>
    </w:p>
    <w:p>
      <w:pPr>
        <w:spacing w:after="0" w:line="211" w:lineRule="exact"/>
        <w:rPr>
          <w:rFonts w:ascii="Arial" w:cs="Arial" w:eastAsia="Arial" w:hAnsi="Arial"/>
          <w:sz w:val="16"/>
          <w:szCs w:val="16"/>
          <w:b w:val="1"/>
          <w:bCs w:val="1"/>
          <w:color w:val="auto"/>
        </w:rPr>
      </w:pPr>
    </w:p>
    <w:p>
      <w:pPr>
        <w:ind w:left="582" w:right="12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The Directors may exercise all the powers of the Company to borrow or raise money and to mortgage or charge its undertaking, property and uncalled capital and to issue debentures, debenture stock and other securities as security for any debt, liability of obligation of the Company or of any third party.</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ALTERNATE DIRECTORS</w:t>
      </w:r>
    </w:p>
    <w:p>
      <w:pPr>
        <w:sectPr>
          <w:pgSz w:w="11900" w:h="16838" w:orient="portrait"/>
          <w:cols w:equalWidth="0" w:num="1">
            <w:col w:w="11422"/>
          </w:cols>
          <w:pgMar w:left="238" w:top="323" w:right="239" w:bottom="83" w:gutter="0" w:footer="0" w:header="0"/>
        </w:sectPr>
      </w:pPr>
    </w:p>
    <w:bookmarkStart w:id="349" w:name="page350"/>
    <w:bookmarkEnd w:id="349"/>
    <w:p>
      <w:pPr>
        <w:spacing w:after="0" w:line="285" w:lineRule="auto"/>
        <w:rPr>
          <w:sz w:val="20"/>
          <w:szCs w:val="20"/>
          <w:color w:val="auto"/>
        </w:rPr>
      </w:pPr>
      <w:r>
        <w:rPr>
          <w:rFonts w:ascii="Arial" w:cs="Arial" w:eastAsia="Arial" w:hAnsi="Arial"/>
          <w:sz w:val="16"/>
          <w:szCs w:val="16"/>
          <w:color w:val="auto"/>
        </w:rPr>
        <w:t>Notwithstanding any provision of these Articles to the contrary, any person appointed as a Director by an Investor may appoint any person as he or she thinks fit to be his or her or its alternate director and the appointment of an alternate director shall not require approval by a</w:t>
      </w:r>
    </w:p>
    <w:p>
      <w:pPr>
        <w:spacing w:after="0" w:line="150"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74930</wp:posOffset>
            </wp:positionV>
            <wp:extent cx="72802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820"/>
          </w:cols>
          <w:pgMar w:left="820" w:top="127" w:right="259" w:bottom="1440" w:gutter="0" w:footer="0" w:header="0"/>
        </w:sectPr>
      </w:pPr>
    </w:p>
    <w:bookmarkStart w:id="350" w:name="page351"/>
    <w:bookmarkEnd w:id="350"/>
    <w:p>
      <w:pPr>
        <w:ind w:left="582"/>
        <w:spacing w:after="0"/>
        <w:rPr>
          <w:sz w:val="20"/>
          <w:szCs w:val="20"/>
          <w:color w:val="auto"/>
        </w:rPr>
      </w:pPr>
      <w:r>
        <w:rPr>
          <w:rFonts w:ascii="Arial" w:cs="Arial" w:eastAsia="Arial" w:hAnsi="Arial"/>
          <w:sz w:val="16"/>
          <w:szCs w:val="16"/>
          <w:color w:val="auto"/>
        </w:rPr>
        <w:t>resolution of the Directors, and in its application to the Company Regulation 65 of Table A shall be modified accordingly.</w:t>
      </w:r>
    </w:p>
    <w:p>
      <w:pPr>
        <w:spacing w:after="0" w:line="203" w:lineRule="exact"/>
        <w:rPr>
          <w:sz w:val="20"/>
          <w:szCs w:val="20"/>
          <w:color w:val="auto"/>
        </w:rPr>
      </w:pPr>
    </w:p>
    <w:p>
      <w:pPr>
        <w:ind w:left="582" w:hanging="582"/>
        <w:spacing w:after="0"/>
        <w:tabs>
          <w:tab w:leader="none" w:pos="582"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NUMBER OF DIRECTORS</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Unless and until the Company in general meeting shall otherwise determine the number of Directors shall not be less than three (3).</w:t>
      </w:r>
    </w:p>
    <w:p>
      <w:pPr>
        <w:spacing w:after="0" w:line="203" w:lineRule="exact"/>
        <w:rPr>
          <w:rFonts w:ascii="Arial" w:cs="Arial" w:eastAsia="Arial" w:hAnsi="Arial"/>
          <w:sz w:val="16"/>
          <w:szCs w:val="16"/>
          <w:b w:val="1"/>
          <w:bCs w:val="1"/>
          <w:color w:val="auto"/>
        </w:rPr>
      </w:pPr>
    </w:p>
    <w:p>
      <w:pPr>
        <w:ind w:left="582" w:hanging="582"/>
        <w:spacing w:after="0"/>
        <w:tabs>
          <w:tab w:leader="none" w:pos="582"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 OF DIRECTORS</w:t>
      </w:r>
    </w:p>
    <w:p>
      <w:pPr>
        <w:spacing w:after="0" w:line="211" w:lineRule="exact"/>
        <w:rPr>
          <w:sz w:val="20"/>
          <w:szCs w:val="20"/>
          <w:color w:val="auto"/>
        </w:rPr>
      </w:pPr>
    </w:p>
    <w:p>
      <w:pPr>
        <w:jc w:val="both"/>
        <w:ind w:left="582" w:right="120" w:hanging="586"/>
        <w:spacing w:after="0" w:line="270" w:lineRule="auto"/>
        <w:tabs>
          <w:tab w:leader="none" w:pos="562"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color w:val="auto"/>
        </w:rPr>
        <w:t>For so long as Atlas and/or its Permitted Transferees hold Equity Shares, they shall have the right to appoint and maintain in office such natural person as Atlas may from time to time nominate as a Director of the Company (and as a member of each and any committee of the Board) and to remove any Director so appointed and, upon his removal whether by Atlas or otherwise, to appoint another Director in his place.</w:t>
      </w:r>
    </w:p>
    <w:p>
      <w:pPr>
        <w:spacing w:after="0" w:line="162" w:lineRule="exact"/>
        <w:rPr>
          <w:sz w:val="20"/>
          <w:szCs w:val="20"/>
          <w:color w:val="auto"/>
        </w:rPr>
      </w:pPr>
    </w:p>
    <w:p>
      <w:pPr>
        <w:ind w:left="582" w:hanging="586"/>
        <w:spacing w:after="0" w:line="270" w:lineRule="auto"/>
        <w:tabs>
          <w:tab w:leader="none" w:pos="562"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6"/>
          <w:szCs w:val="16"/>
          <w:color w:val="auto"/>
        </w:rPr>
        <w:t>For so long as Novartis and/or its Permitted Transferees hold Equity Shares, they shall have the right to appoint and maintain in office such natural person as Novartis may from time to time nominate as a Director of the Company (and as a member of each and any committee of the Board) and to remove any Director so appointed and, upon his removal whether by Novartis or otherwise, to appoint another Director in his place.</w:t>
      </w:r>
    </w:p>
    <w:p>
      <w:pPr>
        <w:spacing w:after="0" w:line="162" w:lineRule="exact"/>
        <w:rPr>
          <w:sz w:val="20"/>
          <w:szCs w:val="20"/>
          <w:color w:val="auto"/>
        </w:rPr>
      </w:pPr>
    </w:p>
    <w:p>
      <w:pPr>
        <w:ind w:left="582" w:right="240" w:hanging="586"/>
        <w:spacing w:after="0" w:line="270" w:lineRule="auto"/>
        <w:tabs>
          <w:tab w:leader="none" w:pos="562" w:val="left"/>
        </w:tabs>
        <w:rPr>
          <w:sz w:val="20"/>
          <w:szCs w:val="20"/>
          <w:color w:val="auto"/>
        </w:rPr>
      </w:pPr>
      <w:r>
        <w:rPr>
          <w:rFonts w:ascii="Arial" w:cs="Arial" w:eastAsia="Arial" w:hAnsi="Arial"/>
          <w:sz w:val="16"/>
          <w:szCs w:val="16"/>
          <w:color w:val="auto"/>
        </w:rPr>
        <w:t>23.3</w:t>
      </w:r>
      <w:r>
        <w:rPr>
          <w:sz w:val="20"/>
          <w:szCs w:val="20"/>
          <w:color w:val="auto"/>
        </w:rPr>
        <w:tab/>
      </w:r>
      <w:r>
        <w:rPr>
          <w:rFonts w:ascii="Arial" w:cs="Arial" w:eastAsia="Arial" w:hAnsi="Arial"/>
          <w:sz w:val="16"/>
          <w:szCs w:val="16"/>
          <w:color w:val="auto"/>
        </w:rPr>
        <w:t>For so long as S.R. One and/or its Permitted Transferees hold Equity Shares, they shall have the right to appoint and maintain in office such natural person as S.R. One may from time to time nominate as a Director of the Company (and as a member of each and any committee of the Board) and to remove any Director so appointed and, upon his removal whether by S.R. One or otherwise, to appoint another Director in his place.</w:t>
      </w:r>
    </w:p>
    <w:p>
      <w:pPr>
        <w:spacing w:after="0" w:line="162" w:lineRule="exact"/>
        <w:rPr>
          <w:sz w:val="20"/>
          <w:szCs w:val="20"/>
          <w:color w:val="auto"/>
        </w:rPr>
      </w:pPr>
    </w:p>
    <w:p>
      <w:pPr>
        <w:jc w:val="both"/>
        <w:ind w:left="582" w:right="80" w:hanging="586"/>
        <w:spacing w:after="0" w:line="270" w:lineRule="auto"/>
        <w:tabs>
          <w:tab w:leader="none" w:pos="562" w:val="left"/>
        </w:tabs>
        <w:rPr>
          <w:sz w:val="20"/>
          <w:szCs w:val="20"/>
          <w:color w:val="auto"/>
        </w:rPr>
      </w:pPr>
      <w:r>
        <w:rPr>
          <w:rFonts w:ascii="Arial" w:cs="Arial" w:eastAsia="Arial" w:hAnsi="Arial"/>
          <w:sz w:val="16"/>
          <w:szCs w:val="16"/>
          <w:color w:val="auto"/>
        </w:rPr>
        <w:t>23.4</w:t>
      </w:r>
      <w:r>
        <w:rPr>
          <w:sz w:val="20"/>
          <w:szCs w:val="20"/>
          <w:color w:val="auto"/>
        </w:rPr>
        <w:tab/>
      </w:r>
      <w:r>
        <w:rPr>
          <w:rFonts w:ascii="Arial" w:cs="Arial" w:eastAsia="Arial" w:hAnsi="Arial"/>
          <w:sz w:val="16"/>
          <w:szCs w:val="16"/>
          <w:color w:val="auto"/>
        </w:rPr>
        <w:t>For so long as SVLSA and/or its Permitted Transferees hold Equity Shares, they shall have the right to appoint and maintain in office such natural person as SVLSA may from time to time nominate as a Director of the Company (and as a member of each and any committee of the Board) and to remove any Director so appointed and, upon his removal whether by SVLSA or otherwise, to appoint another Director in his place.</w:t>
      </w:r>
    </w:p>
    <w:p>
      <w:pPr>
        <w:spacing w:after="0" w:line="162" w:lineRule="exact"/>
        <w:rPr>
          <w:sz w:val="20"/>
          <w:szCs w:val="20"/>
          <w:color w:val="auto"/>
        </w:rPr>
      </w:pPr>
    </w:p>
    <w:p>
      <w:pPr>
        <w:ind w:left="582" w:right="140" w:hanging="586"/>
        <w:spacing w:after="0" w:line="270" w:lineRule="auto"/>
        <w:tabs>
          <w:tab w:leader="none" w:pos="562" w:val="left"/>
        </w:tabs>
        <w:rPr>
          <w:sz w:val="20"/>
          <w:szCs w:val="20"/>
          <w:color w:val="auto"/>
        </w:rPr>
      </w:pPr>
      <w:r>
        <w:rPr>
          <w:rFonts w:ascii="Arial" w:cs="Arial" w:eastAsia="Arial" w:hAnsi="Arial"/>
          <w:sz w:val="16"/>
          <w:szCs w:val="16"/>
          <w:color w:val="auto"/>
        </w:rPr>
        <w:t>23.5</w:t>
      </w:r>
      <w:r>
        <w:rPr>
          <w:sz w:val="20"/>
          <w:szCs w:val="20"/>
          <w:color w:val="auto"/>
        </w:rPr>
        <w:tab/>
      </w:r>
      <w:r>
        <w:rPr>
          <w:rFonts w:ascii="Arial" w:cs="Arial" w:eastAsia="Arial" w:hAnsi="Arial"/>
          <w:sz w:val="16"/>
          <w:szCs w:val="16"/>
          <w:color w:val="auto"/>
        </w:rPr>
        <w:t>For so long as Vertex and/or its Permitted Transferees hold Equity Shares, they shall have the right to appoint and maintain in office such natural person as Vertex may from time to time nominate as a Director of the Company (and as a member of each and any committee of the Board) and to remove any Director so appointed and, upon his removal whether by Vertex or otherwise, to appoint another Director in his place.</w:t>
      </w:r>
    </w:p>
    <w:p>
      <w:pPr>
        <w:spacing w:after="0" w:line="162" w:lineRule="exact"/>
        <w:rPr>
          <w:sz w:val="20"/>
          <w:szCs w:val="20"/>
          <w:color w:val="auto"/>
        </w:rPr>
      </w:pPr>
    </w:p>
    <w:p>
      <w:pPr>
        <w:ind w:left="582" w:right="140" w:hanging="586"/>
        <w:spacing w:after="0" w:line="270" w:lineRule="auto"/>
        <w:tabs>
          <w:tab w:leader="none" w:pos="562" w:val="left"/>
        </w:tabs>
        <w:rPr>
          <w:sz w:val="20"/>
          <w:szCs w:val="20"/>
          <w:color w:val="auto"/>
        </w:rPr>
      </w:pPr>
      <w:r>
        <w:rPr>
          <w:rFonts w:ascii="Arial" w:cs="Arial" w:eastAsia="Arial" w:hAnsi="Arial"/>
          <w:sz w:val="16"/>
          <w:szCs w:val="16"/>
          <w:color w:val="auto"/>
        </w:rPr>
        <w:t>23.6</w:t>
      </w:r>
      <w:r>
        <w:rPr>
          <w:sz w:val="20"/>
          <w:szCs w:val="20"/>
          <w:color w:val="auto"/>
        </w:rPr>
        <w:tab/>
      </w:r>
      <w:r>
        <w:rPr>
          <w:rFonts w:ascii="Arial" w:cs="Arial" w:eastAsia="Arial" w:hAnsi="Arial"/>
          <w:sz w:val="16"/>
          <w:szCs w:val="16"/>
          <w:color w:val="auto"/>
        </w:rPr>
        <w:t>For so long as CIC and/or its Permitted Transferees hold Equity Shares, they shall have the right to appoint and maintain in office such natural person as CIC may from time to time nominate as a Director of the Company (and as a member of each and any committee of the Board) and to remove any Director so appointed and, upon his removal whether CIC or otherwise, to appoint another Director in his place.</w:t>
      </w:r>
    </w:p>
    <w:p>
      <w:pPr>
        <w:spacing w:after="0" w:line="162" w:lineRule="exact"/>
        <w:rPr>
          <w:sz w:val="20"/>
          <w:szCs w:val="20"/>
          <w:color w:val="auto"/>
        </w:rPr>
      </w:pPr>
    </w:p>
    <w:p>
      <w:pPr>
        <w:ind w:left="582" w:right="20" w:hanging="586"/>
        <w:spacing w:after="0" w:line="270" w:lineRule="auto"/>
        <w:tabs>
          <w:tab w:leader="none" w:pos="562" w:val="left"/>
        </w:tabs>
        <w:rPr>
          <w:sz w:val="20"/>
          <w:szCs w:val="20"/>
          <w:color w:val="auto"/>
        </w:rPr>
      </w:pPr>
      <w:r>
        <w:rPr>
          <w:rFonts w:ascii="Arial" w:cs="Arial" w:eastAsia="Arial" w:hAnsi="Arial"/>
          <w:sz w:val="16"/>
          <w:szCs w:val="16"/>
          <w:color w:val="auto"/>
        </w:rPr>
        <w:t>23.7</w:t>
      </w:r>
      <w:r>
        <w:rPr>
          <w:sz w:val="20"/>
          <w:szCs w:val="20"/>
          <w:color w:val="auto"/>
        </w:rPr>
        <w:tab/>
      </w:r>
      <w:r>
        <w:rPr>
          <w:rFonts w:ascii="Arial" w:cs="Arial" w:eastAsia="Arial" w:hAnsi="Arial"/>
          <w:sz w:val="16"/>
          <w:szCs w:val="16"/>
          <w:color w:val="auto"/>
        </w:rPr>
        <w:t>For so long as the Founders hold Equity Shares, they shall have the right to appoint and maintain in office such natural person as the Founders shall from time to time nominate as a Director of the Company (and as a member of each and any committee of the Board) and to remove any Director so appointed and, upon his removal whether by the Founders or otherwise, to appoint another Director in his place.</w:t>
      </w:r>
    </w:p>
    <w:p>
      <w:pPr>
        <w:spacing w:after="0" w:line="162" w:lineRule="exact"/>
        <w:rPr>
          <w:sz w:val="20"/>
          <w:szCs w:val="20"/>
          <w:color w:val="auto"/>
        </w:rPr>
      </w:pPr>
    </w:p>
    <w:p>
      <w:pPr>
        <w:jc w:val="both"/>
        <w:ind w:left="582" w:right="60" w:hanging="586"/>
        <w:spacing w:after="0" w:line="270" w:lineRule="auto"/>
        <w:tabs>
          <w:tab w:leader="none" w:pos="562" w:val="left"/>
        </w:tabs>
        <w:rPr>
          <w:sz w:val="20"/>
          <w:szCs w:val="20"/>
          <w:color w:val="auto"/>
        </w:rPr>
      </w:pPr>
      <w:r>
        <w:rPr>
          <w:rFonts w:ascii="Arial" w:cs="Arial" w:eastAsia="Arial" w:hAnsi="Arial"/>
          <w:sz w:val="16"/>
          <w:szCs w:val="16"/>
          <w:color w:val="auto"/>
        </w:rPr>
        <w:t>23.8</w:t>
      </w:r>
      <w:r>
        <w:rPr>
          <w:sz w:val="20"/>
          <w:szCs w:val="20"/>
          <w:color w:val="auto"/>
        </w:rPr>
        <w:tab/>
      </w:r>
      <w:r>
        <w:rPr>
          <w:rFonts w:ascii="Arial" w:cs="Arial" w:eastAsia="Arial" w:hAnsi="Arial"/>
          <w:sz w:val="16"/>
          <w:szCs w:val="16"/>
          <w:color w:val="auto"/>
        </w:rPr>
        <w:t>The Ordinary Shareholders shall have the right to appoint as a Director the then current Chief Executive Officer of the Company and (with the consent of a Preferred Majority) to remove him as a Director and, with the consent of the Preferred Majority, to appoint any replacement Chief Executive Officer as a Director in his place. Upon the resignation of removal of the Chief Executive Officer from his executive position at the Company, the Ordinary</w:t>
      </w:r>
    </w:p>
    <w:p>
      <w:pPr>
        <w:spacing w:after="0" w:line="16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351" w:name="page352"/>
    <w:bookmarkEnd w:id="351"/>
    <w:p>
      <w:pPr>
        <w:ind w:left="582"/>
        <w:spacing w:after="0"/>
        <w:rPr>
          <w:sz w:val="20"/>
          <w:szCs w:val="20"/>
          <w:color w:val="auto"/>
        </w:rPr>
      </w:pPr>
      <w:r>
        <w:rPr>
          <w:rFonts w:ascii="Arial" w:cs="Arial" w:eastAsia="Arial" w:hAnsi="Arial"/>
          <w:sz w:val="16"/>
          <w:szCs w:val="16"/>
          <w:color w:val="auto"/>
        </w:rPr>
        <w:t>Shareholders shall, if directed to do so by a Preferred Majority, remove the former Chief Executive Officer as a Director.</w:t>
      </w:r>
    </w:p>
    <w:p>
      <w:pPr>
        <w:spacing w:after="0" w:line="207" w:lineRule="exact"/>
        <w:rPr>
          <w:sz w:val="20"/>
          <w:szCs w:val="20"/>
          <w:color w:val="auto"/>
        </w:rPr>
      </w:pPr>
    </w:p>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23.9</w:t>
      </w:r>
      <w:r>
        <w:rPr>
          <w:sz w:val="20"/>
          <w:szCs w:val="20"/>
          <w:color w:val="auto"/>
        </w:rPr>
        <w:tab/>
      </w:r>
      <w:r>
        <w:rPr>
          <w:rFonts w:ascii="Arial" w:cs="Arial" w:eastAsia="Arial" w:hAnsi="Arial"/>
          <w:sz w:val="16"/>
          <w:szCs w:val="16"/>
          <w:color w:val="auto"/>
        </w:rPr>
        <w:t>The Directors appointed pursuant to Articles 23.1-23.6 shall have the right to appoint and maintain in office one (1) Independent Director and to remove any Director so appointed and, upon his removal whether by the Directors or otherwise, to appoint another Independent Director in his place.</w:t>
      </w:r>
    </w:p>
    <w:p>
      <w:pPr>
        <w:spacing w:after="0" w:line="150" w:lineRule="exact"/>
        <w:rPr>
          <w:sz w:val="20"/>
          <w:szCs w:val="20"/>
          <w:color w:val="auto"/>
        </w:rPr>
      </w:pPr>
    </w:p>
    <w:p>
      <w:pPr>
        <w:ind w:left="582" w:right="40" w:hanging="586"/>
        <w:spacing w:after="0" w:line="288" w:lineRule="auto"/>
        <w:tabs>
          <w:tab w:leader="none" w:pos="562" w:val="left"/>
        </w:tabs>
        <w:rPr>
          <w:sz w:val="20"/>
          <w:szCs w:val="20"/>
          <w:color w:val="auto"/>
        </w:rPr>
      </w:pPr>
      <w:r>
        <w:rPr>
          <w:rFonts w:ascii="Arial" w:cs="Arial" w:eastAsia="Arial" w:hAnsi="Arial"/>
          <w:sz w:val="16"/>
          <w:szCs w:val="16"/>
          <w:color w:val="auto"/>
        </w:rPr>
        <w:t>23.10</w:t>
      </w:r>
      <w:r>
        <w:rPr>
          <w:sz w:val="20"/>
          <w:szCs w:val="20"/>
          <w:color w:val="auto"/>
        </w:rPr>
        <w:tab/>
      </w:r>
      <w:r>
        <w:rPr>
          <w:rFonts w:ascii="Arial" w:cs="Arial" w:eastAsia="Arial" w:hAnsi="Arial"/>
          <w:sz w:val="15"/>
          <w:szCs w:val="15"/>
          <w:color w:val="auto"/>
        </w:rPr>
        <w:t>The B Ordinary Shareholders shall also be entitled to appoint one representative to attend as an observer at each and any meeting of the Board and of each and any committee of the Board. For so long as Longwood and/or its Permitted Transferees hold Equity Shares, it shall be entitled to appoint (and remove) by notice in writing to the Company a representative (the “</w:t>
      </w:r>
      <w:r>
        <w:rPr>
          <w:rFonts w:ascii="Arial" w:cs="Arial" w:eastAsia="Arial" w:hAnsi="Arial"/>
          <w:sz w:val="15"/>
          <w:szCs w:val="15"/>
          <w:b w:val="1"/>
          <w:bCs w:val="1"/>
          <w:color w:val="auto"/>
        </w:rPr>
        <w:t>Observer</w:t>
      </w:r>
      <w:r>
        <w:rPr>
          <w:rFonts w:ascii="Arial" w:cs="Arial" w:eastAsia="Arial" w:hAnsi="Arial"/>
          <w:sz w:val="15"/>
          <w:szCs w:val="15"/>
          <w:color w:val="auto"/>
        </w:rPr>
        <w:t>”) to attend as an observer at each and any meeting of the Board and of each and any committee of the Board and to remove any Observer so appointed, upon his removal whether by Longwood or otherwise, to appoint another Observer in his place.</w:t>
      </w:r>
    </w:p>
    <w:p>
      <w:pPr>
        <w:spacing w:after="0" w:line="150" w:lineRule="exact"/>
        <w:rPr>
          <w:sz w:val="20"/>
          <w:szCs w:val="20"/>
          <w:color w:val="auto"/>
        </w:rPr>
      </w:pPr>
    </w:p>
    <w:p>
      <w:pPr>
        <w:ind w:left="562" w:right="420" w:hanging="586"/>
        <w:spacing w:after="0" w:line="285" w:lineRule="auto"/>
        <w:tabs>
          <w:tab w:leader="none" w:pos="542" w:val="left"/>
        </w:tabs>
        <w:rPr>
          <w:sz w:val="20"/>
          <w:szCs w:val="20"/>
          <w:color w:val="auto"/>
        </w:rPr>
      </w:pPr>
      <w:r>
        <w:rPr>
          <w:rFonts w:ascii="Arial" w:cs="Arial" w:eastAsia="Arial" w:hAnsi="Arial"/>
          <w:sz w:val="16"/>
          <w:szCs w:val="16"/>
          <w:color w:val="auto"/>
        </w:rPr>
        <w:t>23.11</w:t>
        <w:tab/>
        <w:t>In its application to the Company, Regulation 78 of Table A shall be modified by the deletion of the words “...</w:t>
      </w:r>
      <w:r>
        <w:rPr>
          <w:rFonts w:ascii="Arial" w:cs="Arial" w:eastAsia="Arial" w:hAnsi="Arial"/>
          <w:sz w:val="16"/>
          <w:szCs w:val="16"/>
          <w:i w:val="1"/>
          <w:iCs w:val="1"/>
          <w:color w:val="auto"/>
        </w:rPr>
        <w:t>and may also determine the rotation in which any</w:t>
      </w:r>
      <w:r>
        <w:rPr>
          <w:rFonts w:ascii="Arial" w:cs="Arial" w:eastAsia="Arial" w:hAnsi="Arial"/>
          <w:sz w:val="16"/>
          <w:szCs w:val="16"/>
          <w:color w:val="auto"/>
        </w:rPr>
        <w:t xml:space="preserve"> </w:t>
      </w:r>
      <w:r>
        <w:rPr>
          <w:rFonts w:ascii="Arial" w:cs="Arial" w:eastAsia="Arial" w:hAnsi="Arial"/>
          <w:sz w:val="16"/>
          <w:szCs w:val="16"/>
          <w:i w:val="1"/>
          <w:iCs w:val="1"/>
          <w:color w:val="auto"/>
        </w:rPr>
        <w:t>additional Directors are to retire</w:t>
      </w:r>
      <w:r>
        <w:rPr>
          <w:rFonts w:ascii="Arial" w:cs="Arial" w:eastAsia="Arial" w:hAnsi="Arial"/>
          <w:sz w:val="16"/>
          <w:szCs w:val="16"/>
          <w:color w:val="auto"/>
        </w:rPr>
        <w:t>”.</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23.12</w:t>
      </w:r>
      <w:r>
        <w:rPr>
          <w:sz w:val="20"/>
          <w:szCs w:val="20"/>
          <w:color w:val="auto"/>
        </w:rPr>
        <w:tab/>
      </w:r>
      <w:r>
        <w:rPr>
          <w:rFonts w:ascii="Arial" w:cs="Arial" w:eastAsia="Arial" w:hAnsi="Arial"/>
          <w:sz w:val="14"/>
          <w:szCs w:val="14"/>
          <w:color w:val="auto"/>
        </w:rPr>
        <w:t>In its application to the Company, Regulation 84 of Table A shall be modified by the deletion of the third and final sentences.</w:t>
      </w:r>
    </w:p>
    <w:p>
      <w:pPr>
        <w:spacing w:after="0" w:line="207" w:lineRule="exact"/>
        <w:rPr>
          <w:sz w:val="20"/>
          <w:szCs w:val="20"/>
          <w:color w:val="auto"/>
        </w:rPr>
      </w:pPr>
    </w:p>
    <w:p>
      <w:pPr>
        <w:ind w:left="582" w:right="40" w:hanging="586"/>
        <w:spacing w:after="0" w:line="284" w:lineRule="auto"/>
        <w:tabs>
          <w:tab w:leader="none" w:pos="562" w:val="left"/>
        </w:tabs>
        <w:rPr>
          <w:sz w:val="20"/>
          <w:szCs w:val="20"/>
          <w:color w:val="auto"/>
        </w:rPr>
      </w:pPr>
      <w:r>
        <w:rPr>
          <w:rFonts w:ascii="Arial" w:cs="Arial" w:eastAsia="Arial" w:hAnsi="Arial"/>
          <w:sz w:val="16"/>
          <w:szCs w:val="16"/>
          <w:color w:val="auto"/>
        </w:rPr>
        <w:t>23.13</w:t>
      </w:r>
      <w:r>
        <w:rPr>
          <w:sz w:val="20"/>
          <w:szCs w:val="20"/>
          <w:color w:val="auto"/>
        </w:rPr>
        <w:tab/>
      </w:r>
      <w:r>
        <w:rPr>
          <w:rFonts w:ascii="Arial" w:cs="Arial" w:eastAsia="Arial" w:hAnsi="Arial"/>
          <w:sz w:val="15"/>
          <w:szCs w:val="15"/>
          <w:color w:val="auto"/>
        </w:rPr>
        <w:t>Notwithstanding any other provision of these Articles, on any resolution which is proposed in general meeting (either on a show of hands or on a poll) to remove a Director appointed in accordance with Article 23.1 to 23.10 from office or any resolution proposed in general meeting (either on a show of hands or on a poll) or as a written resolution to alter the Articles so as to result in the deletion or amendment of Articles 23.1 to 23.10, the votes cast by the members (or the duly appointed proxies or corporate representatives of the members) entitled to appoint and remove any Director(s) under that Article shall, if voting against that resolution, in aggregate carry a number of votes equal to 50.01% of the number of votes capable of being cast on that resolution.</w:t>
      </w:r>
    </w:p>
    <w:p>
      <w:pPr>
        <w:spacing w:after="0" w:line="149" w:lineRule="exact"/>
        <w:rPr>
          <w:sz w:val="20"/>
          <w:szCs w:val="20"/>
          <w:color w:val="auto"/>
        </w:rPr>
      </w:pPr>
    </w:p>
    <w:p>
      <w:pPr>
        <w:ind w:left="582" w:hanging="582"/>
        <w:spacing w:after="0"/>
        <w:tabs>
          <w:tab w:leader="none" w:pos="582"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PERMITTED INTERESTS</w:t>
      </w:r>
    </w:p>
    <w:p>
      <w:pPr>
        <w:spacing w:after="0" w:line="211" w:lineRule="exact"/>
        <w:rPr>
          <w:sz w:val="20"/>
          <w:szCs w:val="20"/>
          <w:color w:val="auto"/>
        </w:rPr>
      </w:pPr>
    </w:p>
    <w:p>
      <w:pPr>
        <w:ind w:left="582" w:right="220" w:hanging="586"/>
        <w:spacing w:after="0" w:line="265" w:lineRule="auto"/>
        <w:tabs>
          <w:tab w:leader="none" w:pos="562"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6"/>
          <w:szCs w:val="16"/>
          <w:color w:val="auto"/>
        </w:rPr>
        <w:t>Provided that he has declared the nature and extent of his interest in accordance with (and to the extent required by) the provisions of Article 24.5, and provided further that the Directors or the members have not (upon request) refused to give specific authorisation pursuant to Article 24 for a particular situation or matter or have otherwise resolved pursuant to Article 24.5 that a particular situation or matter shall no longer be authorised, a Director, notwithstanding his office, shall be authorised:</w:t>
      </w:r>
    </w:p>
    <w:p>
      <w:pPr>
        <w:spacing w:after="0" w:line="166" w:lineRule="exact"/>
        <w:rPr>
          <w:sz w:val="20"/>
          <w:szCs w:val="20"/>
          <w:color w:val="auto"/>
        </w:rPr>
      </w:pPr>
    </w:p>
    <w:p>
      <w:pPr>
        <w:ind w:left="1182" w:hanging="595"/>
        <w:spacing w:after="0" w:line="285" w:lineRule="auto"/>
        <w:tabs>
          <w:tab w:leader="none" w:pos="11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to enter into, or otherwise be interested in, any transaction or arrangement with the Company or in which the Company is interested, either with regard to his tenure of any office or position in the management, administration or conduct of its business or as seller, buyer or otherwise;</w:t>
      </w:r>
    </w:p>
    <w:p>
      <w:pPr>
        <w:spacing w:after="0" w:line="149" w:lineRule="exact"/>
        <w:rPr>
          <w:rFonts w:ascii="Arial" w:cs="Arial" w:eastAsia="Arial" w:hAnsi="Arial"/>
          <w:sz w:val="16"/>
          <w:szCs w:val="16"/>
          <w:color w:val="auto"/>
        </w:rPr>
      </w:pPr>
    </w:p>
    <w:p>
      <w:pPr>
        <w:ind w:left="1182" w:right="260" w:hanging="595"/>
        <w:spacing w:after="0" w:line="270" w:lineRule="auto"/>
        <w:tabs>
          <w:tab w:leader="none" w:pos="118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to hold any office or place of profit (except that of auditor) with, or to be employed by or a consultant to or otherwise interested (including by way of the holding of shares or securities convertible into shares) in, the Company, or in any holder of a majority of the voting rights attaching to the issued share capital of the Company or any Associate of any such holder;</w:t>
      </w:r>
    </w:p>
    <w:p>
      <w:pPr>
        <w:spacing w:after="0" w:line="161" w:lineRule="exact"/>
        <w:rPr>
          <w:rFonts w:ascii="Arial" w:cs="Arial" w:eastAsia="Arial" w:hAnsi="Arial"/>
          <w:sz w:val="16"/>
          <w:szCs w:val="16"/>
          <w:color w:val="auto"/>
        </w:rPr>
      </w:pPr>
    </w:p>
    <w:p>
      <w:pPr>
        <w:ind w:left="1182" w:hanging="595"/>
        <w:spacing w:after="0" w:line="270" w:lineRule="auto"/>
        <w:tabs>
          <w:tab w:leader="none" w:pos="119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to act by himself or by any firm of which he is a partner, director, employee or member in a professional capacity (except as auditor) for the Company, or any holder of a majority of the voting rights attaching to the issued share capital of the Company or any Associate of any such holder and he or his firm shall be entitled to</w:t>
      </w:r>
    </w:p>
    <w:p>
      <w:pPr>
        <w:spacing w:after="0" w:line="16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352" w:name="page353"/>
    <w:bookmarkEnd w:id="352"/>
    <w:p>
      <w:pPr>
        <w:ind w:left="1180"/>
        <w:spacing w:after="0"/>
        <w:rPr>
          <w:sz w:val="20"/>
          <w:szCs w:val="20"/>
          <w:color w:val="auto"/>
        </w:rPr>
      </w:pPr>
      <w:r>
        <w:rPr>
          <w:rFonts w:ascii="Arial" w:cs="Arial" w:eastAsia="Arial" w:hAnsi="Arial"/>
          <w:sz w:val="16"/>
          <w:szCs w:val="16"/>
          <w:color w:val="auto"/>
        </w:rPr>
        <w:t>remuneration for professional services as if he were not a Director of the Company; and</w:t>
      </w:r>
    </w:p>
    <w:p>
      <w:pPr>
        <w:spacing w:after="0" w:line="207" w:lineRule="exact"/>
        <w:rPr>
          <w:sz w:val="20"/>
          <w:szCs w:val="20"/>
          <w:color w:val="auto"/>
        </w:rPr>
      </w:pPr>
    </w:p>
    <w:p>
      <w:pPr>
        <w:ind w:left="1180" w:hanging="595"/>
        <w:spacing w:after="0" w:line="279" w:lineRule="auto"/>
        <w:tabs>
          <w:tab w:leader="none" w:pos="1187"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to be a director of any other company in which the Company does not have an interest if that cannot reasonably be regarded as likely to give rise to a conflict of interest at the time of his appointment as a director of the Company or that other company (whichever is the later), and such authorisations shall extend to any direct or indirect interest that conflicts or possibly may conflict with the interests of the Company which may reasonably be expected to arise out of the situations and matters so authorised and which is capable of being authorised at law. No authorisation shall be required pursuant to Article 24 of any such situation or matter authorised by this Article 24.1 and, without limitation, no Director shall, by reason of his holding office as a Director of the Company (or of the fiduciary relationship established by his holding that office), be liable to account to the Company for any remuneration, profit or other benefit received as a result of any interest permitted by this Article and no transaction or arrangement shall be liable to be avoided by reason of any Director having any interest or having received any benefit permitted by this Article.</w:t>
      </w:r>
    </w:p>
    <w:p>
      <w:pPr>
        <w:spacing w:after="0" w:line="157" w:lineRule="exact"/>
        <w:rPr>
          <w:sz w:val="20"/>
          <w:szCs w:val="20"/>
          <w:color w:val="auto"/>
        </w:rPr>
      </w:pPr>
    </w:p>
    <w:p>
      <w:pPr>
        <w:ind w:left="580" w:right="200" w:hanging="586"/>
        <w:spacing w:after="0" w:line="285" w:lineRule="auto"/>
        <w:tabs>
          <w:tab w:leader="none" w:pos="560" w:val="left"/>
        </w:tabs>
        <w:rPr>
          <w:sz w:val="20"/>
          <w:szCs w:val="20"/>
          <w:color w:val="auto"/>
        </w:rPr>
      </w:pPr>
      <w:r>
        <w:rPr>
          <w:rFonts w:ascii="Arial" w:cs="Arial" w:eastAsia="Arial" w:hAnsi="Arial"/>
          <w:sz w:val="16"/>
          <w:szCs w:val="16"/>
          <w:color w:val="auto"/>
        </w:rPr>
        <w:t>24.2</w:t>
      </w:r>
      <w:r>
        <w:rPr>
          <w:sz w:val="20"/>
          <w:szCs w:val="20"/>
          <w:color w:val="auto"/>
        </w:rPr>
        <w:tab/>
      </w:r>
      <w:r>
        <w:rPr>
          <w:rFonts w:ascii="Arial" w:cs="Arial" w:eastAsia="Arial" w:hAnsi="Arial"/>
          <w:sz w:val="16"/>
          <w:szCs w:val="16"/>
          <w:color w:val="auto"/>
        </w:rPr>
        <w:t>The authorisations given pursuant to and the other provisions of Article 24.1 shall extend to and include, without limitation, direct or indirect interests of a Director which arise (or which may potentially arise) due to:</w:t>
      </w:r>
    </w:p>
    <w:p>
      <w:pPr>
        <w:spacing w:after="0" w:line="150" w:lineRule="exact"/>
        <w:rPr>
          <w:sz w:val="20"/>
          <w:szCs w:val="20"/>
          <w:color w:val="auto"/>
        </w:rPr>
      </w:pPr>
    </w:p>
    <w:p>
      <w:pPr>
        <w:ind w:left="1180" w:right="240" w:hanging="595"/>
        <w:spacing w:after="0" w:line="270" w:lineRule="auto"/>
        <w:tabs>
          <w:tab w:leader="none" w:pos="117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any transaction entered into by the Director or any holder of the majority of the voting rights attaching to the issued share capital of the Company or any Associate of that holder in relation to shares (or securities convertible into shares) debentures or other securities in (a) the Company; or (b) such holder or any such Associate of such holder;</w:t>
      </w:r>
    </w:p>
    <w:p>
      <w:pPr>
        <w:spacing w:after="0" w:line="161" w:lineRule="exact"/>
        <w:rPr>
          <w:rFonts w:ascii="Arial" w:cs="Arial" w:eastAsia="Arial" w:hAnsi="Arial"/>
          <w:sz w:val="16"/>
          <w:szCs w:val="16"/>
          <w:color w:val="auto"/>
        </w:rPr>
      </w:pPr>
    </w:p>
    <w:p>
      <w:pPr>
        <w:ind w:left="1180" w:right="40" w:hanging="595"/>
        <w:spacing w:after="0" w:line="320" w:lineRule="auto"/>
        <w:tabs>
          <w:tab w:leader="none" w:pos="1187" w:val="left"/>
        </w:tabs>
        <w:numPr>
          <w:ilvl w:val="0"/>
          <w:numId w:val="225"/>
        </w:numPr>
        <w:rPr>
          <w:rFonts w:ascii="Arial" w:cs="Arial" w:eastAsia="Arial" w:hAnsi="Arial"/>
          <w:sz w:val="15"/>
          <w:szCs w:val="15"/>
          <w:color w:val="auto"/>
        </w:rPr>
      </w:pPr>
      <w:r>
        <w:rPr>
          <w:rFonts w:ascii="Arial" w:cs="Arial" w:eastAsia="Arial" w:hAnsi="Arial"/>
          <w:sz w:val="15"/>
          <w:szCs w:val="15"/>
          <w:color w:val="auto"/>
        </w:rPr>
        <w:t>any guarantee, security or indemnity given or proposed to be given by any Group Company to, or to any person for the benefit of, any holder of the majority of the voting rights attaching to the issued share capital of the Company or, where such holder is a company, any Associate of that holder;</w:t>
      </w:r>
    </w:p>
    <w:p>
      <w:pPr>
        <w:spacing w:after="0" w:line="126" w:lineRule="exact"/>
        <w:rPr>
          <w:rFonts w:ascii="Arial" w:cs="Arial" w:eastAsia="Arial" w:hAnsi="Arial"/>
          <w:sz w:val="15"/>
          <w:szCs w:val="15"/>
          <w:color w:val="auto"/>
        </w:rPr>
      </w:pPr>
    </w:p>
    <w:p>
      <w:pPr>
        <w:ind w:left="1180" w:hanging="595"/>
        <w:spacing w:after="0"/>
        <w:tabs>
          <w:tab w:leader="none" w:pos="11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recommendation, declaration and payment of any dividend or other distribution by the Company;</w:t>
      </w:r>
    </w:p>
    <w:p>
      <w:pPr>
        <w:spacing w:after="0" w:line="207" w:lineRule="exact"/>
        <w:rPr>
          <w:rFonts w:ascii="Arial" w:cs="Arial" w:eastAsia="Arial" w:hAnsi="Arial"/>
          <w:sz w:val="16"/>
          <w:szCs w:val="16"/>
          <w:color w:val="auto"/>
        </w:rPr>
      </w:pPr>
    </w:p>
    <w:p>
      <w:pPr>
        <w:ind w:left="1180" w:right="140" w:hanging="595"/>
        <w:spacing w:after="0" w:line="270" w:lineRule="auto"/>
        <w:tabs>
          <w:tab w:leader="none" w:pos="118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any transaction or arrangement proposed, made, terminated or varied between the Company and any holder of the majority of the voting rights attaching to the issued share capital of the Company or any Associate of that holder including without limitation transactions or arrangements relating to the sale and supply of goods and services, the borrowing or advancing of money and the use of property and other assets; and</w:t>
      </w:r>
    </w:p>
    <w:p>
      <w:pPr>
        <w:spacing w:after="0" w:line="161" w:lineRule="exact"/>
        <w:rPr>
          <w:rFonts w:ascii="Arial" w:cs="Arial" w:eastAsia="Arial" w:hAnsi="Arial"/>
          <w:sz w:val="16"/>
          <w:szCs w:val="16"/>
          <w:color w:val="auto"/>
        </w:rPr>
      </w:pPr>
    </w:p>
    <w:p>
      <w:pPr>
        <w:ind w:left="1180" w:right="160" w:hanging="595"/>
        <w:spacing w:after="0" w:line="285" w:lineRule="auto"/>
        <w:tabs>
          <w:tab w:leader="none" w:pos="119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any claim or right arising between the Company and any holder of the majority of the voting rights attaching to the issued share capital of the Company or any Associate of that holder.</w:t>
      </w:r>
    </w:p>
    <w:p>
      <w:pPr>
        <w:spacing w:after="0" w:line="150" w:lineRule="exact"/>
        <w:rPr>
          <w:sz w:val="20"/>
          <w:szCs w:val="20"/>
          <w:color w:val="auto"/>
        </w:rPr>
      </w:pPr>
    </w:p>
    <w:p>
      <w:pPr>
        <w:ind w:left="580" w:right="460" w:hanging="586"/>
        <w:spacing w:after="0" w:line="285" w:lineRule="auto"/>
        <w:tabs>
          <w:tab w:leader="none" w:pos="560" w:val="left"/>
        </w:tabs>
        <w:rPr>
          <w:sz w:val="20"/>
          <w:szCs w:val="20"/>
          <w:color w:val="auto"/>
        </w:rPr>
      </w:pPr>
      <w:r>
        <w:rPr>
          <w:rFonts w:ascii="Arial" w:cs="Arial" w:eastAsia="Arial" w:hAnsi="Arial"/>
          <w:sz w:val="16"/>
          <w:szCs w:val="16"/>
          <w:color w:val="auto"/>
        </w:rPr>
        <w:t>24.3</w:t>
      </w:r>
      <w:r>
        <w:rPr>
          <w:sz w:val="20"/>
          <w:szCs w:val="20"/>
          <w:color w:val="auto"/>
        </w:rPr>
        <w:tab/>
      </w:r>
      <w:r>
        <w:rPr>
          <w:rFonts w:ascii="Arial" w:cs="Arial" w:eastAsia="Arial" w:hAnsi="Arial"/>
          <w:sz w:val="16"/>
          <w:szCs w:val="16"/>
          <w:color w:val="auto"/>
        </w:rPr>
        <w:t>It shall be a term and condition of the authorisation given pursuant to Article 24.5 that the Director shall not be entitled to vote or participate in any discussions relating to the exercise, enforcement or pursuance of any claim or right so authorised.</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24.4</w:t>
      </w:r>
      <w:r>
        <w:rPr>
          <w:sz w:val="20"/>
          <w:szCs w:val="20"/>
          <w:color w:val="auto"/>
        </w:rPr>
        <w:tab/>
      </w:r>
      <w:r>
        <w:rPr>
          <w:rFonts w:ascii="Arial" w:cs="Arial" w:eastAsia="Arial" w:hAnsi="Arial"/>
          <w:sz w:val="14"/>
          <w:szCs w:val="14"/>
          <w:color w:val="auto"/>
        </w:rPr>
        <w:t>For the purposes of Articles 24.1 and 24.2 an interest of: (a) a person who is connected with a Director (within the meaning of section 252 of the 2006 Act); and</w:t>
      </w:r>
    </w:p>
    <w:p>
      <w:pPr>
        <w:spacing w:after="0" w:line="23" w:lineRule="exact"/>
        <w:rPr>
          <w:sz w:val="20"/>
          <w:szCs w:val="20"/>
          <w:color w:val="auto"/>
        </w:rPr>
      </w:pPr>
    </w:p>
    <w:p>
      <w:pPr>
        <w:ind w:left="5640" w:right="4020" w:hanging="5055"/>
        <w:spacing w:after="0" w:line="525" w:lineRule="auto"/>
        <w:tabs>
          <w:tab w:leader="none" w:pos="82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appointor in relation to any alternate, shall be treated as an interest of the Director or alternate (as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802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353" w:name="page354"/>
    <w:bookmarkEnd w:id="353"/>
    <w:p>
      <w:pPr>
        <w:ind w:left="582"/>
        <w:spacing w:after="0"/>
        <w:rPr>
          <w:sz w:val="20"/>
          <w:szCs w:val="20"/>
          <w:color w:val="auto"/>
        </w:rPr>
      </w:pPr>
      <w:r>
        <w:rPr>
          <w:rFonts w:ascii="Arial" w:cs="Arial" w:eastAsia="Arial" w:hAnsi="Arial"/>
          <w:sz w:val="16"/>
          <w:szCs w:val="16"/>
          <w:color w:val="auto"/>
        </w:rPr>
        <w:t>appropriate), in each case in addition to any interest which the Director or alternate otherwise has.</w:t>
      </w:r>
    </w:p>
    <w:p>
      <w:pPr>
        <w:spacing w:after="0" w:line="207" w:lineRule="exact"/>
        <w:rPr>
          <w:sz w:val="20"/>
          <w:szCs w:val="20"/>
          <w:color w:val="auto"/>
        </w:rPr>
      </w:pPr>
    </w:p>
    <w:p>
      <w:pPr>
        <w:ind w:left="582" w:right="140" w:hanging="586"/>
        <w:spacing w:after="0" w:line="262" w:lineRule="auto"/>
        <w:tabs>
          <w:tab w:leader="none" w:pos="562" w:val="left"/>
        </w:tabs>
        <w:rPr>
          <w:sz w:val="20"/>
          <w:szCs w:val="20"/>
          <w:color w:val="auto"/>
        </w:rPr>
      </w:pPr>
      <w:r>
        <w:rPr>
          <w:rFonts w:ascii="Arial" w:cs="Arial" w:eastAsia="Arial" w:hAnsi="Arial"/>
          <w:sz w:val="16"/>
          <w:szCs w:val="16"/>
          <w:color w:val="auto"/>
        </w:rPr>
        <w:t>24.5</w:t>
      </w:r>
      <w:r>
        <w:rPr>
          <w:sz w:val="20"/>
          <w:szCs w:val="20"/>
          <w:color w:val="auto"/>
        </w:rPr>
        <w:tab/>
      </w:r>
      <w:r>
        <w:rPr>
          <w:rFonts w:ascii="Arial" w:cs="Arial" w:eastAsia="Arial" w:hAnsi="Arial"/>
          <w:sz w:val="16"/>
          <w:szCs w:val="16"/>
          <w:color w:val="auto"/>
        </w:rPr>
        <w:t>In relation to transactions or arrangements with the Company, the Director shall declare the nature and extent of any interest authorised under Articles 24.1 and 24.2 in any way permitted by the 2006 Act and shall only be required to make such disclosure to the extent required to do so under the 2006 Act. In relation to other situations of actual or potential conflict of interest, the Director shall declare the nature and extent of his interest at a meeting of the Directors, or as otherwise determined by the Directors, but shall not be required to declare the nature and extent of his interest to the extent that the other Directors are already aware of the interest and its extent.</w:t>
      </w:r>
    </w:p>
    <w:p>
      <w:pPr>
        <w:spacing w:after="0" w:line="17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24.6</w:t>
      </w:r>
      <w:r>
        <w:rPr>
          <w:sz w:val="20"/>
          <w:szCs w:val="20"/>
          <w:color w:val="auto"/>
        </w:rPr>
        <w:tab/>
      </w:r>
      <w:r>
        <w:rPr>
          <w:rFonts w:ascii="Arial" w:cs="Arial" w:eastAsia="Arial" w:hAnsi="Arial"/>
          <w:sz w:val="14"/>
          <w:szCs w:val="14"/>
          <w:color w:val="auto"/>
        </w:rPr>
        <w:t>Regulation 85 shall not apply.</w:t>
      </w:r>
    </w:p>
    <w:p>
      <w:pPr>
        <w:spacing w:after="0" w:line="203" w:lineRule="exact"/>
        <w:rPr>
          <w:sz w:val="20"/>
          <w:szCs w:val="20"/>
          <w:color w:val="auto"/>
        </w:rPr>
      </w:pPr>
    </w:p>
    <w:p>
      <w:pPr>
        <w:ind w:left="582" w:hanging="582"/>
        <w:spacing w:after="0"/>
        <w:tabs>
          <w:tab w:leader="none" w:pos="582" w:val="left"/>
        </w:tabs>
        <w:numPr>
          <w:ilvl w:val="0"/>
          <w:numId w:val="227"/>
        </w:numPr>
        <w:rPr>
          <w:rFonts w:ascii="Arial" w:cs="Arial" w:eastAsia="Arial" w:hAnsi="Arial"/>
          <w:sz w:val="16"/>
          <w:szCs w:val="16"/>
          <w:b w:val="1"/>
          <w:bCs w:val="1"/>
          <w:color w:val="auto"/>
        </w:rPr>
      </w:pPr>
      <w:r>
        <w:rPr>
          <w:rFonts w:ascii="Arial" w:cs="Arial" w:eastAsia="Arial" w:hAnsi="Arial"/>
          <w:sz w:val="16"/>
          <w:szCs w:val="16"/>
          <w:b w:val="1"/>
          <w:bCs w:val="1"/>
          <w:color w:val="auto"/>
        </w:rPr>
        <w:t>AUTHORISATION OF CONFLICTS OF INTEREST</w:t>
      </w:r>
    </w:p>
    <w:p>
      <w:pPr>
        <w:spacing w:after="0" w:line="207" w:lineRule="exact"/>
        <w:rPr>
          <w:sz w:val="20"/>
          <w:szCs w:val="20"/>
          <w:color w:val="auto"/>
        </w:rPr>
      </w:pPr>
    </w:p>
    <w:p>
      <w:pPr>
        <w:ind w:left="582" w:right="100" w:hanging="586"/>
        <w:spacing w:after="0" w:line="267" w:lineRule="auto"/>
        <w:tabs>
          <w:tab w:leader="none" w:pos="562" w:val="left"/>
        </w:tabs>
        <w:rPr>
          <w:sz w:val="20"/>
          <w:szCs w:val="20"/>
          <w:color w:val="auto"/>
        </w:rPr>
      </w:pPr>
      <w:r>
        <w:rPr>
          <w:rFonts w:ascii="Arial" w:cs="Arial" w:eastAsia="Arial" w:hAnsi="Arial"/>
          <w:sz w:val="16"/>
          <w:szCs w:val="16"/>
          <w:color w:val="auto"/>
        </w:rPr>
        <w:t>25.1</w:t>
      </w:r>
      <w:r>
        <w:rPr>
          <w:sz w:val="20"/>
          <w:szCs w:val="20"/>
          <w:color w:val="auto"/>
        </w:rPr>
        <w:tab/>
      </w:r>
      <w:r>
        <w:rPr>
          <w:rFonts w:ascii="Arial" w:cs="Arial" w:eastAsia="Arial" w:hAnsi="Arial"/>
          <w:sz w:val="16"/>
          <w:szCs w:val="16"/>
          <w:color w:val="auto"/>
        </w:rPr>
        <w:t>Any matter (a “</w:t>
      </w:r>
      <w:r>
        <w:rPr>
          <w:rFonts w:ascii="Arial" w:cs="Arial" w:eastAsia="Arial" w:hAnsi="Arial"/>
          <w:sz w:val="16"/>
          <w:szCs w:val="16"/>
          <w:b w:val="1"/>
          <w:bCs w:val="1"/>
          <w:color w:val="auto"/>
        </w:rPr>
        <w:t>Relevant Matter</w:t>
      </w:r>
      <w:r>
        <w:rPr>
          <w:rFonts w:ascii="Arial" w:cs="Arial" w:eastAsia="Arial" w:hAnsi="Arial"/>
          <w:sz w:val="16"/>
          <w:szCs w:val="16"/>
          <w:color w:val="auto"/>
        </w:rPr>
        <w:t>”) which would otherwise constitute or give rise to a breach by a Director of his duty under section 175 of the 2006 Act to avoid a situation in which he has, or can have, a direct or indirect interest that conflicts or possibly may conflict with the interests of the Company (including a breach which would arise by virtue of his appointment as a Director) may be authorised by the Directors to the fullest extent permitted by law in accordance with the provisions of Articles 24.2 to 24.4.</w:t>
      </w:r>
    </w:p>
    <w:p>
      <w:pPr>
        <w:spacing w:after="0" w:line="163" w:lineRule="exact"/>
        <w:rPr>
          <w:sz w:val="20"/>
          <w:szCs w:val="20"/>
          <w:color w:val="auto"/>
        </w:rPr>
      </w:pPr>
    </w:p>
    <w:p>
      <w:pPr>
        <w:ind w:left="582" w:hanging="586"/>
        <w:spacing w:after="0" w:line="262" w:lineRule="auto"/>
        <w:tabs>
          <w:tab w:leader="none" w:pos="562" w:val="left"/>
        </w:tabs>
        <w:rPr>
          <w:sz w:val="20"/>
          <w:szCs w:val="20"/>
          <w:color w:val="auto"/>
        </w:rPr>
      </w:pPr>
      <w:r>
        <w:rPr>
          <w:rFonts w:ascii="Arial" w:cs="Arial" w:eastAsia="Arial" w:hAnsi="Arial"/>
          <w:sz w:val="16"/>
          <w:szCs w:val="16"/>
          <w:color w:val="auto"/>
        </w:rPr>
        <w:t>25.2</w:t>
      </w:r>
      <w:r>
        <w:rPr>
          <w:sz w:val="20"/>
          <w:szCs w:val="20"/>
          <w:color w:val="auto"/>
        </w:rPr>
        <w:tab/>
      </w:r>
      <w:r>
        <w:rPr>
          <w:rFonts w:ascii="Arial" w:cs="Arial" w:eastAsia="Arial" w:hAnsi="Arial"/>
          <w:sz w:val="16"/>
          <w:szCs w:val="16"/>
          <w:color w:val="auto"/>
        </w:rPr>
        <w:t>Any Director may propose that a Relevant Matter be authorised by the Directors. Such proposal and any authorisation given by the Directors shall be effected in the same way as any other matter may be proposed to, and resolved upon by, the Directors (or in such other manner as the Directors may approve) in accordance with these Articles, except that no authorisation shall be effective unless the requirements of section 175(6) of the 2006 Act have been complied with. Any authorisation of a matter pursuant to this Article 25 shall, unless it states otherwise, extend to any actual or potential conflict of interest which may reasonably be expected to arise out of the matter so authorised.</w:t>
      </w:r>
    </w:p>
    <w:p>
      <w:pPr>
        <w:spacing w:after="0" w:line="170" w:lineRule="exact"/>
        <w:rPr>
          <w:sz w:val="20"/>
          <w:szCs w:val="20"/>
          <w:color w:val="auto"/>
        </w:rPr>
      </w:pPr>
    </w:p>
    <w:p>
      <w:pPr>
        <w:ind w:left="582" w:right="80" w:hanging="586"/>
        <w:spacing w:after="0" w:line="262" w:lineRule="auto"/>
        <w:tabs>
          <w:tab w:leader="none" w:pos="562" w:val="left"/>
        </w:tabs>
        <w:rPr>
          <w:sz w:val="20"/>
          <w:szCs w:val="20"/>
          <w:color w:val="auto"/>
        </w:rPr>
      </w:pPr>
      <w:r>
        <w:rPr>
          <w:rFonts w:ascii="Arial" w:cs="Arial" w:eastAsia="Arial" w:hAnsi="Arial"/>
          <w:sz w:val="16"/>
          <w:szCs w:val="16"/>
          <w:color w:val="auto"/>
        </w:rPr>
        <w:t>25.3</w:t>
      </w:r>
      <w:r>
        <w:rPr>
          <w:sz w:val="20"/>
          <w:szCs w:val="20"/>
          <w:color w:val="auto"/>
        </w:rPr>
        <w:tab/>
      </w:r>
      <w:r>
        <w:rPr>
          <w:rFonts w:ascii="Arial" w:cs="Arial" w:eastAsia="Arial" w:hAnsi="Arial"/>
          <w:sz w:val="16"/>
          <w:szCs w:val="16"/>
          <w:color w:val="auto"/>
        </w:rPr>
        <w:t>Any authorisation of a matter under Article 25.1 shall be subject to such terms, conditions and limitations as the Directors may specify, whether at the time of giving the authorisation or subsequently. The Directors or the members may terminate or vary (including by imposing new terms, conditions and limitations in relation to) any authorisation given under this Article 25 or under Article 25.1 for the purpose of section 175 of the 2006 Act at any time, but no such termination or variation shall be of retrospective effect. The Director concerned must act in accordance with any terms, conditions or limitations specified by the Directors or the members in accordance with this Article.</w:t>
      </w:r>
    </w:p>
    <w:p>
      <w:pPr>
        <w:spacing w:after="0" w:line="170" w:lineRule="exact"/>
        <w:rPr>
          <w:sz w:val="20"/>
          <w:szCs w:val="20"/>
          <w:color w:val="auto"/>
        </w:rPr>
      </w:pPr>
    </w:p>
    <w:p>
      <w:pPr>
        <w:ind w:left="582" w:right="160" w:hanging="586"/>
        <w:spacing w:after="0" w:line="326" w:lineRule="auto"/>
        <w:tabs>
          <w:tab w:leader="none" w:pos="562" w:val="left"/>
        </w:tabs>
        <w:rPr>
          <w:sz w:val="20"/>
          <w:szCs w:val="20"/>
          <w:color w:val="auto"/>
        </w:rPr>
      </w:pPr>
      <w:r>
        <w:rPr>
          <w:rFonts w:ascii="Arial" w:cs="Arial" w:eastAsia="Arial" w:hAnsi="Arial"/>
          <w:sz w:val="16"/>
          <w:szCs w:val="16"/>
          <w:color w:val="auto"/>
        </w:rPr>
        <w:t>25.4</w:t>
      </w:r>
      <w:r>
        <w:rPr>
          <w:sz w:val="20"/>
          <w:szCs w:val="20"/>
          <w:color w:val="auto"/>
        </w:rPr>
        <w:tab/>
      </w:r>
      <w:r>
        <w:rPr>
          <w:rFonts w:ascii="Arial" w:cs="Arial" w:eastAsia="Arial" w:hAnsi="Arial"/>
          <w:sz w:val="14"/>
          <w:szCs w:val="14"/>
          <w:color w:val="auto"/>
        </w:rPr>
        <w:t>No Director shall, by reason of his office as Director of the Company (or by reason of the fiduciary relationship established by holding that office), be liable to account to the Company for any benefit derived from any Relevant Matter to the extent that the Relevant Matter has been authorised by the Directors in accordance with this Article 25. No transaction or arrangement shall be liable to be avoided by reason of any interest of a Director to the extent that it has been so authorised.</w:t>
      </w:r>
    </w:p>
    <w:p>
      <w:pPr>
        <w:spacing w:after="0" w:line="126" w:lineRule="exact"/>
        <w:rPr>
          <w:sz w:val="20"/>
          <w:szCs w:val="20"/>
          <w:color w:val="auto"/>
        </w:rPr>
      </w:pPr>
    </w:p>
    <w:p>
      <w:pPr>
        <w:ind w:left="582" w:right="40" w:hanging="586"/>
        <w:spacing w:after="0" w:line="308" w:lineRule="auto"/>
        <w:tabs>
          <w:tab w:leader="none" w:pos="562" w:val="left"/>
        </w:tabs>
        <w:rPr>
          <w:sz w:val="20"/>
          <w:szCs w:val="20"/>
          <w:color w:val="auto"/>
        </w:rPr>
      </w:pPr>
      <w:r>
        <w:rPr>
          <w:rFonts w:ascii="Arial" w:cs="Arial" w:eastAsia="Arial" w:hAnsi="Arial"/>
          <w:sz w:val="16"/>
          <w:szCs w:val="16"/>
          <w:color w:val="auto"/>
        </w:rPr>
        <w:t>25.5</w:t>
      </w:r>
      <w:r>
        <w:rPr>
          <w:sz w:val="20"/>
          <w:szCs w:val="20"/>
          <w:color w:val="auto"/>
        </w:rPr>
        <w:tab/>
      </w:r>
      <w:r>
        <w:rPr>
          <w:rFonts w:ascii="Arial" w:cs="Arial" w:eastAsia="Arial" w:hAnsi="Arial"/>
          <w:sz w:val="14"/>
          <w:szCs w:val="14"/>
          <w:color w:val="auto"/>
        </w:rPr>
        <w:t>Notwithstanding the other provisions of this Article 25, the members of the Company shall be entitled to authorise a Relevant Matter (whether or not authorisation has previously been requested from and/or refused by the Directors). The provisions of Articles 24.3 and 24.4 shall apply mutatis mutandis to any authorisation so given by the members save that the word “directors” or “directors or members” in any references to the authorisation being given by the Directors or by the Directors or the members and in any reference to any terms and conditions of authorisation being specified, imposed, varied or terminated by the Directors or by the Directors or the members shall be read only as the word “members”. Any authorisation, and the variation or termination of any authorisation by the members under</w:t>
      </w:r>
    </w:p>
    <w:p>
      <w:pPr>
        <w:spacing w:after="0" w:line="14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354" w:name="page355"/>
    <w:bookmarkEnd w:id="354"/>
    <w:p>
      <w:pPr>
        <w:ind w:left="582"/>
        <w:spacing w:after="0"/>
        <w:rPr>
          <w:sz w:val="20"/>
          <w:szCs w:val="20"/>
          <w:color w:val="auto"/>
        </w:rPr>
      </w:pPr>
      <w:r>
        <w:rPr>
          <w:rFonts w:ascii="Arial" w:cs="Arial" w:eastAsia="Arial" w:hAnsi="Arial"/>
          <w:sz w:val="16"/>
          <w:szCs w:val="16"/>
          <w:color w:val="auto"/>
        </w:rPr>
        <w:t>Article 25.3 or this Article shall be by ordinary resolution, save where any greater majority is otherwise required by the 2006 Act or other applicable law.</w:t>
      </w:r>
    </w:p>
    <w:p>
      <w:pPr>
        <w:spacing w:after="0" w:line="203" w:lineRule="exact"/>
        <w:rPr>
          <w:sz w:val="20"/>
          <w:szCs w:val="20"/>
          <w:color w:val="auto"/>
        </w:rPr>
      </w:pPr>
    </w:p>
    <w:p>
      <w:pPr>
        <w:ind w:left="582" w:hanging="582"/>
        <w:spacing w:after="0"/>
        <w:tabs>
          <w:tab w:leader="none" w:pos="582"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INTERESTS: GENERAL</w:t>
      </w:r>
    </w:p>
    <w:p>
      <w:pPr>
        <w:spacing w:after="0" w:line="211" w:lineRule="exact"/>
        <w:rPr>
          <w:sz w:val="20"/>
          <w:szCs w:val="20"/>
          <w:color w:val="auto"/>
        </w:rPr>
      </w:pPr>
    </w:p>
    <w:p>
      <w:pPr>
        <w:jc w:val="both"/>
        <w:ind w:left="582" w:hanging="586"/>
        <w:spacing w:after="0" w:line="270" w:lineRule="auto"/>
        <w:tabs>
          <w:tab w:leader="none" w:pos="562" w:val="left"/>
        </w:tabs>
        <w:rPr>
          <w:sz w:val="20"/>
          <w:szCs w:val="20"/>
          <w:color w:val="auto"/>
        </w:rPr>
      </w:pPr>
      <w:r>
        <w:rPr>
          <w:rFonts w:ascii="Arial" w:cs="Arial" w:eastAsia="Arial" w:hAnsi="Arial"/>
          <w:sz w:val="16"/>
          <w:szCs w:val="16"/>
          <w:color w:val="auto"/>
        </w:rPr>
        <w:t>26.1</w:t>
      </w:r>
      <w:r>
        <w:rPr>
          <w:sz w:val="20"/>
          <w:szCs w:val="20"/>
          <w:color w:val="auto"/>
        </w:rPr>
        <w:tab/>
      </w:r>
      <w:r>
        <w:rPr>
          <w:rFonts w:ascii="Arial" w:cs="Arial" w:eastAsia="Arial" w:hAnsi="Arial"/>
          <w:sz w:val="16"/>
          <w:szCs w:val="16"/>
          <w:color w:val="auto"/>
        </w:rPr>
        <w:t>Where this Article applies, a Director shall be deemed to have the authority, without breaching the general duties he owes to the Company by virtue of sections 171 to 177 of the 2006 Act to (and shall if so requested by the other Directors or the members) take such steps as may be necessary or desirable for the purpose of managing any conflict of interest to which this Article 26.1 applies, including (without limitation) by:</w:t>
      </w:r>
    </w:p>
    <w:p>
      <w:pPr>
        <w:spacing w:after="0" w:line="162" w:lineRule="exact"/>
        <w:rPr>
          <w:sz w:val="20"/>
          <w:szCs w:val="20"/>
          <w:color w:val="auto"/>
        </w:rPr>
      </w:pPr>
    </w:p>
    <w:p>
      <w:pPr>
        <w:ind w:left="1182" w:right="380" w:hanging="595"/>
        <w:spacing w:after="0" w:line="285" w:lineRule="auto"/>
        <w:tabs>
          <w:tab w:leader="none" w:pos="11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complying with any procedures laid down from time to time by the Directors for the purpose of managing conflicts of interest generally or any specific procedures approved by the Directors in relation to the situation, matter or interest in question;</w:t>
      </w:r>
    </w:p>
    <w:p>
      <w:pPr>
        <w:spacing w:after="0" w:line="149" w:lineRule="exact"/>
        <w:rPr>
          <w:rFonts w:ascii="Arial" w:cs="Arial" w:eastAsia="Arial" w:hAnsi="Arial"/>
          <w:sz w:val="16"/>
          <w:szCs w:val="16"/>
          <w:color w:val="auto"/>
        </w:rPr>
      </w:pPr>
    </w:p>
    <w:p>
      <w:pPr>
        <w:jc w:val="both"/>
        <w:ind w:left="1182" w:right="80" w:hanging="595"/>
        <w:spacing w:after="0" w:line="270" w:lineRule="auto"/>
        <w:tabs>
          <w:tab w:leader="none" w:pos="118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excluding himself from attending and voting at board meetings to the extent relating to such situation, matter or interest or from participating in discussions (whether at meetings of the board or otherwise), or receiving documents or information, relating to any such situation, matter or interest (including without limitation, notice of meetings, board papers, minutes or draft minutes and legal advice given to the Company);</w:t>
      </w:r>
    </w:p>
    <w:p>
      <w:pPr>
        <w:spacing w:after="0" w:line="161" w:lineRule="exact"/>
        <w:rPr>
          <w:rFonts w:ascii="Arial" w:cs="Arial" w:eastAsia="Arial" w:hAnsi="Arial"/>
          <w:sz w:val="16"/>
          <w:szCs w:val="16"/>
          <w:color w:val="auto"/>
        </w:rPr>
      </w:pPr>
    </w:p>
    <w:p>
      <w:pPr>
        <w:ind w:left="1182" w:right="220" w:hanging="595"/>
        <w:spacing w:after="0" w:line="285" w:lineRule="auto"/>
        <w:tabs>
          <w:tab w:leader="none" w:pos="119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arranging for documents or information relating to any such situation, matter or interest to be reviewed by a professional adviser to ascertain the extent to which it might be appropriate for him to have access to such documents or information; and/or</w:t>
      </w:r>
    </w:p>
    <w:p>
      <w:pPr>
        <w:spacing w:after="0" w:line="149" w:lineRule="exact"/>
        <w:rPr>
          <w:rFonts w:ascii="Arial" w:cs="Arial" w:eastAsia="Arial" w:hAnsi="Arial"/>
          <w:sz w:val="16"/>
          <w:szCs w:val="16"/>
          <w:color w:val="auto"/>
        </w:rPr>
      </w:pPr>
    </w:p>
    <w:p>
      <w:pPr>
        <w:ind w:left="1182" w:right="60" w:hanging="595"/>
        <w:spacing w:after="0" w:line="270" w:lineRule="auto"/>
        <w:tabs>
          <w:tab w:leader="none" w:pos="118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not disclosing to the Company, or not using in relation to the Company’s affairs, information which he obtains or has obtained otherwise than through his position as a Director of the Company which relates to a situation, matter or interest and which is confidential to a third party, where to do so would amount to a breach of confidence or breach of duty to the third party.</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26.2</w:t>
      </w:r>
      <w:r>
        <w:rPr>
          <w:sz w:val="20"/>
          <w:szCs w:val="20"/>
          <w:color w:val="auto"/>
        </w:rPr>
        <w:tab/>
      </w:r>
      <w:r>
        <w:rPr>
          <w:rFonts w:ascii="Arial" w:cs="Arial" w:eastAsia="Arial" w:hAnsi="Arial"/>
          <w:sz w:val="14"/>
          <w:szCs w:val="14"/>
          <w:color w:val="auto"/>
        </w:rPr>
        <w:t>Article 26.1 shall apply where a Director has or could have:</w:t>
      </w:r>
    </w:p>
    <w:p>
      <w:pPr>
        <w:spacing w:after="0" w:line="207" w:lineRule="exact"/>
        <w:rPr>
          <w:sz w:val="20"/>
          <w:szCs w:val="20"/>
          <w:color w:val="auto"/>
        </w:rPr>
      </w:pPr>
    </w:p>
    <w:p>
      <w:pPr>
        <w:jc w:val="both"/>
        <w:ind w:left="1182" w:right="300" w:hanging="595"/>
        <w:spacing w:after="0" w:line="270" w:lineRule="auto"/>
        <w:tabs>
          <w:tab w:leader="none" w:pos="11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 direct or indirect interest that conflicts or possibly may conflict with the interests of the Company and provided that the interest or the existence of the situation or relationship leading to the interest has been authorised pursuant to Article 26.1 or Article 26 and unless otherwise specified by the terms and conditions of such authorisation; and</w:t>
      </w:r>
    </w:p>
    <w:p>
      <w:pPr>
        <w:spacing w:after="0" w:line="161" w:lineRule="exact"/>
        <w:rPr>
          <w:rFonts w:ascii="Arial" w:cs="Arial" w:eastAsia="Arial" w:hAnsi="Arial"/>
          <w:sz w:val="16"/>
          <w:szCs w:val="16"/>
          <w:color w:val="auto"/>
        </w:rPr>
      </w:pPr>
    </w:p>
    <w:p>
      <w:pPr>
        <w:ind w:left="1182" w:hanging="595"/>
        <w:spacing w:after="0" w:line="285" w:lineRule="auto"/>
        <w:tabs>
          <w:tab w:leader="none" w:pos="118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 direct or indirect interest in a transaction or arrangement with the Company and such interest has been declared to the other Directors to the extent required by the 2006 Act.</w:t>
      </w:r>
    </w:p>
    <w:p>
      <w:pPr>
        <w:spacing w:after="0" w:line="150" w:lineRule="exact"/>
        <w:rPr>
          <w:sz w:val="20"/>
          <w:szCs w:val="20"/>
          <w:color w:val="auto"/>
        </w:rPr>
      </w:pPr>
    </w:p>
    <w:p>
      <w:pPr>
        <w:ind w:left="582" w:hanging="586"/>
        <w:spacing w:after="0" w:line="265" w:lineRule="auto"/>
        <w:tabs>
          <w:tab w:leader="none" w:pos="562" w:val="left"/>
        </w:tabs>
        <w:rPr>
          <w:sz w:val="20"/>
          <w:szCs w:val="20"/>
          <w:color w:val="auto"/>
        </w:rPr>
      </w:pPr>
      <w:r>
        <w:rPr>
          <w:rFonts w:ascii="Arial" w:cs="Arial" w:eastAsia="Arial" w:hAnsi="Arial"/>
          <w:sz w:val="16"/>
          <w:szCs w:val="16"/>
          <w:color w:val="auto"/>
        </w:rPr>
        <w:t>26.3</w:t>
      </w:r>
      <w:r>
        <w:rPr>
          <w:sz w:val="20"/>
          <w:szCs w:val="20"/>
          <w:color w:val="auto"/>
        </w:rPr>
        <w:tab/>
      </w:r>
      <w:r>
        <w:rPr>
          <w:rFonts w:ascii="Arial" w:cs="Arial" w:eastAsia="Arial" w:hAnsi="Arial"/>
          <w:sz w:val="16"/>
          <w:szCs w:val="16"/>
          <w:color w:val="auto"/>
        </w:rPr>
        <w:t>Where a Director obtains or has obtained information, otherwise than through his position as a Director, which is confidential to a third party other than the Company, then provided that the duty of confidentiality does not arise out of a situation in which the Director has or may have a direct or indirect conflict of interest, the Director shall not be required to disclose such information to the Company or use it in relation to the Company’s affairs. This Article is without prejudice to the ability of a Director to withhold such information from the Company in accordance with the provisions of Article 26.1.</w:t>
      </w:r>
    </w:p>
    <w:p>
      <w:pPr>
        <w:spacing w:after="0" w:line="166" w:lineRule="exact"/>
        <w:rPr>
          <w:sz w:val="20"/>
          <w:szCs w:val="20"/>
          <w:color w:val="auto"/>
        </w:rPr>
      </w:pPr>
    </w:p>
    <w:p>
      <w:pPr>
        <w:ind w:left="582" w:right="280" w:hanging="586"/>
        <w:spacing w:after="0" w:line="320" w:lineRule="auto"/>
        <w:tabs>
          <w:tab w:leader="none" w:pos="562" w:val="left"/>
        </w:tabs>
        <w:rPr>
          <w:sz w:val="20"/>
          <w:szCs w:val="20"/>
          <w:color w:val="auto"/>
        </w:rPr>
      </w:pPr>
      <w:r>
        <w:rPr>
          <w:rFonts w:ascii="Arial" w:cs="Arial" w:eastAsia="Arial" w:hAnsi="Arial"/>
          <w:sz w:val="16"/>
          <w:szCs w:val="16"/>
          <w:color w:val="auto"/>
        </w:rPr>
        <w:t>26.4</w:t>
      </w:r>
      <w:r>
        <w:rPr>
          <w:sz w:val="20"/>
          <w:szCs w:val="20"/>
          <w:color w:val="auto"/>
        </w:rPr>
        <w:tab/>
      </w:r>
      <w:r>
        <w:rPr>
          <w:rFonts w:ascii="Arial" w:cs="Arial" w:eastAsia="Arial" w:hAnsi="Arial"/>
          <w:sz w:val="15"/>
          <w:szCs w:val="15"/>
          <w:color w:val="auto"/>
        </w:rPr>
        <w:t>Articles 26.1 and 26.3 are without prejudice to any equitable principle or rule of law which may otherwise excuse or release the Director from any requirement to disclose information or use information in relation to the Company’s affairs, participate in discussions or receive documents or information.</w:t>
      </w:r>
    </w:p>
    <w:p>
      <w:pPr>
        <w:spacing w:after="0" w:line="12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355" w:name="page356"/>
    <w:bookmarkEnd w:id="355"/>
    <w:p>
      <w:pPr>
        <w:ind w:left="2"/>
        <w:spacing w:after="0"/>
        <w:tabs>
          <w:tab w:leader="none" w:pos="562" w:val="left"/>
        </w:tabs>
        <w:rPr>
          <w:sz w:val="20"/>
          <w:szCs w:val="20"/>
          <w:color w:val="auto"/>
        </w:rPr>
      </w:pPr>
      <w:r>
        <w:rPr>
          <w:rFonts w:ascii="Arial" w:cs="Arial" w:eastAsia="Arial" w:hAnsi="Arial"/>
          <w:sz w:val="16"/>
          <w:szCs w:val="16"/>
          <w:color w:val="auto"/>
        </w:rPr>
        <w:t>26.5</w:t>
      </w:r>
      <w:r>
        <w:rPr>
          <w:sz w:val="20"/>
          <w:szCs w:val="20"/>
          <w:color w:val="auto"/>
        </w:rPr>
        <w:tab/>
      </w:r>
      <w:r>
        <w:rPr>
          <w:rFonts w:ascii="Arial" w:cs="Arial" w:eastAsia="Arial" w:hAnsi="Arial"/>
          <w:sz w:val="14"/>
          <w:szCs w:val="14"/>
          <w:color w:val="auto"/>
        </w:rPr>
        <w:t>For the purposes of Articles 24 to 26 references to a conflict of interest include a conflict of interest and duty and a conflict of duties.</w:t>
      </w:r>
    </w:p>
    <w:p>
      <w:pPr>
        <w:spacing w:after="0" w:line="203" w:lineRule="exact"/>
        <w:rPr>
          <w:sz w:val="20"/>
          <w:szCs w:val="20"/>
          <w:color w:val="auto"/>
        </w:rPr>
      </w:pPr>
    </w:p>
    <w:p>
      <w:pPr>
        <w:ind w:left="582" w:hanging="582"/>
        <w:spacing w:after="0"/>
        <w:tabs>
          <w:tab w:leader="none" w:pos="582"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t>WRITTEN RESOLUTIONS</w:t>
      </w:r>
    </w:p>
    <w:p>
      <w:pPr>
        <w:spacing w:after="0" w:line="211" w:lineRule="exact"/>
        <w:rPr>
          <w:sz w:val="20"/>
          <w:szCs w:val="20"/>
          <w:color w:val="auto"/>
        </w:rPr>
      </w:pPr>
    </w:p>
    <w:p>
      <w:pPr>
        <w:ind w:left="582" w:hanging="586"/>
        <w:spacing w:after="0" w:line="262" w:lineRule="auto"/>
        <w:tabs>
          <w:tab w:leader="none" w:pos="562" w:val="left"/>
        </w:tabs>
        <w:rPr>
          <w:sz w:val="20"/>
          <w:szCs w:val="20"/>
          <w:color w:val="auto"/>
        </w:rPr>
      </w:pPr>
      <w:r>
        <w:rPr>
          <w:rFonts w:ascii="Arial" w:cs="Arial" w:eastAsia="Arial" w:hAnsi="Arial"/>
          <w:sz w:val="16"/>
          <w:szCs w:val="16"/>
          <w:color w:val="auto"/>
        </w:rPr>
        <w:t>27.1</w:t>
      </w:r>
      <w:r>
        <w:rPr>
          <w:sz w:val="20"/>
          <w:szCs w:val="20"/>
          <w:color w:val="auto"/>
        </w:rPr>
        <w:tab/>
      </w:r>
      <w:r>
        <w:rPr>
          <w:rFonts w:ascii="Arial" w:cs="Arial" w:eastAsia="Arial" w:hAnsi="Arial"/>
          <w:sz w:val="16"/>
          <w:szCs w:val="16"/>
          <w:color w:val="auto"/>
        </w:rPr>
        <w:t>Any member holding no less than five percent (5%) of the voting rights of the Company may require the Company to circulate a written resolution and if any member does so, the provisions of sections 292(1) to (3) (inclusive) and sections 292(6), 293, 294 and 295 of the 2006 Act shall apply mutatis mutandis to that request as if it were a request made by members pursuant to section 292 of the 2006 Act save that the Company shall be required to ensure that copies of any written resolution so requested shall be sent or submitted to all members entitled to receive it not later than five (5) days after the date on which the Company received the request (whether or not it has then received an amount to meet its expenses in so doing).</w:t>
      </w:r>
    </w:p>
    <w:p>
      <w:pPr>
        <w:spacing w:after="0" w:line="17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27.2</w:t>
      </w:r>
      <w:r>
        <w:rPr>
          <w:sz w:val="20"/>
          <w:szCs w:val="20"/>
          <w:color w:val="auto"/>
        </w:rPr>
        <w:tab/>
      </w:r>
      <w:r>
        <w:rPr>
          <w:rFonts w:ascii="Arial" w:cs="Arial" w:eastAsia="Arial" w:hAnsi="Arial"/>
          <w:sz w:val="14"/>
          <w:szCs w:val="14"/>
          <w:color w:val="auto"/>
        </w:rPr>
        <w:t>In the event that any resolution referred to in Article 23.13 is proposed as a written resolution the form of written resolution shall:</w:t>
      </w:r>
    </w:p>
    <w:p>
      <w:pPr>
        <w:spacing w:after="0" w:line="207" w:lineRule="exact"/>
        <w:rPr>
          <w:sz w:val="20"/>
          <w:szCs w:val="20"/>
          <w:color w:val="auto"/>
        </w:rPr>
      </w:pPr>
    </w:p>
    <w:p>
      <w:pPr>
        <w:ind w:left="1182" w:right="100" w:hanging="595"/>
        <w:spacing w:after="0" w:line="285" w:lineRule="auto"/>
        <w:tabs>
          <w:tab w:leader="none" w:pos="11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provide for every eligible member to be able to indicate whether it is voting for the proposed resolution or against the proposed resolution (and if more than one (1) resolution is proposed, such voting alternatives shall be provided for each resolution); and</w:t>
      </w:r>
    </w:p>
    <w:p>
      <w:pPr>
        <w:spacing w:after="0" w:line="149" w:lineRule="exact"/>
        <w:rPr>
          <w:rFonts w:ascii="Arial" w:cs="Arial" w:eastAsia="Arial" w:hAnsi="Arial"/>
          <w:sz w:val="16"/>
          <w:szCs w:val="16"/>
          <w:color w:val="auto"/>
        </w:rPr>
      </w:pPr>
    </w:p>
    <w:p>
      <w:pPr>
        <w:ind w:left="1182" w:hanging="595"/>
        <w:spacing w:after="0" w:line="285" w:lineRule="auto"/>
        <w:tabs>
          <w:tab w:leader="none" w:pos="118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require such named individual to hold such authenticated documents on behalf of and as agent for the relevant member and not the Company until the earlier of:</w:t>
      </w:r>
    </w:p>
    <w:p>
      <w:pPr>
        <w:spacing w:after="0" w:line="149" w:lineRule="exact"/>
        <w:rPr>
          <w:rFonts w:ascii="Arial" w:cs="Arial" w:eastAsia="Arial" w:hAnsi="Arial"/>
          <w:sz w:val="16"/>
          <w:szCs w:val="16"/>
          <w:color w:val="auto"/>
        </w:rPr>
      </w:pPr>
    </w:p>
    <w:p>
      <w:pPr>
        <w:ind w:left="1182" w:right="360" w:hanging="595"/>
        <w:spacing w:after="0" w:line="270" w:lineRule="auto"/>
        <w:tabs>
          <w:tab w:leader="none" w:pos="119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date on which that named individual has received authenticated documents (indicating either a vote for or against the relevant resolution) from each eligible member whose votes, if cast against the resolution would (pursuant to Article 23.13) carry 50.01% of the votes capable of being cast on that resolution; and</w:t>
      </w:r>
    </w:p>
    <w:p>
      <w:pPr>
        <w:spacing w:after="0" w:line="161" w:lineRule="exact"/>
        <w:rPr>
          <w:rFonts w:ascii="Arial" w:cs="Arial" w:eastAsia="Arial" w:hAnsi="Arial"/>
          <w:sz w:val="16"/>
          <w:szCs w:val="16"/>
          <w:color w:val="auto"/>
        </w:rPr>
      </w:pPr>
    </w:p>
    <w:p>
      <w:pPr>
        <w:ind w:left="1182" w:hanging="595"/>
        <w:spacing w:after="0"/>
        <w:tabs>
          <w:tab w:leader="none" w:pos="118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day before the date on which the written resolution would otherwise lapse in accordance with section 297 of the 2006 Act,</w:t>
      </w:r>
    </w:p>
    <w:p>
      <w:pPr>
        <w:spacing w:after="0" w:line="207" w:lineRule="exact"/>
        <w:rPr>
          <w:sz w:val="20"/>
          <w:szCs w:val="20"/>
          <w:color w:val="auto"/>
        </w:rPr>
      </w:pPr>
    </w:p>
    <w:p>
      <w:pPr>
        <w:ind w:left="582" w:right="580"/>
        <w:spacing w:after="0" w:line="285" w:lineRule="auto"/>
        <w:rPr>
          <w:sz w:val="20"/>
          <w:szCs w:val="20"/>
          <w:color w:val="auto"/>
        </w:rPr>
      </w:pPr>
      <w:r>
        <w:rPr>
          <w:rFonts w:ascii="Arial" w:cs="Arial" w:eastAsia="Arial" w:hAnsi="Arial"/>
          <w:sz w:val="16"/>
          <w:szCs w:val="16"/>
          <w:color w:val="auto"/>
        </w:rPr>
        <w:t>at which time such named individual shall deliver all the authenticated documents held by him as agent of the eligible members to the Company. Any written resolution circulated by the Company shall contain language to effect the requirements of this Article 27.</w:t>
      </w:r>
    </w:p>
    <w:p>
      <w:pPr>
        <w:spacing w:after="0" w:line="146" w:lineRule="exact"/>
        <w:rPr>
          <w:sz w:val="20"/>
          <w:szCs w:val="20"/>
          <w:color w:val="auto"/>
        </w:rPr>
      </w:pPr>
    </w:p>
    <w:p>
      <w:pPr>
        <w:ind w:left="582" w:hanging="582"/>
        <w:spacing w:after="0"/>
        <w:tabs>
          <w:tab w:leader="none" w:pos="582"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DISQUALIFICATION OF DIRECTORS</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In addition to that provided in Regulation 81 of Table A, the office of a Director shall also be vacated if:</w:t>
      </w:r>
    </w:p>
    <w:p>
      <w:pPr>
        <w:spacing w:after="0" w:line="207" w:lineRule="exact"/>
        <w:rPr>
          <w:rFonts w:ascii="Arial" w:cs="Arial" w:eastAsia="Arial" w:hAnsi="Arial"/>
          <w:sz w:val="16"/>
          <w:szCs w:val="16"/>
          <w:b w:val="1"/>
          <w:bCs w:val="1"/>
          <w:color w:val="auto"/>
        </w:rPr>
      </w:pPr>
    </w:p>
    <w:p>
      <w:pPr>
        <w:ind w:left="1162" w:hanging="575"/>
        <w:spacing w:after="0"/>
        <w:tabs>
          <w:tab w:leader="none" w:pos="1162" w:val="left"/>
        </w:tabs>
        <w:numPr>
          <w:ilvl w:val="1"/>
          <w:numId w:val="233"/>
        </w:numPr>
        <w:rPr>
          <w:rFonts w:ascii="Arial" w:cs="Arial" w:eastAsia="Arial" w:hAnsi="Arial"/>
          <w:sz w:val="16"/>
          <w:szCs w:val="16"/>
          <w:color w:val="auto"/>
        </w:rPr>
      </w:pPr>
      <w:r>
        <w:rPr>
          <w:rFonts w:ascii="Arial" w:cs="Arial" w:eastAsia="Arial" w:hAnsi="Arial"/>
          <w:sz w:val="16"/>
          <w:szCs w:val="16"/>
          <w:color w:val="auto"/>
        </w:rPr>
        <w:t>he is convicted of a criminal offence (other than a minor motoring offence) and the Directors resolve that his, her or its office be vacated; or</w:t>
      </w:r>
    </w:p>
    <w:p>
      <w:pPr>
        <w:spacing w:after="0" w:line="207" w:lineRule="exact"/>
        <w:rPr>
          <w:rFonts w:ascii="Arial" w:cs="Arial" w:eastAsia="Arial" w:hAnsi="Arial"/>
          <w:sz w:val="16"/>
          <w:szCs w:val="16"/>
          <w:color w:val="auto"/>
        </w:rPr>
      </w:pPr>
    </w:p>
    <w:p>
      <w:pPr>
        <w:ind w:left="1182" w:right="40" w:hanging="595"/>
        <w:spacing w:after="0" w:line="285" w:lineRule="auto"/>
        <w:tabs>
          <w:tab w:leader="none" w:pos="1189" w:val="left"/>
        </w:tabs>
        <w:numPr>
          <w:ilvl w:val="1"/>
          <w:numId w:val="233"/>
        </w:numPr>
        <w:rPr>
          <w:rFonts w:ascii="Arial" w:cs="Arial" w:eastAsia="Arial" w:hAnsi="Arial"/>
          <w:sz w:val="16"/>
          <w:szCs w:val="16"/>
          <w:color w:val="auto"/>
        </w:rPr>
      </w:pPr>
      <w:r>
        <w:rPr>
          <w:rFonts w:ascii="Arial" w:cs="Arial" w:eastAsia="Arial" w:hAnsi="Arial"/>
          <w:sz w:val="16"/>
          <w:szCs w:val="16"/>
          <w:color w:val="auto"/>
        </w:rPr>
        <w:t>in the case of Directors, other than an Investor Director or a Founder Director, if a majority of his co-Directors serve notice on him in writing, removing him from office.</w:t>
      </w:r>
    </w:p>
    <w:p>
      <w:pPr>
        <w:spacing w:after="0" w:line="145" w:lineRule="exact"/>
        <w:rPr>
          <w:rFonts w:ascii="Arial" w:cs="Arial" w:eastAsia="Arial" w:hAnsi="Arial"/>
          <w:sz w:val="16"/>
          <w:szCs w:val="16"/>
          <w:color w:val="auto"/>
        </w:rPr>
      </w:pPr>
    </w:p>
    <w:p>
      <w:pPr>
        <w:ind w:left="582" w:hanging="582"/>
        <w:spacing w:after="0"/>
        <w:tabs>
          <w:tab w:leader="none" w:pos="582"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PROCEEDINGS OF DIRECTORS</w:t>
      </w:r>
    </w:p>
    <w:p>
      <w:pPr>
        <w:spacing w:after="0" w:line="211" w:lineRule="exact"/>
        <w:rPr>
          <w:sz w:val="20"/>
          <w:szCs w:val="20"/>
          <w:color w:val="auto"/>
        </w:rPr>
      </w:pPr>
    </w:p>
    <w:p>
      <w:pPr>
        <w:jc w:val="both"/>
        <w:ind w:left="582" w:right="20" w:hanging="586"/>
        <w:spacing w:after="0" w:line="265" w:lineRule="auto"/>
        <w:tabs>
          <w:tab w:leader="none" w:pos="562" w:val="left"/>
        </w:tabs>
        <w:rPr>
          <w:sz w:val="20"/>
          <w:szCs w:val="20"/>
          <w:color w:val="auto"/>
        </w:rPr>
      </w:pPr>
      <w:r>
        <w:rPr>
          <w:rFonts w:ascii="Arial" w:cs="Arial" w:eastAsia="Arial" w:hAnsi="Arial"/>
          <w:sz w:val="16"/>
          <w:szCs w:val="16"/>
          <w:color w:val="auto"/>
        </w:rPr>
        <w:t>29.1</w:t>
      </w:r>
      <w:r>
        <w:rPr>
          <w:sz w:val="20"/>
          <w:szCs w:val="20"/>
          <w:color w:val="auto"/>
        </w:rPr>
        <w:tab/>
      </w:r>
      <w:r>
        <w:rPr>
          <w:rFonts w:ascii="Arial" w:cs="Arial" w:eastAsia="Arial" w:hAnsi="Arial"/>
          <w:sz w:val="16"/>
          <w:szCs w:val="16"/>
          <w:color w:val="auto"/>
        </w:rPr>
        <w:t>The quorum for a Board meeting shall be a majority of the Directors in office and must include at least one Director appointed in accordance with Article 23.5 and/or Article 23.6. If such a quorum is not present within half an hour from the time appointed for the meeting, or if during a meeting such quorum ceases to be present, the meeting shall stand adjourned to the following day at the same time and place. If neither Director appointed in accordance with Article 23.5 or Article 23.6 is present at any such adjourned meeting within half an hour</w:t>
      </w:r>
    </w:p>
    <w:p>
      <w:pPr>
        <w:spacing w:after="0" w:line="16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356" w:name="page357"/>
    <w:bookmarkEnd w:id="356"/>
    <w:p>
      <w:pPr>
        <w:ind w:left="582"/>
        <w:spacing w:after="0" w:line="285" w:lineRule="auto"/>
        <w:rPr>
          <w:sz w:val="20"/>
          <w:szCs w:val="20"/>
          <w:color w:val="auto"/>
        </w:rPr>
      </w:pPr>
      <w:r>
        <w:rPr>
          <w:rFonts w:ascii="Arial" w:cs="Arial" w:eastAsia="Arial" w:hAnsi="Arial"/>
          <w:sz w:val="16"/>
          <w:szCs w:val="16"/>
          <w:color w:val="auto"/>
        </w:rPr>
        <w:t>from the time the adjourned meeting is scheduled to begin, then a quorum shall be deemed to be present providing a majority of the Directors in office are present and the adjourned meeting shall proceed.</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29.2</w:t>
      </w:r>
      <w:r>
        <w:rPr>
          <w:sz w:val="20"/>
          <w:szCs w:val="20"/>
          <w:color w:val="auto"/>
        </w:rPr>
        <w:tab/>
      </w:r>
      <w:r>
        <w:rPr>
          <w:rFonts w:ascii="Arial" w:cs="Arial" w:eastAsia="Arial" w:hAnsi="Arial"/>
          <w:sz w:val="15"/>
          <w:szCs w:val="15"/>
          <w:color w:val="auto"/>
        </w:rPr>
        <w:t>In its application to the Company Regulation 89 of Table A shall be modified:</w:t>
      </w:r>
    </w:p>
    <w:p>
      <w:pPr>
        <w:spacing w:after="0" w:line="207" w:lineRule="exact"/>
        <w:rPr>
          <w:sz w:val="20"/>
          <w:szCs w:val="20"/>
          <w:color w:val="auto"/>
        </w:rPr>
      </w:pPr>
    </w:p>
    <w:p>
      <w:pPr>
        <w:ind w:left="1162" w:hanging="575"/>
        <w:spacing w:after="0"/>
        <w:tabs>
          <w:tab w:leader="none" w:pos="116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by the deletion of the words “</w:t>
      </w:r>
      <w:r>
        <w:rPr>
          <w:rFonts w:ascii="Arial" w:cs="Arial" w:eastAsia="Arial" w:hAnsi="Arial"/>
          <w:sz w:val="16"/>
          <w:szCs w:val="16"/>
          <w:i w:val="1"/>
          <w:iCs w:val="1"/>
          <w:color w:val="auto"/>
        </w:rPr>
        <w:t>may be fixed by the Directors and unless so fixed at any other number</w:t>
      </w:r>
      <w:r>
        <w:rPr>
          <w:rFonts w:ascii="Arial" w:cs="Arial" w:eastAsia="Arial" w:hAnsi="Arial"/>
          <w:sz w:val="16"/>
          <w:szCs w:val="16"/>
          <w:color w:val="auto"/>
        </w:rPr>
        <w:t>” in the first sentence; and</w:t>
      </w:r>
    </w:p>
    <w:p>
      <w:pPr>
        <w:spacing w:after="0" w:line="207" w:lineRule="exact"/>
        <w:rPr>
          <w:rFonts w:ascii="Arial" w:cs="Arial" w:eastAsia="Arial" w:hAnsi="Arial"/>
          <w:sz w:val="16"/>
          <w:szCs w:val="16"/>
          <w:color w:val="auto"/>
        </w:rPr>
      </w:pPr>
    </w:p>
    <w:p>
      <w:pPr>
        <w:ind w:left="1182" w:right="100" w:hanging="595"/>
        <w:spacing w:after="0" w:line="360" w:lineRule="auto"/>
        <w:tabs>
          <w:tab w:leader="none" w:pos="1189" w:val="left"/>
        </w:tabs>
        <w:numPr>
          <w:ilvl w:val="0"/>
          <w:numId w:val="234"/>
        </w:numPr>
        <w:rPr>
          <w:rFonts w:ascii="Arial" w:cs="Arial" w:eastAsia="Arial" w:hAnsi="Arial"/>
          <w:sz w:val="14"/>
          <w:szCs w:val="14"/>
          <w:color w:val="auto"/>
        </w:rPr>
      </w:pPr>
      <w:r>
        <w:rPr>
          <w:rFonts w:ascii="Arial" w:cs="Arial" w:eastAsia="Arial" w:hAnsi="Arial"/>
          <w:sz w:val="14"/>
          <w:szCs w:val="14"/>
          <w:color w:val="auto"/>
        </w:rPr>
        <w:t>by the addition of the following as the final sentence: “</w:t>
      </w:r>
      <w:r>
        <w:rPr>
          <w:rFonts w:ascii="Arial" w:cs="Arial" w:eastAsia="Arial" w:hAnsi="Arial"/>
          <w:sz w:val="14"/>
          <w:szCs w:val="14"/>
          <w:i w:val="1"/>
          <w:iCs w:val="1"/>
          <w:color w:val="auto"/>
        </w:rPr>
        <w:t>In the event that a meeting of the Directors is attended by a Director who is acting as alternate for</w:t>
      </w:r>
      <w:r>
        <w:rPr>
          <w:rFonts w:ascii="Arial" w:cs="Arial" w:eastAsia="Arial" w:hAnsi="Arial"/>
          <w:sz w:val="14"/>
          <w:szCs w:val="14"/>
          <w:color w:val="auto"/>
        </w:rPr>
        <w:t xml:space="preserve"> </w:t>
      </w:r>
      <w:r>
        <w:rPr>
          <w:rFonts w:ascii="Arial" w:cs="Arial" w:eastAsia="Arial" w:hAnsi="Arial"/>
          <w:sz w:val="14"/>
          <w:szCs w:val="14"/>
          <w:i w:val="1"/>
          <w:iCs w:val="1"/>
          <w:color w:val="auto"/>
        </w:rPr>
        <w:t>one (1) or more other Directors, the Director or Directors for whom he is the alternate shall not be counted in the quorum for the purposes of the meeting</w:t>
      </w:r>
      <w:r>
        <w:rPr>
          <w:rFonts w:ascii="Arial" w:cs="Arial" w:eastAsia="Arial" w:hAnsi="Arial"/>
          <w:sz w:val="14"/>
          <w:szCs w:val="14"/>
          <w:color w:val="auto"/>
        </w:rPr>
        <w:t>”.</w:t>
      </w:r>
    </w:p>
    <w:p>
      <w:pPr>
        <w:spacing w:after="0" w:line="104" w:lineRule="exact"/>
        <w:rPr>
          <w:sz w:val="20"/>
          <w:szCs w:val="20"/>
          <w:color w:val="auto"/>
        </w:rPr>
      </w:pPr>
    </w:p>
    <w:p>
      <w:pPr>
        <w:ind w:left="582" w:hanging="586"/>
        <w:spacing w:after="0" w:line="284" w:lineRule="auto"/>
        <w:tabs>
          <w:tab w:leader="none" w:pos="562" w:val="left"/>
        </w:tabs>
        <w:rPr>
          <w:sz w:val="20"/>
          <w:szCs w:val="20"/>
          <w:color w:val="auto"/>
        </w:rPr>
      </w:pPr>
      <w:r>
        <w:rPr>
          <w:rFonts w:ascii="Arial" w:cs="Arial" w:eastAsia="Arial" w:hAnsi="Arial"/>
          <w:sz w:val="16"/>
          <w:szCs w:val="16"/>
          <w:color w:val="auto"/>
        </w:rPr>
        <w:t>29.3</w:t>
      </w:r>
      <w:r>
        <w:rPr>
          <w:sz w:val="20"/>
          <w:szCs w:val="20"/>
          <w:color w:val="auto"/>
        </w:rPr>
        <w:tab/>
      </w:r>
      <w:r>
        <w:rPr>
          <w:rFonts w:ascii="Arial" w:cs="Arial" w:eastAsia="Arial" w:hAnsi="Arial"/>
          <w:sz w:val="15"/>
          <w:szCs w:val="15"/>
          <w:color w:val="auto"/>
        </w:rPr>
        <w:t>Any Director who participates in the proceedings of a meeting by means of a communication device (including a telephone) which allows all the other Directors present at that meeting (whether in person or by alternate or by means of that type of communication device) to hear at all times that Director and that Director to hear at all times all other Directors present at the meeting (whether in person or by alternate or by means of that type of communication device) shall be deemed to be present at the meeting and shall be counted when reckoning a quorum. A meeting held by these means shall be deemed to take place where the largest group of participators in number is assembled. In the absence of a majority the location of the chairman shall be deemed to be the place of the meeting.</w:t>
      </w:r>
    </w:p>
    <w:p>
      <w:pPr>
        <w:spacing w:after="0" w:line="153" w:lineRule="exact"/>
        <w:rPr>
          <w:sz w:val="20"/>
          <w:szCs w:val="20"/>
          <w:color w:val="auto"/>
        </w:rPr>
      </w:pPr>
    </w:p>
    <w:p>
      <w:pPr>
        <w:ind w:left="582" w:right="80" w:hanging="586"/>
        <w:spacing w:after="0" w:line="326" w:lineRule="auto"/>
        <w:tabs>
          <w:tab w:leader="none" w:pos="562" w:val="left"/>
        </w:tabs>
        <w:rPr>
          <w:sz w:val="20"/>
          <w:szCs w:val="20"/>
          <w:color w:val="auto"/>
        </w:rPr>
      </w:pPr>
      <w:r>
        <w:rPr>
          <w:rFonts w:ascii="Arial" w:cs="Arial" w:eastAsia="Arial" w:hAnsi="Arial"/>
          <w:sz w:val="16"/>
          <w:szCs w:val="16"/>
          <w:color w:val="auto"/>
        </w:rPr>
        <w:t>29.4</w:t>
      </w:r>
      <w:r>
        <w:rPr>
          <w:sz w:val="20"/>
          <w:szCs w:val="20"/>
          <w:color w:val="auto"/>
        </w:rPr>
        <w:tab/>
      </w:r>
      <w:r>
        <w:rPr>
          <w:rFonts w:ascii="Arial" w:cs="Arial" w:eastAsia="Arial" w:hAnsi="Arial"/>
          <w:sz w:val="14"/>
          <w:szCs w:val="14"/>
          <w:color w:val="auto"/>
        </w:rPr>
        <w:t>A Director may vote at a meeting of the Directors, and form part of a quorum present at that meeting, in relation to any matter in which he has, directly or indirectly, an interest or duty which conflicts or which may conflict with the interests of the Company, provided that he has previously disclosed the nature of such duty or interest to the Directors. The provisions of Regulation 86 of Table A shall be taken to apply equally to any disclosure to be made under the provisions of this Article.</w:t>
      </w:r>
    </w:p>
    <w:p>
      <w:pPr>
        <w:spacing w:after="0" w:line="126" w:lineRule="exact"/>
        <w:rPr>
          <w:sz w:val="20"/>
          <w:szCs w:val="20"/>
          <w:color w:val="auto"/>
        </w:rPr>
      </w:pPr>
    </w:p>
    <w:p>
      <w:pPr>
        <w:ind w:left="582" w:right="60" w:hanging="586"/>
        <w:spacing w:after="0" w:line="285" w:lineRule="auto"/>
        <w:tabs>
          <w:tab w:leader="none" w:pos="562" w:val="left"/>
        </w:tabs>
        <w:rPr>
          <w:sz w:val="20"/>
          <w:szCs w:val="20"/>
          <w:color w:val="auto"/>
        </w:rPr>
      </w:pPr>
      <w:r>
        <w:rPr>
          <w:rFonts w:ascii="Arial" w:cs="Arial" w:eastAsia="Arial" w:hAnsi="Arial"/>
          <w:sz w:val="16"/>
          <w:szCs w:val="16"/>
          <w:color w:val="auto"/>
        </w:rPr>
        <w:t>29.5</w:t>
      </w:r>
      <w:r>
        <w:rPr>
          <w:sz w:val="20"/>
          <w:szCs w:val="20"/>
          <w:color w:val="auto"/>
        </w:rPr>
        <w:tab/>
      </w:r>
      <w:r>
        <w:rPr>
          <w:rFonts w:ascii="Arial" w:cs="Arial" w:eastAsia="Arial" w:hAnsi="Arial"/>
          <w:sz w:val="16"/>
          <w:szCs w:val="16"/>
          <w:color w:val="auto"/>
        </w:rPr>
        <w:t>Questions arising at any meeting of the Directors shall be decided by a majority of votes. In the case of any equality of votes, the chairman shall not have a second or casting vote.</w:t>
      </w:r>
    </w:p>
    <w:p>
      <w:pPr>
        <w:spacing w:after="0" w:line="146" w:lineRule="exact"/>
        <w:rPr>
          <w:sz w:val="20"/>
          <w:szCs w:val="20"/>
          <w:color w:val="auto"/>
        </w:rPr>
      </w:pPr>
    </w:p>
    <w:p>
      <w:pPr>
        <w:ind w:left="582" w:hanging="582"/>
        <w:spacing w:after="0"/>
        <w:tabs>
          <w:tab w:leader="none" w:pos="582" w:val="left"/>
        </w:tabs>
        <w:numPr>
          <w:ilvl w:val="0"/>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EXECUTION OF DOCUMENTS</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In its application to the Company Regulation 101 of Table A shall be modified by the addition of the following sentence:</w:t>
      </w:r>
    </w:p>
    <w:p>
      <w:pPr>
        <w:spacing w:after="0" w:line="207" w:lineRule="exact"/>
        <w:rPr>
          <w:sz w:val="20"/>
          <w:szCs w:val="20"/>
          <w:color w:val="auto"/>
        </w:rPr>
      </w:pPr>
    </w:p>
    <w:p>
      <w:pPr>
        <w:ind w:left="1182"/>
        <w:spacing w:after="0" w:line="270" w:lineRule="auto"/>
        <w:rPr>
          <w:sz w:val="20"/>
          <w:szCs w:val="20"/>
          <w:color w:val="auto"/>
        </w:rPr>
      </w:pPr>
      <w:r>
        <w:rPr>
          <w:rFonts w:ascii="Arial" w:cs="Arial" w:eastAsia="Arial" w:hAnsi="Arial"/>
          <w:sz w:val="16"/>
          <w:szCs w:val="16"/>
          <w:i w:val="1"/>
          <w:iCs w:val="1"/>
          <w:color w:val="auto"/>
        </w:rPr>
        <w:t>“Any instrument expressed to be executed by the Company and signed by two (2) Directors, by one Director and the Secretary, by the authority of the Directors, or the 2006 Act of a committee authorised by the Directors or as otherwise permitted under the 2006 Act shall (to the extent permitted by the 2006 Act) have effect as if executed under seal.</w:t>
      </w:r>
      <w:r>
        <w:rPr>
          <w:rFonts w:ascii="Arial" w:cs="Arial" w:eastAsia="Arial" w:hAnsi="Arial"/>
          <w:sz w:val="16"/>
          <w:szCs w:val="16"/>
          <w:color w:val="auto"/>
        </w:rPr>
        <w:t>”</w:t>
      </w:r>
    </w:p>
    <w:p>
      <w:pPr>
        <w:spacing w:after="0" w:line="158" w:lineRule="exact"/>
        <w:rPr>
          <w:sz w:val="20"/>
          <w:szCs w:val="20"/>
          <w:color w:val="auto"/>
        </w:rPr>
      </w:pPr>
    </w:p>
    <w:p>
      <w:pPr>
        <w:ind w:left="582" w:hanging="582"/>
        <w:spacing w:after="0"/>
        <w:tabs>
          <w:tab w:leader="none" w:pos="582"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DIVIDENDS</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In Regulation 103 of Table A the words from “</w:t>
      </w:r>
      <w:r>
        <w:rPr>
          <w:rFonts w:ascii="Arial" w:cs="Arial" w:eastAsia="Arial" w:hAnsi="Arial"/>
          <w:sz w:val="16"/>
          <w:szCs w:val="16"/>
          <w:i w:val="1"/>
          <w:iCs w:val="1"/>
          <w:color w:val="auto"/>
        </w:rPr>
        <w:t>If the share capital is divided</w:t>
      </w:r>
      <w:r>
        <w:rPr>
          <w:rFonts w:ascii="Arial" w:cs="Arial" w:eastAsia="Arial" w:hAnsi="Arial"/>
          <w:sz w:val="16"/>
          <w:szCs w:val="16"/>
          <w:color w:val="auto"/>
        </w:rPr>
        <w:t>” to the end of the third sentence of the Regulation shall be deleted.</w:t>
      </w:r>
    </w:p>
    <w:p>
      <w:pPr>
        <w:spacing w:after="0" w:line="203" w:lineRule="exact"/>
        <w:rPr>
          <w:rFonts w:ascii="Arial" w:cs="Arial" w:eastAsia="Arial" w:hAnsi="Arial"/>
          <w:sz w:val="16"/>
          <w:szCs w:val="16"/>
          <w:b w:val="1"/>
          <w:bCs w:val="1"/>
          <w:color w:val="auto"/>
        </w:rPr>
      </w:pPr>
    </w:p>
    <w:p>
      <w:pPr>
        <w:ind w:left="582" w:hanging="582"/>
        <w:spacing w:after="0"/>
        <w:tabs>
          <w:tab w:leader="none" w:pos="582"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4"/>
          <w:szCs w:val="14"/>
          <w:color w:val="auto"/>
        </w:rPr>
        <w:t>Any notice shall be in writing and shall be conclusively deemed to have been duly given:</w:t>
      </w:r>
    </w:p>
    <w:p>
      <w:pPr>
        <w:spacing w:after="0" w:line="207" w:lineRule="exact"/>
        <w:rPr>
          <w:sz w:val="20"/>
          <w:szCs w:val="20"/>
          <w:color w:val="auto"/>
        </w:rPr>
      </w:pPr>
    </w:p>
    <w:p>
      <w:pPr>
        <w:ind w:left="1162" w:hanging="575"/>
        <w:spacing w:after="0"/>
        <w:tabs>
          <w:tab w:leader="none" w:pos="116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when hand delivered to the relevant party;</w:t>
      </w:r>
    </w:p>
    <w:p>
      <w:pPr>
        <w:spacing w:after="0" w:line="207" w:lineRule="exact"/>
        <w:rPr>
          <w:rFonts w:ascii="Arial" w:cs="Arial" w:eastAsia="Arial" w:hAnsi="Arial"/>
          <w:sz w:val="16"/>
          <w:szCs w:val="16"/>
          <w:color w:val="auto"/>
        </w:rPr>
      </w:pPr>
    </w:p>
    <w:p>
      <w:pPr>
        <w:ind w:left="5642" w:right="300" w:hanging="5055"/>
        <w:spacing w:after="0" w:line="540" w:lineRule="auto"/>
        <w:tabs>
          <w:tab w:leader="none" w:pos="118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when received when sent by facsimile, e-mail or any other form of electronic communication at the relevant address (and as confirmed by the recipient);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2802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357" w:name="page358"/>
    <w:bookmarkEnd w:id="357"/>
    <w:p>
      <w:pPr>
        <w:ind w:left="1182" w:hanging="595"/>
        <w:spacing w:after="0"/>
        <w:tabs>
          <w:tab w:leader="none" w:pos="118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two (2) Business Days after dispatch if sent to an address in the United Kingdom by post;</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238"/>
        </w:numPr>
        <w:rPr>
          <w:rFonts w:ascii="Arial" w:cs="Arial" w:eastAsia="Arial" w:hAnsi="Arial"/>
          <w:sz w:val="14"/>
          <w:szCs w:val="14"/>
          <w:color w:val="auto"/>
        </w:rPr>
      </w:pPr>
      <w:r>
        <w:rPr>
          <w:rFonts w:ascii="Arial" w:cs="Arial" w:eastAsia="Arial" w:hAnsi="Arial"/>
          <w:sz w:val="14"/>
          <w:szCs w:val="14"/>
          <w:color w:val="auto"/>
        </w:rPr>
        <w:t>five (5) Business Days after dispatch if sent by reputable international overnight courier addressed to the relevant party provided that delivery in at least five</w:t>
      </w:r>
    </w:p>
    <w:p>
      <w:pPr>
        <w:spacing w:after="0" w:line="46" w:lineRule="exact"/>
        <w:rPr>
          <w:rFonts w:ascii="Arial" w:cs="Arial" w:eastAsia="Arial" w:hAnsi="Arial"/>
          <w:sz w:val="14"/>
          <w:szCs w:val="14"/>
          <w:color w:val="auto"/>
        </w:rPr>
      </w:pPr>
    </w:p>
    <w:p>
      <w:pPr>
        <w:ind w:left="1182"/>
        <w:spacing w:after="0"/>
        <w:rPr>
          <w:rFonts w:ascii="Arial" w:cs="Arial" w:eastAsia="Arial" w:hAnsi="Arial"/>
          <w:sz w:val="14"/>
          <w:szCs w:val="14"/>
          <w:color w:val="auto"/>
        </w:rPr>
      </w:pPr>
      <w:r>
        <w:rPr>
          <w:rFonts w:ascii="Arial" w:cs="Arial" w:eastAsia="Arial" w:hAnsi="Arial"/>
          <w:sz w:val="15"/>
          <w:szCs w:val="15"/>
          <w:color w:val="auto"/>
        </w:rPr>
        <w:t>(5) Business Days was guaranteed at the time of sending and the sending Party receives a confirmation of delivery from the courier service provider; or</w:t>
      </w:r>
    </w:p>
    <w:p>
      <w:pPr>
        <w:spacing w:after="0" w:line="207" w:lineRule="exact"/>
        <w:rPr>
          <w:rFonts w:ascii="Arial" w:cs="Arial" w:eastAsia="Arial" w:hAnsi="Arial"/>
          <w:sz w:val="14"/>
          <w:szCs w:val="14"/>
          <w:color w:val="auto"/>
        </w:rPr>
      </w:pPr>
    </w:p>
    <w:p>
      <w:pPr>
        <w:ind w:left="1182" w:hanging="595"/>
        <w:spacing w:after="0"/>
        <w:tabs>
          <w:tab w:leader="none" w:pos="118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by airmail (registered or certified) fifteen (15) Business Days after sending.</w:t>
      </w:r>
    </w:p>
    <w:p>
      <w:pPr>
        <w:spacing w:after="0" w:line="207" w:lineRule="exact"/>
        <w:rPr>
          <w:sz w:val="20"/>
          <w:szCs w:val="20"/>
          <w:color w:val="auto"/>
        </w:rPr>
      </w:pPr>
    </w:p>
    <w:p>
      <w:pPr>
        <w:jc w:val="both"/>
        <w:ind w:left="582" w:right="60" w:hanging="586"/>
        <w:spacing w:after="0" w:line="270" w:lineRule="auto"/>
        <w:tabs>
          <w:tab w:leader="none" w:pos="562"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In proving service of a notice it shall be sufficient to prove that personal delivery was made, or that the relevant notice or other written communication was properly addressed stamped and posted or in the case of a facsimile, e-mail or other form of electronic communication evidence that the relevant communication was properly sent.</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32.3</w:t>
      </w:r>
      <w:r>
        <w:rPr>
          <w:sz w:val="20"/>
          <w:szCs w:val="20"/>
          <w:color w:val="auto"/>
        </w:rPr>
        <w:tab/>
      </w:r>
      <w:r>
        <w:rPr>
          <w:rFonts w:ascii="Arial" w:cs="Arial" w:eastAsia="Arial" w:hAnsi="Arial"/>
          <w:sz w:val="14"/>
          <w:szCs w:val="14"/>
          <w:color w:val="auto"/>
        </w:rPr>
        <w:t>Regulation 115 of Table A shall be deleted.</w:t>
      </w:r>
    </w:p>
    <w:p>
      <w:pPr>
        <w:spacing w:after="0" w:line="203" w:lineRule="exact"/>
        <w:rPr>
          <w:sz w:val="20"/>
          <w:szCs w:val="20"/>
          <w:color w:val="auto"/>
        </w:rPr>
      </w:pPr>
    </w:p>
    <w:p>
      <w:pPr>
        <w:ind w:left="582" w:hanging="582"/>
        <w:spacing w:after="0"/>
        <w:tabs>
          <w:tab w:leader="none" w:pos="582"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AND INSURANCE</w:t>
      </w:r>
    </w:p>
    <w:p>
      <w:pPr>
        <w:spacing w:after="0" w:line="211" w:lineRule="exact"/>
        <w:rPr>
          <w:sz w:val="20"/>
          <w:szCs w:val="20"/>
          <w:color w:val="auto"/>
        </w:rPr>
      </w:pPr>
    </w:p>
    <w:p>
      <w:pPr>
        <w:ind w:left="582" w:hanging="586"/>
        <w:spacing w:after="0" w:line="270" w:lineRule="auto"/>
        <w:tabs>
          <w:tab w:leader="none" w:pos="562" w:val="left"/>
        </w:tabs>
        <w:rPr>
          <w:sz w:val="20"/>
          <w:szCs w:val="20"/>
          <w:color w:val="auto"/>
        </w:rPr>
      </w:pPr>
      <w:r>
        <w:rPr>
          <w:rFonts w:ascii="Arial" w:cs="Arial" w:eastAsia="Arial" w:hAnsi="Arial"/>
          <w:sz w:val="16"/>
          <w:szCs w:val="16"/>
          <w:color w:val="auto"/>
        </w:rPr>
        <w:t>33.1</w:t>
      </w:r>
      <w:r>
        <w:rPr>
          <w:sz w:val="20"/>
          <w:szCs w:val="20"/>
          <w:color w:val="auto"/>
        </w:rPr>
        <w:tab/>
      </w:r>
      <w:r>
        <w:rPr>
          <w:rFonts w:ascii="Arial" w:cs="Arial" w:eastAsia="Arial" w:hAnsi="Arial"/>
          <w:sz w:val="16"/>
          <w:szCs w:val="16"/>
          <w:color w:val="auto"/>
        </w:rPr>
        <w:t>Subject to the provisions of and so far as may be consistent with the 2006 Act the Directors may exercise all the powers of the Company to indemnify any person who is, or was at any time, a Director of the Company or of any of its associated companies against all liabilities incurred by or attaching to him in connection with his duties, powers or office in relation to any such company of which he is or was a Director, to the fullest extent permitted by law.</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33.2</w:t>
      </w:r>
      <w:r>
        <w:rPr>
          <w:sz w:val="20"/>
          <w:szCs w:val="20"/>
          <w:color w:val="auto"/>
        </w:rPr>
        <w:tab/>
      </w:r>
      <w:r>
        <w:rPr>
          <w:rFonts w:ascii="Arial" w:cs="Arial" w:eastAsia="Arial" w:hAnsi="Arial"/>
          <w:sz w:val="14"/>
          <w:szCs w:val="14"/>
          <w:color w:val="auto"/>
        </w:rPr>
        <w:t>Regulation 118 shall not apply.</w:t>
      </w:r>
    </w:p>
    <w:p>
      <w:pPr>
        <w:spacing w:after="0" w:line="207" w:lineRule="exact"/>
        <w:rPr>
          <w:sz w:val="20"/>
          <w:szCs w:val="20"/>
          <w:color w:val="auto"/>
        </w:rPr>
      </w:pPr>
    </w:p>
    <w:p>
      <w:pPr>
        <w:ind w:left="582" w:right="220" w:hanging="586"/>
        <w:spacing w:after="0" w:line="285" w:lineRule="auto"/>
        <w:tabs>
          <w:tab w:leader="none" w:pos="562" w:val="left"/>
        </w:tabs>
        <w:rPr>
          <w:sz w:val="20"/>
          <w:szCs w:val="20"/>
          <w:color w:val="auto"/>
        </w:rPr>
      </w:pPr>
      <w:r>
        <w:rPr>
          <w:rFonts w:ascii="Arial" w:cs="Arial" w:eastAsia="Arial" w:hAnsi="Arial"/>
          <w:sz w:val="16"/>
          <w:szCs w:val="16"/>
          <w:color w:val="auto"/>
        </w:rPr>
        <w:t>33.3</w:t>
      </w:r>
      <w:r>
        <w:rPr>
          <w:sz w:val="20"/>
          <w:szCs w:val="20"/>
          <w:color w:val="auto"/>
        </w:rPr>
        <w:tab/>
      </w:r>
      <w:r>
        <w:rPr>
          <w:rFonts w:ascii="Arial" w:cs="Arial" w:eastAsia="Arial" w:hAnsi="Arial"/>
          <w:sz w:val="16"/>
          <w:szCs w:val="16"/>
          <w:color w:val="auto"/>
        </w:rPr>
        <w:t>Without prejudice to Article 33.1 the Directors may exercise all the powers of the Company to purchase and maintain insurance for or for the benefit of any person who is or was at any time:</w:t>
      </w:r>
    </w:p>
    <w:p>
      <w:pPr>
        <w:spacing w:after="0" w:line="150" w:lineRule="exact"/>
        <w:rPr>
          <w:sz w:val="20"/>
          <w:szCs w:val="20"/>
          <w:color w:val="auto"/>
        </w:rPr>
      </w:pPr>
    </w:p>
    <w:p>
      <w:pPr>
        <w:ind w:left="1162" w:hanging="575"/>
        <w:spacing w:after="0"/>
        <w:tabs>
          <w:tab w:leader="none" w:pos="1162"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 Director, alternate director or other officer of any Relevant Company (as defined in Article 33.4 below); or</w:t>
      </w:r>
    </w:p>
    <w:p>
      <w:pPr>
        <w:spacing w:after="0" w:line="207" w:lineRule="exact"/>
        <w:rPr>
          <w:rFonts w:ascii="Arial" w:cs="Arial" w:eastAsia="Arial" w:hAnsi="Arial"/>
          <w:sz w:val="16"/>
          <w:szCs w:val="16"/>
          <w:color w:val="auto"/>
        </w:rPr>
      </w:pPr>
    </w:p>
    <w:p>
      <w:pPr>
        <w:ind w:left="1182" w:right="480" w:hanging="595"/>
        <w:spacing w:after="0" w:line="285" w:lineRule="auto"/>
        <w:tabs>
          <w:tab w:leader="none" w:pos="1189"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 trustee of any pension fund or retirement, death or disability scheme for the benefit of any employee of any Relevant Company or employees’ share scheme in which employees of any Relevant Company are interested,</w:t>
      </w:r>
    </w:p>
    <w:p>
      <w:pPr>
        <w:spacing w:after="0" w:line="150" w:lineRule="exact"/>
        <w:rPr>
          <w:sz w:val="20"/>
          <w:szCs w:val="20"/>
          <w:color w:val="auto"/>
        </w:rPr>
      </w:pPr>
    </w:p>
    <w:p>
      <w:pPr>
        <w:ind w:left="582" w:right="340"/>
        <w:spacing w:after="0" w:line="285" w:lineRule="auto"/>
        <w:rPr>
          <w:sz w:val="20"/>
          <w:szCs w:val="20"/>
          <w:color w:val="auto"/>
        </w:rPr>
      </w:pPr>
      <w:r>
        <w:rPr>
          <w:rFonts w:ascii="Arial" w:cs="Arial" w:eastAsia="Arial" w:hAnsi="Arial"/>
          <w:sz w:val="16"/>
          <w:szCs w:val="16"/>
          <w:color w:val="auto"/>
        </w:rPr>
        <w:t>including (without limitation) insurance against any liability within Article 33.1 attaching to him in relation to any Relevant Company, or any such pension fund, retirement or other scheme or employees’ share scheme.</w:t>
      </w:r>
    </w:p>
    <w:p>
      <w:pPr>
        <w:spacing w:after="0" w:line="14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33.4</w:t>
      </w:r>
      <w:r>
        <w:rPr>
          <w:sz w:val="20"/>
          <w:szCs w:val="20"/>
          <w:color w:val="auto"/>
        </w:rPr>
        <w:tab/>
      </w:r>
      <w:r>
        <w:rPr>
          <w:rFonts w:ascii="Arial" w:cs="Arial" w:eastAsia="Arial" w:hAnsi="Arial"/>
          <w:sz w:val="14"/>
          <w:szCs w:val="14"/>
          <w:color w:val="auto"/>
        </w:rPr>
        <w:t>For these purposes “</w:t>
      </w:r>
      <w:r>
        <w:rPr>
          <w:rFonts w:ascii="Arial" w:cs="Arial" w:eastAsia="Arial" w:hAnsi="Arial"/>
          <w:sz w:val="14"/>
          <w:szCs w:val="14"/>
          <w:b w:val="1"/>
          <w:bCs w:val="1"/>
          <w:color w:val="auto"/>
        </w:rPr>
        <w:t>Relevant Company</w:t>
      </w:r>
      <w:r>
        <w:rPr>
          <w:rFonts w:ascii="Arial" w:cs="Arial" w:eastAsia="Arial" w:hAnsi="Arial"/>
          <w:sz w:val="14"/>
          <w:szCs w:val="14"/>
          <w:color w:val="auto"/>
        </w:rPr>
        <w:t>” shall mean the Company or any other undertaking which is:</w:t>
      </w:r>
    </w:p>
    <w:p>
      <w:pPr>
        <w:spacing w:after="0" w:line="211" w:lineRule="exact"/>
        <w:rPr>
          <w:sz w:val="20"/>
          <w:szCs w:val="20"/>
          <w:color w:val="auto"/>
        </w:rPr>
      </w:pPr>
    </w:p>
    <w:p>
      <w:pPr>
        <w:ind w:left="1162" w:hanging="575"/>
        <w:spacing w:after="0"/>
        <w:tabs>
          <w:tab w:leader="none" w:pos="1162" w:val="left"/>
        </w:tabs>
        <w:numPr>
          <w:ilvl w:val="1"/>
          <w:numId w:val="241"/>
        </w:numPr>
        <w:rPr>
          <w:rFonts w:ascii="Arial" w:cs="Arial" w:eastAsia="Arial" w:hAnsi="Arial"/>
          <w:sz w:val="16"/>
          <w:szCs w:val="16"/>
          <w:color w:val="auto"/>
        </w:rPr>
      </w:pPr>
      <w:r>
        <w:rPr>
          <w:rFonts w:ascii="Arial" w:cs="Arial" w:eastAsia="Arial" w:hAnsi="Arial"/>
          <w:sz w:val="16"/>
          <w:szCs w:val="16"/>
          <w:color w:val="auto"/>
        </w:rPr>
        <w:t>the holding company of the Company;</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1"/>
          <w:numId w:val="241"/>
        </w:numPr>
        <w:rPr>
          <w:rFonts w:ascii="Arial" w:cs="Arial" w:eastAsia="Arial" w:hAnsi="Arial"/>
          <w:sz w:val="16"/>
          <w:szCs w:val="16"/>
          <w:color w:val="auto"/>
        </w:rPr>
      </w:pPr>
      <w:r>
        <w:rPr>
          <w:rFonts w:ascii="Arial" w:cs="Arial" w:eastAsia="Arial" w:hAnsi="Arial"/>
          <w:sz w:val="16"/>
          <w:szCs w:val="16"/>
          <w:color w:val="auto"/>
        </w:rPr>
        <w:t>a Subsidiary of the Company or of such holding company; or</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1"/>
          <w:numId w:val="241"/>
        </w:numPr>
        <w:rPr>
          <w:rFonts w:ascii="Arial" w:cs="Arial" w:eastAsia="Arial" w:hAnsi="Arial"/>
          <w:sz w:val="16"/>
          <w:szCs w:val="16"/>
          <w:color w:val="auto"/>
        </w:rPr>
      </w:pPr>
      <w:r>
        <w:rPr>
          <w:rFonts w:ascii="Arial" w:cs="Arial" w:eastAsia="Arial" w:hAnsi="Arial"/>
          <w:sz w:val="16"/>
          <w:szCs w:val="16"/>
          <w:color w:val="auto"/>
        </w:rPr>
        <w:t>a company in which the Company has an interest (whether direct or indirect).</w:t>
      </w:r>
    </w:p>
    <w:p>
      <w:pPr>
        <w:spacing w:after="0" w:line="203" w:lineRule="exact"/>
        <w:rPr>
          <w:rFonts w:ascii="Arial" w:cs="Arial" w:eastAsia="Arial" w:hAnsi="Arial"/>
          <w:sz w:val="16"/>
          <w:szCs w:val="16"/>
          <w:color w:val="auto"/>
        </w:rPr>
      </w:pPr>
    </w:p>
    <w:p>
      <w:pPr>
        <w:ind w:left="582" w:hanging="582"/>
        <w:spacing w:after="0"/>
        <w:tabs>
          <w:tab w:leader="none" w:pos="582" w:val="left"/>
        </w:tabs>
        <w:numPr>
          <w:ilvl w:val="0"/>
          <w:numId w:val="242"/>
        </w:numPr>
        <w:rPr>
          <w:rFonts w:ascii="Arial" w:cs="Arial" w:eastAsia="Arial" w:hAnsi="Arial"/>
          <w:sz w:val="16"/>
          <w:szCs w:val="16"/>
          <w:b w:val="1"/>
          <w:bCs w:val="1"/>
          <w:color w:val="auto"/>
        </w:rPr>
      </w:pPr>
      <w:r>
        <w:rPr>
          <w:rFonts w:ascii="Arial" w:cs="Arial" w:eastAsia="Arial" w:hAnsi="Arial"/>
          <w:sz w:val="16"/>
          <w:szCs w:val="16"/>
          <w:b w:val="1"/>
          <w:bCs w:val="1"/>
          <w:color w:val="auto"/>
        </w:rPr>
        <w:t>DATA PROTECTION</w:t>
      </w:r>
    </w:p>
    <w:p>
      <w:pPr>
        <w:spacing w:after="0" w:line="211" w:lineRule="exact"/>
        <w:rPr>
          <w:rFonts w:ascii="Arial" w:cs="Arial" w:eastAsia="Arial" w:hAnsi="Arial"/>
          <w:sz w:val="16"/>
          <w:szCs w:val="16"/>
          <w:b w:val="1"/>
          <w:bCs w:val="1"/>
          <w:color w:val="auto"/>
        </w:rPr>
      </w:pPr>
    </w:p>
    <w:p>
      <w:pPr>
        <w:ind w:left="582" w:right="240"/>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Each of the shareholders and Directors of the Company (from time to time) consent to the processing of their personal data by the Company, its shareholders and Directors (each a “</w:t>
      </w:r>
      <w:r>
        <w:rPr>
          <w:rFonts w:ascii="Arial" w:cs="Arial" w:eastAsia="Arial" w:hAnsi="Arial"/>
          <w:sz w:val="16"/>
          <w:szCs w:val="16"/>
          <w:b w:val="1"/>
          <w:bCs w:val="1"/>
          <w:color w:val="auto"/>
        </w:rPr>
        <w:t>Recipient</w:t>
      </w:r>
      <w:r>
        <w:rPr>
          <w:rFonts w:ascii="Arial" w:cs="Arial" w:eastAsia="Arial" w:hAnsi="Arial"/>
          <w:sz w:val="16"/>
          <w:szCs w:val="16"/>
          <w:color w:val="auto"/>
        </w:rPr>
        <w:t>”) for the purpose of due diligence exercises, compliance with applicable laws, regulations and procedures and the exchange of information among themselves. A Recipient may process the personal data either electronically or manually. The personal data which may be processed under this Article shall include any information which may have a bearing</w:t>
      </w:r>
    </w:p>
    <w:p>
      <w:pPr>
        <w:spacing w:after="0" w:line="16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358" w:name="page359"/>
    <w:bookmarkEnd w:id="358"/>
    <w:p>
      <w:pPr>
        <w:spacing w:after="0" w:line="261" w:lineRule="auto"/>
        <w:rPr>
          <w:sz w:val="20"/>
          <w:szCs w:val="20"/>
          <w:color w:val="auto"/>
        </w:rPr>
      </w:pPr>
      <w:r>
        <w:rPr>
          <w:rFonts w:ascii="Arial" w:cs="Arial" w:eastAsia="Arial" w:hAnsi="Arial"/>
          <w:sz w:val="16"/>
          <w:szCs w:val="16"/>
          <w:color w:val="auto"/>
        </w:rPr>
        <w:t>on the prudence or commercial merits of investing, or disposing of any shares (or other investment or security) in the Company. Other than as required by law, court order or other regulatory authority, that personal data may not be disclosed by a Recipient or any other person except to a Member of the Same Group or a Member of the Same Fund Group (the “</w:t>
      </w:r>
      <w:r>
        <w:rPr>
          <w:rFonts w:ascii="Arial" w:cs="Arial" w:eastAsia="Arial" w:hAnsi="Arial"/>
          <w:sz w:val="16"/>
          <w:szCs w:val="16"/>
          <w:b w:val="1"/>
          <w:bCs w:val="1"/>
          <w:color w:val="auto"/>
        </w:rPr>
        <w:t>Recipient Group Companies</w:t>
      </w:r>
      <w:r>
        <w:rPr>
          <w:rFonts w:ascii="Arial" w:cs="Arial" w:eastAsia="Arial" w:hAnsi="Arial"/>
          <w:sz w:val="16"/>
          <w:szCs w:val="16"/>
          <w:color w:val="auto"/>
        </w:rPr>
        <w:t>”) and to employees, directors and professional advisers of that Recipient or the Recipient Group Companies and funds managed by any of the Recipient Group Companies. Each of the Company’s shareholders and Directors (from time to time) consent to the transfer of relevant personal data to persons acting on behalf of the Recipient and to the offices of any Recipient both within and outside the European Economic Area for the purposes stated above, where it is necessary or desirable to do so.</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74930</wp:posOffset>
            </wp:positionV>
            <wp:extent cx="72802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840"/>
          </w:cols>
          <w:pgMar w:left="820" w:top="322" w:right="2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6"/>
          <w:szCs w:val="16"/>
          <w:b w:val="1"/>
          <w:bCs w:val="1"/>
          <w:color w:val="auto"/>
        </w:rPr>
        <w:t>Exhibit 10.1</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BICYCLE THERAPEUTICS LIMITED</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REGISTRATION RIGHTS AGREEMENT</w:t>
      </w:r>
    </w:p>
    <w:p>
      <w:pPr>
        <w:spacing w:after="0" w:line="207" w:lineRule="exact"/>
        <w:rPr>
          <w:sz w:val="20"/>
          <w:szCs w:val="20"/>
          <w:color w:val="auto"/>
        </w:rPr>
      </w:pPr>
    </w:p>
    <w:p>
      <w:pPr>
        <w:ind w:left="2" w:right="300" w:firstLine="783"/>
        <w:spacing w:after="0" w:line="272" w:lineRule="auto"/>
        <w:rPr>
          <w:sz w:val="20"/>
          <w:szCs w:val="20"/>
          <w:color w:val="auto"/>
        </w:rPr>
      </w:pPr>
      <w:r>
        <w:rPr>
          <w:rFonts w:ascii="Arial" w:cs="Arial" w:eastAsia="Arial" w:hAnsi="Arial"/>
          <w:sz w:val="16"/>
          <w:szCs w:val="16"/>
          <w:b w:val="1"/>
          <w:bCs w:val="1"/>
          <w:color w:val="auto"/>
        </w:rPr>
        <w:t xml:space="preserve">THIS REGISTRATION RIGHTS AGREEMENT </w:t>
      </w:r>
      <w:r>
        <w:rPr>
          <w:rFonts w:ascii="Arial" w:cs="Arial" w:eastAsia="Arial" w:hAnsi="Arial"/>
          <w:sz w:val="16"/>
          <w:szCs w:val="16"/>
          <w:color w:val="auto"/>
        </w:rPr>
        <w:t>(this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as of the 21 day of December 2018 , by and among</w:t>
      </w:r>
      <w:r>
        <w:rPr>
          <w:rFonts w:ascii="Arial" w:cs="Arial" w:eastAsia="Arial" w:hAnsi="Arial"/>
          <w:sz w:val="16"/>
          <w:szCs w:val="16"/>
          <w:b w:val="1"/>
          <w:bCs w:val="1"/>
          <w:color w:val="auto"/>
        </w:rPr>
        <w:t xml:space="preserve"> BICYCLE THERAPEUTICS LIMITED </w:t>
      </w:r>
      <w:r>
        <w:rPr>
          <w:rFonts w:ascii="Arial" w:cs="Arial" w:eastAsia="Arial" w:hAnsi="Arial"/>
          <w:sz w:val="16"/>
          <w:szCs w:val="16"/>
          <w:color w:val="auto"/>
        </w:rPr>
        <w:t>(the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(Company no. 11036004) and the investors listed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hereto, referred to hereinafter as the “</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individually as an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RECITALS</w:t>
      </w:r>
    </w:p>
    <w:p>
      <w:pPr>
        <w:spacing w:after="0" w:line="207" w:lineRule="exact"/>
        <w:rPr>
          <w:sz w:val="20"/>
          <w:szCs w:val="20"/>
          <w:color w:val="auto"/>
        </w:rPr>
      </w:pPr>
    </w:p>
    <w:p>
      <w:pPr>
        <w:ind w:left="2" w:right="80" w:firstLine="783"/>
        <w:spacing w:after="0" w:line="27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Investors are parties to that certain Investment Agreement relating to the Company of even date herewith (the “</w:t>
      </w:r>
      <w:r>
        <w:rPr>
          <w:rFonts w:ascii="Arial" w:cs="Arial" w:eastAsia="Arial" w:hAnsi="Arial"/>
          <w:sz w:val="16"/>
          <w:szCs w:val="16"/>
          <w:b w:val="1"/>
          <w:bCs w:val="1"/>
          <w:i w:val="1"/>
          <w:iCs w:val="1"/>
          <w:color w:val="auto"/>
        </w:rPr>
        <w:t>Investment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under which certain of the Company’s and such Investors’ obligations are conditioned upon the execution and delivery of this Agreement by such Investors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w:t>
      </w:r>
    </w:p>
    <w:p>
      <w:pPr>
        <w:spacing w:after="0" w:line="157" w:lineRule="exact"/>
        <w:rPr>
          <w:sz w:val="20"/>
          <w:szCs w:val="20"/>
          <w:color w:val="auto"/>
        </w:rPr>
      </w:pPr>
    </w:p>
    <w:p>
      <w:pPr>
        <w:ind w:left="782"/>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Investors desire to set forth certain registration rights, as more fully described below; and</w:t>
      </w:r>
    </w:p>
    <w:p>
      <w:pPr>
        <w:spacing w:after="0" w:line="207" w:lineRule="exact"/>
        <w:rPr>
          <w:sz w:val="20"/>
          <w:szCs w:val="20"/>
          <w:color w:val="auto"/>
        </w:rPr>
      </w:pPr>
    </w:p>
    <w:p>
      <w:pPr>
        <w:ind w:left="2" w:right="80" w:firstLine="783"/>
        <w:spacing w:after="0" w:line="29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Investors agree that this Agreement terminates, replaces and supersedes the registration rights agreement entered into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certain parties hereto enter into on 4 December 2017 (the “</w:t>
      </w:r>
      <w:r>
        <w:rPr>
          <w:rFonts w:ascii="Arial" w:cs="Arial" w:eastAsia="Arial" w:hAnsi="Arial"/>
          <w:sz w:val="16"/>
          <w:szCs w:val="16"/>
          <w:b w:val="1"/>
          <w:bCs w:val="1"/>
          <w:color w:val="auto"/>
        </w:rPr>
        <w:t>Existing Agreement</w:t>
      </w:r>
      <w:r>
        <w:rPr>
          <w:rFonts w:ascii="Arial" w:cs="Arial" w:eastAsia="Arial" w:hAnsi="Arial"/>
          <w:sz w:val="16"/>
          <w:szCs w:val="16"/>
          <w:color w:val="auto"/>
        </w:rPr>
        <w:t>”).</w:t>
      </w:r>
    </w:p>
    <w:p>
      <w:pPr>
        <w:spacing w:after="0" w:line="142" w:lineRule="exact"/>
        <w:rPr>
          <w:sz w:val="20"/>
          <w:szCs w:val="20"/>
          <w:color w:val="auto"/>
        </w:rPr>
      </w:pPr>
    </w:p>
    <w:p>
      <w:pPr>
        <w:ind w:left="782"/>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the Company and the Investors hereby agree as follows:</w:t>
      </w:r>
    </w:p>
    <w:p>
      <w:pPr>
        <w:spacing w:after="0" w:line="207" w:lineRule="exact"/>
        <w:rPr>
          <w:sz w:val="20"/>
          <w:szCs w:val="20"/>
          <w:color w:val="auto"/>
        </w:rPr>
      </w:pPr>
    </w:p>
    <w:p>
      <w:pPr>
        <w:ind w:left="782" w:hanging="782"/>
        <w:spacing w:after="0"/>
        <w:tabs>
          <w:tab w:leader="none" w:pos="782"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207" w:lineRule="exact"/>
        <w:rPr>
          <w:sz w:val="20"/>
          <w:szCs w:val="20"/>
          <w:color w:val="auto"/>
        </w:rPr>
      </w:pPr>
    </w:p>
    <w:p>
      <w:pPr>
        <w:ind w:left="2"/>
        <w:spacing w:after="0"/>
        <w:tabs>
          <w:tab w:leader="none" w:pos="762"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b w:val="1"/>
          <w:bCs w:val="1"/>
          <w:color w:val="auto"/>
        </w:rPr>
        <w:t>Definitions</w:t>
      </w:r>
      <w:r>
        <w:rPr>
          <w:rFonts w:ascii="Arial" w:cs="Arial" w:eastAsia="Arial" w:hAnsi="Arial"/>
          <w:sz w:val="14"/>
          <w:szCs w:val="14"/>
          <w:color w:val="auto"/>
        </w:rPr>
        <w:t>. As used in this Agreement, the following terms shall have the following meanings:</w:t>
      </w:r>
    </w:p>
    <w:p>
      <w:pPr>
        <w:spacing w:after="0" w:line="211" w:lineRule="exact"/>
        <w:rPr>
          <w:sz w:val="20"/>
          <w:szCs w:val="20"/>
          <w:color w:val="auto"/>
        </w:rPr>
      </w:pPr>
    </w:p>
    <w:p>
      <w:pPr>
        <w:ind w:left="1562" w:hanging="776"/>
        <w:spacing w:after="0"/>
        <w:tabs>
          <w:tab w:leader="none" w:pos="156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 Ordinary Shares</w:t>
      </w:r>
      <w:r>
        <w:rPr>
          <w:rFonts w:ascii="Arial" w:cs="Arial" w:eastAsia="Arial" w:hAnsi="Arial"/>
          <w:sz w:val="16"/>
          <w:szCs w:val="16"/>
          <w:color w:val="auto"/>
        </w:rPr>
        <w:t>” means the A ordinary shares of £0.01 each in the capital of the Company with the rights set out in the Articles.</w:t>
      </w:r>
    </w:p>
    <w:p>
      <w:pPr>
        <w:spacing w:after="0" w:line="207" w:lineRule="exact"/>
        <w:rPr>
          <w:rFonts w:ascii="Arial" w:cs="Arial" w:eastAsia="Arial" w:hAnsi="Arial"/>
          <w:sz w:val="16"/>
          <w:szCs w:val="16"/>
          <w:color w:val="auto"/>
        </w:rPr>
      </w:pPr>
    </w:p>
    <w:p>
      <w:pPr>
        <w:ind w:left="1582" w:right="300" w:hanging="796"/>
        <w:spacing w:after="0" w:line="265" w:lineRule="auto"/>
        <w:tabs>
          <w:tab w:leader="none" w:pos="158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65" w:lineRule="exact"/>
        <w:rPr>
          <w:rFonts w:ascii="Arial" w:cs="Arial" w:eastAsia="Arial" w:hAnsi="Arial"/>
          <w:sz w:val="16"/>
          <w:szCs w:val="16"/>
          <w:color w:val="auto"/>
        </w:rPr>
      </w:pPr>
    </w:p>
    <w:p>
      <w:pPr>
        <w:ind w:left="1582" w:right="20" w:hanging="796"/>
        <w:spacing w:after="0" w:line="285" w:lineRule="auto"/>
        <w:tabs>
          <w:tab w:leader="none" w:pos="158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Articles</w:t>
      </w:r>
      <w:r>
        <w:rPr>
          <w:rFonts w:ascii="Arial" w:cs="Arial" w:eastAsia="Arial" w:hAnsi="Arial"/>
          <w:sz w:val="16"/>
          <w:szCs w:val="16"/>
          <w:color w:val="auto"/>
        </w:rPr>
        <w:t>” means the articles of association of the Company adopted on or about the date of this Agreement, as may be amended or restated from time-to-time.</w:t>
      </w:r>
    </w:p>
    <w:p>
      <w:pPr>
        <w:spacing w:after="0" w:line="149" w:lineRule="exact"/>
        <w:rPr>
          <w:rFonts w:ascii="Arial" w:cs="Arial" w:eastAsia="Arial" w:hAnsi="Arial"/>
          <w:sz w:val="16"/>
          <w:szCs w:val="16"/>
          <w:color w:val="auto"/>
        </w:rPr>
      </w:pPr>
    </w:p>
    <w:p>
      <w:pPr>
        <w:ind w:left="1582" w:hanging="796"/>
        <w:spacing w:after="0"/>
        <w:tabs>
          <w:tab w:leader="none" w:pos="158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 Ordinary Shares</w:t>
      </w:r>
      <w:r>
        <w:rPr>
          <w:rFonts w:ascii="Arial" w:cs="Arial" w:eastAsia="Arial" w:hAnsi="Arial"/>
          <w:sz w:val="16"/>
          <w:szCs w:val="16"/>
          <w:color w:val="auto"/>
        </w:rPr>
        <w:t>” has the meaning given in the Articles.</w:t>
      </w:r>
    </w:p>
    <w:p>
      <w:pPr>
        <w:spacing w:after="0" w:line="207" w:lineRule="exact"/>
        <w:rPr>
          <w:rFonts w:ascii="Arial" w:cs="Arial" w:eastAsia="Arial" w:hAnsi="Arial"/>
          <w:sz w:val="16"/>
          <w:szCs w:val="16"/>
          <w:color w:val="auto"/>
        </w:rPr>
      </w:pPr>
    </w:p>
    <w:p>
      <w:pPr>
        <w:ind w:left="1582" w:right="180" w:hanging="796"/>
        <w:spacing w:after="0" w:line="280" w:lineRule="auto"/>
        <w:tabs>
          <w:tab w:leader="none" w:pos="1588" w:val="left"/>
        </w:tabs>
        <w:numPr>
          <w:ilvl w:val="0"/>
          <w:numId w:val="2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Damages</w:t>
      </w:r>
      <w:r>
        <w:rPr>
          <w:rFonts w:ascii="Arial" w:cs="Arial" w:eastAsia="Arial" w:hAnsi="Arial"/>
          <w:sz w:val="15"/>
          <w:szCs w:val="15"/>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56" w:lineRule="exact"/>
        <w:rPr>
          <w:rFonts w:ascii="Arial" w:cs="Arial" w:eastAsia="Arial" w:hAnsi="Arial"/>
          <w:sz w:val="15"/>
          <w:szCs w:val="15"/>
          <w:color w:val="auto"/>
        </w:rPr>
      </w:pPr>
    </w:p>
    <w:p>
      <w:pPr>
        <w:ind w:left="1582" w:hanging="796"/>
        <w:spacing w:after="0"/>
        <w:tabs>
          <w:tab w:leader="none" w:pos="158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802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42"/>
          </w:cols>
          <w:pgMar w:left="238" w:top="343" w:right="219" w:bottom="1440" w:gutter="0" w:footer="0" w:header="0"/>
        </w:sectPr>
      </w:pPr>
    </w:p>
    <w:bookmarkStart w:id="360" w:name="page361"/>
    <w:bookmarkEnd w:id="360"/>
    <w:p>
      <w:pPr>
        <w:ind w:left="756"/>
        <w:spacing w:after="0"/>
        <w:rPr>
          <w:sz w:val="20"/>
          <w:szCs w:val="20"/>
          <w:color w:val="auto"/>
        </w:rPr>
      </w:pPr>
      <w:r>
        <w:rPr>
          <w:rFonts w:ascii="Arial" w:cs="Arial" w:eastAsia="Arial" w:hAnsi="Arial"/>
          <w:sz w:val="16"/>
          <w:szCs w:val="16"/>
          <w:color w:val="auto"/>
        </w:rPr>
        <w:t>rules and regulations promulgated thereunder.</w:t>
      </w:r>
    </w:p>
    <w:p>
      <w:pPr>
        <w:spacing w:after="0" w:line="207" w:lineRule="exact"/>
        <w:rPr>
          <w:sz w:val="20"/>
          <w:szCs w:val="20"/>
          <w:color w:val="auto"/>
        </w:rPr>
      </w:pPr>
    </w:p>
    <w:p>
      <w:pPr>
        <w:jc w:val="both"/>
        <w:ind w:left="796" w:hanging="796"/>
        <w:spacing w:after="0" w:line="270" w:lineRule="auto"/>
        <w:tabs>
          <w:tab w:leader="none" w:pos="81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Form F-3</w:t>
      </w:r>
      <w:r>
        <w:rPr>
          <w:rFonts w:ascii="Arial" w:cs="Arial" w:eastAsia="Arial" w:hAnsi="Arial"/>
          <w:sz w:val="16"/>
          <w:szCs w:val="16"/>
          <w:color w:val="auto"/>
        </w:rPr>
        <w:t>” means such form under the Securities Act as in effect on the date hereof or any successor or similar registration form under the Securities Act subsequently adopted by the SEC, which permits inclusion or incorporation of substantial information by reference to other documents filed by the Company with the SEC.</w:t>
      </w:r>
    </w:p>
    <w:p>
      <w:pPr>
        <w:spacing w:after="0" w:line="161" w:lineRule="exact"/>
        <w:rPr>
          <w:rFonts w:ascii="Arial" w:cs="Arial" w:eastAsia="Arial" w:hAnsi="Arial"/>
          <w:sz w:val="16"/>
          <w:szCs w:val="16"/>
          <w:color w:val="auto"/>
        </w:rPr>
      </w:pPr>
    </w:p>
    <w:p>
      <w:pPr>
        <w:ind w:left="796" w:hanging="796"/>
        <w:spacing w:after="0" w:line="270" w:lineRule="auto"/>
        <w:tabs>
          <w:tab w:leader="none" w:pos="79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means such form under the Securities Act as in effect on the date hereof or any successor or similar registration form under the Securities Act subsequently adopted by the SEC, which permits inclusion or incorporation of substantial information by reference to other documents filed by the Company with the SEC.</w:t>
      </w:r>
    </w:p>
    <w:p>
      <w:pPr>
        <w:spacing w:after="0" w:line="161" w:lineRule="exact"/>
        <w:rPr>
          <w:rFonts w:ascii="Arial" w:cs="Arial" w:eastAsia="Arial" w:hAnsi="Arial"/>
          <w:sz w:val="16"/>
          <w:szCs w:val="16"/>
          <w:color w:val="auto"/>
        </w:rPr>
      </w:pPr>
    </w:p>
    <w:p>
      <w:pPr>
        <w:ind w:left="796" w:hanging="796"/>
        <w:spacing w:after="0" w:line="285" w:lineRule="auto"/>
        <w:tabs>
          <w:tab w:leader="none" w:pos="811"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means any Person owning of record Registrable Securities that have not been sold to the public or any assignee of record of such Registrable Securities in accordance with Section 3.2 hereof.</w:t>
      </w:r>
    </w:p>
    <w:p>
      <w:pPr>
        <w:spacing w:after="0" w:line="149" w:lineRule="exact"/>
        <w:rPr>
          <w:rFonts w:ascii="Arial" w:cs="Arial" w:eastAsia="Arial" w:hAnsi="Arial"/>
          <w:sz w:val="16"/>
          <w:szCs w:val="16"/>
          <w:color w:val="auto"/>
        </w:rPr>
      </w:pPr>
    </w:p>
    <w:p>
      <w:pPr>
        <w:ind w:left="796" w:right="80" w:hanging="796"/>
        <w:spacing w:after="0" w:line="285" w:lineRule="auto"/>
        <w:tabs>
          <w:tab w:leader="none" w:pos="799"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Offering</w:t>
      </w:r>
      <w:r>
        <w:rPr>
          <w:rFonts w:ascii="Arial" w:cs="Arial" w:eastAsia="Arial" w:hAnsi="Arial"/>
          <w:sz w:val="16"/>
          <w:szCs w:val="16"/>
          <w:color w:val="auto"/>
        </w:rPr>
        <w:t>” means the Company’s first firm commitment underwritten public offering of its Ordinary Shares, or American Depositary Receipts representing Ordinary Shares, registered under the Securities Act.</w:t>
      </w:r>
    </w:p>
    <w:p>
      <w:pPr>
        <w:spacing w:after="0" w:line="149" w:lineRule="exact"/>
        <w:rPr>
          <w:rFonts w:ascii="Arial" w:cs="Arial" w:eastAsia="Arial" w:hAnsi="Arial"/>
          <w:sz w:val="16"/>
          <w:szCs w:val="16"/>
          <w:color w:val="auto"/>
        </w:rPr>
      </w:pPr>
    </w:p>
    <w:p>
      <w:pPr>
        <w:ind w:left="796" w:hanging="796"/>
        <w:spacing w:after="0"/>
        <w:tabs>
          <w:tab w:leader="none" w:pos="79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Investor Shares</w:t>
      </w:r>
      <w:r>
        <w:rPr>
          <w:rFonts w:ascii="Arial" w:cs="Arial" w:eastAsia="Arial" w:hAnsi="Arial"/>
          <w:sz w:val="16"/>
          <w:szCs w:val="16"/>
          <w:color w:val="auto"/>
        </w:rPr>
        <w:t>” means, collectively, the A Ordinary Shares and the B Ordinary Shares.</w:t>
      </w:r>
    </w:p>
    <w:p>
      <w:pPr>
        <w:spacing w:after="0" w:line="207" w:lineRule="exact"/>
        <w:rPr>
          <w:rFonts w:ascii="Arial" w:cs="Arial" w:eastAsia="Arial" w:hAnsi="Arial"/>
          <w:sz w:val="16"/>
          <w:szCs w:val="16"/>
          <w:color w:val="auto"/>
        </w:rPr>
      </w:pPr>
    </w:p>
    <w:p>
      <w:pPr>
        <w:ind w:left="796" w:hanging="796"/>
        <w:spacing w:after="0"/>
        <w:tabs>
          <w:tab w:leader="none" w:pos="79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IPO</w:t>
      </w:r>
      <w:r>
        <w:rPr>
          <w:rFonts w:ascii="Arial" w:cs="Arial" w:eastAsia="Arial" w:hAnsi="Arial"/>
          <w:sz w:val="16"/>
          <w:szCs w:val="16"/>
          <w:color w:val="auto"/>
        </w:rPr>
        <w:t>” shall have the meaning given to the term in the Articles.</w:t>
      </w:r>
    </w:p>
    <w:p>
      <w:pPr>
        <w:spacing w:after="0" w:line="207" w:lineRule="exact"/>
        <w:rPr>
          <w:rFonts w:ascii="Arial" w:cs="Arial" w:eastAsia="Arial" w:hAnsi="Arial"/>
          <w:sz w:val="16"/>
          <w:szCs w:val="16"/>
          <w:color w:val="auto"/>
        </w:rPr>
      </w:pPr>
    </w:p>
    <w:p>
      <w:pPr>
        <w:ind w:left="776" w:hanging="776"/>
        <w:spacing w:after="0"/>
        <w:tabs>
          <w:tab w:leader="none" w:pos="77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means the ordinary shares of £0.01 each in the Company with the rights set out in the Articles.</w:t>
      </w:r>
    </w:p>
    <w:p>
      <w:pPr>
        <w:spacing w:after="0" w:line="207" w:lineRule="exact"/>
        <w:rPr>
          <w:rFonts w:ascii="Arial" w:cs="Arial" w:eastAsia="Arial" w:hAnsi="Arial"/>
          <w:sz w:val="16"/>
          <w:szCs w:val="16"/>
          <w:color w:val="auto"/>
        </w:rPr>
      </w:pPr>
    </w:p>
    <w:p>
      <w:pPr>
        <w:ind w:left="796" w:hanging="796"/>
        <w:spacing w:after="0"/>
        <w:tabs>
          <w:tab w:leader="none" w:pos="79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207" w:lineRule="exact"/>
        <w:rPr>
          <w:rFonts w:ascii="Arial" w:cs="Arial" w:eastAsia="Arial" w:hAnsi="Arial"/>
          <w:sz w:val="16"/>
          <w:szCs w:val="16"/>
          <w:color w:val="auto"/>
        </w:rPr>
      </w:pPr>
    </w:p>
    <w:p>
      <w:pPr>
        <w:ind w:left="796" w:right="380" w:hanging="796"/>
        <w:spacing w:after="0" w:line="285" w:lineRule="auto"/>
        <w:tabs>
          <w:tab w:leader="none" w:pos="79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Register</w:t>
      </w:r>
      <w:r>
        <w:rPr>
          <w:rFonts w:ascii="Arial" w:cs="Arial" w:eastAsia="Arial" w:hAnsi="Arial"/>
          <w:sz w:val="16"/>
          <w:szCs w:val="16"/>
          <w:color w:val="auto"/>
        </w:rPr>
        <w:t>,” “</w:t>
      </w:r>
      <w:r>
        <w:rPr>
          <w:rFonts w:ascii="Arial" w:cs="Arial" w:eastAsia="Arial" w:hAnsi="Arial"/>
          <w:sz w:val="16"/>
          <w:szCs w:val="16"/>
          <w:b w:val="1"/>
          <w:bCs w:val="1"/>
          <w:i w:val="1"/>
          <w:iCs w:val="1"/>
          <w:color w:val="auto"/>
        </w:rPr>
        <w:t>registered</w:t>
      </w:r>
      <w:r>
        <w:rPr>
          <w:rFonts w:ascii="Arial" w:cs="Arial" w:eastAsia="Arial" w:hAnsi="Arial"/>
          <w:sz w:val="16"/>
          <w:szCs w:val="16"/>
          <w:color w:val="auto"/>
        </w:rPr>
        <w:t>,” and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refer to a registration effected by preparing and filing a registration statement in compliance with the Securities Act and the declaration or ordering of effectiveness of such registration statement or document.</w:t>
      </w:r>
    </w:p>
    <w:p>
      <w:pPr>
        <w:spacing w:after="0" w:line="149" w:lineRule="exact"/>
        <w:rPr>
          <w:rFonts w:ascii="Arial" w:cs="Arial" w:eastAsia="Arial" w:hAnsi="Arial"/>
          <w:sz w:val="16"/>
          <w:szCs w:val="16"/>
          <w:color w:val="auto"/>
        </w:rPr>
      </w:pPr>
    </w:p>
    <w:p>
      <w:pPr>
        <w:ind w:left="796" w:hanging="796"/>
        <w:spacing w:after="0" w:line="294" w:lineRule="auto"/>
        <w:tabs>
          <w:tab w:leader="none" w:pos="798" w:val="left"/>
        </w:tabs>
        <w:numPr>
          <w:ilvl w:val="0"/>
          <w:numId w:val="24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Registrable Securities</w:t>
      </w:r>
      <w:r>
        <w:rPr>
          <w:rFonts w:ascii="Arial" w:cs="Arial" w:eastAsia="Arial" w:hAnsi="Arial"/>
          <w:sz w:val="14"/>
          <w:szCs w:val="14"/>
          <w:color w:val="auto"/>
        </w:rPr>
        <w:t>” means (i) Ordinary Shares of the Company issuable or issued upon conversion of the Investor Shares; (ii) any Ordinary Shares, or any Ordinary Shares issued or issuable upon conversion and/or exercise of any other securities of the Company, acquired by the Investors after the date hereof; and (iii) any Ordinary Shares of the Company issued as (or issuable upon the conversion or exercise of any warrant, right or other security, which is issued as) a dividend or other distribution with respect to, or in exchange for or in replacement of, such above-described securities. Where the context requires, Registrable Securities shall include American Depositary Receipts representing Ordinary Shares. Notwithstanding the foregoing, Registrable Securities shall not include any securities (i) sold by a Person to the public either pursuant to a registration statement or</w:t>
      </w:r>
    </w:p>
    <w:p>
      <w:pPr>
        <w:spacing w:after="0" w:line="2" w:lineRule="exact"/>
        <w:rPr>
          <w:rFonts w:ascii="Arial" w:cs="Arial" w:eastAsia="Arial" w:hAnsi="Arial"/>
          <w:sz w:val="14"/>
          <w:szCs w:val="14"/>
          <w:color w:val="auto"/>
        </w:rPr>
      </w:pPr>
    </w:p>
    <w:p>
      <w:pPr>
        <w:ind w:left="796" w:right="220"/>
        <w:spacing w:after="0" w:line="270" w:lineRule="auto"/>
        <w:rPr>
          <w:rFonts w:ascii="Arial" w:cs="Arial" w:eastAsia="Arial" w:hAnsi="Arial"/>
          <w:sz w:val="14"/>
          <w:szCs w:val="14"/>
          <w:color w:val="auto"/>
        </w:rPr>
      </w:pPr>
      <w:r>
        <w:rPr>
          <w:rFonts w:ascii="Arial" w:cs="Arial" w:eastAsia="Arial" w:hAnsi="Arial"/>
          <w:sz w:val="16"/>
          <w:szCs w:val="16"/>
          <w:color w:val="auto"/>
        </w:rPr>
        <w:t>Rule 144 or (ii) sold in a private transaction in which the transferor’s rights under Section 2 of this Agreement are not assigned or (iii) any Ordinary Shares for which registration rights have terminated pursuant to section 2.14 of this Agreement.</w:t>
      </w:r>
    </w:p>
    <w:p>
      <w:pPr>
        <w:spacing w:after="0" w:line="161" w:lineRule="exact"/>
        <w:rPr>
          <w:rFonts w:ascii="Arial" w:cs="Arial" w:eastAsia="Arial" w:hAnsi="Arial"/>
          <w:sz w:val="14"/>
          <w:szCs w:val="14"/>
          <w:color w:val="auto"/>
        </w:rPr>
      </w:pPr>
    </w:p>
    <w:p>
      <w:pPr>
        <w:ind w:left="796" w:right="340" w:hanging="796"/>
        <w:spacing w:after="0" w:line="285" w:lineRule="auto"/>
        <w:tabs>
          <w:tab w:leader="none" w:pos="79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 then outstanding</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number of Ordinary Shares that are Registrable Securities and either (a) are then issued and outstanding or (b) are issuable (directly or indirectly) pursuant to then exercisable or convertible securities.</w:t>
      </w:r>
    </w:p>
    <w:p>
      <w:pPr>
        <w:spacing w:after="0" w:line="149" w:lineRule="exact"/>
        <w:rPr>
          <w:rFonts w:ascii="Arial" w:cs="Arial" w:eastAsia="Arial" w:hAnsi="Arial"/>
          <w:sz w:val="16"/>
          <w:szCs w:val="16"/>
          <w:color w:val="auto"/>
        </w:rPr>
      </w:pPr>
    </w:p>
    <w:p>
      <w:pPr>
        <w:ind w:left="796" w:right="220" w:hanging="796"/>
        <w:spacing w:after="0" w:line="270" w:lineRule="auto"/>
        <w:tabs>
          <w:tab w:leader="none" w:pos="808"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Registration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means all expenses incurred by the Company in complying with Sections 2.1, 2.2 and 2.3 hereof, including,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 all registration and filing fees, printing expenses, fees and disbursements of counsel for the Company, reasonable fees and disbursements not to exceed fifty thousand U.S. dollars</w:t>
      </w:r>
    </w:p>
    <w:p>
      <w:pPr>
        <w:spacing w:after="0" w:line="162" w:lineRule="exact"/>
        <w:rPr>
          <w:sz w:val="20"/>
          <w:szCs w:val="20"/>
          <w:color w:val="auto"/>
        </w:rPr>
      </w:pPr>
    </w:p>
    <w:p>
      <w:pPr>
        <w:ind w:left="4896"/>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74930</wp:posOffset>
            </wp:positionV>
            <wp:extent cx="72802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636"/>
          </w:cols>
          <w:pgMar w:left="1024" w:top="322" w:right="239" w:bottom="1440" w:gutter="0" w:footer="0" w:header="0"/>
        </w:sectPr>
      </w:pPr>
    </w:p>
    <w:bookmarkStart w:id="361" w:name="page362"/>
    <w:bookmarkEnd w:id="361"/>
    <w:p>
      <w:pPr>
        <w:ind w:left="1582" w:right="80"/>
        <w:spacing w:after="0" w:line="360" w:lineRule="auto"/>
        <w:rPr>
          <w:sz w:val="20"/>
          <w:szCs w:val="20"/>
          <w:color w:val="auto"/>
        </w:rPr>
      </w:pPr>
      <w:r>
        <w:rPr>
          <w:rFonts w:ascii="Arial" w:cs="Arial" w:eastAsia="Arial" w:hAnsi="Arial"/>
          <w:sz w:val="14"/>
          <w:szCs w:val="14"/>
          <w:color w:val="auto"/>
        </w:rPr>
        <w:t>(U.S.$50,000)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104" w:lineRule="exact"/>
        <w:rPr>
          <w:sz w:val="20"/>
          <w:szCs w:val="20"/>
          <w:color w:val="auto"/>
        </w:rPr>
      </w:pPr>
    </w:p>
    <w:p>
      <w:pPr>
        <w:ind w:left="1582" w:hanging="796"/>
        <w:spacing w:after="0"/>
        <w:tabs>
          <w:tab w:leader="none" w:pos="158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144</w:t>
      </w:r>
      <w:r>
        <w:rPr>
          <w:rFonts w:ascii="Arial" w:cs="Arial" w:eastAsia="Arial" w:hAnsi="Arial"/>
          <w:sz w:val="16"/>
          <w:szCs w:val="16"/>
          <w:color w:val="auto"/>
        </w:rPr>
        <w:t>” means Rule 144 promulgated by the SEC under the Securities Act.</w:t>
      </w:r>
    </w:p>
    <w:p>
      <w:pPr>
        <w:spacing w:after="0" w:line="207" w:lineRule="exact"/>
        <w:rPr>
          <w:rFonts w:ascii="Arial" w:cs="Arial" w:eastAsia="Arial" w:hAnsi="Arial"/>
          <w:sz w:val="16"/>
          <w:szCs w:val="16"/>
          <w:color w:val="auto"/>
        </w:rPr>
      </w:pPr>
    </w:p>
    <w:p>
      <w:pPr>
        <w:ind w:left="1582" w:hanging="796"/>
        <w:spacing w:after="0"/>
        <w:tabs>
          <w:tab w:leader="none" w:pos="158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or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means the Securities and Exchange Commission.</w:t>
      </w:r>
    </w:p>
    <w:p>
      <w:pPr>
        <w:spacing w:after="0" w:line="207" w:lineRule="exact"/>
        <w:rPr>
          <w:rFonts w:ascii="Arial" w:cs="Arial" w:eastAsia="Arial" w:hAnsi="Arial"/>
          <w:sz w:val="16"/>
          <w:szCs w:val="16"/>
          <w:color w:val="auto"/>
        </w:rPr>
      </w:pPr>
    </w:p>
    <w:p>
      <w:pPr>
        <w:ind w:left="1582" w:hanging="796"/>
        <w:spacing w:after="0"/>
        <w:tabs>
          <w:tab w:leader="none" w:pos="158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07" w:lineRule="exact"/>
        <w:rPr>
          <w:rFonts w:ascii="Arial" w:cs="Arial" w:eastAsia="Arial" w:hAnsi="Arial"/>
          <w:sz w:val="16"/>
          <w:szCs w:val="16"/>
          <w:color w:val="auto"/>
        </w:rPr>
      </w:pPr>
    </w:p>
    <w:p>
      <w:pPr>
        <w:ind w:left="1582" w:hanging="796"/>
        <w:spacing w:after="0"/>
        <w:tabs>
          <w:tab w:leader="none" w:pos="158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Selling Expenses</w:t>
      </w:r>
      <w:r>
        <w:rPr>
          <w:rFonts w:ascii="Arial" w:cs="Arial" w:eastAsia="Arial" w:hAnsi="Arial"/>
          <w:sz w:val="16"/>
          <w:szCs w:val="16"/>
          <w:color w:val="auto"/>
        </w:rPr>
        <w:t>” means all underwriting discounts and selling commissions applicable to the sale of Registrable Securities.</w:t>
      </w:r>
    </w:p>
    <w:p>
      <w:pPr>
        <w:spacing w:after="0" w:line="207" w:lineRule="exact"/>
        <w:rPr>
          <w:rFonts w:ascii="Arial" w:cs="Arial" w:eastAsia="Arial" w:hAnsi="Arial"/>
          <w:sz w:val="16"/>
          <w:szCs w:val="16"/>
          <w:color w:val="auto"/>
        </w:rPr>
      </w:pPr>
    </w:p>
    <w:p>
      <w:pPr>
        <w:ind w:left="1582" w:right="140" w:hanging="796"/>
        <w:spacing w:after="0" w:line="285" w:lineRule="auto"/>
        <w:tabs>
          <w:tab w:leader="none" w:pos="1596" w:val="left"/>
        </w:tabs>
        <w:numPr>
          <w:ilvl w:val="1"/>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xml:space="preserve">” means the Ordinary Shares, the A Ordinary Shares and the B Ordinary Shares, held from time to time by the Investors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their permitted assignees.</w:t>
      </w:r>
    </w:p>
    <w:p>
      <w:pPr>
        <w:spacing w:after="0" w:line="149" w:lineRule="exact"/>
        <w:rPr>
          <w:rFonts w:ascii="Arial" w:cs="Arial" w:eastAsia="Arial" w:hAnsi="Arial"/>
          <w:sz w:val="16"/>
          <w:szCs w:val="16"/>
          <w:color w:val="auto"/>
        </w:rPr>
      </w:pPr>
    </w:p>
    <w:p>
      <w:pPr>
        <w:ind w:left="1582" w:hanging="796"/>
        <w:spacing w:after="0"/>
        <w:tabs>
          <w:tab w:leader="none" w:pos="158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 Sale</w:t>
      </w:r>
      <w:r>
        <w:rPr>
          <w:rFonts w:ascii="Arial" w:cs="Arial" w:eastAsia="Arial" w:hAnsi="Arial"/>
          <w:sz w:val="16"/>
          <w:szCs w:val="16"/>
          <w:color w:val="auto"/>
        </w:rPr>
        <w:t>” shall have the meaning given to the term in the Articles.</w:t>
      </w:r>
    </w:p>
    <w:p>
      <w:pPr>
        <w:spacing w:after="0" w:line="207" w:lineRule="exact"/>
        <w:rPr>
          <w:rFonts w:ascii="Arial" w:cs="Arial" w:eastAsia="Arial" w:hAnsi="Arial"/>
          <w:sz w:val="16"/>
          <w:szCs w:val="16"/>
          <w:color w:val="auto"/>
        </w:rPr>
      </w:pPr>
    </w:p>
    <w:p>
      <w:pPr>
        <w:ind w:left="1582" w:right="120" w:hanging="796"/>
        <w:spacing w:after="0" w:line="270" w:lineRule="auto"/>
        <w:tabs>
          <w:tab w:leader="none" w:pos="1585" w:val="left"/>
        </w:tabs>
        <w:numPr>
          <w:ilvl w:val="1"/>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Special Registration Statement</w:t>
      </w:r>
      <w:r>
        <w:rPr>
          <w:rFonts w:ascii="Arial" w:cs="Arial" w:eastAsia="Arial" w:hAnsi="Arial"/>
          <w:sz w:val="16"/>
          <w:szCs w:val="16"/>
          <w:color w:val="auto"/>
        </w:rPr>
        <w:t>” means (i) a registration statement relating to any employee benefit plan or (ii) with respect to any corporate reorganization or transaction under Rule 145 of the Securities Act, any registration statements related to the issuance or resale of securities issued in such a transaction or (iii) a registration related to shares issued upon conversion of debt securities.</w:t>
      </w:r>
    </w:p>
    <w:p>
      <w:pPr>
        <w:spacing w:after="0" w:line="157" w:lineRule="exact"/>
        <w:rPr>
          <w:rFonts w:ascii="Arial" w:cs="Arial" w:eastAsia="Arial" w:hAnsi="Arial"/>
          <w:sz w:val="16"/>
          <w:szCs w:val="16"/>
          <w:color w:val="auto"/>
        </w:rPr>
      </w:pPr>
    </w:p>
    <w:p>
      <w:pPr>
        <w:ind w:left="782" w:hanging="782"/>
        <w:spacing w:after="0"/>
        <w:tabs>
          <w:tab w:leader="none" w:pos="782" w:val="left"/>
        </w:tabs>
        <w:numPr>
          <w:ilvl w:val="0"/>
          <w:numId w:val="247"/>
        </w:numPr>
        <w:rPr>
          <w:rFonts w:ascii="Arial" w:cs="Arial" w:eastAsia="Arial" w:hAnsi="Arial"/>
          <w:sz w:val="16"/>
          <w:szCs w:val="16"/>
          <w:b w:val="1"/>
          <w:bCs w:val="1"/>
          <w:color w:val="auto"/>
        </w:rPr>
      </w:pPr>
      <w:r>
        <w:rPr>
          <w:rFonts w:ascii="Arial" w:cs="Arial" w:eastAsia="Arial" w:hAnsi="Arial"/>
          <w:sz w:val="16"/>
          <w:szCs w:val="16"/>
          <w:b w:val="1"/>
          <w:bCs w:val="1"/>
          <w:color w:val="auto"/>
        </w:rPr>
        <w:t>REGISTRATION.</w:t>
      </w:r>
    </w:p>
    <w:p>
      <w:pPr>
        <w:spacing w:after="0" w:line="207" w:lineRule="exact"/>
        <w:rPr>
          <w:sz w:val="20"/>
          <w:szCs w:val="20"/>
          <w:color w:val="auto"/>
        </w:rPr>
      </w:pPr>
    </w:p>
    <w:p>
      <w:pPr>
        <w:ind w:left="2"/>
        <w:spacing w:after="0"/>
        <w:tabs>
          <w:tab w:leader="none" w:pos="762"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b w:val="1"/>
          <w:bCs w:val="1"/>
          <w:color w:val="auto"/>
        </w:rPr>
        <w:t>Demand Registration</w:t>
      </w:r>
      <w:r>
        <w:rPr>
          <w:rFonts w:ascii="Arial" w:cs="Arial" w:eastAsia="Arial" w:hAnsi="Arial"/>
          <w:sz w:val="14"/>
          <w:szCs w:val="14"/>
          <w:color w:val="auto"/>
        </w:rPr>
        <w:t>.</w:t>
      </w:r>
    </w:p>
    <w:p>
      <w:pPr>
        <w:spacing w:after="0" w:line="211" w:lineRule="exact"/>
        <w:rPr>
          <w:sz w:val="20"/>
          <w:szCs w:val="20"/>
          <w:color w:val="auto"/>
        </w:rPr>
      </w:pPr>
    </w:p>
    <w:p>
      <w:pPr>
        <w:ind w:left="1582" w:hanging="796"/>
        <w:spacing w:after="0" w:line="280" w:lineRule="auto"/>
        <w:tabs>
          <w:tab w:leader="none" w:pos="1575" w:val="left"/>
        </w:tabs>
        <w:numPr>
          <w:ilvl w:val="0"/>
          <w:numId w:val="248"/>
        </w:numPr>
        <w:rPr>
          <w:rFonts w:ascii="Arial" w:cs="Arial" w:eastAsia="Arial" w:hAnsi="Arial"/>
          <w:sz w:val="15"/>
          <w:szCs w:val="15"/>
          <w:color w:val="auto"/>
        </w:rPr>
      </w:pPr>
      <w:r>
        <w:rPr>
          <w:rFonts w:ascii="Arial" w:cs="Arial" w:eastAsia="Arial" w:hAnsi="Arial"/>
          <w:sz w:val="15"/>
          <w:szCs w:val="15"/>
          <w:color w:val="auto"/>
        </w:rPr>
        <w:t>Subject to the conditions of this Section 2.1, if the Company shall receive a written request from the Holders of at least fifty percent (50%) of the Registrable Securities (the “</w:t>
      </w:r>
      <w:r>
        <w:rPr>
          <w:rFonts w:ascii="Arial" w:cs="Arial" w:eastAsia="Arial" w:hAnsi="Arial"/>
          <w:sz w:val="15"/>
          <w:szCs w:val="15"/>
          <w:b w:val="1"/>
          <w:bCs w:val="1"/>
          <w:i w:val="1"/>
          <w:iCs w:val="1"/>
          <w:color w:val="auto"/>
        </w:rPr>
        <w:t>Initiating Holders</w:t>
      </w:r>
      <w:r>
        <w:rPr>
          <w:rFonts w:ascii="Arial" w:cs="Arial" w:eastAsia="Arial" w:hAnsi="Arial"/>
          <w:sz w:val="15"/>
          <w:szCs w:val="15"/>
          <w:color w:val="auto"/>
        </w:rPr>
        <w:t>”) that the Company file a registration statement under the Securities Act covering the registration of at least twenty five percent (25%) of the Registrable Securities then outstanding (or a lesser percent if the anticipated aggregate offering price, net of underwriting discounts and commissions, would exceed thirty million U.S. dollars (U.S.$30,000,000)), then the Company shall, within ten (10) days of the receipt thereof, give written notice of such request to all Holders, and, subject to the limitations of this Section 2.1, effect, as expeditiously as reasonably possible, and in any event within seventy five (75) days of the receipt of such request, make an initial filing of a registration under the Securities Act with the SEC of all Registrable Securities that all Holders request to be registered.</w:t>
      </w:r>
    </w:p>
    <w:p>
      <w:pPr>
        <w:spacing w:after="0" w:line="156" w:lineRule="exact"/>
        <w:rPr>
          <w:rFonts w:ascii="Arial" w:cs="Arial" w:eastAsia="Arial" w:hAnsi="Arial"/>
          <w:sz w:val="15"/>
          <w:szCs w:val="15"/>
          <w:color w:val="auto"/>
        </w:rPr>
      </w:pPr>
    </w:p>
    <w:p>
      <w:pPr>
        <w:ind w:left="1582" w:hanging="796"/>
        <w:spacing w:after="0"/>
        <w:tabs>
          <w:tab w:leader="none" w:pos="1582"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Company shall not be required to effect a registration pursuant to this Section 2.1:</w:t>
      </w:r>
    </w:p>
    <w:p>
      <w:pPr>
        <w:spacing w:after="0" w:line="207" w:lineRule="exact"/>
        <w:rPr>
          <w:rFonts w:ascii="Arial" w:cs="Arial" w:eastAsia="Arial" w:hAnsi="Arial"/>
          <w:sz w:val="16"/>
          <w:szCs w:val="16"/>
          <w:color w:val="auto"/>
        </w:rPr>
      </w:pPr>
    </w:p>
    <w:p>
      <w:pPr>
        <w:ind w:left="2362" w:right="300" w:hanging="789"/>
        <w:spacing w:after="0" w:line="285" w:lineRule="auto"/>
        <w:tabs>
          <w:tab w:leader="none" w:pos="2353" w:val="left"/>
        </w:tabs>
        <w:numPr>
          <w:ilvl w:val="1"/>
          <w:numId w:val="248"/>
        </w:numPr>
        <w:rPr>
          <w:rFonts w:ascii="Arial" w:cs="Arial" w:eastAsia="Arial" w:hAnsi="Arial"/>
          <w:sz w:val="16"/>
          <w:szCs w:val="16"/>
          <w:color w:val="auto"/>
        </w:rPr>
      </w:pPr>
      <w:r>
        <w:rPr>
          <w:rFonts w:ascii="Arial" w:cs="Arial" w:eastAsia="Arial" w:hAnsi="Arial"/>
          <w:sz w:val="16"/>
          <w:szCs w:val="16"/>
          <w:color w:val="auto"/>
        </w:rPr>
        <w:t>prior to the earlier of (A) 26 May 2021 or (B) the expiration of the restrictions on transfer set forth in Section 2.9 following the Initial Offering;</w:t>
      </w:r>
    </w:p>
    <w:p>
      <w:pPr>
        <w:spacing w:after="0" w:line="149" w:lineRule="exact"/>
        <w:rPr>
          <w:rFonts w:ascii="Arial" w:cs="Arial" w:eastAsia="Arial" w:hAnsi="Arial"/>
          <w:sz w:val="16"/>
          <w:szCs w:val="16"/>
          <w:color w:val="auto"/>
        </w:rPr>
      </w:pPr>
    </w:p>
    <w:p>
      <w:pPr>
        <w:ind w:left="2362" w:right="260" w:hanging="789"/>
        <w:spacing w:after="0" w:line="285" w:lineRule="auto"/>
        <w:tabs>
          <w:tab w:leader="none" w:pos="2362"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after the Company has effected two (2) registrations pursuant to this Section 2.1, and such registrations have been declared or ordered effective;</w:t>
      </w:r>
    </w:p>
    <w:p>
      <w:pPr>
        <w:spacing w:after="0" w:line="149" w:lineRule="exact"/>
        <w:rPr>
          <w:rFonts w:ascii="Arial" w:cs="Arial" w:eastAsia="Arial" w:hAnsi="Arial"/>
          <w:sz w:val="16"/>
          <w:szCs w:val="16"/>
          <w:color w:val="auto"/>
        </w:rPr>
      </w:pPr>
    </w:p>
    <w:p>
      <w:pPr>
        <w:jc w:val="both"/>
        <w:ind w:left="2362" w:right="40" w:hanging="789"/>
        <w:spacing w:after="0" w:line="270" w:lineRule="auto"/>
        <w:tabs>
          <w:tab w:leader="none" w:pos="237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during the period starting with the date thirty (30) days prior to the Company’s good faith estimate of the date of filing of, and ending on the date one hundred eighty (180) days following the effective date of the registration statement pertaining to a Company-initiated public offering, other than pursuant to a Special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w:t>
      </w:r>
    </w:p>
    <w:p>
      <w:pPr>
        <w:spacing w:after="0" w:line="162" w:lineRule="exact"/>
        <w:rPr>
          <w:sz w:val="20"/>
          <w:szCs w:val="20"/>
          <w:color w:val="auto"/>
        </w:rPr>
      </w:pPr>
    </w:p>
    <w:p>
      <w:pPr>
        <w:jc w:val="center"/>
        <w:ind w:right="-10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42"/>
          </w:cols>
          <w:pgMar w:left="238" w:top="322" w:right="319" w:bottom="1440" w:gutter="0" w:footer="0" w:header="0"/>
        </w:sectPr>
      </w:pPr>
    </w:p>
    <w:bookmarkStart w:id="362" w:name="page363"/>
    <w:bookmarkEnd w:id="362"/>
    <w:p>
      <w:pPr>
        <w:jc w:val="center"/>
        <w:ind w:right="20"/>
        <w:spacing w:after="0"/>
        <w:rPr>
          <w:sz w:val="20"/>
          <w:szCs w:val="20"/>
          <w:color w:val="auto"/>
        </w:rPr>
      </w:pPr>
      <w:r>
        <w:rPr>
          <w:rFonts w:ascii="Arial" w:cs="Arial" w:eastAsia="Arial" w:hAnsi="Arial"/>
          <w:sz w:val="16"/>
          <w:szCs w:val="16"/>
          <w:color w:val="auto"/>
        </w:rPr>
        <w:t>Company makes reasonable good faith efforts to cause such registration statement to become effective;</w:t>
      </w:r>
    </w:p>
    <w:p>
      <w:pPr>
        <w:spacing w:after="0" w:line="207" w:lineRule="exact"/>
        <w:rPr>
          <w:sz w:val="20"/>
          <w:szCs w:val="20"/>
          <w:color w:val="auto"/>
        </w:rPr>
      </w:pPr>
    </w:p>
    <w:p>
      <w:pPr>
        <w:ind w:left="2360" w:right="80" w:hanging="789"/>
        <w:spacing w:after="0" w:line="270" w:lineRule="auto"/>
        <w:tabs>
          <w:tab w:leader="none" w:pos="234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if within thirty (30) days of receipt of a written request from Initiating Holders pursuant to Section 2.2(a), the Company gives notice to the Holders of the Company’s intention to file a registration statement for a public offering, other than pursuant to a Special Registration Statement within ninety (90) days;</w:t>
      </w:r>
    </w:p>
    <w:p>
      <w:pPr>
        <w:spacing w:after="0" w:line="161" w:lineRule="exact"/>
        <w:rPr>
          <w:rFonts w:ascii="Arial" w:cs="Arial" w:eastAsia="Arial" w:hAnsi="Arial"/>
          <w:sz w:val="16"/>
          <w:szCs w:val="16"/>
          <w:color w:val="auto"/>
        </w:rPr>
      </w:pPr>
    </w:p>
    <w:p>
      <w:pPr>
        <w:ind w:left="2360" w:right="40" w:hanging="789"/>
        <w:spacing w:after="0" w:line="280" w:lineRule="auto"/>
        <w:tabs>
          <w:tab w:leader="none" w:pos="2338" w:val="left"/>
        </w:tabs>
        <w:numPr>
          <w:ilvl w:val="0"/>
          <w:numId w:val="249"/>
        </w:numPr>
        <w:rPr>
          <w:rFonts w:ascii="Arial" w:cs="Arial" w:eastAsia="Arial" w:hAnsi="Arial"/>
          <w:sz w:val="15"/>
          <w:szCs w:val="15"/>
          <w:color w:val="auto"/>
        </w:rPr>
      </w:pPr>
      <w:r>
        <w:rPr>
          <w:rFonts w:ascii="Arial" w:cs="Arial" w:eastAsia="Arial" w:hAnsi="Arial"/>
          <w:sz w:val="15"/>
          <w:szCs w:val="15"/>
          <w:color w:val="auto"/>
        </w:rPr>
        <w:t xml:space="preserve">if the Company shall furnish to Holders requesting a registration statement pursuant to this Section 2.1 a certificate signed by the Chairman of the Board stating that in the good faith judgment of the Board of Directors of the Company, it would be detrimental to the Company and its shareholders for such registration statement to be effected at such time, in which event the Company shall have the right to defer such filing for a period of not more than one hundred and eighty (180) days after receipt of the request of the Initiating Holders;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right to delay a request shall be exercised by the Company not more than once in any twelve (12) month period, and provided further that the Company shall not register any securities for its own account or that of any other stockholder during such one hundred and eighty (180) day period other than a Special Registration Statement; or</w:t>
      </w:r>
    </w:p>
    <w:p>
      <w:pPr>
        <w:spacing w:after="0" w:line="156" w:lineRule="exact"/>
        <w:rPr>
          <w:rFonts w:ascii="Arial" w:cs="Arial" w:eastAsia="Arial" w:hAnsi="Arial"/>
          <w:sz w:val="15"/>
          <w:szCs w:val="15"/>
          <w:color w:val="auto"/>
        </w:rPr>
      </w:pPr>
    </w:p>
    <w:p>
      <w:pPr>
        <w:ind w:left="2360" w:right="100" w:hanging="789"/>
        <w:spacing w:after="0" w:line="285" w:lineRule="auto"/>
        <w:tabs>
          <w:tab w:leader="none" w:pos="234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if the initiating Holders propose to dispose of shares of Registrable Securities that may be immediately registered on Form S-3 or Form F-3 pursuant to a request made pursuant to Section 2.3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 w:type="dxa"/>
            <w:vAlign w:val="bottom"/>
          </w:tcPr>
          <w:p>
            <w:pPr>
              <w:spacing w:after="0"/>
              <w:rPr>
                <w:sz w:val="17"/>
                <w:szCs w:val="17"/>
                <w:color w:val="auto"/>
              </w:rPr>
            </w:pPr>
          </w:p>
        </w:tc>
        <w:tc>
          <w:tcPr>
            <w:tcW w:w="10980" w:type="dxa"/>
            <w:vAlign w:val="bottom"/>
          </w:tcPr>
          <w:p>
            <w:pPr>
              <w:ind w:left="1100"/>
              <w:spacing w:after="0"/>
              <w:rPr>
                <w:sz w:val="20"/>
                <w:szCs w:val="20"/>
                <w:color w:val="auto"/>
              </w:rPr>
            </w:pPr>
            <w:r>
              <w:rPr>
                <w:rFonts w:ascii="Arial" w:cs="Arial" w:eastAsia="Arial" w:hAnsi="Arial"/>
                <w:sz w:val="16"/>
                <w:szCs w:val="16"/>
                <w:color w:val="auto"/>
                <w:w w:val="92"/>
              </w:rPr>
              <w:t>A registration shall not be counted as “effected” for purposes of this Subsection 2.1(b) until such time as the applicable registration statement has been</w:t>
            </w:r>
          </w:p>
        </w:tc>
      </w:tr>
      <w:tr>
        <w:trPr>
          <w:trHeight w:val="207"/>
        </w:trPr>
        <w:tc>
          <w:tcPr>
            <w:tcW w:w="480" w:type="dxa"/>
            <w:vAlign w:val="bottom"/>
          </w:tcPr>
          <w:p>
            <w:pPr>
              <w:spacing w:after="0"/>
              <w:rPr>
                <w:sz w:val="18"/>
                <w:szCs w:val="18"/>
                <w:color w:val="auto"/>
              </w:rPr>
            </w:pPr>
          </w:p>
        </w:tc>
        <w:tc>
          <w:tcPr>
            <w:tcW w:w="10980" w:type="dxa"/>
            <w:vAlign w:val="bottom"/>
          </w:tcPr>
          <w:p>
            <w:pPr>
              <w:ind w:left="1100"/>
              <w:spacing w:after="0"/>
              <w:rPr>
                <w:sz w:val="20"/>
                <w:szCs w:val="20"/>
                <w:color w:val="auto"/>
              </w:rPr>
            </w:pPr>
            <w:r>
              <w:rPr>
                <w:rFonts w:ascii="Arial" w:cs="Arial" w:eastAsia="Arial" w:hAnsi="Arial"/>
                <w:sz w:val="16"/>
                <w:szCs w:val="16"/>
                <w:color w:val="auto"/>
              </w:rPr>
              <w:t>declared effective by the SEC.</w:t>
            </w:r>
          </w:p>
        </w:tc>
      </w:tr>
      <w:tr>
        <w:trPr>
          <w:trHeight w:val="380"/>
        </w:trPr>
        <w:tc>
          <w:tcPr>
            <w:tcW w:w="480" w:type="dxa"/>
            <w:vAlign w:val="bottom"/>
          </w:tcPr>
          <w:p>
            <w:pPr>
              <w:jc w:val="right"/>
              <w:ind w:right="199"/>
              <w:spacing w:after="0"/>
              <w:rPr>
                <w:sz w:val="20"/>
                <w:szCs w:val="20"/>
                <w:color w:val="auto"/>
              </w:rPr>
            </w:pPr>
            <w:r>
              <w:rPr>
                <w:rFonts w:ascii="Arial" w:cs="Arial" w:eastAsia="Arial" w:hAnsi="Arial"/>
                <w:sz w:val="16"/>
                <w:szCs w:val="16"/>
                <w:color w:val="auto"/>
                <w:w w:val="80"/>
              </w:rPr>
              <w:t>2.2</w:t>
            </w:r>
          </w:p>
        </w:tc>
        <w:tc>
          <w:tcPr>
            <w:tcW w:w="10980" w:type="dxa"/>
            <w:vAlign w:val="bottom"/>
          </w:tcPr>
          <w:p>
            <w:pPr>
              <w:ind w:left="300"/>
              <w:spacing w:after="0"/>
              <w:rPr>
                <w:sz w:val="20"/>
                <w:szCs w:val="20"/>
                <w:color w:val="auto"/>
              </w:rPr>
            </w:pPr>
            <w:r>
              <w:rPr>
                <w:rFonts w:ascii="Arial" w:cs="Arial" w:eastAsia="Arial" w:hAnsi="Arial"/>
                <w:sz w:val="16"/>
                <w:szCs w:val="16"/>
                <w:b w:val="1"/>
                <w:bCs w:val="1"/>
                <w:color w:val="auto"/>
                <w:w w:val="94"/>
              </w:rPr>
              <w:t>Piggyback Registrations</w:t>
            </w:r>
            <w:r>
              <w:rPr>
                <w:rFonts w:ascii="Arial" w:cs="Arial" w:eastAsia="Arial" w:hAnsi="Arial"/>
                <w:sz w:val="16"/>
                <w:szCs w:val="16"/>
                <w:color w:val="auto"/>
                <w:w w:val="94"/>
              </w:rPr>
              <w:t>. The Company shall notify all Holders of Registrable Securities in writing at least fifteen (15) days prior to the filing of any registration</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4"/>
              </w:rPr>
              <w:t>statement under the Securities Act for purposes of a public offering of securities of the Company (including, but not limited to, registration statements relating to</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5"/>
              </w:rPr>
              <w:t>secondary offerings of securities of the Company, but excluding Special Registration Statements) and will afford each such Holder an opportunity to include in</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3"/>
              </w:rPr>
              <w:t>such registration statement all or part of such Registrable Securities held by such Holder. Each Holder desiring to include in any such registration statement all or</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7"/>
              </w:rPr>
              <w:t>any part of the Registrable Securities held by it shall, within fifteen (15) days after the above-described notice from the Company, so notify the Company in</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3"/>
              </w:rPr>
              <w:t>writing. The Company shall, subject to the provisions of paragraph 2.4(b) below, cause to be registered all of the Registrable Securities that each such Holder has</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3"/>
              </w:rPr>
              <w:t>requested to be included in such registration. If a Holder decides not to include all of its Registrable Securities in any registration statement thereafter filed by the</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3"/>
              </w:rPr>
              <w:t>Company, such Holder shall nevertheless continue to have the right to include any Registrable Securities in any subsequent registration statement or registration</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3"/>
              </w:rPr>
              <w:t>statements as may be filed by the Company with respect to offerings of its securities, all upon the terms and conditions set forth herein. The Company shall have</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4"/>
              </w:rPr>
              <w:t>the right to terminate or withdraw any registration initiated by it under this Section 2.2 whether or not any Holder has elected to include Registrable Securities in</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3"/>
              </w:rPr>
              <w:t>such registration and shall promptly notify any Holder that has elected to include Registrable Securities in such registration of such termination or withdrawal. The</w:t>
            </w:r>
          </w:p>
        </w:tc>
      </w:tr>
      <w:tr>
        <w:trPr>
          <w:trHeight w:val="207"/>
        </w:trPr>
        <w:tc>
          <w:tcPr>
            <w:tcW w:w="480" w:type="dxa"/>
            <w:vAlign w:val="bottom"/>
          </w:tcPr>
          <w:p>
            <w:pPr>
              <w:spacing w:after="0"/>
              <w:rPr>
                <w:sz w:val="18"/>
                <w:szCs w:val="18"/>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rPr>
              <w:t>Registration Expenses of such withdrawn registration shall be borne by the Company in accordance with Section 2.5 hereof.</w:t>
            </w:r>
          </w:p>
        </w:tc>
      </w:tr>
      <w:tr>
        <w:trPr>
          <w:trHeight w:val="380"/>
        </w:trPr>
        <w:tc>
          <w:tcPr>
            <w:tcW w:w="480" w:type="dxa"/>
            <w:vAlign w:val="bottom"/>
          </w:tcPr>
          <w:p>
            <w:pPr>
              <w:jc w:val="right"/>
              <w:ind w:right="199"/>
              <w:spacing w:after="0"/>
              <w:rPr>
                <w:sz w:val="20"/>
                <w:szCs w:val="20"/>
                <w:color w:val="auto"/>
              </w:rPr>
            </w:pPr>
            <w:r>
              <w:rPr>
                <w:rFonts w:ascii="Arial" w:cs="Arial" w:eastAsia="Arial" w:hAnsi="Arial"/>
                <w:sz w:val="16"/>
                <w:szCs w:val="16"/>
                <w:color w:val="auto"/>
                <w:w w:val="80"/>
              </w:rPr>
              <w:t>2.3</w:t>
            </w:r>
          </w:p>
        </w:tc>
        <w:tc>
          <w:tcPr>
            <w:tcW w:w="10980" w:type="dxa"/>
            <w:vAlign w:val="bottom"/>
          </w:tcPr>
          <w:p>
            <w:pPr>
              <w:ind w:left="300"/>
              <w:spacing w:after="0"/>
              <w:rPr>
                <w:sz w:val="20"/>
                <w:szCs w:val="20"/>
                <w:color w:val="auto"/>
              </w:rPr>
            </w:pPr>
            <w:r>
              <w:rPr>
                <w:rFonts w:ascii="Arial" w:cs="Arial" w:eastAsia="Arial" w:hAnsi="Arial"/>
                <w:sz w:val="16"/>
                <w:szCs w:val="16"/>
                <w:b w:val="1"/>
                <w:bCs w:val="1"/>
                <w:color w:val="auto"/>
                <w:w w:val="95"/>
              </w:rPr>
              <w:t xml:space="preserve">Form S-3 </w:t>
            </w:r>
            <w:r>
              <w:rPr>
                <w:rFonts w:ascii="Arial" w:cs="Arial" w:eastAsia="Arial" w:hAnsi="Arial"/>
                <w:sz w:val="16"/>
                <w:szCs w:val="16"/>
                <w:color w:val="auto"/>
                <w:w w:val="95"/>
              </w:rPr>
              <w:t>or</w:t>
            </w:r>
            <w:r>
              <w:rPr>
                <w:rFonts w:ascii="Arial" w:cs="Arial" w:eastAsia="Arial" w:hAnsi="Arial"/>
                <w:sz w:val="16"/>
                <w:szCs w:val="16"/>
                <w:b w:val="1"/>
                <w:bCs w:val="1"/>
                <w:color w:val="auto"/>
                <w:w w:val="95"/>
              </w:rPr>
              <w:t xml:space="preserve"> Form F-3 Registration. </w:t>
            </w:r>
            <w:r>
              <w:rPr>
                <w:rFonts w:ascii="Arial" w:cs="Arial" w:eastAsia="Arial" w:hAnsi="Arial"/>
                <w:sz w:val="16"/>
                <w:szCs w:val="16"/>
                <w:color w:val="auto"/>
                <w:w w:val="95"/>
              </w:rPr>
              <w:t>In case the Company shall receive from any Holder or Holders of Registrable Securities (also, the “</w:t>
            </w:r>
            <w:r>
              <w:rPr>
                <w:rFonts w:ascii="Arial" w:cs="Arial" w:eastAsia="Arial" w:hAnsi="Arial"/>
                <w:sz w:val="16"/>
                <w:szCs w:val="16"/>
                <w:b w:val="1"/>
                <w:bCs w:val="1"/>
                <w:i w:val="1"/>
                <w:iCs w:val="1"/>
                <w:color w:val="auto"/>
                <w:w w:val="95"/>
              </w:rPr>
              <w:t>Initiating Holders</w:t>
            </w:r>
            <w:r>
              <w:rPr>
                <w:rFonts w:ascii="Arial" w:cs="Arial" w:eastAsia="Arial" w:hAnsi="Arial"/>
                <w:sz w:val="16"/>
                <w:szCs w:val="16"/>
                <w:color w:val="auto"/>
                <w:w w:val="95"/>
              </w:rPr>
              <w:t>”) a</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3"/>
              </w:rPr>
              <w:t>written request or requests that the Company effect a registration on Form S-3 or Form F-3 (or any successor to such forms) or any similar short-form registration</w:t>
            </w:r>
          </w:p>
        </w:tc>
      </w:tr>
      <w:tr>
        <w:trPr>
          <w:trHeight w:val="207"/>
        </w:trPr>
        <w:tc>
          <w:tcPr>
            <w:tcW w:w="480" w:type="dxa"/>
            <w:vAlign w:val="bottom"/>
          </w:tcPr>
          <w:p>
            <w:pPr>
              <w:spacing w:after="0"/>
              <w:rPr>
                <w:sz w:val="18"/>
                <w:szCs w:val="18"/>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rPr>
              <w:t>statement and any related qualification or compliance with</w:t>
            </w:r>
          </w:p>
        </w:tc>
      </w:tr>
      <w:tr>
        <w:trPr>
          <w:trHeight w:val="391"/>
        </w:trPr>
        <w:tc>
          <w:tcPr>
            <w:tcW w:w="480" w:type="dxa"/>
            <w:vAlign w:val="bottom"/>
          </w:tcPr>
          <w:p>
            <w:pPr>
              <w:spacing w:after="0"/>
              <w:rPr>
                <w:sz w:val="24"/>
                <w:szCs w:val="24"/>
                <w:color w:val="auto"/>
              </w:rPr>
            </w:pPr>
          </w:p>
        </w:tc>
        <w:tc>
          <w:tcPr>
            <w:tcW w:w="10980" w:type="dxa"/>
            <w:vAlign w:val="bottom"/>
          </w:tcPr>
          <w:p>
            <w:pPr>
              <w:ind w:left="5200"/>
              <w:spacing w:after="0"/>
              <w:rPr>
                <w:sz w:val="20"/>
                <w:szCs w:val="20"/>
                <w:color w:val="auto"/>
              </w:rPr>
            </w:pPr>
            <w:r>
              <w:rPr>
                <w:rFonts w:ascii="Arial" w:cs="Arial" w:eastAsia="Arial" w:hAnsi="Arial"/>
                <w:sz w:val="16"/>
                <w:szCs w:val="16"/>
                <w:color w:val="auto"/>
              </w:rPr>
              <w:t>4</w:t>
            </w:r>
          </w:p>
        </w:tc>
      </w:tr>
      <w:tr>
        <w:trPr>
          <w:trHeight w:val="119"/>
        </w:trPr>
        <w:tc>
          <w:tcPr>
            <w:tcW w:w="480" w:type="dxa"/>
            <w:vAlign w:val="bottom"/>
            <w:tcBorders>
              <w:bottom w:val="single" w:sz="8" w:color="808080"/>
            </w:tcBorders>
          </w:tcPr>
          <w:p>
            <w:pPr>
              <w:spacing w:after="0"/>
              <w:rPr>
                <w:sz w:val="10"/>
                <w:szCs w:val="10"/>
                <w:color w:val="auto"/>
              </w:rPr>
            </w:pPr>
          </w:p>
        </w:tc>
        <w:tc>
          <w:tcPr>
            <w:tcW w:w="10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22" w:right="199" w:bottom="1440" w:gutter="0" w:footer="0" w:header="0"/>
        </w:sectPr>
      </w:pPr>
    </w:p>
    <w:bookmarkStart w:id="363" w:name="page364"/>
    <w:bookmarkEnd w:id="363"/>
    <w:p>
      <w:pPr>
        <w:spacing w:after="0"/>
        <w:rPr>
          <w:sz w:val="20"/>
          <w:szCs w:val="20"/>
          <w:color w:val="auto"/>
        </w:rPr>
      </w:pPr>
      <w:r>
        <w:rPr>
          <w:rFonts w:ascii="Arial" w:cs="Arial" w:eastAsia="Arial" w:hAnsi="Arial"/>
          <w:sz w:val="16"/>
          <w:szCs w:val="16"/>
          <w:color w:val="auto"/>
        </w:rPr>
        <w:t>respect to all or a part of the Registrable Securities owned by such Initiating Holder(s), the Company will:</w:t>
      </w:r>
    </w:p>
    <w:p>
      <w:pPr>
        <w:spacing w:after="0" w:line="207" w:lineRule="exact"/>
        <w:rPr>
          <w:sz w:val="20"/>
          <w:szCs w:val="20"/>
          <w:color w:val="auto"/>
        </w:rPr>
      </w:pPr>
    </w:p>
    <w:p>
      <w:pPr>
        <w:ind w:left="800" w:right="580" w:hanging="796"/>
        <w:spacing w:after="0" w:line="285" w:lineRule="auto"/>
        <w:tabs>
          <w:tab w:leader="none" w:pos="79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promptly, within ten (10) days of receipt of the written request, give written notice of the proposed registration and any related qualification or compliance to all other Holders of Registrable Securities; and</w:t>
      </w:r>
    </w:p>
    <w:p>
      <w:pPr>
        <w:spacing w:after="0" w:line="149" w:lineRule="exact"/>
        <w:rPr>
          <w:rFonts w:ascii="Arial" w:cs="Arial" w:eastAsia="Arial" w:hAnsi="Arial"/>
          <w:sz w:val="16"/>
          <w:szCs w:val="16"/>
          <w:color w:val="auto"/>
        </w:rPr>
      </w:pPr>
    </w:p>
    <w:p>
      <w:pPr>
        <w:ind w:left="800" w:right="20" w:hanging="796"/>
        <w:spacing w:after="0" w:line="284" w:lineRule="auto"/>
        <w:tabs>
          <w:tab w:leader="none" w:pos="802" w:val="left"/>
        </w:tabs>
        <w:numPr>
          <w:ilvl w:val="0"/>
          <w:numId w:val="250"/>
        </w:numPr>
        <w:rPr>
          <w:rFonts w:ascii="Arial" w:cs="Arial" w:eastAsia="Arial" w:hAnsi="Arial"/>
          <w:sz w:val="15"/>
          <w:szCs w:val="15"/>
          <w:color w:val="auto"/>
        </w:rPr>
      </w:pPr>
      <w:r>
        <w:rPr>
          <w:rFonts w:ascii="Arial" w:cs="Arial" w:eastAsia="Arial" w:hAnsi="Arial"/>
          <w:sz w:val="15"/>
          <w:szCs w:val="15"/>
          <w:color w:val="auto"/>
        </w:rPr>
        <w:t xml:space="preserve">as soon as practicable, and in any event within forty-five (45) days after the date of the Holder’s or Holders’ written request, effect such registration and all such qualifications and compliances as requested to permit or facilitate the sale and distribution of all Registrable Securities as are specified in such request, together with all Registrable Securities requested to be included by any other Holder or Holders joining in such request as specified in a written request given within fifteen (15) days after receipt of the written notice described in paragraph (a) above;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Company shall not be obligated to effect any such registration, qualification or compliance pursuant to this Section 2.3 if:</w:t>
      </w:r>
    </w:p>
    <w:p>
      <w:pPr>
        <w:spacing w:after="0" w:line="153" w:lineRule="exact"/>
        <w:rPr>
          <w:rFonts w:ascii="Arial" w:cs="Arial" w:eastAsia="Arial" w:hAnsi="Arial"/>
          <w:sz w:val="15"/>
          <w:szCs w:val="15"/>
          <w:color w:val="auto"/>
        </w:rPr>
      </w:pPr>
    </w:p>
    <w:p>
      <w:pPr>
        <w:ind w:left="1600" w:hanging="809"/>
        <w:spacing w:after="0"/>
        <w:tabs>
          <w:tab w:leader="none" w:pos="160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if Form S-3 or Form F-3 are not available for such offering by the Holders, or</w:t>
      </w:r>
    </w:p>
    <w:p>
      <w:pPr>
        <w:spacing w:after="0" w:line="207" w:lineRule="exact"/>
        <w:rPr>
          <w:rFonts w:ascii="Arial" w:cs="Arial" w:eastAsia="Arial" w:hAnsi="Arial"/>
          <w:sz w:val="16"/>
          <w:szCs w:val="16"/>
          <w:color w:val="auto"/>
        </w:rPr>
      </w:pPr>
    </w:p>
    <w:p>
      <w:pPr>
        <w:ind w:left="1580" w:right="200" w:hanging="789"/>
        <w:spacing w:after="0" w:line="270" w:lineRule="auto"/>
        <w:tabs>
          <w:tab w:leader="none" w:pos="1604" w:val="left"/>
        </w:tabs>
        <w:numPr>
          <w:ilvl w:val="1"/>
          <w:numId w:val="250"/>
        </w:numPr>
        <w:rPr>
          <w:rFonts w:ascii="Arial" w:cs="Arial" w:eastAsia="Arial" w:hAnsi="Arial"/>
          <w:sz w:val="16"/>
          <w:szCs w:val="16"/>
          <w:color w:val="auto"/>
        </w:rPr>
      </w:pPr>
      <w:r>
        <w:rPr>
          <w:rFonts w:ascii="Arial" w:cs="Arial" w:eastAsia="Arial" w:hAnsi="Arial"/>
          <w:sz w:val="16"/>
          <w:szCs w:val="16"/>
          <w:color w:val="auto"/>
        </w:rPr>
        <w:t>if the Holders, together with the holders of any other securities of the Company entitled to inclusion in such registration, propose to sell Registrable Securities and such other securities (if any) at an aggregate price to the public of less than ten million U.S. dollars (U.S.$10,000,000), or</w:t>
      </w:r>
    </w:p>
    <w:p>
      <w:pPr>
        <w:spacing w:after="0" w:line="161" w:lineRule="exact"/>
        <w:rPr>
          <w:rFonts w:ascii="Arial" w:cs="Arial" w:eastAsia="Arial" w:hAnsi="Arial"/>
          <w:sz w:val="16"/>
          <w:szCs w:val="16"/>
          <w:color w:val="auto"/>
        </w:rPr>
      </w:pPr>
    </w:p>
    <w:p>
      <w:pPr>
        <w:ind w:left="1580" w:hanging="789"/>
        <w:spacing w:after="0" w:line="270" w:lineRule="auto"/>
        <w:tabs>
          <w:tab w:leader="none" w:pos="1613" w:val="left"/>
        </w:tabs>
        <w:numPr>
          <w:ilvl w:val="1"/>
          <w:numId w:val="250"/>
        </w:numPr>
        <w:rPr>
          <w:rFonts w:ascii="Arial" w:cs="Arial" w:eastAsia="Arial" w:hAnsi="Arial"/>
          <w:sz w:val="16"/>
          <w:szCs w:val="16"/>
          <w:color w:val="auto"/>
        </w:rPr>
      </w:pPr>
      <w:r>
        <w:rPr>
          <w:rFonts w:ascii="Arial" w:cs="Arial" w:eastAsia="Arial" w:hAnsi="Arial"/>
          <w:sz w:val="16"/>
          <w:szCs w:val="16"/>
          <w:color w:val="auto"/>
        </w:rPr>
        <w:t>if within thirty (30) days of receipt of a written request from any Holder or Holders pursuant to this Section 2.3, the Company gives notice to such Holder or Holders of the Company’s intention to make a public offering within ninety (90) days, other than pursuant to a Special Registration Statement;</w:t>
      </w:r>
    </w:p>
    <w:p>
      <w:pPr>
        <w:spacing w:after="0" w:line="161" w:lineRule="exact"/>
        <w:rPr>
          <w:rFonts w:ascii="Arial" w:cs="Arial" w:eastAsia="Arial" w:hAnsi="Arial"/>
          <w:sz w:val="16"/>
          <w:szCs w:val="16"/>
          <w:color w:val="auto"/>
        </w:rPr>
      </w:pPr>
    </w:p>
    <w:p>
      <w:pPr>
        <w:ind w:left="1580" w:hanging="789"/>
        <w:spacing w:after="0" w:line="259" w:lineRule="auto"/>
        <w:tabs>
          <w:tab w:leader="none" w:pos="1591" w:val="left"/>
        </w:tabs>
        <w:numPr>
          <w:ilvl w:val="1"/>
          <w:numId w:val="250"/>
        </w:numPr>
        <w:rPr>
          <w:rFonts w:ascii="Arial" w:cs="Arial" w:eastAsia="Arial" w:hAnsi="Arial"/>
          <w:sz w:val="16"/>
          <w:szCs w:val="16"/>
          <w:color w:val="auto"/>
        </w:rPr>
      </w:pPr>
      <w:r>
        <w:rPr>
          <w:rFonts w:ascii="Arial" w:cs="Arial" w:eastAsia="Arial" w:hAnsi="Arial"/>
          <w:sz w:val="16"/>
          <w:szCs w:val="16"/>
          <w:color w:val="auto"/>
        </w:rPr>
        <w:t xml:space="preserve">if the Company shall furnish to the Holders requesting a registration statement pursuant to this Section 2.3 a certificate signed by the Chairman of the Board of Directors of the Company stating that in the good faith judgment of the Board of Directors of the Company, it would be detrimental to the Company and its shareholders for such Form S-3 or Form F-3 registration to be effected at such time, in which event the Company shall have the right to defer the filing of the Form S-3 or Form F-3 registration statement for a period of not more than ninety (90) days after receipt of the request of the Holder or Holders under this Section 2.3;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right to delay a request shall be exercised by the Company not more than once in any twelve (12) month period, and provided further that the Company shall not register any securities for its own account or that of any other stockholder during such ninety (90) day period other than a Special Registration Statement, or</w:t>
      </w:r>
    </w:p>
    <w:p>
      <w:pPr>
        <w:spacing w:after="0" w:line="172" w:lineRule="exact"/>
        <w:rPr>
          <w:rFonts w:ascii="Arial" w:cs="Arial" w:eastAsia="Arial" w:hAnsi="Arial"/>
          <w:sz w:val="16"/>
          <w:szCs w:val="16"/>
          <w:color w:val="auto"/>
        </w:rPr>
      </w:pPr>
    </w:p>
    <w:p>
      <w:pPr>
        <w:ind w:left="1580" w:right="400" w:hanging="789"/>
        <w:spacing w:after="0" w:line="285" w:lineRule="auto"/>
        <w:tabs>
          <w:tab w:leader="none" w:pos="1583" w:val="left"/>
        </w:tabs>
        <w:numPr>
          <w:ilvl w:val="1"/>
          <w:numId w:val="250"/>
        </w:numPr>
        <w:rPr>
          <w:rFonts w:ascii="Arial" w:cs="Arial" w:eastAsia="Arial" w:hAnsi="Arial"/>
          <w:sz w:val="16"/>
          <w:szCs w:val="16"/>
          <w:color w:val="auto"/>
        </w:rPr>
      </w:pPr>
      <w:r>
        <w:rPr>
          <w:rFonts w:ascii="Arial" w:cs="Arial" w:eastAsia="Arial" w:hAnsi="Arial"/>
          <w:sz w:val="16"/>
          <w:szCs w:val="16"/>
          <w:color w:val="auto"/>
        </w:rPr>
        <w:t>if the Company has, within the twelve (12) month period preceding the date of such request, already effected two (2) registrations on Form S-3 or Form F-3 for the Holders pursuant to this Section 2.3.</w:t>
      </w:r>
    </w:p>
    <w:p>
      <w:pPr>
        <w:spacing w:after="0" w:line="150" w:lineRule="exact"/>
        <w:rPr>
          <w:sz w:val="20"/>
          <w:szCs w:val="20"/>
          <w:color w:val="auto"/>
        </w:rPr>
      </w:pPr>
    </w:p>
    <w:p>
      <w:pPr>
        <w:ind w:left="800" w:right="40"/>
        <w:spacing w:after="0" w:line="285" w:lineRule="auto"/>
        <w:rPr>
          <w:sz w:val="20"/>
          <w:szCs w:val="20"/>
          <w:color w:val="auto"/>
        </w:rPr>
      </w:pPr>
      <w:r>
        <w:rPr>
          <w:rFonts w:ascii="Arial" w:cs="Arial" w:eastAsia="Arial" w:hAnsi="Arial"/>
          <w:sz w:val="16"/>
          <w:szCs w:val="16"/>
          <w:color w:val="auto"/>
        </w:rPr>
        <w:t>A registration shall not be counted as “effected” for purposes of this Subsection 2.3(b) until such time as the applicable registration statement has been declared effective by the SEC.</w:t>
      </w:r>
    </w:p>
    <w:p>
      <w:pPr>
        <w:spacing w:after="0" w:line="150" w:lineRule="exact"/>
        <w:rPr>
          <w:sz w:val="20"/>
          <w:szCs w:val="20"/>
          <w:color w:val="auto"/>
        </w:rPr>
      </w:pPr>
    </w:p>
    <w:p>
      <w:pPr>
        <w:ind w:left="4900" w:right="280" w:hanging="4896"/>
        <w:spacing w:after="0" w:line="540" w:lineRule="auto"/>
        <w:tabs>
          <w:tab w:leader="none" w:pos="803" w:val="left"/>
        </w:tabs>
        <w:numPr>
          <w:ilvl w:val="0"/>
          <w:numId w:val="251"/>
        </w:numPr>
        <w:rPr>
          <w:rFonts w:ascii="Arial" w:cs="Arial" w:eastAsia="Arial" w:hAnsi="Arial"/>
          <w:sz w:val="16"/>
          <w:szCs w:val="16"/>
          <w:color w:val="auto"/>
        </w:rPr>
      </w:pPr>
      <w:r>
        <w:rPr>
          <w:rFonts w:ascii="Arial" w:cs="Arial" w:eastAsia="Arial" w:hAnsi="Arial"/>
          <w:sz w:val="16"/>
          <w:szCs w:val="16"/>
          <w:color w:val="auto"/>
        </w:rPr>
        <w:t>Registrations effected pursuant to this Section 2.3 shall not be counted as demands for registration or registrations effected pursuant to Section 2.1.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-85090</wp:posOffset>
            </wp:positionV>
            <wp:extent cx="72802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640"/>
          </w:cols>
          <w:pgMar w:left="1020" w:top="323" w:right="239" w:bottom="1440" w:gutter="0" w:footer="0" w:header="0"/>
        </w:sectPr>
      </w:pPr>
    </w:p>
    <w:bookmarkStart w:id="364" w:name="page365"/>
    <w:bookmarkEnd w:id="364"/>
    <w:p>
      <w:pPr>
        <w:spacing w:after="0"/>
        <w:tabs>
          <w:tab w:leader="none" w:pos="7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b w:val="1"/>
          <w:bCs w:val="1"/>
          <w:color w:val="auto"/>
        </w:rPr>
        <w:t>Underwriting Requirements</w:t>
      </w:r>
      <w:r>
        <w:rPr>
          <w:rFonts w:ascii="Arial" w:cs="Arial" w:eastAsia="Arial" w:hAnsi="Arial"/>
          <w:sz w:val="14"/>
          <w:szCs w:val="14"/>
          <w:color w:val="auto"/>
        </w:rPr>
        <w:t>.</w:t>
      </w:r>
    </w:p>
    <w:p>
      <w:pPr>
        <w:spacing w:after="0" w:line="211" w:lineRule="exact"/>
        <w:rPr>
          <w:sz w:val="20"/>
          <w:szCs w:val="20"/>
          <w:color w:val="auto"/>
        </w:rPr>
      </w:pPr>
    </w:p>
    <w:p>
      <w:pPr>
        <w:ind w:left="1580" w:hanging="796"/>
        <w:spacing w:after="0" w:line="275" w:lineRule="auto"/>
        <w:tabs>
          <w:tab w:leader="none" w:pos="1573"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If the Initiating Holders intend to distribute the Registrable Securities covered by their request by means of an underwriting, they shall so advise the Company as a part of their request made pursuant to this Section 2.1 or any request pursuant to Section 2.3, and the Company shall include such information in the written notice referred to in Section 2.1(a) or Section 2.3(a), as applicable.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 or underwriters selected for such underwriting by the Holders of at least sixty percent (60%) of the Registrable Securities held by all Initiating Holders (which underwriter or underwriters shall be reasonably acceptable to the Company). Notwithstanding any other provision of Section 2.1 or Section 2.3, if the underwriter advises the Company that marketing factors require a limitation of the number of securities to be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w:t>
      </w:r>
      <w:r>
        <w:rPr>
          <w:rFonts w:ascii="Arial" w:cs="Arial" w:eastAsia="Arial" w:hAnsi="Arial"/>
          <w:sz w:val="15"/>
          <w:szCs w:val="15"/>
          <w:i w:val="1"/>
          <w:iCs w:val="1"/>
          <w:color w:val="auto"/>
        </w:rPr>
        <w:t>a pro rata</w:t>
      </w:r>
      <w:r>
        <w:rPr>
          <w:rFonts w:ascii="Arial" w:cs="Arial" w:eastAsia="Arial" w:hAnsi="Arial"/>
          <w:sz w:val="15"/>
          <w:szCs w:val="15"/>
          <w:color w:val="auto"/>
        </w:rPr>
        <w:t xml:space="preserve"> basis based on the number of Registrable Securities held by all Holders (including the Initiating Holders);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number of shares of Registrable Securities to be included in such underwriting and registration shall not be reduced unless all other securities of the Company are first entirely excluded from the underwriting and registration. Any Registrable Securities excluded or withdrawn from such underwriting shall be withdrawn from the registration.</w:t>
      </w:r>
    </w:p>
    <w:p>
      <w:pPr>
        <w:spacing w:after="0" w:line="167" w:lineRule="exact"/>
        <w:rPr>
          <w:rFonts w:ascii="Arial" w:cs="Arial" w:eastAsia="Arial" w:hAnsi="Arial"/>
          <w:sz w:val="15"/>
          <w:szCs w:val="15"/>
          <w:color w:val="auto"/>
        </w:rPr>
      </w:pPr>
    </w:p>
    <w:p>
      <w:pPr>
        <w:ind w:left="1580" w:right="20" w:hanging="796"/>
        <w:spacing w:after="0" w:line="275" w:lineRule="auto"/>
        <w:tabs>
          <w:tab w:leader="none" w:pos="1582"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If the registration statement of which the Company gives notice under Section 2.2 is for an underwritten offering, the Company shall so advise the Holders of Registrable Securities. In such event, the right of any such Holder to include Registrable Securities in a registration pursuant to this Section 2.2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this Agreement, if the Company determines in good faith, based on consultation with the underwriter, that marketing factors require a limitation of the number of shares to be underwritten, the number of shares that may be included in the underwriting shall be allocated, first, to the Company; second, to the Holders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based on the total number of Registrable Securities held by the Holders requesting inclusion in the registration; and third, to any shareholder of the Company (other than a Holder) on a </w:t>
      </w:r>
      <w:r>
        <w:rPr>
          <w:rFonts w:ascii="Arial" w:cs="Arial" w:eastAsia="Arial" w:hAnsi="Arial"/>
          <w:sz w:val="15"/>
          <w:szCs w:val="15"/>
          <w:i w:val="1"/>
          <w:iCs w:val="1"/>
          <w:color w:val="auto"/>
        </w:rPr>
        <w:t>pro rata basis;</w:t>
      </w:r>
      <w:r>
        <w:rPr>
          <w:rFonts w:ascii="Arial" w:cs="Arial" w:eastAsia="Arial" w:hAnsi="Arial"/>
          <w:sz w:val="15"/>
          <w:szCs w:val="15"/>
          <w:color w:val="auto"/>
        </w:rPr>
        <w:t xml:space="preserve"> provided, however, that no such reduction shall (i) reduce the amount of securities to be included by the Company in the registration or (ii) reduce the amount of securities of the selling Holders included in the registration below twenty-five percent (25%) of the total amount of securities included in such registration, unless such offering is the Initial Offering and such registration does not include shares of any other selling shareholders, in which event any or all of the Registrable Securities of the Holders may be excluded in accordance with the immediately preceding clause. In no event will shares of any other selling shareholder be included in such registration that would reduce the number of shares, which may be included by Holders. If any Holder disapproves of the terms of any such underwriting, such Holder may elect to withdraw therefrom by written notice to the Company and the underwriter, delivered at least ten (10) business days prior to the effective date of the registration statement. Any Registrable Securities excluded or withdrawn from such underwriting shall be excluded and withdrawn from the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196"/>
        </w:trPr>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gridSpan w:val="4"/>
          </w:tcPr>
          <w:p>
            <w:pPr>
              <w:spacing w:after="0"/>
              <w:rPr>
                <w:sz w:val="20"/>
                <w:szCs w:val="20"/>
                <w:color w:val="auto"/>
              </w:rPr>
            </w:pPr>
            <w:r>
              <w:rPr>
                <w:rFonts w:ascii="Arial" w:cs="Arial" w:eastAsia="Arial" w:hAnsi="Arial"/>
                <w:sz w:val="16"/>
                <w:szCs w:val="16"/>
                <w:color w:val="auto"/>
                <w:w w:val="93"/>
              </w:rPr>
              <w:t>registration. For any Holder, which is a partnership, limited liability company or corporation, the partners, retired partners, members, retired members,</w:t>
            </w:r>
          </w:p>
        </w:tc>
      </w:tr>
      <w:tr>
        <w:trPr>
          <w:trHeight w:val="196"/>
        </w:trPr>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gridSpan w:val="4"/>
          </w:tcPr>
          <w:p>
            <w:pPr>
              <w:spacing w:after="0"/>
              <w:rPr>
                <w:sz w:val="20"/>
                <w:szCs w:val="20"/>
                <w:color w:val="auto"/>
              </w:rPr>
            </w:pPr>
            <w:r>
              <w:rPr>
                <w:rFonts w:ascii="Arial" w:cs="Arial" w:eastAsia="Arial" w:hAnsi="Arial"/>
                <w:sz w:val="16"/>
                <w:szCs w:val="16"/>
                <w:color w:val="auto"/>
                <w:w w:val="93"/>
              </w:rPr>
              <w:t>Affiliates and shareholders (other than shareholders of a publicly-traded corporation) of such Holder, or the estates and family members of any such</w:t>
            </w:r>
          </w:p>
        </w:tc>
      </w:tr>
      <w:tr>
        <w:trPr>
          <w:trHeight w:val="196"/>
        </w:trPr>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gridSpan w:val="4"/>
          </w:tcPr>
          <w:p>
            <w:pPr>
              <w:spacing w:after="0"/>
              <w:rPr>
                <w:sz w:val="20"/>
                <w:szCs w:val="20"/>
                <w:color w:val="auto"/>
              </w:rPr>
            </w:pPr>
            <w:r>
              <w:rPr>
                <w:rFonts w:ascii="Arial" w:cs="Arial" w:eastAsia="Arial" w:hAnsi="Arial"/>
                <w:sz w:val="16"/>
                <w:szCs w:val="16"/>
                <w:color w:val="auto"/>
                <w:w w:val="93"/>
              </w:rPr>
              <w:t>partners, retired partners, members and retired members and any trusts for the benefit of any of the foregoing Person shall be deemed to be a single</w:t>
            </w:r>
          </w:p>
        </w:tc>
      </w:tr>
      <w:tr>
        <w:trPr>
          <w:trHeight w:val="196"/>
        </w:trPr>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gridSpan w:val="4"/>
          </w:tcPr>
          <w:p>
            <w:pPr>
              <w:spacing w:after="0"/>
              <w:rPr>
                <w:sz w:val="20"/>
                <w:szCs w:val="20"/>
                <w:color w:val="auto"/>
              </w:rPr>
            </w:pPr>
            <w:r>
              <w:rPr>
                <w:rFonts w:ascii="Arial" w:cs="Arial" w:eastAsia="Arial" w:hAnsi="Arial"/>
                <w:sz w:val="16"/>
                <w:szCs w:val="16"/>
                <w:color w:val="auto"/>
                <w:w w:val="95"/>
              </w:rPr>
              <w:t xml:space="preserve">“Holder,” and any </w:t>
            </w:r>
            <w:r>
              <w:rPr>
                <w:rFonts w:ascii="Arial" w:cs="Arial" w:eastAsia="Arial" w:hAnsi="Arial"/>
                <w:sz w:val="16"/>
                <w:szCs w:val="16"/>
                <w:i w:val="1"/>
                <w:iCs w:val="1"/>
                <w:color w:val="auto"/>
                <w:w w:val="95"/>
              </w:rPr>
              <w:t>pro rata</w:t>
            </w:r>
            <w:r>
              <w:rPr>
                <w:rFonts w:ascii="Arial" w:cs="Arial" w:eastAsia="Arial" w:hAnsi="Arial"/>
                <w:sz w:val="16"/>
                <w:szCs w:val="16"/>
                <w:color w:val="auto"/>
                <w:w w:val="95"/>
              </w:rPr>
              <w:t xml:space="preserve"> reduction with respect to such “Holder” shall be based upon the aggregate amount of shares carrying registration rights</w:t>
            </w:r>
          </w:p>
        </w:tc>
      </w:tr>
      <w:tr>
        <w:trPr>
          <w:trHeight w:val="207"/>
        </w:trPr>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4"/>
          </w:tcPr>
          <w:p>
            <w:pPr>
              <w:spacing w:after="0"/>
              <w:rPr>
                <w:sz w:val="20"/>
                <w:szCs w:val="20"/>
                <w:color w:val="auto"/>
              </w:rPr>
            </w:pPr>
            <w:r>
              <w:rPr>
                <w:rFonts w:ascii="Arial" w:cs="Arial" w:eastAsia="Arial" w:hAnsi="Arial"/>
                <w:sz w:val="16"/>
                <w:szCs w:val="16"/>
                <w:color w:val="auto"/>
              </w:rPr>
              <w:t>owned by all entities and individuals included in such “Holder,” as defined in this sentence.</w:t>
            </w:r>
          </w:p>
        </w:tc>
      </w:tr>
      <w:tr>
        <w:trPr>
          <w:trHeight w:val="355"/>
        </w:trPr>
        <w:tc>
          <w:tcPr>
            <w:tcW w:w="480" w:type="dxa"/>
            <w:vAlign w:val="bottom"/>
          </w:tcPr>
          <w:p>
            <w:pPr>
              <w:spacing w:after="0"/>
              <w:rPr>
                <w:sz w:val="24"/>
                <w:szCs w:val="24"/>
                <w:color w:val="auto"/>
              </w:rPr>
            </w:pPr>
          </w:p>
        </w:tc>
        <w:tc>
          <w:tcPr>
            <w:tcW w:w="980" w:type="dxa"/>
            <w:vAlign w:val="bottom"/>
          </w:tcPr>
          <w:p>
            <w:pPr>
              <w:ind w:left="300"/>
              <w:spacing w:after="0"/>
              <w:rPr>
                <w:sz w:val="20"/>
                <w:szCs w:val="20"/>
                <w:color w:val="auto"/>
              </w:rPr>
            </w:pPr>
            <w:r>
              <w:rPr>
                <w:rFonts w:ascii="Arial" w:cs="Arial" w:eastAsia="Arial" w:hAnsi="Arial"/>
                <w:sz w:val="16"/>
                <w:szCs w:val="16"/>
                <w:color w:val="auto"/>
              </w:rPr>
              <w:t>(c)</w:t>
            </w:r>
          </w:p>
        </w:tc>
        <w:tc>
          <w:tcPr>
            <w:tcW w:w="120" w:type="dxa"/>
            <w:vAlign w:val="bottom"/>
          </w:tcPr>
          <w:p>
            <w:pPr>
              <w:spacing w:after="0"/>
              <w:rPr>
                <w:sz w:val="24"/>
                <w:szCs w:val="24"/>
                <w:color w:val="auto"/>
              </w:rPr>
            </w:pPr>
          </w:p>
        </w:tc>
        <w:tc>
          <w:tcPr>
            <w:tcW w:w="9840" w:type="dxa"/>
            <w:vAlign w:val="bottom"/>
            <w:gridSpan w:val="4"/>
          </w:tcPr>
          <w:p>
            <w:pPr>
              <w:spacing w:after="0"/>
              <w:rPr>
                <w:sz w:val="20"/>
                <w:szCs w:val="20"/>
                <w:color w:val="auto"/>
              </w:rPr>
            </w:pPr>
            <w:r>
              <w:rPr>
                <w:rFonts w:ascii="Arial" w:cs="Arial" w:eastAsia="Arial" w:hAnsi="Arial"/>
                <w:sz w:val="16"/>
                <w:szCs w:val="16"/>
                <w:color w:val="auto"/>
                <w:w w:val="92"/>
              </w:rPr>
              <w:t>For purposes of Subsection 2.1, a registration shall not be counted as “effected” if, as a result of an exercise of the underwriter’s cutback provisions in</w:t>
            </w:r>
          </w:p>
        </w:tc>
      </w:tr>
      <w:tr>
        <w:trPr>
          <w:trHeight w:val="20"/>
        </w:trPr>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176"/>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40" w:type="dxa"/>
            <w:vAlign w:val="bottom"/>
            <w:gridSpan w:val="4"/>
          </w:tcPr>
          <w:p>
            <w:pPr>
              <w:spacing w:after="0" w:line="176" w:lineRule="exact"/>
              <w:rPr>
                <w:sz w:val="20"/>
                <w:szCs w:val="20"/>
                <w:color w:val="auto"/>
              </w:rPr>
            </w:pPr>
            <w:r>
              <w:rPr>
                <w:rFonts w:ascii="Arial" w:cs="Arial" w:eastAsia="Arial" w:hAnsi="Arial"/>
                <w:sz w:val="16"/>
                <w:szCs w:val="16"/>
                <w:color w:val="auto"/>
                <w:w w:val="95"/>
              </w:rPr>
              <w:t>Subsection 2.4(a), fewer than fifty percent (50%) of the total number of Registrable Securities that Holders have requested to be included in such</w:t>
            </w:r>
          </w:p>
        </w:tc>
      </w:tr>
      <w:tr>
        <w:trPr>
          <w:trHeight w:val="20"/>
        </w:trPr>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8700" w:type="dxa"/>
            <w:vAlign w:val="bottom"/>
            <w:gridSpan w:val="2"/>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4"/>
          </w:tcPr>
          <w:p>
            <w:pPr>
              <w:spacing w:after="0"/>
              <w:rPr>
                <w:sz w:val="20"/>
                <w:szCs w:val="20"/>
                <w:color w:val="auto"/>
              </w:rPr>
            </w:pPr>
            <w:r>
              <w:rPr>
                <w:rFonts w:ascii="Arial" w:cs="Arial" w:eastAsia="Arial" w:hAnsi="Arial"/>
                <w:sz w:val="16"/>
                <w:szCs w:val="16"/>
                <w:color w:val="auto"/>
              </w:rPr>
              <w:t>registration statement are actually included.</w:t>
            </w:r>
          </w:p>
        </w:tc>
      </w:tr>
      <w:tr>
        <w:trPr>
          <w:trHeight w:val="380"/>
        </w:trPr>
        <w:tc>
          <w:tcPr>
            <w:tcW w:w="480" w:type="dxa"/>
            <w:vAlign w:val="bottom"/>
          </w:tcPr>
          <w:p>
            <w:pPr>
              <w:jc w:val="right"/>
              <w:ind w:right="199"/>
              <w:spacing w:after="0"/>
              <w:rPr>
                <w:sz w:val="20"/>
                <w:szCs w:val="20"/>
                <w:color w:val="auto"/>
              </w:rPr>
            </w:pPr>
            <w:r>
              <w:rPr>
                <w:rFonts w:ascii="Arial" w:cs="Arial" w:eastAsia="Arial" w:hAnsi="Arial"/>
                <w:sz w:val="16"/>
                <w:szCs w:val="16"/>
                <w:color w:val="auto"/>
                <w:w w:val="80"/>
              </w:rPr>
              <w:t>2.5</w:t>
            </w:r>
          </w:p>
        </w:tc>
        <w:tc>
          <w:tcPr>
            <w:tcW w:w="10940" w:type="dxa"/>
            <w:vAlign w:val="bottom"/>
            <w:gridSpan w:val="6"/>
          </w:tcPr>
          <w:p>
            <w:pPr>
              <w:ind w:left="300"/>
              <w:spacing w:after="0"/>
              <w:rPr>
                <w:sz w:val="20"/>
                <w:szCs w:val="20"/>
                <w:color w:val="auto"/>
              </w:rPr>
            </w:pPr>
            <w:r>
              <w:rPr>
                <w:rFonts w:ascii="Arial" w:cs="Arial" w:eastAsia="Arial" w:hAnsi="Arial"/>
                <w:sz w:val="16"/>
                <w:szCs w:val="16"/>
                <w:b w:val="1"/>
                <w:bCs w:val="1"/>
                <w:color w:val="auto"/>
                <w:w w:val="98"/>
              </w:rPr>
              <w:t>Expenses of Registration</w:t>
            </w:r>
            <w:r>
              <w:rPr>
                <w:rFonts w:ascii="Arial" w:cs="Arial" w:eastAsia="Arial" w:hAnsi="Arial"/>
                <w:sz w:val="16"/>
                <w:szCs w:val="16"/>
                <w:color w:val="auto"/>
                <w:w w:val="98"/>
              </w:rPr>
              <w:t>. Except as specifically provided herein, all Registration Expenses incurred in connection with any registration, qualification or</w:t>
            </w:r>
          </w:p>
        </w:tc>
      </w:tr>
      <w:tr>
        <w:trPr>
          <w:trHeight w:val="196"/>
        </w:trPr>
        <w:tc>
          <w:tcPr>
            <w:tcW w:w="480" w:type="dxa"/>
            <w:vAlign w:val="bottom"/>
          </w:tcPr>
          <w:p>
            <w:pPr>
              <w:spacing w:after="0"/>
              <w:rPr>
                <w:sz w:val="17"/>
                <w:szCs w:val="17"/>
                <w:color w:val="auto"/>
              </w:rPr>
            </w:pPr>
          </w:p>
        </w:tc>
        <w:tc>
          <w:tcPr>
            <w:tcW w:w="10940" w:type="dxa"/>
            <w:vAlign w:val="bottom"/>
            <w:gridSpan w:val="6"/>
          </w:tcPr>
          <w:p>
            <w:pPr>
              <w:ind w:left="300"/>
              <w:spacing w:after="0"/>
              <w:rPr>
                <w:sz w:val="20"/>
                <w:szCs w:val="20"/>
                <w:color w:val="auto"/>
              </w:rPr>
            </w:pPr>
            <w:r>
              <w:rPr>
                <w:rFonts w:ascii="Arial" w:cs="Arial" w:eastAsia="Arial" w:hAnsi="Arial"/>
                <w:sz w:val="16"/>
                <w:szCs w:val="16"/>
                <w:color w:val="auto"/>
                <w:w w:val="92"/>
              </w:rPr>
              <w:t>compliance pursuant to Section 2.1, 2.2 or 2.3 herein shall be borne by the Company. All Selling Expenses incurred in connection with any registrations hereunder,</w:t>
            </w:r>
          </w:p>
        </w:tc>
      </w:tr>
      <w:tr>
        <w:trPr>
          <w:trHeight w:val="196"/>
        </w:trPr>
        <w:tc>
          <w:tcPr>
            <w:tcW w:w="480" w:type="dxa"/>
            <w:vAlign w:val="bottom"/>
          </w:tcPr>
          <w:p>
            <w:pPr>
              <w:spacing w:after="0"/>
              <w:rPr>
                <w:sz w:val="17"/>
                <w:szCs w:val="17"/>
                <w:color w:val="auto"/>
              </w:rPr>
            </w:pPr>
          </w:p>
        </w:tc>
        <w:tc>
          <w:tcPr>
            <w:tcW w:w="10940" w:type="dxa"/>
            <w:vAlign w:val="bottom"/>
            <w:gridSpan w:val="6"/>
          </w:tcPr>
          <w:p>
            <w:pPr>
              <w:ind w:left="300"/>
              <w:spacing w:after="0"/>
              <w:rPr>
                <w:sz w:val="20"/>
                <w:szCs w:val="20"/>
                <w:color w:val="auto"/>
              </w:rPr>
            </w:pPr>
            <w:r>
              <w:rPr>
                <w:rFonts w:ascii="Arial" w:cs="Arial" w:eastAsia="Arial" w:hAnsi="Arial"/>
                <w:sz w:val="16"/>
                <w:szCs w:val="16"/>
                <w:color w:val="auto"/>
                <w:w w:val="95"/>
              </w:rPr>
              <w:t xml:space="preserve">shall be borne by the holders of the securities so registered </w:t>
            </w:r>
            <w:r>
              <w:rPr>
                <w:rFonts w:ascii="Arial" w:cs="Arial" w:eastAsia="Arial" w:hAnsi="Arial"/>
                <w:sz w:val="16"/>
                <w:szCs w:val="16"/>
                <w:i w:val="1"/>
                <w:iCs w:val="1"/>
                <w:color w:val="auto"/>
                <w:w w:val="95"/>
              </w:rPr>
              <w:t>pro rata</w:t>
            </w:r>
            <w:r>
              <w:rPr>
                <w:rFonts w:ascii="Arial" w:cs="Arial" w:eastAsia="Arial" w:hAnsi="Arial"/>
                <w:sz w:val="16"/>
                <w:szCs w:val="16"/>
                <w:color w:val="auto"/>
                <w:w w:val="95"/>
              </w:rPr>
              <w:t xml:space="preserve"> on the basis of the number of shares so registered. The Company shall not, however, be</w:t>
            </w:r>
          </w:p>
        </w:tc>
      </w:tr>
      <w:tr>
        <w:trPr>
          <w:trHeight w:val="196"/>
        </w:trPr>
        <w:tc>
          <w:tcPr>
            <w:tcW w:w="480" w:type="dxa"/>
            <w:vAlign w:val="bottom"/>
          </w:tcPr>
          <w:p>
            <w:pPr>
              <w:spacing w:after="0"/>
              <w:rPr>
                <w:sz w:val="17"/>
                <w:szCs w:val="17"/>
                <w:color w:val="auto"/>
              </w:rPr>
            </w:pPr>
          </w:p>
        </w:tc>
        <w:tc>
          <w:tcPr>
            <w:tcW w:w="10940" w:type="dxa"/>
            <w:vAlign w:val="bottom"/>
            <w:gridSpan w:val="6"/>
          </w:tcPr>
          <w:p>
            <w:pPr>
              <w:ind w:left="300"/>
              <w:spacing w:after="0"/>
              <w:rPr>
                <w:sz w:val="20"/>
                <w:szCs w:val="20"/>
                <w:color w:val="auto"/>
              </w:rPr>
            </w:pPr>
            <w:r>
              <w:rPr>
                <w:rFonts w:ascii="Arial" w:cs="Arial" w:eastAsia="Arial" w:hAnsi="Arial"/>
                <w:sz w:val="16"/>
                <w:szCs w:val="16"/>
                <w:color w:val="auto"/>
                <w:w w:val="94"/>
              </w:rPr>
              <w:t>required to pay for expenses of any registration proceeding begun pursuant to Section 2.1 or 2.3, the request of which has been subsequently withdrawn by the</w:t>
            </w:r>
          </w:p>
        </w:tc>
      </w:tr>
      <w:tr>
        <w:trPr>
          <w:trHeight w:val="196"/>
        </w:trPr>
        <w:tc>
          <w:tcPr>
            <w:tcW w:w="480" w:type="dxa"/>
            <w:vAlign w:val="bottom"/>
          </w:tcPr>
          <w:p>
            <w:pPr>
              <w:spacing w:after="0"/>
              <w:rPr>
                <w:sz w:val="17"/>
                <w:szCs w:val="17"/>
                <w:color w:val="auto"/>
              </w:rPr>
            </w:pPr>
          </w:p>
        </w:tc>
        <w:tc>
          <w:tcPr>
            <w:tcW w:w="10940" w:type="dxa"/>
            <w:vAlign w:val="bottom"/>
            <w:gridSpan w:val="6"/>
          </w:tcPr>
          <w:p>
            <w:pPr>
              <w:ind w:left="300"/>
              <w:spacing w:after="0"/>
              <w:rPr>
                <w:sz w:val="20"/>
                <w:szCs w:val="20"/>
                <w:color w:val="auto"/>
              </w:rPr>
            </w:pPr>
            <w:r>
              <w:rPr>
                <w:rFonts w:ascii="Arial" w:cs="Arial" w:eastAsia="Arial" w:hAnsi="Arial"/>
                <w:sz w:val="16"/>
                <w:szCs w:val="16"/>
                <w:color w:val="auto"/>
                <w:w w:val="93"/>
              </w:rPr>
              <w:t>Initiating Holders unless (a) the withdrawal is based upon material adverse information concerning the Company of which the Initiating Holders were not aware at</w:t>
            </w:r>
          </w:p>
        </w:tc>
      </w:tr>
      <w:tr>
        <w:trPr>
          <w:trHeight w:val="196"/>
        </w:trPr>
        <w:tc>
          <w:tcPr>
            <w:tcW w:w="480" w:type="dxa"/>
            <w:vAlign w:val="bottom"/>
          </w:tcPr>
          <w:p>
            <w:pPr>
              <w:spacing w:after="0"/>
              <w:rPr>
                <w:sz w:val="17"/>
                <w:szCs w:val="17"/>
                <w:color w:val="auto"/>
              </w:rPr>
            </w:pPr>
          </w:p>
        </w:tc>
        <w:tc>
          <w:tcPr>
            <w:tcW w:w="10940" w:type="dxa"/>
            <w:vAlign w:val="bottom"/>
            <w:gridSpan w:val="6"/>
          </w:tcPr>
          <w:p>
            <w:pPr>
              <w:ind w:left="300"/>
              <w:spacing w:after="0"/>
              <w:rPr>
                <w:sz w:val="20"/>
                <w:szCs w:val="20"/>
                <w:color w:val="auto"/>
              </w:rPr>
            </w:pPr>
            <w:r>
              <w:rPr>
                <w:rFonts w:ascii="Arial" w:cs="Arial" w:eastAsia="Arial" w:hAnsi="Arial"/>
                <w:sz w:val="16"/>
                <w:szCs w:val="16"/>
                <w:color w:val="auto"/>
                <w:w w:val="92"/>
              </w:rPr>
              <w:t>the time of such request or (b) the Holders of at least sixty percent (60%) of the Registrable Securities agree to deem such registration to have been effected as of</w:t>
            </w:r>
          </w:p>
        </w:tc>
      </w:tr>
      <w:tr>
        <w:trPr>
          <w:trHeight w:val="196"/>
        </w:trPr>
        <w:tc>
          <w:tcPr>
            <w:tcW w:w="480" w:type="dxa"/>
            <w:vAlign w:val="bottom"/>
          </w:tcPr>
          <w:p>
            <w:pPr>
              <w:spacing w:after="0"/>
              <w:rPr>
                <w:sz w:val="17"/>
                <w:szCs w:val="17"/>
                <w:color w:val="auto"/>
              </w:rPr>
            </w:pPr>
          </w:p>
        </w:tc>
        <w:tc>
          <w:tcPr>
            <w:tcW w:w="10940" w:type="dxa"/>
            <w:vAlign w:val="bottom"/>
            <w:gridSpan w:val="6"/>
          </w:tcPr>
          <w:p>
            <w:pPr>
              <w:ind w:left="300"/>
              <w:spacing w:after="0"/>
              <w:rPr>
                <w:sz w:val="20"/>
                <w:szCs w:val="20"/>
                <w:color w:val="auto"/>
              </w:rPr>
            </w:pPr>
            <w:r>
              <w:rPr>
                <w:rFonts w:ascii="Arial" w:cs="Arial" w:eastAsia="Arial" w:hAnsi="Arial"/>
                <w:sz w:val="16"/>
                <w:szCs w:val="16"/>
                <w:color w:val="auto"/>
                <w:w w:val="96"/>
              </w:rPr>
              <w:t>the date of such withdrawal for purposes of determining whether the Company shall be obligated pursuant to Section 2.1(b)(ii) or 2.3(b)(v), as applicable, to</w:t>
            </w:r>
          </w:p>
        </w:tc>
      </w:tr>
      <w:tr>
        <w:trPr>
          <w:trHeight w:val="196"/>
        </w:trPr>
        <w:tc>
          <w:tcPr>
            <w:tcW w:w="480" w:type="dxa"/>
            <w:vAlign w:val="bottom"/>
          </w:tcPr>
          <w:p>
            <w:pPr>
              <w:spacing w:after="0"/>
              <w:rPr>
                <w:sz w:val="17"/>
                <w:szCs w:val="17"/>
                <w:color w:val="auto"/>
              </w:rPr>
            </w:pPr>
          </w:p>
        </w:tc>
        <w:tc>
          <w:tcPr>
            <w:tcW w:w="10940" w:type="dxa"/>
            <w:vAlign w:val="bottom"/>
            <w:gridSpan w:val="6"/>
          </w:tcPr>
          <w:p>
            <w:pPr>
              <w:ind w:left="300"/>
              <w:spacing w:after="0"/>
              <w:rPr>
                <w:sz w:val="20"/>
                <w:szCs w:val="20"/>
                <w:color w:val="auto"/>
              </w:rPr>
            </w:pPr>
            <w:r>
              <w:rPr>
                <w:rFonts w:ascii="Arial" w:cs="Arial" w:eastAsia="Arial" w:hAnsi="Arial"/>
                <w:sz w:val="16"/>
                <w:szCs w:val="16"/>
                <w:color w:val="auto"/>
                <w:w w:val="94"/>
              </w:rPr>
              <w:t>undertake any subsequent registration, in which event such right shall be forfeited by all Holders). If the Holders are required to pay the Registration Expenses,</w:t>
            </w:r>
          </w:p>
        </w:tc>
      </w:tr>
      <w:tr>
        <w:trPr>
          <w:trHeight w:val="196"/>
        </w:trPr>
        <w:tc>
          <w:tcPr>
            <w:tcW w:w="480" w:type="dxa"/>
            <w:vAlign w:val="bottom"/>
          </w:tcPr>
          <w:p>
            <w:pPr>
              <w:spacing w:after="0"/>
              <w:rPr>
                <w:sz w:val="17"/>
                <w:szCs w:val="17"/>
                <w:color w:val="auto"/>
              </w:rPr>
            </w:pPr>
          </w:p>
        </w:tc>
        <w:tc>
          <w:tcPr>
            <w:tcW w:w="10940" w:type="dxa"/>
            <w:vAlign w:val="bottom"/>
            <w:gridSpan w:val="6"/>
          </w:tcPr>
          <w:p>
            <w:pPr>
              <w:ind w:left="300"/>
              <w:spacing w:after="0"/>
              <w:rPr>
                <w:sz w:val="20"/>
                <w:szCs w:val="20"/>
                <w:color w:val="auto"/>
              </w:rPr>
            </w:pPr>
            <w:r>
              <w:rPr>
                <w:rFonts w:ascii="Arial" w:cs="Arial" w:eastAsia="Arial" w:hAnsi="Arial"/>
                <w:sz w:val="16"/>
                <w:szCs w:val="16"/>
                <w:color w:val="auto"/>
                <w:w w:val="93"/>
              </w:rPr>
              <w:t>such expenses shall be borne by the holders of securities (including Registrable Securities) requesting such registration in proportion to the number of shares for</w:t>
            </w:r>
          </w:p>
        </w:tc>
      </w:tr>
      <w:tr>
        <w:trPr>
          <w:trHeight w:val="196"/>
        </w:trPr>
        <w:tc>
          <w:tcPr>
            <w:tcW w:w="480" w:type="dxa"/>
            <w:vAlign w:val="bottom"/>
          </w:tcPr>
          <w:p>
            <w:pPr>
              <w:spacing w:after="0"/>
              <w:rPr>
                <w:sz w:val="17"/>
                <w:szCs w:val="17"/>
                <w:color w:val="auto"/>
              </w:rPr>
            </w:pPr>
          </w:p>
        </w:tc>
        <w:tc>
          <w:tcPr>
            <w:tcW w:w="10940" w:type="dxa"/>
            <w:vAlign w:val="bottom"/>
            <w:gridSpan w:val="6"/>
          </w:tcPr>
          <w:p>
            <w:pPr>
              <w:ind w:left="300"/>
              <w:spacing w:after="0"/>
              <w:rPr>
                <w:sz w:val="20"/>
                <w:szCs w:val="20"/>
                <w:color w:val="auto"/>
              </w:rPr>
            </w:pPr>
            <w:r>
              <w:rPr>
                <w:rFonts w:ascii="Arial" w:cs="Arial" w:eastAsia="Arial" w:hAnsi="Arial"/>
                <w:sz w:val="16"/>
                <w:szCs w:val="16"/>
                <w:color w:val="auto"/>
                <w:w w:val="94"/>
              </w:rPr>
              <w:t>which registration was requested. If the Company is required to pay the Registration Expenses of a withdrawn offering pursuant to clause (a) above, then such</w:t>
            </w:r>
          </w:p>
        </w:tc>
      </w:tr>
      <w:tr>
        <w:trPr>
          <w:trHeight w:val="196"/>
        </w:trPr>
        <w:tc>
          <w:tcPr>
            <w:tcW w:w="480" w:type="dxa"/>
            <w:vAlign w:val="bottom"/>
          </w:tcPr>
          <w:p>
            <w:pPr>
              <w:spacing w:after="0"/>
              <w:rPr>
                <w:sz w:val="17"/>
                <w:szCs w:val="17"/>
                <w:color w:val="auto"/>
              </w:rPr>
            </w:pPr>
          </w:p>
        </w:tc>
        <w:tc>
          <w:tcPr>
            <w:tcW w:w="10940" w:type="dxa"/>
            <w:vAlign w:val="bottom"/>
            <w:gridSpan w:val="6"/>
          </w:tcPr>
          <w:p>
            <w:pPr>
              <w:ind w:left="300"/>
              <w:spacing w:after="0"/>
              <w:rPr>
                <w:sz w:val="20"/>
                <w:szCs w:val="20"/>
                <w:color w:val="auto"/>
              </w:rPr>
            </w:pPr>
            <w:r>
              <w:rPr>
                <w:rFonts w:ascii="Arial" w:cs="Arial" w:eastAsia="Arial" w:hAnsi="Arial"/>
                <w:sz w:val="16"/>
                <w:szCs w:val="16"/>
                <w:color w:val="auto"/>
                <w:w w:val="92"/>
              </w:rPr>
              <w:t>registration shall not be deemed to have been effected for purposes of determining whether the Company shall be obligated pursuant to Section 2.1(b)(ii) or 2.3(b)</w:t>
            </w:r>
          </w:p>
        </w:tc>
      </w:tr>
      <w:tr>
        <w:trPr>
          <w:trHeight w:val="207"/>
        </w:trPr>
        <w:tc>
          <w:tcPr>
            <w:tcW w:w="480" w:type="dxa"/>
            <w:vAlign w:val="bottom"/>
          </w:tcPr>
          <w:p>
            <w:pPr>
              <w:spacing w:after="0"/>
              <w:rPr>
                <w:sz w:val="18"/>
                <w:szCs w:val="18"/>
                <w:color w:val="auto"/>
              </w:rPr>
            </w:pPr>
          </w:p>
        </w:tc>
        <w:tc>
          <w:tcPr>
            <w:tcW w:w="10940" w:type="dxa"/>
            <w:vAlign w:val="bottom"/>
            <w:gridSpan w:val="6"/>
          </w:tcPr>
          <w:p>
            <w:pPr>
              <w:ind w:left="300"/>
              <w:spacing w:after="0"/>
              <w:rPr>
                <w:sz w:val="20"/>
                <w:szCs w:val="20"/>
                <w:color w:val="auto"/>
              </w:rPr>
            </w:pPr>
            <w:r>
              <w:rPr>
                <w:rFonts w:ascii="Arial" w:cs="Arial" w:eastAsia="Arial" w:hAnsi="Arial"/>
                <w:sz w:val="16"/>
                <w:szCs w:val="16"/>
                <w:color w:val="auto"/>
              </w:rPr>
              <w:t>(v), as applicable, to undertake any subsequent registration.</w:t>
            </w:r>
          </w:p>
        </w:tc>
      </w:tr>
      <w:tr>
        <w:trPr>
          <w:trHeight w:val="380"/>
        </w:trPr>
        <w:tc>
          <w:tcPr>
            <w:tcW w:w="480" w:type="dxa"/>
            <w:vAlign w:val="bottom"/>
          </w:tcPr>
          <w:p>
            <w:pPr>
              <w:jc w:val="right"/>
              <w:ind w:right="199"/>
              <w:spacing w:after="0"/>
              <w:rPr>
                <w:sz w:val="20"/>
                <w:szCs w:val="20"/>
                <w:color w:val="auto"/>
              </w:rPr>
            </w:pPr>
            <w:r>
              <w:rPr>
                <w:rFonts w:ascii="Arial" w:cs="Arial" w:eastAsia="Arial" w:hAnsi="Arial"/>
                <w:sz w:val="16"/>
                <w:szCs w:val="16"/>
                <w:color w:val="auto"/>
                <w:w w:val="80"/>
              </w:rPr>
              <w:t>2.6</w:t>
            </w:r>
          </w:p>
        </w:tc>
        <w:tc>
          <w:tcPr>
            <w:tcW w:w="10940" w:type="dxa"/>
            <w:vAlign w:val="bottom"/>
            <w:gridSpan w:val="6"/>
          </w:tcPr>
          <w:p>
            <w:pPr>
              <w:ind w:left="300"/>
              <w:spacing w:after="0"/>
              <w:rPr>
                <w:sz w:val="20"/>
                <w:szCs w:val="20"/>
                <w:color w:val="auto"/>
              </w:rPr>
            </w:pPr>
            <w:r>
              <w:rPr>
                <w:rFonts w:ascii="Arial" w:cs="Arial" w:eastAsia="Arial" w:hAnsi="Arial"/>
                <w:sz w:val="16"/>
                <w:szCs w:val="16"/>
                <w:b w:val="1"/>
                <w:bCs w:val="1"/>
                <w:color w:val="auto"/>
                <w:w w:val="96"/>
              </w:rPr>
              <w:t>Obligations of the Company</w:t>
            </w:r>
            <w:r>
              <w:rPr>
                <w:rFonts w:ascii="Arial" w:cs="Arial" w:eastAsia="Arial" w:hAnsi="Arial"/>
                <w:sz w:val="16"/>
                <w:szCs w:val="16"/>
                <w:color w:val="auto"/>
                <w:w w:val="96"/>
              </w:rPr>
              <w:t>. Whenever required to effect the registration of any Registrable Securities, the Company shall, as expeditiously as reasonably</w:t>
            </w:r>
          </w:p>
        </w:tc>
      </w:tr>
      <w:tr>
        <w:trPr>
          <w:trHeight w:val="207"/>
        </w:trPr>
        <w:tc>
          <w:tcPr>
            <w:tcW w:w="480" w:type="dxa"/>
            <w:vAlign w:val="bottom"/>
          </w:tcPr>
          <w:p>
            <w:pPr>
              <w:spacing w:after="0"/>
              <w:rPr>
                <w:sz w:val="18"/>
                <w:szCs w:val="18"/>
                <w:color w:val="auto"/>
              </w:rPr>
            </w:pPr>
          </w:p>
        </w:tc>
        <w:tc>
          <w:tcPr>
            <w:tcW w:w="980" w:type="dxa"/>
            <w:vAlign w:val="bottom"/>
          </w:tcPr>
          <w:p>
            <w:pPr>
              <w:ind w:left="300"/>
              <w:spacing w:after="0"/>
              <w:rPr>
                <w:sz w:val="20"/>
                <w:szCs w:val="20"/>
                <w:color w:val="auto"/>
              </w:rPr>
            </w:pPr>
            <w:r>
              <w:rPr>
                <w:rFonts w:ascii="Arial" w:cs="Arial" w:eastAsia="Arial" w:hAnsi="Arial"/>
                <w:sz w:val="16"/>
                <w:szCs w:val="16"/>
                <w:color w:val="auto"/>
              </w:rPr>
              <w:t>possible: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780" w:type="dxa"/>
            <w:vAlign w:val="bottom"/>
          </w:tcPr>
          <w:p>
            <w:pPr>
              <w:spacing w:after="0"/>
              <w:rPr>
                <w:sz w:val="18"/>
                <w:szCs w:val="18"/>
                <w:color w:val="auto"/>
              </w:rPr>
            </w:pPr>
          </w:p>
        </w:tc>
      </w:tr>
      <w:tr>
        <w:trPr>
          <w:trHeight w:val="380"/>
        </w:trPr>
        <w:tc>
          <w:tcPr>
            <w:tcW w:w="480" w:type="dxa"/>
            <w:vAlign w:val="bottom"/>
          </w:tcPr>
          <w:p>
            <w:pPr>
              <w:spacing w:after="0"/>
              <w:rPr>
                <w:sz w:val="24"/>
                <w:szCs w:val="24"/>
                <w:color w:val="auto"/>
              </w:rPr>
            </w:pPr>
          </w:p>
        </w:tc>
        <w:tc>
          <w:tcPr>
            <w:tcW w:w="980" w:type="dxa"/>
            <w:vAlign w:val="bottom"/>
          </w:tcPr>
          <w:p>
            <w:pPr>
              <w:ind w:left="300"/>
              <w:spacing w:after="0"/>
              <w:rPr>
                <w:sz w:val="20"/>
                <w:szCs w:val="20"/>
                <w:color w:val="auto"/>
              </w:rPr>
            </w:pPr>
            <w:r>
              <w:rPr>
                <w:rFonts w:ascii="Arial" w:cs="Arial" w:eastAsia="Arial" w:hAnsi="Arial"/>
                <w:sz w:val="16"/>
                <w:szCs w:val="16"/>
                <w:color w:val="auto"/>
              </w:rPr>
              <w:t>(a)</w:t>
            </w:r>
          </w:p>
        </w:tc>
        <w:tc>
          <w:tcPr>
            <w:tcW w:w="9960" w:type="dxa"/>
            <w:vAlign w:val="bottom"/>
            <w:gridSpan w:val="5"/>
          </w:tcPr>
          <w:p>
            <w:pPr>
              <w:ind w:left="100"/>
              <w:spacing w:after="0"/>
              <w:rPr>
                <w:sz w:val="20"/>
                <w:szCs w:val="20"/>
                <w:color w:val="auto"/>
              </w:rPr>
            </w:pPr>
            <w:r>
              <w:rPr>
                <w:rFonts w:ascii="Arial" w:cs="Arial" w:eastAsia="Arial" w:hAnsi="Arial"/>
                <w:sz w:val="16"/>
                <w:szCs w:val="16"/>
                <w:color w:val="auto"/>
                <w:w w:val="98"/>
              </w:rPr>
              <w:t>prepare and file with the SEC a registration statement with respect to such Registrable Securities and use all reasonable efforts to cause such</w:t>
            </w:r>
          </w:p>
        </w:tc>
      </w:tr>
      <w:tr>
        <w:trPr>
          <w:trHeight w:val="207"/>
        </w:trPr>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4"/>
          </w:tcPr>
          <w:p>
            <w:pPr>
              <w:spacing w:after="0"/>
              <w:rPr>
                <w:sz w:val="20"/>
                <w:szCs w:val="20"/>
                <w:color w:val="auto"/>
              </w:rPr>
            </w:pPr>
            <w:r>
              <w:rPr>
                <w:rFonts w:ascii="Arial" w:cs="Arial" w:eastAsia="Arial" w:hAnsi="Arial"/>
                <w:sz w:val="16"/>
                <w:szCs w:val="16"/>
                <w:color w:val="auto"/>
                <w:w w:val="92"/>
              </w:rPr>
              <w:t>registration statement to become effective, and, upon the request of the Holders of at least sixty percent (60%) of the Registrable Securities registered</w:t>
            </w:r>
          </w:p>
        </w:tc>
      </w:tr>
    </w:tbl>
    <w:p>
      <w:pPr>
        <w:ind w:left="1580" w:right="20"/>
        <w:spacing w:after="0" w:line="258" w:lineRule="auto"/>
        <w:rPr>
          <w:sz w:val="20"/>
          <w:szCs w:val="20"/>
          <w:color w:val="auto"/>
        </w:rPr>
      </w:pPr>
      <w:r>
        <w:rPr>
          <w:rFonts w:ascii="Arial" w:cs="Arial" w:eastAsia="Arial" w:hAnsi="Arial"/>
          <w:sz w:val="16"/>
          <w:szCs w:val="16"/>
          <w:color w:val="auto"/>
        </w:rPr>
        <w:t xml:space="preserve">thereunder, keep such registration statement effective for up to sixty (60) days or, if earlier, until the Holder or Holders have completed the distribution related thereto; provided, however, that at any time, upon written notice to the participating Holders and for a period not to exceed ninety (90) days thereafter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Suspension Period</w:t>
      </w:r>
      <w:r>
        <w:rPr>
          <w:rFonts w:ascii="Arial" w:cs="Arial" w:eastAsia="Arial" w:hAnsi="Arial"/>
          <w:sz w:val="16"/>
          <w:szCs w:val="16"/>
          <w:color w:val="auto"/>
        </w:rPr>
        <w:t>”), the Company may delay the filing or effectiveness of any registration statement or suspend the use or effectiveness of any registration statement (and the Holders hereby agree not to offer or sell any Registrable Securities pursuant to such registration statement during the Suspension Period) if the Company reasonably believes that there is or may be in existence material nonpublic information or events involving the Company, the failure of which to be disclosed in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366" w:name="page367"/>
    <w:bookmarkEnd w:id="366"/>
    <w:p>
      <w:pPr>
        <w:ind w:left="1580" w:right="20"/>
        <w:spacing w:after="0" w:line="276" w:lineRule="auto"/>
        <w:rPr>
          <w:sz w:val="20"/>
          <w:szCs w:val="20"/>
          <w:color w:val="auto"/>
        </w:rPr>
      </w:pPr>
      <w:r>
        <w:rPr>
          <w:rFonts w:ascii="Arial" w:cs="Arial" w:eastAsia="Arial" w:hAnsi="Arial"/>
          <w:sz w:val="15"/>
          <w:szCs w:val="15"/>
          <w:color w:val="auto"/>
        </w:rPr>
        <w:t>prospectus included in the registration statement could result in a loss, claim, damages, or liability under the Securities Act, the Exchange Act or other federal or state law. In the event that the Company shall exercise its right to delay or suspend the filing or effectiveness of a registration pursuant to the preceding sentence, the applicable time period during which the registration statement is to remain effective shall be extended by a period of time equal to the duration of the Suspension Period. The Company may extend the Suspension Period for an additional consecutive ninety (90) days with the consent of the holders of at least sixty percent (60%) of the Registrable Securities registered under the applicable registration statement, which consent shall not be unreasonably withheld. If so directed by the Company, all Holders registering shares under such registration statement shall (i) not offer to sell any Registrable Securities pursuant to the registration statement during the Suspension Period after receiving notice of such delay or suspension; and (ii) use their best efforts to deliver to the Company (at the Company’s expense) all copies, other than permanent file copies then in such Holders’ possession, of the prospectus relating to such Registrable Securities current at the time of receipt of such notice. Notwithstanding the foregoing, the Company shall not be required to file, cause to become effective or maintain the effectiveness of any registration statement other than a registration statement on Form S-3 or Form F-3 that contemplates a distribution of securities on a delayed or continuous basis pursuant to Rule 415 under the Securities Act.</w:t>
      </w:r>
    </w:p>
    <w:p>
      <w:pPr>
        <w:spacing w:after="0" w:line="163" w:lineRule="exact"/>
        <w:rPr>
          <w:sz w:val="20"/>
          <w:szCs w:val="20"/>
          <w:color w:val="auto"/>
        </w:rPr>
      </w:pPr>
    </w:p>
    <w:p>
      <w:pPr>
        <w:ind w:left="1580" w:right="120" w:hanging="796"/>
        <w:spacing w:after="0" w:line="270" w:lineRule="auto"/>
        <w:tabs>
          <w:tab w:leader="none" w:pos="1582" w:val="left"/>
        </w:tabs>
        <w:numPr>
          <w:ilvl w:val="0"/>
          <w:numId w:val="253"/>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61" w:lineRule="exact"/>
        <w:rPr>
          <w:rFonts w:ascii="Arial" w:cs="Arial" w:eastAsia="Arial" w:hAnsi="Arial"/>
          <w:sz w:val="16"/>
          <w:szCs w:val="16"/>
          <w:color w:val="auto"/>
        </w:rPr>
      </w:pPr>
    </w:p>
    <w:p>
      <w:pPr>
        <w:ind w:left="1580" w:right="20" w:hanging="796"/>
        <w:spacing w:after="0" w:line="360" w:lineRule="auto"/>
        <w:tabs>
          <w:tab w:leader="none" w:pos="1585" w:val="left"/>
        </w:tabs>
        <w:numPr>
          <w:ilvl w:val="0"/>
          <w:numId w:val="253"/>
        </w:numPr>
        <w:rPr>
          <w:rFonts w:ascii="Arial" w:cs="Arial" w:eastAsia="Arial" w:hAnsi="Arial"/>
          <w:sz w:val="14"/>
          <w:szCs w:val="14"/>
          <w:color w:val="auto"/>
        </w:rPr>
      </w:pPr>
      <w:r>
        <w:rPr>
          <w:rFonts w:ascii="Arial" w:cs="Arial" w:eastAsia="Arial" w:hAnsi="Arial"/>
          <w:sz w:val="14"/>
          <w:szCs w:val="14"/>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03" w:lineRule="exact"/>
        <w:rPr>
          <w:rFonts w:ascii="Arial" w:cs="Arial" w:eastAsia="Arial" w:hAnsi="Arial"/>
          <w:sz w:val="14"/>
          <w:szCs w:val="14"/>
          <w:color w:val="auto"/>
        </w:rPr>
      </w:pPr>
    </w:p>
    <w:p>
      <w:pPr>
        <w:ind w:left="1580" w:right="160" w:hanging="796"/>
        <w:spacing w:after="0" w:line="326" w:lineRule="auto"/>
        <w:tabs>
          <w:tab w:leader="none" w:pos="1582" w:val="left"/>
        </w:tabs>
        <w:numPr>
          <w:ilvl w:val="0"/>
          <w:numId w:val="253"/>
        </w:numPr>
        <w:rPr>
          <w:rFonts w:ascii="Arial" w:cs="Arial" w:eastAsia="Arial" w:hAnsi="Arial"/>
          <w:sz w:val="14"/>
          <w:szCs w:val="14"/>
          <w:color w:val="auto"/>
        </w:rPr>
      </w:pPr>
      <w:r>
        <w:rPr>
          <w:rFonts w:ascii="Arial" w:cs="Arial" w:eastAsia="Arial" w:hAnsi="Arial"/>
          <w:sz w:val="14"/>
          <w:szCs w:val="14"/>
          <w:color w:val="auto"/>
        </w:rPr>
        <w:t>Use its commercially reasonable efforts (as determined by it in its sole discretion) to register and qualify the securities covered by such registration statement under such other securities or blue-sky laws of such jurisdictions as shall be reasonably requested by the selling Holders; provided that the Company shall not be required to qualify to do business or to file a general consent to service of process in any such states or jurisdictions.</w:t>
      </w:r>
    </w:p>
    <w:p>
      <w:pPr>
        <w:spacing w:after="0" w:line="126" w:lineRule="exact"/>
        <w:rPr>
          <w:rFonts w:ascii="Arial" w:cs="Arial" w:eastAsia="Arial" w:hAnsi="Arial"/>
          <w:sz w:val="14"/>
          <w:szCs w:val="14"/>
          <w:color w:val="auto"/>
        </w:rPr>
      </w:pPr>
    </w:p>
    <w:p>
      <w:pPr>
        <w:ind w:left="1580" w:right="40" w:hanging="796"/>
        <w:spacing w:after="0" w:line="270" w:lineRule="auto"/>
        <w:tabs>
          <w:tab w:leader="none" w:pos="158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61" w:lineRule="exact"/>
        <w:rPr>
          <w:rFonts w:ascii="Arial" w:cs="Arial" w:eastAsia="Arial" w:hAnsi="Arial"/>
          <w:sz w:val="16"/>
          <w:szCs w:val="16"/>
          <w:color w:val="auto"/>
        </w:rPr>
      </w:pPr>
    </w:p>
    <w:p>
      <w:pPr>
        <w:ind w:left="1580" w:right="80" w:hanging="796"/>
        <w:spacing w:after="0" w:line="281" w:lineRule="auto"/>
        <w:tabs>
          <w:tab w:leader="none" w:pos="1580" w:val="left"/>
        </w:tabs>
        <w:numPr>
          <w:ilvl w:val="0"/>
          <w:numId w:val="253"/>
        </w:numPr>
        <w:rPr>
          <w:rFonts w:ascii="Arial" w:cs="Arial" w:eastAsia="Arial" w:hAnsi="Arial"/>
          <w:sz w:val="15"/>
          <w:szCs w:val="15"/>
          <w:color w:val="auto"/>
        </w:rPr>
      </w:pPr>
      <w:r>
        <w:rPr>
          <w:rFonts w:ascii="Arial" w:cs="Arial" w:eastAsia="Arial" w:hAnsi="Arial"/>
          <w:sz w:val="15"/>
          <w:szCs w:val="15"/>
          <w:color w:val="auto"/>
        </w:rPr>
        <w:t>Notify each Holder of Registrable Securities covered by such registration statement at any time when a prospectus relating thereto is required to be delivered under the Securities Act upon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use reasonable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57" w:lineRule="exact"/>
        <w:rPr>
          <w:rFonts w:ascii="Arial" w:cs="Arial" w:eastAsia="Arial" w:hAnsi="Arial"/>
          <w:sz w:val="15"/>
          <w:szCs w:val="15"/>
          <w:color w:val="auto"/>
        </w:rPr>
      </w:pPr>
    </w:p>
    <w:p>
      <w:pPr>
        <w:ind w:left="1580" w:hanging="796"/>
        <w:spacing w:after="0"/>
        <w:tabs>
          <w:tab w:leader="none" w:pos="158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Use its reasonable efforts to furnish, on the date that such Registrable Securities 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w w:val="96"/>
              </w:rPr>
              <w:t>delivered to the underwriters for sale, if such securities are being sold through underwriters, (i) an opinion, dated as of such date, of the counsel</w:t>
            </w:r>
          </w:p>
        </w:tc>
      </w:tr>
      <w:tr>
        <w:trPr>
          <w:trHeight w:val="196"/>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w w:val="96"/>
              </w:rPr>
              <w:t>representing the Company for the purposes of such registration, in form and substance as is customarily given to underwriters in an underwritten</w:t>
            </w:r>
          </w:p>
        </w:tc>
      </w:tr>
      <w:tr>
        <w:trPr>
          <w:trHeight w:val="196"/>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w w:val="94"/>
              </w:rPr>
              <w:t>public offering, addressed to the underwriters, if any, and (ii) a letter, dated as of such date, from the independent certified public accountants of the</w:t>
            </w:r>
          </w:p>
        </w:tc>
      </w:tr>
      <w:tr>
        <w:trPr>
          <w:trHeight w:val="196"/>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w w:val="92"/>
              </w:rPr>
              <w:t>Company, in form and substance as is customarily given by independent certified public accountants to underwriters in an underwritten public offering</w:t>
            </w:r>
          </w:p>
        </w:tc>
      </w:tr>
      <w:tr>
        <w:trPr>
          <w:trHeight w:val="207"/>
        </w:trPr>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rPr>
              <w:t>addressed to the underwriters.</w:t>
            </w:r>
          </w:p>
        </w:tc>
      </w:tr>
      <w:tr>
        <w:trPr>
          <w:trHeight w:val="380"/>
        </w:trPr>
        <w:tc>
          <w:tcPr>
            <w:tcW w:w="48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6"/>
                <w:szCs w:val="16"/>
                <w:color w:val="auto"/>
              </w:rPr>
              <w:t>(h)</w:t>
            </w:r>
          </w:p>
        </w:tc>
        <w:tc>
          <w:tcPr>
            <w:tcW w:w="10160" w:type="dxa"/>
            <w:vAlign w:val="bottom"/>
          </w:tcPr>
          <w:p>
            <w:pPr>
              <w:ind w:left="320"/>
              <w:spacing w:after="0"/>
              <w:rPr>
                <w:sz w:val="20"/>
                <w:szCs w:val="20"/>
                <w:color w:val="auto"/>
              </w:rPr>
            </w:pPr>
            <w:r>
              <w:rPr>
                <w:rFonts w:ascii="Arial" w:cs="Arial" w:eastAsia="Arial" w:hAnsi="Arial"/>
                <w:sz w:val="16"/>
                <w:szCs w:val="16"/>
                <w:color w:val="auto"/>
                <w:w w:val="92"/>
              </w:rPr>
              <w:t>Use its commercially reasonable efforts (as determined by it in its sole discretion) to cause all such Registrable Securities covered by such registration</w:t>
            </w:r>
          </w:p>
        </w:tc>
      </w:tr>
      <w:tr>
        <w:trPr>
          <w:trHeight w:val="196"/>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w w:val="91"/>
              </w:rPr>
              <w:t>statement to be listed on a national securities exchange or trading system and each securities exchange and trading system (if any) on which securities</w:t>
            </w:r>
          </w:p>
        </w:tc>
      </w:tr>
      <w:tr>
        <w:trPr>
          <w:trHeight w:val="207"/>
        </w:trPr>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rPr>
              <w:t>of the same class issued by the Company are then listed.</w:t>
            </w:r>
          </w:p>
        </w:tc>
      </w:tr>
      <w:tr>
        <w:trPr>
          <w:trHeight w:val="380"/>
        </w:trPr>
        <w:tc>
          <w:tcPr>
            <w:tcW w:w="48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6"/>
                <w:szCs w:val="16"/>
                <w:color w:val="auto"/>
              </w:rPr>
              <w:t>(i)</w:t>
            </w:r>
          </w:p>
        </w:tc>
        <w:tc>
          <w:tcPr>
            <w:tcW w:w="10160" w:type="dxa"/>
            <w:vAlign w:val="bottom"/>
          </w:tcPr>
          <w:p>
            <w:pPr>
              <w:ind w:left="320"/>
              <w:spacing w:after="0"/>
              <w:rPr>
                <w:sz w:val="20"/>
                <w:szCs w:val="20"/>
                <w:color w:val="auto"/>
              </w:rPr>
            </w:pPr>
            <w:r>
              <w:rPr>
                <w:rFonts w:ascii="Arial" w:cs="Arial" w:eastAsia="Arial" w:hAnsi="Arial"/>
                <w:sz w:val="16"/>
                <w:szCs w:val="16"/>
                <w:color w:val="auto"/>
                <w:w w:val="96"/>
              </w:rPr>
              <w:t>Provide a transfer agent and registrar for all Registrable Securities registered pursuant to this Agreement not later than the effective date of such</w:t>
            </w:r>
          </w:p>
        </w:tc>
      </w:tr>
      <w:tr>
        <w:trPr>
          <w:trHeight w:val="207"/>
        </w:trPr>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rPr>
              <w:t>registration.</w:t>
            </w:r>
          </w:p>
        </w:tc>
      </w:tr>
      <w:tr>
        <w:trPr>
          <w:trHeight w:val="380"/>
        </w:trPr>
        <w:tc>
          <w:tcPr>
            <w:tcW w:w="48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6"/>
                <w:szCs w:val="16"/>
                <w:color w:val="auto"/>
              </w:rPr>
              <w:t>(j)</w:t>
            </w:r>
          </w:p>
        </w:tc>
        <w:tc>
          <w:tcPr>
            <w:tcW w:w="10160" w:type="dxa"/>
            <w:vAlign w:val="bottom"/>
          </w:tcPr>
          <w:p>
            <w:pPr>
              <w:ind w:left="320"/>
              <w:spacing w:after="0"/>
              <w:rPr>
                <w:sz w:val="20"/>
                <w:szCs w:val="20"/>
                <w:color w:val="auto"/>
              </w:rPr>
            </w:pPr>
            <w:r>
              <w:rPr>
                <w:rFonts w:ascii="Arial" w:cs="Arial" w:eastAsia="Arial" w:hAnsi="Arial"/>
                <w:sz w:val="16"/>
                <w:szCs w:val="16"/>
                <w:color w:val="auto"/>
                <w:w w:val="97"/>
              </w:rPr>
              <w:t>Notify each selling Holder, promptly after the Company receives notice thereof, of the time when such registration statement has been declared</w:t>
            </w:r>
          </w:p>
        </w:tc>
      </w:tr>
      <w:tr>
        <w:trPr>
          <w:trHeight w:val="207"/>
        </w:trPr>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rPr>
              <w:t>effective or a supplement to any prospectus forming a part of such registration statement has been filed.</w:t>
            </w:r>
          </w:p>
        </w:tc>
      </w:tr>
      <w:tr>
        <w:trPr>
          <w:trHeight w:val="380"/>
        </w:trPr>
        <w:tc>
          <w:tcPr>
            <w:tcW w:w="48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6"/>
                <w:szCs w:val="16"/>
                <w:color w:val="auto"/>
              </w:rPr>
              <w:t>(k)</w:t>
            </w:r>
          </w:p>
        </w:tc>
        <w:tc>
          <w:tcPr>
            <w:tcW w:w="10160" w:type="dxa"/>
            <w:vAlign w:val="bottom"/>
          </w:tcPr>
          <w:p>
            <w:pPr>
              <w:ind w:left="320"/>
              <w:spacing w:after="0"/>
              <w:rPr>
                <w:sz w:val="20"/>
                <w:szCs w:val="20"/>
                <w:color w:val="auto"/>
              </w:rPr>
            </w:pPr>
            <w:r>
              <w:rPr>
                <w:rFonts w:ascii="Arial" w:cs="Arial" w:eastAsia="Arial" w:hAnsi="Arial"/>
                <w:sz w:val="16"/>
                <w:szCs w:val="16"/>
                <w:color w:val="auto"/>
                <w:w w:val="95"/>
              </w:rPr>
              <w:t>After such registration statement becomes effective, notify each selling Holder of any request by the SEC that the Company amend or supplement</w:t>
            </w:r>
          </w:p>
        </w:tc>
      </w:tr>
      <w:tr>
        <w:trPr>
          <w:trHeight w:val="207"/>
        </w:trPr>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rPr>
              <w:t>such registration statement or prospectus.</w:t>
            </w:r>
          </w:p>
        </w:tc>
      </w:tr>
      <w:tr>
        <w:trPr>
          <w:trHeight w:val="391"/>
        </w:trPr>
        <w:tc>
          <w:tcPr>
            <w:tcW w:w="480" w:type="dxa"/>
            <w:vAlign w:val="bottom"/>
          </w:tcPr>
          <w:p>
            <w:pPr>
              <w:jc w:val="right"/>
              <w:ind w:right="199"/>
              <w:spacing w:after="0"/>
              <w:rPr>
                <w:sz w:val="20"/>
                <w:szCs w:val="20"/>
                <w:color w:val="auto"/>
              </w:rPr>
            </w:pPr>
            <w:r>
              <w:rPr>
                <w:rFonts w:ascii="Arial" w:cs="Arial" w:eastAsia="Arial" w:hAnsi="Arial"/>
                <w:sz w:val="16"/>
                <w:szCs w:val="16"/>
                <w:color w:val="auto"/>
                <w:w w:val="80"/>
              </w:rPr>
              <w:t>2.7</w:t>
            </w:r>
          </w:p>
        </w:tc>
        <w:tc>
          <w:tcPr>
            <w:tcW w:w="10940" w:type="dxa"/>
            <w:vAlign w:val="bottom"/>
            <w:gridSpan w:val="2"/>
          </w:tcPr>
          <w:p>
            <w:pPr>
              <w:ind w:left="300"/>
              <w:spacing w:after="0"/>
              <w:rPr>
                <w:sz w:val="20"/>
                <w:szCs w:val="20"/>
                <w:color w:val="auto"/>
              </w:rPr>
            </w:pPr>
            <w:r>
              <w:rPr>
                <w:rFonts w:ascii="Arial" w:cs="Arial" w:eastAsia="Arial" w:hAnsi="Arial"/>
                <w:sz w:val="16"/>
                <w:szCs w:val="16"/>
                <w:b w:val="1"/>
                <w:bCs w:val="1"/>
                <w:color w:val="auto"/>
              </w:rPr>
              <w:t>Delay of Registration; Furnishing Information</w:t>
            </w:r>
            <w:r>
              <w:rPr>
                <w:rFonts w:ascii="Arial" w:cs="Arial" w:eastAsia="Arial" w:hAnsi="Arial"/>
                <w:sz w:val="16"/>
                <w:szCs w:val="16"/>
                <w:color w:val="auto"/>
              </w:rPr>
              <w:t>.</w:t>
            </w:r>
          </w:p>
        </w:tc>
      </w:tr>
      <w:tr>
        <w:trPr>
          <w:trHeight w:val="380"/>
        </w:trPr>
        <w:tc>
          <w:tcPr>
            <w:tcW w:w="48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6"/>
                <w:szCs w:val="16"/>
                <w:color w:val="auto"/>
              </w:rPr>
              <w:t>(a)</w:t>
            </w:r>
          </w:p>
        </w:tc>
        <w:tc>
          <w:tcPr>
            <w:tcW w:w="10160" w:type="dxa"/>
            <w:vAlign w:val="bottom"/>
          </w:tcPr>
          <w:p>
            <w:pPr>
              <w:ind w:left="300"/>
              <w:spacing w:after="0"/>
              <w:rPr>
                <w:sz w:val="20"/>
                <w:szCs w:val="20"/>
                <w:color w:val="auto"/>
              </w:rPr>
            </w:pPr>
            <w:r>
              <w:rPr>
                <w:rFonts w:ascii="Arial" w:cs="Arial" w:eastAsia="Arial" w:hAnsi="Arial"/>
                <w:sz w:val="16"/>
                <w:szCs w:val="16"/>
                <w:color w:val="auto"/>
                <w:w w:val="94"/>
              </w:rPr>
              <w:t>No Holder shall have any right to obtain or seek an injunction restraining or otherwise delaying any such registration as the result of any controversy</w:t>
            </w:r>
          </w:p>
        </w:tc>
      </w:tr>
      <w:tr>
        <w:trPr>
          <w:trHeight w:val="207"/>
        </w:trPr>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rPr>
              <w:t>that might arise with respect to the interpretation or implementation of this Section 2.</w:t>
            </w:r>
          </w:p>
        </w:tc>
      </w:tr>
      <w:tr>
        <w:trPr>
          <w:trHeight w:val="380"/>
        </w:trPr>
        <w:tc>
          <w:tcPr>
            <w:tcW w:w="48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6"/>
                <w:szCs w:val="16"/>
                <w:color w:val="auto"/>
              </w:rPr>
              <w:t>(b)</w:t>
            </w:r>
          </w:p>
        </w:tc>
        <w:tc>
          <w:tcPr>
            <w:tcW w:w="10160" w:type="dxa"/>
            <w:vAlign w:val="bottom"/>
          </w:tcPr>
          <w:p>
            <w:pPr>
              <w:ind w:left="320"/>
              <w:spacing w:after="0"/>
              <w:rPr>
                <w:sz w:val="20"/>
                <w:szCs w:val="20"/>
                <w:color w:val="auto"/>
              </w:rPr>
            </w:pPr>
            <w:r>
              <w:rPr>
                <w:rFonts w:ascii="Arial" w:cs="Arial" w:eastAsia="Arial" w:hAnsi="Arial"/>
                <w:sz w:val="16"/>
                <w:szCs w:val="16"/>
                <w:color w:val="auto"/>
                <w:w w:val="93"/>
              </w:rPr>
              <w:t>It shall be a condition precedent to the obligations of the Company to take any action pursuant to Section 2.1, 2.2 or 2.3 that the selling Holders shall</w:t>
            </w:r>
          </w:p>
        </w:tc>
      </w:tr>
      <w:tr>
        <w:trPr>
          <w:trHeight w:val="196"/>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w w:val="92"/>
              </w:rPr>
              <w:t>furnish to the Company such information regarding themselves, the Registrable Securities held by them and the intended method of disposition of such</w:t>
            </w:r>
          </w:p>
        </w:tc>
      </w:tr>
      <w:tr>
        <w:trPr>
          <w:trHeight w:val="207"/>
        </w:trPr>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rPr>
              <w:t>securities as shall be required to effect the registration of their Registrable Securities.</w:t>
            </w:r>
          </w:p>
        </w:tc>
      </w:tr>
      <w:tr>
        <w:trPr>
          <w:trHeight w:val="380"/>
        </w:trPr>
        <w:tc>
          <w:tcPr>
            <w:tcW w:w="48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6"/>
                <w:szCs w:val="16"/>
                <w:color w:val="auto"/>
              </w:rPr>
              <w:t>(c)</w:t>
            </w:r>
          </w:p>
        </w:tc>
        <w:tc>
          <w:tcPr>
            <w:tcW w:w="10160" w:type="dxa"/>
            <w:vAlign w:val="bottom"/>
          </w:tcPr>
          <w:p>
            <w:pPr>
              <w:ind w:left="320"/>
              <w:spacing w:after="0"/>
              <w:rPr>
                <w:sz w:val="20"/>
                <w:szCs w:val="20"/>
                <w:color w:val="auto"/>
              </w:rPr>
            </w:pPr>
            <w:r>
              <w:rPr>
                <w:rFonts w:ascii="Arial" w:cs="Arial" w:eastAsia="Arial" w:hAnsi="Arial"/>
                <w:sz w:val="16"/>
                <w:szCs w:val="16"/>
                <w:color w:val="auto"/>
                <w:w w:val="93"/>
              </w:rPr>
              <w:t>The Company shall have no obligation with respect to any registration requested pursuant to Section 2.1 or Section 2.3 if the number of shares or the</w:t>
            </w:r>
          </w:p>
        </w:tc>
      </w:tr>
      <w:tr>
        <w:trPr>
          <w:trHeight w:val="196"/>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w w:val="91"/>
              </w:rPr>
              <w:t>anticipated aggregate offering price of the Registrable Securities to be included in the registration does not equal or exceed the number of shares or the</w:t>
            </w:r>
          </w:p>
        </w:tc>
      </w:tr>
      <w:tr>
        <w:trPr>
          <w:trHeight w:val="196"/>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w w:val="95"/>
              </w:rPr>
              <w:t>anticipated aggregate offering price required to originally trigger the Company’s obligation to initiate such registration as specified in Section 2.1 or</w:t>
            </w:r>
          </w:p>
        </w:tc>
      </w:tr>
      <w:tr>
        <w:trPr>
          <w:trHeight w:val="207"/>
        </w:trPr>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6"/>
                <w:szCs w:val="16"/>
                <w:color w:val="auto"/>
              </w:rPr>
              <w:t>Section 2.3, whichever is applicable.</w:t>
            </w:r>
          </w:p>
        </w:tc>
      </w:tr>
      <w:tr>
        <w:trPr>
          <w:trHeight w:val="380"/>
        </w:trPr>
        <w:tc>
          <w:tcPr>
            <w:tcW w:w="480" w:type="dxa"/>
            <w:vAlign w:val="bottom"/>
          </w:tcPr>
          <w:p>
            <w:pPr>
              <w:jc w:val="right"/>
              <w:ind w:right="199"/>
              <w:spacing w:after="0"/>
              <w:rPr>
                <w:sz w:val="20"/>
                <w:szCs w:val="20"/>
                <w:color w:val="auto"/>
              </w:rPr>
            </w:pPr>
            <w:r>
              <w:rPr>
                <w:rFonts w:ascii="Arial" w:cs="Arial" w:eastAsia="Arial" w:hAnsi="Arial"/>
                <w:sz w:val="16"/>
                <w:szCs w:val="16"/>
                <w:color w:val="auto"/>
                <w:w w:val="80"/>
              </w:rPr>
              <w:t>2.8</w:t>
            </w:r>
          </w:p>
        </w:tc>
        <w:tc>
          <w:tcPr>
            <w:tcW w:w="10940" w:type="dxa"/>
            <w:vAlign w:val="bottom"/>
            <w:gridSpan w:val="2"/>
          </w:tcPr>
          <w:p>
            <w:pPr>
              <w:ind w:left="300"/>
              <w:spacing w:after="0"/>
              <w:rPr>
                <w:sz w:val="20"/>
                <w:szCs w:val="20"/>
                <w:color w:val="auto"/>
              </w:rPr>
            </w:pPr>
            <w:r>
              <w:rPr>
                <w:rFonts w:ascii="Arial" w:cs="Arial" w:eastAsia="Arial" w:hAnsi="Arial"/>
                <w:sz w:val="16"/>
                <w:szCs w:val="16"/>
                <w:b w:val="1"/>
                <w:bCs w:val="1"/>
                <w:color w:val="auto"/>
                <w:w w:val="94"/>
              </w:rPr>
              <w:t>Indemnification</w:t>
            </w:r>
            <w:r>
              <w:rPr>
                <w:rFonts w:ascii="Arial" w:cs="Arial" w:eastAsia="Arial" w:hAnsi="Arial"/>
                <w:sz w:val="16"/>
                <w:szCs w:val="16"/>
                <w:color w:val="auto"/>
                <w:w w:val="94"/>
              </w:rPr>
              <w:t>. In the event any Registrable Securities are included in a registration statement under Sections 2.1, 2.2 or 2.3, the Company will enter into an</w:t>
            </w:r>
          </w:p>
        </w:tc>
      </w:tr>
      <w:tr>
        <w:trPr>
          <w:trHeight w:val="196"/>
        </w:trPr>
        <w:tc>
          <w:tcPr>
            <w:tcW w:w="480" w:type="dxa"/>
            <w:vAlign w:val="bottom"/>
          </w:tcPr>
          <w:p>
            <w:pPr>
              <w:spacing w:after="0"/>
              <w:rPr>
                <w:sz w:val="17"/>
                <w:szCs w:val="17"/>
                <w:color w:val="auto"/>
              </w:rPr>
            </w:pPr>
          </w:p>
        </w:tc>
        <w:tc>
          <w:tcPr>
            <w:tcW w:w="10940" w:type="dxa"/>
            <w:vAlign w:val="bottom"/>
            <w:gridSpan w:val="2"/>
          </w:tcPr>
          <w:p>
            <w:pPr>
              <w:ind w:left="300"/>
              <w:spacing w:after="0"/>
              <w:rPr>
                <w:sz w:val="20"/>
                <w:szCs w:val="20"/>
                <w:color w:val="auto"/>
              </w:rPr>
            </w:pPr>
            <w:r>
              <w:rPr>
                <w:rFonts w:ascii="Arial" w:cs="Arial" w:eastAsia="Arial" w:hAnsi="Arial"/>
                <w:sz w:val="16"/>
                <w:szCs w:val="16"/>
                <w:color w:val="auto"/>
                <w:w w:val="93"/>
              </w:rPr>
              <w:t>underwriting agreement with the underwriter (as defined in the Securities Act) and each Holder participating in the relevant offering on customary terms, including</w:t>
            </w:r>
          </w:p>
        </w:tc>
      </w:tr>
      <w:tr>
        <w:trPr>
          <w:trHeight w:val="207"/>
        </w:trPr>
        <w:tc>
          <w:tcPr>
            <w:tcW w:w="480" w:type="dxa"/>
            <w:vAlign w:val="bottom"/>
          </w:tcPr>
          <w:p>
            <w:pPr>
              <w:spacing w:after="0"/>
              <w:rPr>
                <w:sz w:val="18"/>
                <w:szCs w:val="18"/>
                <w:color w:val="auto"/>
              </w:rPr>
            </w:pPr>
          </w:p>
        </w:tc>
        <w:tc>
          <w:tcPr>
            <w:tcW w:w="10940" w:type="dxa"/>
            <w:vAlign w:val="bottom"/>
            <w:gridSpan w:val="2"/>
          </w:tcPr>
          <w:p>
            <w:pPr>
              <w:ind w:left="300"/>
              <w:spacing w:after="0"/>
              <w:rPr>
                <w:sz w:val="20"/>
                <w:szCs w:val="20"/>
                <w:color w:val="auto"/>
              </w:rPr>
            </w:pPr>
            <w:r>
              <w:rPr>
                <w:rFonts w:ascii="Arial" w:cs="Arial" w:eastAsia="Arial" w:hAnsi="Arial"/>
                <w:sz w:val="16"/>
                <w:szCs w:val="16"/>
                <w:color w:val="auto"/>
              </w:rPr>
              <w:t>customary indemnification provisions in favor of such Holder.</w:t>
            </w:r>
          </w:p>
        </w:tc>
      </w:tr>
      <w:tr>
        <w:trPr>
          <w:trHeight w:val="380"/>
        </w:trPr>
        <w:tc>
          <w:tcPr>
            <w:tcW w:w="480" w:type="dxa"/>
            <w:vAlign w:val="bottom"/>
          </w:tcPr>
          <w:p>
            <w:pPr>
              <w:jc w:val="right"/>
              <w:ind w:right="199"/>
              <w:spacing w:after="0"/>
              <w:rPr>
                <w:sz w:val="20"/>
                <w:szCs w:val="20"/>
                <w:color w:val="auto"/>
              </w:rPr>
            </w:pPr>
            <w:r>
              <w:rPr>
                <w:rFonts w:ascii="Arial" w:cs="Arial" w:eastAsia="Arial" w:hAnsi="Arial"/>
                <w:sz w:val="16"/>
                <w:szCs w:val="16"/>
                <w:color w:val="auto"/>
                <w:w w:val="80"/>
              </w:rPr>
              <w:t>2.9</w:t>
            </w:r>
          </w:p>
        </w:tc>
        <w:tc>
          <w:tcPr>
            <w:tcW w:w="10940" w:type="dxa"/>
            <w:vAlign w:val="bottom"/>
            <w:gridSpan w:val="2"/>
          </w:tcPr>
          <w:p>
            <w:pPr>
              <w:ind w:left="300"/>
              <w:spacing w:after="0"/>
              <w:rPr>
                <w:sz w:val="20"/>
                <w:szCs w:val="20"/>
                <w:color w:val="auto"/>
              </w:rPr>
            </w:pPr>
            <w:r>
              <w:rPr>
                <w:rFonts w:ascii="Arial" w:cs="Arial" w:eastAsia="Arial" w:hAnsi="Arial"/>
                <w:sz w:val="16"/>
                <w:szCs w:val="16"/>
                <w:b w:val="1"/>
                <w:bCs w:val="1"/>
                <w:color w:val="auto"/>
                <w:w w:val="93"/>
              </w:rPr>
              <w:t>Market Stand-Off Agreement</w:t>
            </w:r>
            <w:r>
              <w:rPr>
                <w:rFonts w:ascii="Arial" w:cs="Arial" w:eastAsia="Arial" w:hAnsi="Arial"/>
                <w:sz w:val="16"/>
                <w:szCs w:val="16"/>
                <w:color w:val="auto"/>
                <w:w w:val="93"/>
              </w:rPr>
              <w:t>. Each Holder hereby agrees that, if requested by the managing underwriter, such Holder shall not sell, dispose of, transfer, make</w:t>
            </w:r>
          </w:p>
        </w:tc>
      </w:tr>
      <w:tr>
        <w:trPr>
          <w:trHeight w:val="207"/>
        </w:trPr>
        <w:tc>
          <w:tcPr>
            <w:tcW w:w="480" w:type="dxa"/>
            <w:vAlign w:val="bottom"/>
          </w:tcPr>
          <w:p>
            <w:pPr>
              <w:spacing w:after="0"/>
              <w:rPr>
                <w:sz w:val="18"/>
                <w:szCs w:val="18"/>
                <w:color w:val="auto"/>
              </w:rPr>
            </w:pPr>
          </w:p>
        </w:tc>
        <w:tc>
          <w:tcPr>
            <w:tcW w:w="10940" w:type="dxa"/>
            <w:vAlign w:val="bottom"/>
            <w:gridSpan w:val="2"/>
          </w:tcPr>
          <w:p>
            <w:pPr>
              <w:ind w:left="300"/>
              <w:spacing w:after="0"/>
              <w:rPr>
                <w:sz w:val="20"/>
                <w:szCs w:val="20"/>
                <w:color w:val="auto"/>
              </w:rPr>
            </w:pPr>
            <w:r>
              <w:rPr>
                <w:rFonts w:ascii="Arial" w:cs="Arial" w:eastAsia="Arial" w:hAnsi="Arial"/>
                <w:sz w:val="16"/>
                <w:szCs w:val="16"/>
                <w:color w:val="auto"/>
                <w:w w:val="96"/>
              </w:rPr>
              <w:t>any short sale of, grant any option for the purchase of, or enter into any hedging or similar transaction with the same economic effect as a sale, any Ordinary</w:t>
            </w:r>
          </w:p>
        </w:tc>
      </w:tr>
    </w:tbl>
    <w:p>
      <w:pPr>
        <w:ind w:left="780"/>
        <w:spacing w:after="0" w:line="262" w:lineRule="auto"/>
        <w:rPr>
          <w:sz w:val="20"/>
          <w:szCs w:val="20"/>
          <w:color w:val="auto"/>
        </w:rPr>
      </w:pPr>
      <w:r>
        <w:rPr>
          <w:rFonts w:ascii="Arial" w:cs="Arial" w:eastAsia="Arial" w:hAnsi="Arial"/>
          <w:sz w:val="16"/>
          <w:szCs w:val="16"/>
          <w:color w:val="auto"/>
        </w:rPr>
        <w:t>Shares (or other securities) of the Company held by such Holder (other than those included in the registration) (i) during the 180-day period following the effective date of the Initial Offering (or such longer period as the underwriters or the Company shall request to accommodate regulatory restrictions including, but not limited to, FINRA Rule</w:t>
      </w:r>
    </w:p>
    <w:p>
      <w:pPr>
        <w:sectPr>
          <w:pgSz w:w="11900" w:h="16838" w:orient="portrait"/>
          <w:cols w:equalWidth="0" w:num="1">
            <w:col w:w="11420"/>
          </w:cols>
          <w:pgMar w:left="240" w:top="322" w:right="239" w:bottom="0" w:gutter="0" w:footer="0" w:header="0"/>
        </w:sectPr>
      </w:pPr>
    </w:p>
    <w:bookmarkStart w:id="367" w:name="page368"/>
    <w:bookmarkEnd w:id="367"/>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89535</wp:posOffset>
            </wp:positionV>
            <wp:extent cx="72802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68" w:name="page369"/>
    <w:bookmarkEnd w:id="368"/>
    <w:p>
      <w:pPr>
        <w:ind w:left="780" w:right="20"/>
        <w:spacing w:after="0" w:line="277" w:lineRule="auto"/>
        <w:rPr>
          <w:sz w:val="20"/>
          <w:szCs w:val="20"/>
          <w:color w:val="auto"/>
        </w:rPr>
      </w:pPr>
      <w:r>
        <w:rPr>
          <w:rFonts w:ascii="Arial" w:cs="Arial" w:eastAsia="Arial" w:hAnsi="Arial"/>
          <w:sz w:val="15"/>
          <w:szCs w:val="15"/>
          <w:color w:val="auto"/>
        </w:rPr>
        <w:t xml:space="preserve">2241, if applicable, or any similar or successor provisions or amendments thereto), and (ii) with the prior approval of holders of more than 50% of the Registrable Securities, the 90-day period following the effective date of a registration statement of the Company filed under the Securities Act other than the Initial Offering (or such longer period as the underwriters or the Company shall request in order to facilitate compliance with FINRA Rule 2241, if applicable, or any similar or successor provisions or amendments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(i) and (ii) above, all officers and directors of the Company and holders of at least one percent (1%) of the Company’s voting securities are bound by and have entered into similar agreements;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further, that any discretionary waiver or termination of the restrictions of any or all of such agreements by the Company or the underwriters shall apply to all Holders subject to such agreements pro rata based on the number of shares subject to such agreements. The foregoing provisions of this Section 2.9 shall not apply to (i) the sale of any shares to an underwriter pursuant to an underwriting agreement; (ii) the sale of any shares acquired as part of such offering or after such offering; or (iii) the transfer of any shares to an Affiliate or any trust for the direct or indirect benefit of the Holder or the immediate family of the Holder, provided that the trustee of the trust agrees to be bound in writing by the restrictions set forth herein.</w:t>
      </w:r>
    </w:p>
    <w:p>
      <w:pPr>
        <w:spacing w:after="0" w:line="157" w:lineRule="exact"/>
        <w:rPr>
          <w:sz w:val="20"/>
          <w:szCs w:val="20"/>
          <w:color w:val="auto"/>
        </w:rPr>
      </w:pPr>
    </w:p>
    <w:p>
      <w:pPr>
        <w:ind w:left="780" w:right="60" w:hanging="782"/>
        <w:spacing w:after="0" w:line="300" w:lineRule="auto"/>
        <w:tabs>
          <w:tab w:leader="none" w:pos="760"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4"/>
          <w:szCs w:val="14"/>
          <w:b w:val="1"/>
          <w:bCs w:val="1"/>
          <w:color w:val="auto"/>
        </w:rPr>
        <w:t>Agreement to Furnish Information</w:t>
      </w:r>
      <w:r>
        <w:rPr>
          <w:rFonts w:ascii="Arial" w:cs="Arial" w:eastAsia="Arial" w:hAnsi="Arial"/>
          <w:sz w:val="14"/>
          <w:szCs w:val="14"/>
          <w:color w:val="auto"/>
        </w:rPr>
        <w:t>. Each Holder agrees to execute and deliver such other agreements as may be reasonably requested by the Company or the</w:t>
      </w:r>
      <w:r>
        <w:rPr>
          <w:rFonts w:ascii="Arial" w:cs="Arial" w:eastAsia="Arial" w:hAnsi="Arial"/>
          <w:sz w:val="14"/>
          <w:szCs w:val="14"/>
          <w:b w:val="1"/>
          <w:bCs w:val="1"/>
          <w:color w:val="auto"/>
        </w:rPr>
        <w:t xml:space="preserve"> </w:t>
      </w:r>
      <w:r>
        <w:rPr>
          <w:rFonts w:ascii="Arial" w:cs="Arial" w:eastAsia="Arial" w:hAnsi="Arial"/>
          <w:sz w:val="14"/>
          <w:szCs w:val="14"/>
          <w:color w:val="auto"/>
        </w:rPr>
        <w:t>managing underwriters that are consistent with the Holder’s obligations under Section 2.7(b) and in this Section 2.10 or that are necessary to give further effect thereto. In addition, if requested by the Company or the representative of the underwriters of Ordinary Shares (or other securities) of the Company, each Holder shall provide, within ten (10) days of such request, such information as may be reasonably required by the Company or such representative in connection with the completion of any public offering of the Company’s securities pursuant to a registration statement filed under the Securities Act. The obligations described in Section 2.9 and this Section 2.10 shall not apply to a Special Registration Statement. In order to enforce the foregoing covenant, the Company may impose stop-transfer instructions with respect to such shares of Ordinary Shares (or other securities) until the end of such period. Each Holder agrees that any transferee of any shares of Registrable Securities shall be bound by Sections 2.9 and 2.10. The underwriters of the Company’s shares are intended third party beneficiaries of Sections 2.9 and 2.10 and shall have the right, power and authority to enforce the provisions hereof as though they were a party hereto.</w:t>
      </w:r>
    </w:p>
    <w:p>
      <w:pPr>
        <w:spacing w:after="0" w:line="14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b w:val="1"/>
          <w:bCs w:val="1"/>
          <w:color w:val="auto"/>
        </w:rPr>
        <w:t xml:space="preserve">Rule 144 Reporting. </w:t>
      </w:r>
      <w:r>
        <w:rPr>
          <w:rFonts w:ascii="Arial" w:cs="Arial" w:eastAsia="Arial" w:hAnsi="Arial"/>
          <w:sz w:val="14"/>
          <w:szCs w:val="14"/>
          <w:color w:val="auto"/>
        </w:rPr>
        <w:t>With a view to making available to the Holders the benefits of certain rules and regulations of the SEC which may permit the sale of the</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Registrable Securities to the public without registration, the Company agrees to use its best efforts to:</w:t>
      </w:r>
    </w:p>
    <w:p>
      <w:pPr>
        <w:spacing w:after="0" w:line="196" w:lineRule="exact"/>
        <w:rPr>
          <w:sz w:val="20"/>
          <w:szCs w:val="20"/>
          <w:color w:val="auto"/>
        </w:rPr>
      </w:pPr>
    </w:p>
    <w:p>
      <w:pPr>
        <w:ind w:left="1580" w:right="400" w:hanging="796"/>
        <w:spacing w:after="0" w:line="270" w:lineRule="auto"/>
        <w:tabs>
          <w:tab w:leader="none" w:pos="1573" w:val="left"/>
        </w:tabs>
        <w:numPr>
          <w:ilvl w:val="0"/>
          <w:numId w:val="254"/>
        </w:numPr>
        <w:rPr>
          <w:rFonts w:ascii="Arial" w:cs="Arial" w:eastAsia="Arial" w:hAnsi="Arial"/>
          <w:sz w:val="16"/>
          <w:szCs w:val="16"/>
          <w:color w:val="auto"/>
        </w:rPr>
      </w:pPr>
      <w:r>
        <w:rPr>
          <w:rFonts w:ascii="Arial" w:cs="Arial" w:eastAsia="Arial" w:hAnsi="Arial"/>
          <w:sz w:val="16"/>
          <w:szCs w:val="16"/>
          <w:color w:val="auto"/>
        </w:rPr>
        <w:t>Make and keep adequate current public information available, as those terms are understood and defined in Rule 144 or any similar or analogous rule promulgated under the Securities Act, at all times after the effective date of the first registration filed by the Company for an offering of its securities to the general public;</w:t>
      </w:r>
    </w:p>
    <w:p>
      <w:pPr>
        <w:spacing w:after="0" w:line="161" w:lineRule="exact"/>
        <w:rPr>
          <w:rFonts w:ascii="Arial" w:cs="Arial" w:eastAsia="Arial" w:hAnsi="Arial"/>
          <w:sz w:val="16"/>
          <w:szCs w:val="16"/>
          <w:color w:val="auto"/>
        </w:rPr>
      </w:pPr>
    </w:p>
    <w:p>
      <w:pPr>
        <w:ind w:left="1580" w:hanging="796"/>
        <w:spacing w:after="0"/>
        <w:tabs>
          <w:tab w:leader="none" w:pos="15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Exchange Act; and</w:t>
      </w:r>
    </w:p>
    <w:p>
      <w:pPr>
        <w:spacing w:after="0" w:line="207" w:lineRule="exact"/>
        <w:rPr>
          <w:rFonts w:ascii="Arial" w:cs="Arial" w:eastAsia="Arial" w:hAnsi="Arial"/>
          <w:sz w:val="16"/>
          <w:szCs w:val="16"/>
          <w:color w:val="auto"/>
        </w:rPr>
      </w:pPr>
    </w:p>
    <w:p>
      <w:pPr>
        <w:ind w:left="1580" w:right="160" w:hanging="796"/>
        <w:spacing w:after="0" w:line="261" w:lineRule="auto"/>
        <w:tabs>
          <w:tab w:leader="none" w:pos="158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So long as a Holder owns any Registrable Securities, furnish to such Holder forthwith upon request: (i) a written statement by the Company as to its compliance with the reporting requirements of said Rule 144, and of the Exchange Act (at any time after it has become subject to such reporting requirements), or that it qualifies as a registrant whose securities may be resold pursuant to Form S-3 (at any time after the Company so qualifies); (ii) a copy of the most recent annual or quarterly report of the Company filed with the Commission; and (iii) such other reports and documents as a Holder may reasonably request in connection with availing itself of any rule or regulation of the SEC allowing it to sell any such securities without registration.</w:t>
      </w:r>
    </w:p>
    <w:p>
      <w:pPr>
        <w:spacing w:after="0" w:line="165" w:lineRule="exact"/>
        <w:rPr>
          <w:sz w:val="20"/>
          <w:szCs w:val="20"/>
          <w:color w:val="auto"/>
        </w:rPr>
      </w:pPr>
    </w:p>
    <w:p>
      <w:pPr>
        <w:ind w:left="780" w:hanging="782"/>
        <w:spacing w:after="0" w:line="290" w:lineRule="auto"/>
        <w:tabs>
          <w:tab w:leader="none" w:pos="76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6"/>
          <w:szCs w:val="16"/>
          <w:b w:val="1"/>
          <w:bCs w:val="1"/>
          <w:color w:val="auto"/>
        </w:rPr>
        <w:t xml:space="preserve">Alternative IPO Entities. </w:t>
      </w:r>
      <w:r>
        <w:rPr>
          <w:rFonts w:ascii="Arial" w:cs="Arial" w:eastAsia="Arial" w:hAnsi="Arial"/>
          <w:sz w:val="16"/>
          <w:szCs w:val="16"/>
          <w:color w:val="auto"/>
        </w:rPr>
        <w:t>In the event that the Company elects to effect a public offering of equity securities of any of its parent entities or subsidiaries (each such</w:t>
      </w:r>
      <w:r>
        <w:rPr>
          <w:rFonts w:ascii="Arial" w:cs="Arial" w:eastAsia="Arial" w:hAnsi="Arial"/>
          <w:sz w:val="16"/>
          <w:szCs w:val="16"/>
          <w:b w:val="1"/>
          <w:bCs w:val="1"/>
          <w:color w:val="auto"/>
        </w:rPr>
        <w:t xml:space="preserve"> </w:t>
      </w:r>
      <w:r>
        <w:rPr>
          <w:rFonts w:ascii="Arial" w:cs="Arial" w:eastAsia="Arial" w:hAnsi="Arial"/>
          <w:sz w:val="16"/>
          <w:szCs w:val="16"/>
          <w:color w:val="auto"/>
        </w:rPr>
        <w:t>entity, an “</w:t>
      </w:r>
      <w:r>
        <w:rPr>
          <w:rFonts w:ascii="Arial" w:cs="Arial" w:eastAsia="Arial" w:hAnsi="Arial"/>
          <w:sz w:val="16"/>
          <w:szCs w:val="16"/>
          <w:b w:val="1"/>
          <w:bCs w:val="1"/>
          <w:i w:val="1"/>
          <w:iCs w:val="1"/>
          <w:color w:val="auto"/>
        </w:rPr>
        <w:t>Alternative IPO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369" w:name="page370"/>
    <w:bookmarkEnd w:id="369"/>
    <w:p>
      <w:pPr>
        <w:ind w:left="782" w:right="160"/>
        <w:spacing w:after="0" w:line="326" w:lineRule="auto"/>
        <w:rPr>
          <w:sz w:val="20"/>
          <w:szCs w:val="20"/>
          <w:color w:val="auto"/>
        </w:rPr>
      </w:pPr>
      <w:r>
        <w:rPr>
          <w:rFonts w:ascii="Arial" w:cs="Arial" w:eastAsia="Arial" w:hAnsi="Arial"/>
          <w:sz w:val="14"/>
          <w:szCs w:val="14"/>
          <w:b w:val="1"/>
          <w:bCs w:val="1"/>
          <w:i w:val="1"/>
          <w:iCs w:val="1"/>
          <w:color w:val="auto"/>
        </w:rPr>
        <w:t>Entity</w:t>
      </w:r>
      <w:r>
        <w:rPr>
          <w:rFonts w:ascii="Arial" w:cs="Arial" w:eastAsia="Arial" w:hAnsi="Arial"/>
          <w:sz w:val="14"/>
          <w:szCs w:val="14"/>
          <w:color w:val="auto"/>
        </w:rPr>
        <w:t>”) rather than the equity securities of the Company, whether as a result of a reorganization or otherwise, the Company shall cause any such Alternative IPO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Entity to enter into an agreement with the Holders that provides the Holders with registration rights with respect to the equity securities of such Alternative IPO Entity that are substantially the same as, and in any event no less favorable in the aggregate to, the registration rights provided to the Holders in this Agreement.</w:t>
      </w:r>
    </w:p>
    <w:p>
      <w:pPr>
        <w:spacing w:after="0" w:line="122" w:lineRule="exact"/>
        <w:rPr>
          <w:sz w:val="20"/>
          <w:szCs w:val="20"/>
          <w:color w:val="auto"/>
        </w:rPr>
      </w:pPr>
    </w:p>
    <w:p>
      <w:pPr>
        <w:ind w:left="782" w:right="220" w:hanging="782"/>
        <w:spacing w:after="0" w:line="272" w:lineRule="auto"/>
        <w:tabs>
          <w:tab w:leader="none" w:pos="762"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6"/>
          <w:szCs w:val="16"/>
          <w:b w:val="1"/>
          <w:bCs w:val="1"/>
          <w:color w:val="auto"/>
        </w:rPr>
        <w:t xml:space="preserve">Alternative IPO Jurisdiction. </w:t>
      </w:r>
      <w:r>
        <w:rPr>
          <w:rFonts w:ascii="Arial" w:cs="Arial" w:eastAsia="Arial" w:hAnsi="Arial"/>
          <w:sz w:val="16"/>
          <w:szCs w:val="16"/>
          <w:color w:val="auto"/>
        </w:rPr>
        <w:t>In the event that the Company elects to effect a public offering of its equity securities on any securities exchange outside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the Company will provide Holders with the same opportunity to participate in the public offering as provided to the Holders in this Agreement, as reasonably modified as required by the rules, regulations and market practice of such jurisdiction and exchange.</w:t>
      </w:r>
    </w:p>
    <w:p>
      <w:pPr>
        <w:spacing w:after="0" w:line="157" w:lineRule="exact"/>
        <w:rPr>
          <w:sz w:val="20"/>
          <w:szCs w:val="20"/>
          <w:color w:val="auto"/>
        </w:rPr>
      </w:pPr>
    </w:p>
    <w:p>
      <w:pPr>
        <w:ind w:left="782" w:right="180" w:hanging="782"/>
        <w:spacing w:after="0" w:line="282" w:lineRule="auto"/>
        <w:tabs>
          <w:tab w:leader="none" w:pos="762"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5"/>
          <w:szCs w:val="15"/>
          <w:b w:val="1"/>
          <w:bCs w:val="1"/>
          <w:color w:val="auto"/>
        </w:rPr>
        <w:t>Termination of Registration Rights</w:t>
      </w:r>
      <w:r>
        <w:rPr>
          <w:rFonts w:ascii="Arial" w:cs="Arial" w:eastAsia="Arial" w:hAnsi="Arial"/>
          <w:sz w:val="15"/>
          <w:szCs w:val="15"/>
          <w:color w:val="auto"/>
        </w:rPr>
        <w:t>. The right of any Holder to request registration or inclusion of Registrable Securities in any registration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2.1, Section 2.2, or Section 2.3 hereof shall terminate upon the earlier of (a) the date three (3) years following an initial public offering that results in the conversion of all outstanding Investor Shares; (b) such time as such Holder holds less than 1% of the Company’s outstanding Ordinary Shares (treating all shares of Investor Shares on an as-converted basis); or (c) such time as the Company has completed its Initial Offering and all Registrable Securities of the Company issuable or issued upon conversion of the Shares held by and issuable to such Holder (and its Affiliates) may be sold pursuant to Rule 144 during any ninety (90) day period without registration. Upon such termination, such shares shall cease to be “Registrable Securities” hereunder for all purposes.</w:t>
      </w:r>
    </w:p>
    <w:p>
      <w:pPr>
        <w:spacing w:after="0" w:line="153" w:lineRule="exact"/>
        <w:rPr>
          <w:sz w:val="20"/>
          <w:szCs w:val="20"/>
          <w:color w:val="auto"/>
        </w:rPr>
      </w:pPr>
    </w:p>
    <w:p>
      <w:pPr>
        <w:ind w:left="782" w:hanging="782"/>
        <w:spacing w:after="0"/>
        <w:tabs>
          <w:tab w:leader="none" w:pos="782"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07"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480" w:type="dxa"/>
            <w:vAlign w:val="bottom"/>
          </w:tcPr>
          <w:p>
            <w:pPr>
              <w:jc w:val="right"/>
              <w:ind w:right="199"/>
              <w:spacing w:after="0"/>
              <w:rPr>
                <w:sz w:val="20"/>
                <w:szCs w:val="20"/>
                <w:color w:val="auto"/>
              </w:rPr>
            </w:pPr>
            <w:r>
              <w:rPr>
                <w:rFonts w:ascii="Arial" w:cs="Arial" w:eastAsia="Arial" w:hAnsi="Arial"/>
                <w:sz w:val="16"/>
                <w:szCs w:val="16"/>
                <w:color w:val="auto"/>
                <w:w w:val="80"/>
              </w:rPr>
              <w:t>3.1</w:t>
            </w:r>
          </w:p>
        </w:tc>
        <w:tc>
          <w:tcPr>
            <w:tcW w:w="10980" w:type="dxa"/>
            <w:vAlign w:val="bottom"/>
          </w:tcPr>
          <w:p>
            <w:pPr>
              <w:ind w:left="300"/>
              <w:spacing w:after="0"/>
              <w:rPr>
                <w:sz w:val="20"/>
                <w:szCs w:val="20"/>
                <w:color w:val="auto"/>
              </w:rPr>
            </w:pPr>
            <w:r>
              <w:rPr>
                <w:rFonts w:ascii="Arial" w:cs="Arial" w:eastAsia="Arial" w:hAnsi="Arial"/>
                <w:sz w:val="16"/>
                <w:szCs w:val="16"/>
                <w:b w:val="1"/>
                <w:bCs w:val="1"/>
                <w:color w:val="auto"/>
                <w:w w:val="95"/>
              </w:rPr>
              <w:t>Governing Law</w:t>
            </w:r>
            <w:r>
              <w:rPr>
                <w:rFonts w:ascii="Arial" w:cs="Arial" w:eastAsia="Arial" w:hAnsi="Arial"/>
                <w:sz w:val="16"/>
                <w:szCs w:val="16"/>
                <w:color w:val="auto"/>
                <w:w w:val="95"/>
              </w:rPr>
              <w:t>. This Agreement shall be governed by, and construed in accordance with, the laws of the State of New York in all respects, as such laws are</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4"/>
              </w:rPr>
              <w:t>applied to agreements among New York residents entered into and to be performed entirely within New York, without reference to conflicts of laws or principles</w:t>
            </w:r>
          </w:p>
        </w:tc>
      </w:tr>
      <w:tr>
        <w:trPr>
          <w:trHeight w:val="207"/>
        </w:trPr>
        <w:tc>
          <w:tcPr>
            <w:tcW w:w="480" w:type="dxa"/>
            <w:vAlign w:val="bottom"/>
          </w:tcPr>
          <w:p>
            <w:pPr>
              <w:spacing w:after="0"/>
              <w:rPr>
                <w:sz w:val="18"/>
                <w:szCs w:val="18"/>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rPr>
              <w:t>thereof.</w:t>
            </w:r>
          </w:p>
        </w:tc>
      </w:tr>
      <w:tr>
        <w:trPr>
          <w:trHeight w:val="380"/>
        </w:trPr>
        <w:tc>
          <w:tcPr>
            <w:tcW w:w="480" w:type="dxa"/>
            <w:vAlign w:val="bottom"/>
          </w:tcPr>
          <w:p>
            <w:pPr>
              <w:jc w:val="right"/>
              <w:ind w:right="199"/>
              <w:spacing w:after="0"/>
              <w:rPr>
                <w:sz w:val="20"/>
                <w:szCs w:val="20"/>
                <w:color w:val="auto"/>
              </w:rPr>
            </w:pPr>
            <w:r>
              <w:rPr>
                <w:rFonts w:ascii="Arial" w:cs="Arial" w:eastAsia="Arial" w:hAnsi="Arial"/>
                <w:sz w:val="16"/>
                <w:szCs w:val="16"/>
                <w:color w:val="auto"/>
                <w:w w:val="80"/>
              </w:rPr>
              <w:t>3.2</w:t>
            </w:r>
          </w:p>
        </w:tc>
        <w:tc>
          <w:tcPr>
            <w:tcW w:w="10980" w:type="dxa"/>
            <w:vAlign w:val="bottom"/>
          </w:tcPr>
          <w:p>
            <w:pPr>
              <w:ind w:left="300"/>
              <w:spacing w:after="0"/>
              <w:rPr>
                <w:sz w:val="20"/>
                <w:szCs w:val="20"/>
                <w:color w:val="auto"/>
              </w:rPr>
            </w:pPr>
            <w:r>
              <w:rPr>
                <w:rFonts w:ascii="Arial" w:cs="Arial" w:eastAsia="Arial" w:hAnsi="Arial"/>
                <w:sz w:val="16"/>
                <w:szCs w:val="16"/>
                <w:b w:val="1"/>
                <w:bCs w:val="1"/>
                <w:color w:val="auto"/>
                <w:w w:val="91"/>
              </w:rPr>
              <w:t>Successors and Assigns</w:t>
            </w:r>
            <w:r>
              <w:rPr>
                <w:rFonts w:ascii="Arial" w:cs="Arial" w:eastAsia="Arial" w:hAnsi="Arial"/>
                <w:sz w:val="16"/>
                <w:szCs w:val="16"/>
                <w:color w:val="auto"/>
                <w:w w:val="91"/>
              </w:rPr>
              <w:t>. Except as otherwise expressly provided herein, the provisions hereof shall inure to the benefit of, and be binding upon, the parties hereto</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3"/>
              </w:rPr>
              <w:t>and their respective successors, assigns, heirs, executors, and administrators and shall inure to the benefit of and be enforceable by each Person who shall be a</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5"/>
              </w:rPr>
              <w:t xml:space="preserve">holder of Registrable Securities from time to time; </w:t>
            </w:r>
            <w:r>
              <w:rPr>
                <w:rFonts w:ascii="Arial" w:cs="Arial" w:eastAsia="Arial" w:hAnsi="Arial"/>
                <w:sz w:val="16"/>
                <w:szCs w:val="16"/>
                <w:i w:val="1"/>
                <w:iCs w:val="1"/>
                <w:color w:val="auto"/>
                <w:w w:val="95"/>
              </w:rPr>
              <w:t>provided, however,</w:t>
            </w:r>
            <w:r>
              <w:rPr>
                <w:rFonts w:ascii="Arial" w:cs="Arial" w:eastAsia="Arial" w:hAnsi="Arial"/>
                <w:sz w:val="16"/>
                <w:szCs w:val="16"/>
                <w:color w:val="auto"/>
                <w:w w:val="95"/>
              </w:rPr>
              <w:t xml:space="preserve"> that prior to the receipt by the Company of adequate written notice of the transfer of any</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2"/>
              </w:rPr>
              <w:t>Registrable Securities specifying the full name and address of the transferee, the Company may deem and treat the Person listed as the holder of such shares in its</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4"/>
              </w:rPr>
              <w:t>records as the absolute owner and holder of such shares for all purposes, including the payment of dividends or any redemption price. The rights of any Investor</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4"/>
              </w:rPr>
              <w:t>under this Agreement may be assigned, in whole or in part, to any Affiliate of such investor in connection with a transfer of the related Registrable Securities by</w:t>
            </w:r>
          </w:p>
        </w:tc>
      </w:tr>
      <w:tr>
        <w:trPr>
          <w:trHeight w:val="207"/>
        </w:trPr>
        <w:tc>
          <w:tcPr>
            <w:tcW w:w="480" w:type="dxa"/>
            <w:vAlign w:val="bottom"/>
          </w:tcPr>
          <w:p>
            <w:pPr>
              <w:spacing w:after="0"/>
              <w:rPr>
                <w:sz w:val="18"/>
                <w:szCs w:val="18"/>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rPr>
              <w:t>such Investor to such Affiliate.</w:t>
            </w:r>
          </w:p>
        </w:tc>
      </w:tr>
      <w:tr>
        <w:trPr>
          <w:trHeight w:val="380"/>
        </w:trPr>
        <w:tc>
          <w:tcPr>
            <w:tcW w:w="480" w:type="dxa"/>
            <w:vAlign w:val="bottom"/>
          </w:tcPr>
          <w:p>
            <w:pPr>
              <w:jc w:val="right"/>
              <w:ind w:right="199"/>
              <w:spacing w:after="0"/>
              <w:rPr>
                <w:sz w:val="20"/>
                <w:szCs w:val="20"/>
                <w:color w:val="auto"/>
              </w:rPr>
            </w:pPr>
            <w:r>
              <w:rPr>
                <w:rFonts w:ascii="Arial" w:cs="Arial" w:eastAsia="Arial" w:hAnsi="Arial"/>
                <w:sz w:val="16"/>
                <w:szCs w:val="16"/>
                <w:color w:val="auto"/>
                <w:w w:val="80"/>
              </w:rPr>
              <w:t>3.3</w:t>
            </w:r>
          </w:p>
        </w:tc>
        <w:tc>
          <w:tcPr>
            <w:tcW w:w="10980" w:type="dxa"/>
            <w:vAlign w:val="bottom"/>
          </w:tcPr>
          <w:p>
            <w:pPr>
              <w:ind w:left="300"/>
              <w:spacing w:after="0"/>
              <w:rPr>
                <w:sz w:val="20"/>
                <w:szCs w:val="20"/>
                <w:color w:val="auto"/>
              </w:rPr>
            </w:pPr>
            <w:r>
              <w:rPr>
                <w:rFonts w:ascii="Arial" w:cs="Arial" w:eastAsia="Arial" w:hAnsi="Arial"/>
                <w:sz w:val="16"/>
                <w:szCs w:val="16"/>
                <w:b w:val="1"/>
                <w:bCs w:val="1"/>
                <w:color w:val="auto"/>
                <w:w w:val="96"/>
              </w:rPr>
              <w:t>Entire Agreement</w:t>
            </w:r>
            <w:r>
              <w:rPr>
                <w:rFonts w:ascii="Arial" w:cs="Arial" w:eastAsia="Arial" w:hAnsi="Arial"/>
                <w:sz w:val="16"/>
                <w:szCs w:val="16"/>
                <w:color w:val="auto"/>
                <w:w w:val="96"/>
              </w:rPr>
              <w:t>. This Agreement and the Exhibit hereto constitute the full and entire understanding and agreement between the parties with regard to the</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5"/>
              </w:rPr>
              <w:t>subjects hereof and no party shall be liable or bound to any other in any manner by any oral or written representations, warranties, covenants and agreements</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7"/>
              </w:rPr>
              <w:t>except as specifically set forth herein and therein. Each party expressly represents and warrants that it is not relying on any oral or written representations,</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2"/>
              </w:rPr>
              <w:t>warranties, covenants or agreements outside of this Agreement. For the avoidance of doubt, this Agreement terminates, supersedes and extinguishes the Existing</w:t>
            </w:r>
          </w:p>
        </w:tc>
      </w:tr>
      <w:tr>
        <w:trPr>
          <w:trHeight w:val="196"/>
        </w:trPr>
        <w:tc>
          <w:tcPr>
            <w:tcW w:w="480" w:type="dxa"/>
            <w:vAlign w:val="bottom"/>
          </w:tcPr>
          <w:p>
            <w:pPr>
              <w:spacing w:after="0"/>
              <w:rPr>
                <w:sz w:val="17"/>
                <w:szCs w:val="17"/>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w w:val="94"/>
              </w:rPr>
              <w:t>Agreement and each party to this Agreement hereby releases and discharges the other parties to the Existing Agreement from all claims or demands under or in</w:t>
            </w:r>
          </w:p>
        </w:tc>
      </w:tr>
      <w:tr>
        <w:trPr>
          <w:trHeight w:val="207"/>
        </w:trPr>
        <w:tc>
          <w:tcPr>
            <w:tcW w:w="480" w:type="dxa"/>
            <w:vAlign w:val="bottom"/>
          </w:tcPr>
          <w:p>
            <w:pPr>
              <w:spacing w:after="0"/>
              <w:rPr>
                <w:sz w:val="18"/>
                <w:szCs w:val="18"/>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rPr>
              <w:t>connection with the Existing Agreement that it may have.</w:t>
            </w:r>
          </w:p>
        </w:tc>
      </w:tr>
      <w:tr>
        <w:trPr>
          <w:trHeight w:val="380"/>
        </w:trPr>
        <w:tc>
          <w:tcPr>
            <w:tcW w:w="480" w:type="dxa"/>
            <w:vAlign w:val="bottom"/>
          </w:tcPr>
          <w:p>
            <w:pPr>
              <w:jc w:val="right"/>
              <w:ind w:right="199"/>
              <w:spacing w:after="0"/>
              <w:rPr>
                <w:sz w:val="20"/>
                <w:szCs w:val="20"/>
                <w:color w:val="auto"/>
              </w:rPr>
            </w:pPr>
            <w:r>
              <w:rPr>
                <w:rFonts w:ascii="Arial" w:cs="Arial" w:eastAsia="Arial" w:hAnsi="Arial"/>
                <w:sz w:val="16"/>
                <w:szCs w:val="16"/>
                <w:color w:val="auto"/>
                <w:w w:val="80"/>
              </w:rPr>
              <w:t>3.4</w:t>
            </w:r>
          </w:p>
        </w:tc>
        <w:tc>
          <w:tcPr>
            <w:tcW w:w="10980" w:type="dxa"/>
            <w:vAlign w:val="bottom"/>
          </w:tcPr>
          <w:p>
            <w:pPr>
              <w:ind w:left="300"/>
              <w:spacing w:after="0"/>
              <w:rPr>
                <w:sz w:val="20"/>
                <w:szCs w:val="20"/>
                <w:color w:val="auto"/>
              </w:rPr>
            </w:pPr>
            <w:r>
              <w:rPr>
                <w:rFonts w:ascii="Arial" w:cs="Arial" w:eastAsia="Arial" w:hAnsi="Arial"/>
                <w:sz w:val="16"/>
                <w:szCs w:val="16"/>
                <w:b w:val="1"/>
                <w:bCs w:val="1"/>
                <w:color w:val="auto"/>
                <w:w w:val="95"/>
              </w:rPr>
              <w:t>Severability</w:t>
            </w:r>
            <w:r>
              <w:rPr>
                <w:rFonts w:ascii="Arial" w:cs="Arial" w:eastAsia="Arial" w:hAnsi="Arial"/>
                <w:sz w:val="16"/>
                <w:szCs w:val="16"/>
                <w:color w:val="auto"/>
                <w:w w:val="95"/>
              </w:rPr>
              <w:t>. In the event one or more of the provisions of this Agreement should, for any reason, be held to be invalid, illegal or unenforceable in any respect,</w:t>
            </w:r>
          </w:p>
        </w:tc>
      </w:tr>
      <w:tr>
        <w:trPr>
          <w:trHeight w:val="207"/>
        </w:trPr>
        <w:tc>
          <w:tcPr>
            <w:tcW w:w="480" w:type="dxa"/>
            <w:vAlign w:val="bottom"/>
          </w:tcPr>
          <w:p>
            <w:pPr>
              <w:spacing w:after="0"/>
              <w:rPr>
                <w:sz w:val="18"/>
                <w:szCs w:val="18"/>
                <w:color w:val="auto"/>
              </w:rPr>
            </w:pPr>
          </w:p>
        </w:tc>
        <w:tc>
          <w:tcPr>
            <w:tcW w:w="10980" w:type="dxa"/>
            <w:vAlign w:val="bottom"/>
          </w:tcPr>
          <w:p>
            <w:pPr>
              <w:ind w:left="300"/>
              <w:spacing w:after="0"/>
              <w:rPr>
                <w:sz w:val="20"/>
                <w:szCs w:val="20"/>
                <w:color w:val="auto"/>
              </w:rPr>
            </w:pPr>
            <w:r>
              <w:rPr>
                <w:rFonts w:ascii="Arial" w:cs="Arial" w:eastAsia="Arial" w:hAnsi="Arial"/>
                <w:sz w:val="16"/>
                <w:szCs w:val="16"/>
                <w:color w:val="auto"/>
              </w:rPr>
              <w:t>such invalidity, illegality, or unenforceability shall not affect any other provisions of this Agreement, and this Agreement shall</w:t>
            </w:r>
          </w:p>
        </w:tc>
      </w:tr>
      <w:tr>
        <w:trPr>
          <w:trHeight w:val="391"/>
        </w:trPr>
        <w:tc>
          <w:tcPr>
            <w:tcW w:w="480" w:type="dxa"/>
            <w:vAlign w:val="bottom"/>
          </w:tcPr>
          <w:p>
            <w:pPr>
              <w:spacing w:after="0"/>
              <w:rPr>
                <w:sz w:val="24"/>
                <w:szCs w:val="24"/>
                <w:color w:val="auto"/>
              </w:rPr>
            </w:pPr>
          </w:p>
        </w:tc>
        <w:tc>
          <w:tcPr>
            <w:tcW w:w="10980" w:type="dxa"/>
            <w:vAlign w:val="bottom"/>
          </w:tcPr>
          <w:p>
            <w:pPr>
              <w:ind w:left="5160"/>
              <w:spacing w:after="0"/>
              <w:rPr>
                <w:sz w:val="20"/>
                <w:szCs w:val="20"/>
                <w:color w:val="auto"/>
              </w:rPr>
            </w:pPr>
            <w:r>
              <w:rPr>
                <w:rFonts w:ascii="Arial" w:cs="Arial" w:eastAsia="Arial" w:hAnsi="Arial"/>
                <w:sz w:val="16"/>
                <w:szCs w:val="16"/>
                <w:color w:val="auto"/>
              </w:rPr>
              <w:t>11</w:t>
            </w:r>
          </w:p>
        </w:tc>
      </w:tr>
      <w:tr>
        <w:trPr>
          <w:trHeight w:val="119"/>
        </w:trPr>
        <w:tc>
          <w:tcPr>
            <w:tcW w:w="480" w:type="dxa"/>
            <w:vAlign w:val="bottom"/>
            <w:tcBorders>
              <w:bottom w:val="single" w:sz="8" w:color="808080"/>
            </w:tcBorders>
          </w:tcPr>
          <w:p>
            <w:pPr>
              <w:spacing w:after="0"/>
              <w:rPr>
                <w:sz w:val="10"/>
                <w:szCs w:val="10"/>
                <w:color w:val="auto"/>
              </w:rPr>
            </w:pPr>
          </w:p>
        </w:tc>
        <w:tc>
          <w:tcPr>
            <w:tcW w:w="10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rPr>
              <w:t>be construed as if such invalid, illegal or unenforceable provision had never been contained herein.</w:t>
            </w:r>
          </w:p>
        </w:tc>
      </w:tr>
      <w:tr>
        <w:trPr>
          <w:trHeight w:val="391"/>
        </w:trPr>
        <w:tc>
          <w:tcPr>
            <w:tcW w:w="520" w:type="dxa"/>
            <w:vAlign w:val="bottom"/>
          </w:tcPr>
          <w:p>
            <w:pPr>
              <w:spacing w:after="0"/>
              <w:rPr>
                <w:sz w:val="20"/>
                <w:szCs w:val="20"/>
                <w:color w:val="auto"/>
              </w:rPr>
            </w:pPr>
            <w:r>
              <w:rPr>
                <w:rFonts w:ascii="Arial" w:cs="Arial" w:eastAsia="Arial" w:hAnsi="Arial"/>
                <w:sz w:val="16"/>
                <w:szCs w:val="16"/>
                <w:color w:val="auto"/>
              </w:rPr>
              <w:t>3.5</w:t>
            </w:r>
          </w:p>
        </w:tc>
        <w:tc>
          <w:tcPr>
            <w:tcW w:w="10940" w:type="dxa"/>
            <w:vAlign w:val="bottom"/>
            <w:gridSpan w:val="4"/>
          </w:tcPr>
          <w:p>
            <w:pPr>
              <w:ind w:left="260"/>
              <w:spacing w:after="0"/>
              <w:rPr>
                <w:sz w:val="20"/>
                <w:szCs w:val="20"/>
                <w:color w:val="auto"/>
              </w:rPr>
            </w:pPr>
            <w:r>
              <w:rPr>
                <w:rFonts w:ascii="Arial" w:cs="Arial" w:eastAsia="Arial" w:hAnsi="Arial"/>
                <w:sz w:val="16"/>
                <w:szCs w:val="16"/>
                <w:b w:val="1"/>
                <w:bCs w:val="1"/>
                <w:color w:val="auto"/>
              </w:rPr>
              <w:t>Amendment and Waiver.</w:t>
            </w:r>
          </w:p>
        </w:tc>
      </w:tr>
      <w:tr>
        <w:trPr>
          <w:trHeight w:val="380"/>
        </w:trPr>
        <w:tc>
          <w:tcPr>
            <w:tcW w:w="5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16"/>
                <w:szCs w:val="16"/>
                <w:color w:val="auto"/>
              </w:rPr>
              <w:t>(a)</w:t>
            </w:r>
          </w:p>
        </w:tc>
        <w:tc>
          <w:tcPr>
            <w:tcW w:w="10200" w:type="dxa"/>
            <w:vAlign w:val="bottom"/>
            <w:gridSpan w:val="3"/>
          </w:tcPr>
          <w:p>
            <w:pPr>
              <w:ind w:left="300"/>
              <w:spacing w:after="0"/>
              <w:rPr>
                <w:sz w:val="20"/>
                <w:szCs w:val="20"/>
                <w:color w:val="auto"/>
              </w:rPr>
            </w:pPr>
            <w:r>
              <w:rPr>
                <w:rFonts w:ascii="Arial" w:cs="Arial" w:eastAsia="Arial" w:hAnsi="Arial"/>
                <w:sz w:val="16"/>
                <w:szCs w:val="16"/>
                <w:color w:val="auto"/>
                <w:w w:val="97"/>
              </w:rPr>
              <w:t>Except as otherwise expressly provided, this Agreement may be amended or modified, and the obligations of the Company and the rights of the</w:t>
            </w: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
          </w:tcPr>
          <w:p>
            <w:pPr>
              <w:ind w:left="320"/>
              <w:spacing w:after="0"/>
              <w:rPr>
                <w:sz w:val="20"/>
                <w:szCs w:val="20"/>
                <w:color w:val="auto"/>
              </w:rPr>
            </w:pPr>
            <w:r>
              <w:rPr>
                <w:rFonts w:ascii="Arial" w:cs="Arial" w:eastAsia="Arial" w:hAnsi="Arial"/>
                <w:sz w:val="16"/>
                <w:szCs w:val="16"/>
                <w:color w:val="auto"/>
                <w:w w:val="95"/>
              </w:rPr>
              <w:t>Holders under this Agreement may be waived, only upon the written consent of the Company and the holders of at least sixty percent (60%) of the</w:t>
            </w: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
          </w:tcPr>
          <w:p>
            <w:pPr>
              <w:ind w:left="320"/>
              <w:spacing w:after="0"/>
              <w:rPr>
                <w:sz w:val="20"/>
                <w:szCs w:val="20"/>
                <w:color w:val="auto"/>
              </w:rPr>
            </w:pPr>
            <w:r>
              <w:rPr>
                <w:rFonts w:ascii="Arial" w:cs="Arial" w:eastAsia="Arial" w:hAnsi="Arial"/>
                <w:sz w:val="16"/>
                <w:szCs w:val="16"/>
                <w:color w:val="auto"/>
                <w:w w:val="99"/>
              </w:rPr>
              <w:t>then-outstanding Registrable Securities (voting on an as-converted to Ordinary Shares basis). The Company shall give prompt notice of any</w:t>
            </w: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
          </w:tcPr>
          <w:p>
            <w:pPr>
              <w:ind w:left="320"/>
              <w:spacing w:after="0"/>
              <w:rPr>
                <w:sz w:val="20"/>
                <w:szCs w:val="20"/>
                <w:color w:val="auto"/>
              </w:rPr>
            </w:pPr>
            <w:r>
              <w:rPr>
                <w:rFonts w:ascii="Arial" w:cs="Arial" w:eastAsia="Arial" w:hAnsi="Arial"/>
                <w:sz w:val="16"/>
                <w:szCs w:val="16"/>
                <w:color w:val="auto"/>
                <w:w w:val="94"/>
              </w:rPr>
              <w:t>amendment or termination hereof or waiver hereunder to any party hereto that did not consent in writing to such amendment, termination, or waiver.</w:t>
            </w: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
          </w:tcPr>
          <w:p>
            <w:pPr>
              <w:ind w:left="320"/>
              <w:spacing w:after="0"/>
              <w:rPr>
                <w:sz w:val="20"/>
                <w:szCs w:val="20"/>
                <w:color w:val="auto"/>
              </w:rPr>
            </w:pPr>
            <w:r>
              <w:rPr>
                <w:rFonts w:ascii="Arial" w:cs="Arial" w:eastAsia="Arial" w:hAnsi="Arial"/>
                <w:sz w:val="16"/>
                <w:szCs w:val="16"/>
                <w:color w:val="auto"/>
                <w:w w:val="94"/>
              </w:rPr>
              <w:t>Any amendment, termination, or waiver effected in accordance with this Section 3.5 shall be binding on all parties hereto, regardless of whether any</w:t>
            </w: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
          </w:tcPr>
          <w:p>
            <w:pPr>
              <w:ind w:left="320"/>
              <w:spacing w:after="0"/>
              <w:rPr>
                <w:sz w:val="20"/>
                <w:szCs w:val="20"/>
                <w:color w:val="auto"/>
              </w:rPr>
            </w:pPr>
            <w:r>
              <w:rPr>
                <w:rFonts w:ascii="Arial" w:cs="Arial" w:eastAsia="Arial" w:hAnsi="Arial"/>
                <w:sz w:val="16"/>
                <w:szCs w:val="16"/>
                <w:color w:val="auto"/>
                <w:w w:val="94"/>
              </w:rPr>
              <w:t>such party has consented thereto; provided, however, that, notwithstanding anything to the contrary herein, this Agreement may not be amended or</w:t>
            </w: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
          </w:tcPr>
          <w:p>
            <w:pPr>
              <w:ind w:left="320"/>
              <w:spacing w:after="0"/>
              <w:rPr>
                <w:sz w:val="20"/>
                <w:szCs w:val="20"/>
                <w:color w:val="auto"/>
              </w:rPr>
            </w:pPr>
            <w:r>
              <w:rPr>
                <w:rFonts w:ascii="Arial" w:cs="Arial" w:eastAsia="Arial" w:hAnsi="Arial"/>
                <w:sz w:val="16"/>
                <w:szCs w:val="16"/>
                <w:color w:val="auto"/>
                <w:w w:val="94"/>
              </w:rPr>
              <w:t>terminated and the observance of the terms hereof may not be waived with respect to any Holder without the written consent of such Holder, unless</w:t>
            </w: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
          </w:tcPr>
          <w:p>
            <w:pPr>
              <w:ind w:left="320"/>
              <w:spacing w:after="0"/>
              <w:rPr>
                <w:sz w:val="20"/>
                <w:szCs w:val="20"/>
                <w:color w:val="auto"/>
              </w:rPr>
            </w:pPr>
            <w:r>
              <w:rPr>
                <w:rFonts w:ascii="Arial" w:cs="Arial" w:eastAsia="Arial" w:hAnsi="Arial"/>
                <w:sz w:val="16"/>
                <w:szCs w:val="16"/>
                <w:color w:val="auto"/>
                <w:w w:val="94"/>
              </w:rPr>
              <w:t>such amendment, termination or waiver applies to all Holders in the same fashion. No waivers of or exceptions to any term, condition, or provision of</w:t>
            </w: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
          </w:tcPr>
          <w:p>
            <w:pPr>
              <w:ind w:left="320"/>
              <w:spacing w:after="0"/>
              <w:rPr>
                <w:sz w:val="20"/>
                <w:szCs w:val="20"/>
                <w:color w:val="auto"/>
              </w:rPr>
            </w:pPr>
            <w:r>
              <w:rPr>
                <w:rFonts w:ascii="Arial" w:cs="Arial" w:eastAsia="Arial" w:hAnsi="Arial"/>
                <w:sz w:val="16"/>
                <w:szCs w:val="16"/>
                <w:color w:val="auto"/>
                <w:w w:val="95"/>
              </w:rPr>
              <w:t>this Agreement, in any one or more instances, shall be deemed to be or construed as a further or continuing waiver of any such term, condition, or</w:t>
            </w:r>
          </w:p>
        </w:tc>
      </w:tr>
      <w:tr>
        <w:trPr>
          <w:trHeight w:val="207"/>
        </w:trPr>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0" w:type="dxa"/>
            <w:vAlign w:val="bottom"/>
            <w:gridSpan w:val="3"/>
          </w:tcPr>
          <w:p>
            <w:pPr>
              <w:ind w:left="320"/>
              <w:spacing w:after="0"/>
              <w:rPr>
                <w:sz w:val="20"/>
                <w:szCs w:val="20"/>
                <w:color w:val="auto"/>
              </w:rPr>
            </w:pPr>
            <w:r>
              <w:rPr>
                <w:rFonts w:ascii="Arial" w:cs="Arial" w:eastAsia="Arial" w:hAnsi="Arial"/>
                <w:sz w:val="16"/>
                <w:szCs w:val="16"/>
                <w:color w:val="auto"/>
              </w:rPr>
              <w:t>provision.</w:t>
            </w:r>
          </w:p>
        </w:tc>
      </w:tr>
      <w:tr>
        <w:trPr>
          <w:trHeight w:val="380"/>
        </w:trPr>
        <w:tc>
          <w:tcPr>
            <w:tcW w:w="52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16"/>
                <w:szCs w:val="16"/>
                <w:color w:val="auto"/>
              </w:rPr>
              <w:t>(b)</w:t>
            </w:r>
          </w:p>
        </w:tc>
        <w:tc>
          <w:tcPr>
            <w:tcW w:w="10200" w:type="dxa"/>
            <w:vAlign w:val="bottom"/>
            <w:gridSpan w:val="3"/>
          </w:tcPr>
          <w:p>
            <w:pPr>
              <w:ind w:left="320"/>
              <w:spacing w:after="0"/>
              <w:rPr>
                <w:sz w:val="20"/>
                <w:szCs w:val="20"/>
                <w:color w:val="auto"/>
              </w:rPr>
            </w:pPr>
            <w:r>
              <w:rPr>
                <w:rFonts w:ascii="Arial" w:cs="Arial" w:eastAsia="Arial" w:hAnsi="Arial"/>
                <w:sz w:val="16"/>
                <w:szCs w:val="16"/>
                <w:color w:val="auto"/>
                <w:w w:val="93"/>
              </w:rPr>
              <w:t>For the purposes of determining the number of Holders or Investors entitled to vote or exercise any rights hereunder, the Company shall be entitled to</w:t>
            </w:r>
          </w:p>
        </w:tc>
      </w:tr>
      <w:tr>
        <w:trPr>
          <w:trHeight w:val="207"/>
        </w:trPr>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0" w:type="dxa"/>
            <w:vAlign w:val="bottom"/>
            <w:gridSpan w:val="3"/>
          </w:tcPr>
          <w:p>
            <w:pPr>
              <w:ind w:left="320"/>
              <w:spacing w:after="0"/>
              <w:rPr>
                <w:sz w:val="20"/>
                <w:szCs w:val="20"/>
                <w:color w:val="auto"/>
              </w:rPr>
            </w:pPr>
            <w:r>
              <w:rPr>
                <w:rFonts w:ascii="Arial" w:cs="Arial" w:eastAsia="Arial" w:hAnsi="Arial"/>
                <w:sz w:val="16"/>
                <w:szCs w:val="16"/>
                <w:color w:val="auto"/>
              </w:rPr>
              <w:t>rely solely on the list of record holders of its shares as maintained by or on behalf of the Company.</w:t>
            </w:r>
          </w:p>
        </w:tc>
      </w:tr>
      <w:tr>
        <w:trPr>
          <w:trHeight w:val="380"/>
        </w:trPr>
        <w:tc>
          <w:tcPr>
            <w:tcW w:w="520" w:type="dxa"/>
            <w:vAlign w:val="bottom"/>
          </w:tcPr>
          <w:p>
            <w:pPr>
              <w:spacing w:after="0"/>
              <w:rPr>
                <w:sz w:val="20"/>
                <w:szCs w:val="20"/>
                <w:color w:val="auto"/>
              </w:rPr>
            </w:pPr>
            <w:r>
              <w:rPr>
                <w:rFonts w:ascii="Arial" w:cs="Arial" w:eastAsia="Arial" w:hAnsi="Arial"/>
                <w:sz w:val="16"/>
                <w:szCs w:val="16"/>
                <w:color w:val="auto"/>
              </w:rPr>
              <w:t>3.6</w:t>
            </w:r>
          </w:p>
        </w:tc>
        <w:tc>
          <w:tcPr>
            <w:tcW w:w="10940" w:type="dxa"/>
            <w:vAlign w:val="bottom"/>
            <w:gridSpan w:val="4"/>
          </w:tcPr>
          <w:p>
            <w:pPr>
              <w:ind w:left="260"/>
              <w:spacing w:after="0"/>
              <w:rPr>
                <w:sz w:val="20"/>
                <w:szCs w:val="20"/>
                <w:color w:val="auto"/>
              </w:rPr>
            </w:pPr>
            <w:r>
              <w:rPr>
                <w:rFonts w:ascii="Arial" w:cs="Arial" w:eastAsia="Arial" w:hAnsi="Arial"/>
                <w:sz w:val="16"/>
                <w:szCs w:val="16"/>
                <w:b w:val="1"/>
                <w:bCs w:val="1"/>
                <w:color w:val="auto"/>
                <w:w w:val="99"/>
              </w:rPr>
              <w:t xml:space="preserve">Delays or Omissions. </w:t>
            </w:r>
            <w:r>
              <w:rPr>
                <w:rFonts w:ascii="Arial" w:cs="Arial" w:eastAsia="Arial" w:hAnsi="Arial"/>
                <w:sz w:val="16"/>
                <w:szCs w:val="16"/>
                <w:color w:val="auto"/>
                <w:w w:val="99"/>
              </w:rPr>
              <w:t>It is agreed that no delay or omission to exercise any right, power, or remedy accruing to any party, upon any breach, default or</w:t>
            </w:r>
          </w:p>
        </w:tc>
      </w:tr>
      <w:tr>
        <w:trPr>
          <w:trHeight w:val="196"/>
        </w:trPr>
        <w:tc>
          <w:tcPr>
            <w:tcW w:w="520" w:type="dxa"/>
            <w:vAlign w:val="bottom"/>
          </w:tcPr>
          <w:p>
            <w:pPr>
              <w:spacing w:after="0"/>
              <w:rPr>
                <w:sz w:val="17"/>
                <w:szCs w:val="17"/>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w w:val="93"/>
              </w:rPr>
              <w:t>noncompliance by another party under this Agreement shall impair any such right, power, or remedy, nor shall it be construed to be a waiver of any such breach,</w:t>
            </w:r>
          </w:p>
        </w:tc>
      </w:tr>
      <w:tr>
        <w:trPr>
          <w:trHeight w:val="196"/>
        </w:trPr>
        <w:tc>
          <w:tcPr>
            <w:tcW w:w="520" w:type="dxa"/>
            <w:vAlign w:val="bottom"/>
          </w:tcPr>
          <w:p>
            <w:pPr>
              <w:spacing w:after="0"/>
              <w:rPr>
                <w:sz w:val="17"/>
                <w:szCs w:val="17"/>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w w:val="92"/>
              </w:rPr>
              <w:t>default or noncompliance, or any acquiescence therein, or of any similar breach, default or noncompliance thereafter occurring. It is further agreed that any waiver,</w:t>
            </w:r>
          </w:p>
        </w:tc>
      </w:tr>
      <w:tr>
        <w:trPr>
          <w:trHeight w:val="196"/>
        </w:trPr>
        <w:tc>
          <w:tcPr>
            <w:tcW w:w="520" w:type="dxa"/>
            <w:vAlign w:val="bottom"/>
          </w:tcPr>
          <w:p>
            <w:pPr>
              <w:spacing w:after="0"/>
              <w:rPr>
                <w:sz w:val="17"/>
                <w:szCs w:val="17"/>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w w:val="96"/>
              </w:rPr>
              <w:t>permit, consent, or approval of any kind or character on any party’s part of any breach, default or noncompliance under the Agreement or any waiver on such</w:t>
            </w:r>
          </w:p>
        </w:tc>
      </w:tr>
      <w:tr>
        <w:trPr>
          <w:trHeight w:val="196"/>
        </w:trPr>
        <w:tc>
          <w:tcPr>
            <w:tcW w:w="520" w:type="dxa"/>
            <w:vAlign w:val="bottom"/>
          </w:tcPr>
          <w:p>
            <w:pPr>
              <w:spacing w:after="0"/>
              <w:rPr>
                <w:sz w:val="17"/>
                <w:szCs w:val="17"/>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w w:val="95"/>
              </w:rPr>
              <w:t>party’s part of any provisions or conditions of this Agreement must be in writing and shall be effective only to the extent specifically set forth in such writing. All</w:t>
            </w:r>
          </w:p>
        </w:tc>
      </w:tr>
      <w:tr>
        <w:trPr>
          <w:trHeight w:val="207"/>
        </w:trPr>
        <w:tc>
          <w:tcPr>
            <w:tcW w:w="520" w:type="dxa"/>
            <w:vAlign w:val="bottom"/>
          </w:tcPr>
          <w:p>
            <w:pPr>
              <w:spacing w:after="0"/>
              <w:rPr>
                <w:sz w:val="18"/>
                <w:szCs w:val="18"/>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rPr>
              <w:t>remedies, either under this Agreement, by law, or otherwise afforded to any party, shall be cumulative and not alternative.</w:t>
            </w:r>
          </w:p>
        </w:tc>
      </w:tr>
      <w:tr>
        <w:trPr>
          <w:trHeight w:val="380"/>
        </w:trPr>
        <w:tc>
          <w:tcPr>
            <w:tcW w:w="520" w:type="dxa"/>
            <w:vAlign w:val="bottom"/>
          </w:tcPr>
          <w:p>
            <w:pPr>
              <w:spacing w:after="0"/>
              <w:rPr>
                <w:sz w:val="20"/>
                <w:szCs w:val="20"/>
                <w:color w:val="auto"/>
              </w:rPr>
            </w:pPr>
            <w:r>
              <w:rPr>
                <w:rFonts w:ascii="Arial" w:cs="Arial" w:eastAsia="Arial" w:hAnsi="Arial"/>
                <w:sz w:val="16"/>
                <w:szCs w:val="16"/>
                <w:color w:val="auto"/>
              </w:rPr>
              <w:t>3.7</w:t>
            </w:r>
          </w:p>
        </w:tc>
        <w:tc>
          <w:tcPr>
            <w:tcW w:w="10940" w:type="dxa"/>
            <w:vAlign w:val="bottom"/>
            <w:gridSpan w:val="4"/>
          </w:tcPr>
          <w:p>
            <w:pPr>
              <w:ind w:left="260"/>
              <w:spacing w:after="0"/>
              <w:rPr>
                <w:sz w:val="20"/>
                <w:szCs w:val="20"/>
                <w:color w:val="auto"/>
              </w:rPr>
            </w:pPr>
            <w:r>
              <w:rPr>
                <w:rFonts w:ascii="Arial" w:cs="Arial" w:eastAsia="Arial" w:hAnsi="Arial"/>
                <w:sz w:val="16"/>
                <w:szCs w:val="16"/>
                <w:b w:val="1"/>
                <w:bCs w:val="1"/>
                <w:color w:val="auto"/>
                <w:w w:val="98"/>
              </w:rPr>
              <w:t>Notices</w:t>
            </w:r>
            <w:r>
              <w:rPr>
                <w:rFonts w:ascii="Arial" w:cs="Arial" w:eastAsia="Arial" w:hAnsi="Arial"/>
                <w:sz w:val="16"/>
                <w:szCs w:val="16"/>
                <w:color w:val="auto"/>
                <w:w w:val="98"/>
              </w:rPr>
              <w:t>. All notices required or permitted hereunder shall be in writing and shall be deemed effectively given: (a) upon personal delivery to the party to be</w:t>
            </w:r>
          </w:p>
        </w:tc>
      </w:tr>
      <w:tr>
        <w:trPr>
          <w:trHeight w:val="196"/>
        </w:trPr>
        <w:tc>
          <w:tcPr>
            <w:tcW w:w="520" w:type="dxa"/>
            <w:vAlign w:val="bottom"/>
          </w:tcPr>
          <w:p>
            <w:pPr>
              <w:spacing w:after="0"/>
              <w:rPr>
                <w:sz w:val="17"/>
                <w:szCs w:val="17"/>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w w:val="93"/>
              </w:rPr>
              <w:t>notified, (b) when sent by confirmed electronic mail or facsimile if sent during normal business hours of the recipient; if not, then on the next business day, (c) five</w:t>
            </w:r>
          </w:p>
        </w:tc>
      </w:tr>
      <w:tr>
        <w:trPr>
          <w:trHeight w:val="196"/>
        </w:trPr>
        <w:tc>
          <w:tcPr>
            <w:tcW w:w="520" w:type="dxa"/>
            <w:vAlign w:val="bottom"/>
          </w:tcPr>
          <w:p>
            <w:pPr>
              <w:spacing w:after="0"/>
              <w:rPr>
                <w:sz w:val="17"/>
                <w:szCs w:val="17"/>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w w:val="99"/>
              </w:rPr>
              <w:t>(5) days after having been sent by registered or certified mail, return receipt requested, postage prepaid, or (d) one (1) day after deposit with a nationally</w:t>
            </w:r>
          </w:p>
        </w:tc>
      </w:tr>
      <w:tr>
        <w:trPr>
          <w:trHeight w:val="196"/>
        </w:trPr>
        <w:tc>
          <w:tcPr>
            <w:tcW w:w="520" w:type="dxa"/>
            <w:vAlign w:val="bottom"/>
          </w:tcPr>
          <w:p>
            <w:pPr>
              <w:spacing w:after="0"/>
              <w:rPr>
                <w:sz w:val="17"/>
                <w:szCs w:val="17"/>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w w:val="95"/>
              </w:rPr>
              <w:t>recognized overnight courier, specifying next day delivery, with written verification of receipt. All communications shall be sent to the party to be notified at the</w:t>
            </w:r>
          </w:p>
        </w:tc>
      </w:tr>
      <w:tr>
        <w:trPr>
          <w:trHeight w:val="171"/>
        </w:trPr>
        <w:tc>
          <w:tcPr>
            <w:tcW w:w="520" w:type="dxa"/>
            <w:vAlign w:val="bottom"/>
          </w:tcPr>
          <w:p>
            <w:pPr>
              <w:spacing w:after="0"/>
              <w:rPr>
                <w:sz w:val="14"/>
                <w:szCs w:val="14"/>
                <w:color w:val="auto"/>
              </w:rPr>
            </w:pPr>
          </w:p>
        </w:tc>
        <w:tc>
          <w:tcPr>
            <w:tcW w:w="10940" w:type="dxa"/>
            <w:vAlign w:val="bottom"/>
            <w:gridSpan w:val="4"/>
          </w:tcPr>
          <w:p>
            <w:pPr>
              <w:ind w:left="260"/>
              <w:spacing w:after="0" w:line="171" w:lineRule="exact"/>
              <w:rPr>
                <w:sz w:val="20"/>
                <w:szCs w:val="20"/>
                <w:color w:val="auto"/>
              </w:rPr>
            </w:pPr>
            <w:r>
              <w:rPr>
                <w:rFonts w:ascii="Arial" w:cs="Arial" w:eastAsia="Arial" w:hAnsi="Arial"/>
                <w:sz w:val="16"/>
                <w:szCs w:val="16"/>
                <w:color w:val="auto"/>
                <w:w w:val="95"/>
              </w:rPr>
              <w:t>address as set forth on the signature pages hereof or Exhibit A hereto or at such other address or electronic mail address as such party may designate by ten</w:t>
            </w:r>
          </w:p>
        </w:tc>
      </w:tr>
      <w:tr>
        <w:trPr>
          <w:trHeight w:val="20"/>
        </w:trPr>
        <w:tc>
          <w:tcPr>
            <w:tcW w:w="52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211"/>
        </w:trPr>
        <w:tc>
          <w:tcPr>
            <w:tcW w:w="520" w:type="dxa"/>
            <w:vAlign w:val="bottom"/>
          </w:tcPr>
          <w:p>
            <w:pPr>
              <w:spacing w:after="0"/>
              <w:rPr>
                <w:sz w:val="18"/>
                <w:szCs w:val="18"/>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rPr>
              <w:t>(10) days advance written notice to the other parties hereto.</w:t>
            </w:r>
          </w:p>
        </w:tc>
      </w:tr>
      <w:tr>
        <w:trPr>
          <w:trHeight w:val="380"/>
        </w:trPr>
        <w:tc>
          <w:tcPr>
            <w:tcW w:w="520" w:type="dxa"/>
            <w:vAlign w:val="bottom"/>
          </w:tcPr>
          <w:p>
            <w:pPr>
              <w:spacing w:after="0"/>
              <w:rPr>
                <w:sz w:val="20"/>
                <w:szCs w:val="20"/>
                <w:color w:val="auto"/>
              </w:rPr>
            </w:pPr>
            <w:r>
              <w:rPr>
                <w:rFonts w:ascii="Arial" w:cs="Arial" w:eastAsia="Arial" w:hAnsi="Arial"/>
                <w:sz w:val="16"/>
                <w:szCs w:val="16"/>
                <w:color w:val="auto"/>
              </w:rPr>
              <w:t>3.8</w:t>
            </w:r>
          </w:p>
        </w:tc>
        <w:tc>
          <w:tcPr>
            <w:tcW w:w="10940" w:type="dxa"/>
            <w:vAlign w:val="bottom"/>
            <w:gridSpan w:val="4"/>
          </w:tcPr>
          <w:p>
            <w:pPr>
              <w:ind w:left="260"/>
              <w:spacing w:after="0"/>
              <w:rPr>
                <w:sz w:val="20"/>
                <w:szCs w:val="20"/>
                <w:color w:val="auto"/>
              </w:rPr>
            </w:pPr>
            <w:r>
              <w:rPr>
                <w:rFonts w:ascii="Arial" w:cs="Arial" w:eastAsia="Arial" w:hAnsi="Arial"/>
                <w:sz w:val="16"/>
                <w:szCs w:val="16"/>
                <w:b w:val="1"/>
                <w:bCs w:val="1"/>
                <w:color w:val="auto"/>
                <w:w w:val="92"/>
              </w:rPr>
              <w:t>Titles and Subtitles</w:t>
            </w:r>
            <w:r>
              <w:rPr>
                <w:rFonts w:ascii="Arial" w:cs="Arial" w:eastAsia="Arial" w:hAnsi="Arial"/>
                <w:sz w:val="16"/>
                <w:szCs w:val="16"/>
                <w:color w:val="auto"/>
                <w:w w:val="92"/>
              </w:rPr>
              <w:t>. The titles of the sections and subsections of this Agreement are for convenience of reference only and are not to be considered in construing</w:t>
            </w:r>
          </w:p>
        </w:tc>
      </w:tr>
      <w:tr>
        <w:trPr>
          <w:trHeight w:val="207"/>
        </w:trPr>
        <w:tc>
          <w:tcPr>
            <w:tcW w:w="520" w:type="dxa"/>
            <w:vAlign w:val="bottom"/>
          </w:tcPr>
          <w:p>
            <w:pPr>
              <w:spacing w:after="0"/>
              <w:rPr>
                <w:sz w:val="18"/>
                <w:szCs w:val="18"/>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rPr>
              <w:t>this Agreement.</w:t>
            </w:r>
          </w:p>
        </w:tc>
      </w:tr>
      <w:tr>
        <w:trPr>
          <w:trHeight w:val="380"/>
        </w:trPr>
        <w:tc>
          <w:tcPr>
            <w:tcW w:w="520" w:type="dxa"/>
            <w:vAlign w:val="bottom"/>
          </w:tcPr>
          <w:p>
            <w:pPr>
              <w:spacing w:after="0"/>
              <w:rPr>
                <w:sz w:val="20"/>
                <w:szCs w:val="20"/>
                <w:color w:val="auto"/>
              </w:rPr>
            </w:pPr>
            <w:r>
              <w:rPr>
                <w:rFonts w:ascii="Arial" w:cs="Arial" w:eastAsia="Arial" w:hAnsi="Arial"/>
                <w:sz w:val="16"/>
                <w:szCs w:val="16"/>
                <w:color w:val="auto"/>
              </w:rPr>
              <w:t>3.9</w:t>
            </w:r>
          </w:p>
        </w:tc>
        <w:tc>
          <w:tcPr>
            <w:tcW w:w="10940" w:type="dxa"/>
            <w:vAlign w:val="bottom"/>
            <w:gridSpan w:val="4"/>
          </w:tcPr>
          <w:p>
            <w:pPr>
              <w:ind w:left="260"/>
              <w:spacing w:after="0"/>
              <w:rPr>
                <w:sz w:val="20"/>
                <w:szCs w:val="20"/>
                <w:color w:val="auto"/>
              </w:rPr>
            </w:pPr>
            <w:r>
              <w:rPr>
                <w:rFonts w:ascii="Arial" w:cs="Arial" w:eastAsia="Arial" w:hAnsi="Arial"/>
                <w:sz w:val="16"/>
                <w:szCs w:val="16"/>
                <w:b w:val="1"/>
                <w:bCs w:val="1"/>
                <w:color w:val="auto"/>
                <w:w w:val="98"/>
              </w:rPr>
              <w:t>Additional Investors</w:t>
            </w:r>
            <w:r>
              <w:rPr>
                <w:rFonts w:ascii="Arial" w:cs="Arial" w:eastAsia="Arial" w:hAnsi="Arial"/>
                <w:sz w:val="16"/>
                <w:szCs w:val="16"/>
                <w:color w:val="auto"/>
                <w:w w:val="98"/>
              </w:rPr>
              <w:t>. Notwithstanding anything to the contrary contained herein, if the Company shall issue additional B Ordinary Shares pursuant to the</w:t>
            </w:r>
          </w:p>
        </w:tc>
      </w:tr>
      <w:tr>
        <w:trPr>
          <w:trHeight w:val="196"/>
        </w:trPr>
        <w:tc>
          <w:tcPr>
            <w:tcW w:w="520" w:type="dxa"/>
            <w:vAlign w:val="bottom"/>
          </w:tcPr>
          <w:p>
            <w:pPr>
              <w:spacing w:after="0"/>
              <w:rPr>
                <w:sz w:val="17"/>
                <w:szCs w:val="17"/>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w w:val="95"/>
              </w:rPr>
              <w:t>Investment Agreement or otherwise, any purchaser of such Investor Shares shall become a party to this Agreement by executing and delivering an additional</w:t>
            </w:r>
          </w:p>
        </w:tc>
      </w:tr>
      <w:tr>
        <w:trPr>
          <w:trHeight w:val="207"/>
        </w:trPr>
        <w:tc>
          <w:tcPr>
            <w:tcW w:w="520" w:type="dxa"/>
            <w:vAlign w:val="bottom"/>
          </w:tcPr>
          <w:p>
            <w:pPr>
              <w:spacing w:after="0"/>
              <w:rPr>
                <w:sz w:val="18"/>
                <w:szCs w:val="18"/>
                <w:color w:val="auto"/>
              </w:rPr>
            </w:pPr>
          </w:p>
        </w:tc>
        <w:tc>
          <w:tcPr>
            <w:tcW w:w="10940" w:type="dxa"/>
            <w:vAlign w:val="bottom"/>
            <w:gridSpan w:val="4"/>
          </w:tcPr>
          <w:p>
            <w:pPr>
              <w:ind w:left="260"/>
              <w:spacing w:after="0"/>
              <w:rPr>
                <w:sz w:val="20"/>
                <w:szCs w:val="20"/>
                <w:color w:val="auto"/>
              </w:rPr>
            </w:pPr>
            <w:r>
              <w:rPr>
                <w:rFonts w:ascii="Arial" w:cs="Arial" w:eastAsia="Arial" w:hAnsi="Arial"/>
                <w:sz w:val="16"/>
                <w:szCs w:val="16"/>
                <w:color w:val="auto"/>
              </w:rPr>
              <w:t xml:space="preserve">counterpart signature page to this Agreement and shall be deemed an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Investor</w:t>
            </w:r>
            <w:r>
              <w:rPr>
                <w:rFonts w:ascii="Arial" w:cs="Arial" w:eastAsia="Arial" w:hAnsi="Arial"/>
                <w:sz w:val="16"/>
                <w:szCs w:val="16"/>
                <w:i w:val="1"/>
                <w:iCs w:val="1"/>
                <w:color w:val="auto"/>
              </w:rPr>
              <w:t>,” a “</w:t>
            </w:r>
            <w:r>
              <w:rPr>
                <w:rFonts w:ascii="Arial" w:cs="Arial" w:eastAsia="Arial" w:hAnsi="Arial"/>
                <w:sz w:val="16"/>
                <w:szCs w:val="16"/>
                <w:b w:val="1"/>
                <w:bCs w:val="1"/>
                <w:i w:val="1"/>
                <w:iCs w:val="1"/>
                <w:color w:val="auto"/>
              </w:rPr>
              <w:t>Holder</w:t>
            </w:r>
            <w:r>
              <w:rPr>
                <w:rFonts w:ascii="Arial" w:cs="Arial" w:eastAsia="Arial" w:hAnsi="Arial"/>
                <w:sz w:val="16"/>
                <w:szCs w:val="16"/>
                <w:i w:val="1"/>
                <w:iCs w:val="1"/>
                <w:color w:val="auto"/>
              </w:rPr>
              <w:t>”</w:t>
            </w:r>
            <w:r>
              <w:rPr>
                <w:rFonts w:ascii="Arial" w:cs="Arial" w:eastAsia="Arial" w:hAnsi="Arial"/>
                <w:sz w:val="16"/>
                <w:szCs w:val="16"/>
                <w:color w:val="auto"/>
              </w:rPr>
              <w:t xml:space="preserve"> and a party hereunder.</w:t>
            </w:r>
          </w:p>
        </w:tc>
      </w:tr>
      <w:tr>
        <w:trPr>
          <w:trHeight w:val="391"/>
        </w:trPr>
        <w:tc>
          <w:tcPr>
            <w:tcW w:w="520" w:type="dxa"/>
            <w:vAlign w:val="bottom"/>
          </w:tcPr>
          <w:p>
            <w:pPr>
              <w:spacing w:after="0"/>
              <w:rPr>
                <w:sz w:val="20"/>
                <w:szCs w:val="20"/>
                <w:color w:val="auto"/>
              </w:rPr>
            </w:pPr>
            <w:r>
              <w:rPr>
                <w:rFonts w:ascii="Arial" w:cs="Arial" w:eastAsia="Arial" w:hAnsi="Arial"/>
                <w:sz w:val="16"/>
                <w:szCs w:val="16"/>
                <w:color w:val="auto"/>
              </w:rPr>
              <w:t>3.10</w:t>
            </w:r>
          </w:p>
        </w:tc>
        <w:tc>
          <w:tcPr>
            <w:tcW w:w="10940" w:type="dxa"/>
            <w:vAlign w:val="bottom"/>
            <w:gridSpan w:val="4"/>
          </w:tcPr>
          <w:p>
            <w:pPr>
              <w:ind w:left="260"/>
              <w:spacing w:after="0"/>
              <w:rPr>
                <w:sz w:val="20"/>
                <w:szCs w:val="20"/>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Agreement may be executed in any number of counterparts, each of which</w:t>
            </w:r>
          </w:p>
        </w:tc>
      </w:tr>
      <w:tr>
        <w:trPr>
          <w:trHeight w:val="391"/>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0" w:type="dxa"/>
            <w:vAlign w:val="bottom"/>
            <w:gridSpan w:val="3"/>
          </w:tcPr>
          <w:p>
            <w:pPr>
              <w:ind w:left="4380"/>
              <w:spacing w:after="0"/>
              <w:rPr>
                <w:sz w:val="20"/>
                <w:szCs w:val="20"/>
                <w:color w:val="auto"/>
              </w:rPr>
            </w:pPr>
            <w:r>
              <w:rPr>
                <w:rFonts w:ascii="Arial" w:cs="Arial" w:eastAsia="Arial" w:hAnsi="Arial"/>
                <w:sz w:val="16"/>
                <w:szCs w:val="16"/>
                <w:color w:val="auto"/>
              </w:rPr>
              <w:t>12</w:t>
            </w:r>
          </w:p>
        </w:tc>
      </w:tr>
      <w:tr>
        <w:trPr>
          <w:trHeight w:val="119"/>
        </w:trPr>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22" w:right="199" w:bottom="1440" w:gutter="0" w:footer="0" w:header="0"/>
        </w:sectPr>
      </w:pPr>
    </w:p>
    <w:bookmarkStart w:id="371" w:name="page372"/>
    <w:bookmarkEnd w:id="371"/>
    <w:p>
      <w:pPr>
        <w:ind w:left="700"/>
        <w:spacing w:after="0" w:line="270" w:lineRule="auto"/>
        <w:rPr>
          <w:sz w:val="20"/>
          <w:szCs w:val="20"/>
          <w:color w:val="auto"/>
        </w:rPr>
      </w:pPr>
      <w:r>
        <w:rPr>
          <w:rFonts w:ascii="Arial" w:cs="Arial" w:eastAsia="Arial" w:hAnsi="Arial"/>
          <w:sz w:val="16"/>
          <w:szCs w:val="16"/>
          <w:color w:val="auto"/>
        </w:rPr>
        <w:t xml:space="preserve">shall be an original, but all of which together shall constitute one instrument. Counterparts may be delivered via facsimile, electronic mail (including pdf or any electronic signature complying with the U.S. federal ESIGN Act of 2000, </w:t>
      </w:r>
      <w:r>
        <w:rPr>
          <w:rFonts w:ascii="Arial" w:cs="Arial" w:eastAsia="Arial" w:hAnsi="Arial"/>
          <w:sz w:val="16"/>
          <w:szCs w:val="16"/>
          <w:i w:val="1"/>
          <w:iCs w:val="1"/>
          <w:color w:val="auto"/>
        </w:rPr>
        <w:t>e.g., www.docusign.com)</w:t>
      </w:r>
      <w:r>
        <w:rPr>
          <w:rFonts w:ascii="Arial" w:cs="Arial" w:eastAsia="Arial" w:hAnsi="Arial"/>
          <w:sz w:val="16"/>
          <w:szCs w:val="16"/>
          <w:color w:val="auto"/>
        </w:rPr>
        <w:t xml:space="preserve"> or other transmission method and any counterpart so delivered shall be deemed to have been duly and validly delivered and be valid and effective for all purposes.</w:t>
      </w:r>
    </w:p>
    <w:p>
      <w:pPr>
        <w:spacing w:after="0" w:line="158" w:lineRule="exact"/>
        <w:rPr>
          <w:sz w:val="20"/>
          <w:szCs w:val="20"/>
          <w:color w:val="auto"/>
        </w:rPr>
      </w:pPr>
    </w:p>
    <w:p>
      <w:pPr>
        <w:ind w:left="680" w:right="380" w:hanging="782"/>
        <w:spacing w:after="0" w:line="290" w:lineRule="auto"/>
        <w:tabs>
          <w:tab w:leader="none" w:pos="6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b w:val="1"/>
          <w:bCs w:val="1"/>
          <w:color w:val="auto"/>
        </w:rPr>
        <w:t>Aggregation of Shares</w:t>
      </w:r>
      <w:r>
        <w:rPr>
          <w:rFonts w:ascii="Arial" w:cs="Arial" w:eastAsia="Arial" w:hAnsi="Arial"/>
          <w:sz w:val="16"/>
          <w:szCs w:val="16"/>
          <w:color w:val="auto"/>
        </w:rPr>
        <w:t>. All shares of Registrable Securities held or acquired by affiliated entities or Persons under common management or control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aggregated together for the purpose of determining the availability of any rights under this Agreement.</w:t>
      </w:r>
    </w:p>
    <w:p>
      <w:pPr>
        <w:spacing w:after="0" w:line="142" w:lineRule="exact"/>
        <w:rPr>
          <w:sz w:val="20"/>
          <w:szCs w:val="20"/>
          <w:color w:val="auto"/>
        </w:rPr>
      </w:pPr>
    </w:p>
    <w:p>
      <w:pPr>
        <w:ind w:left="700" w:right="20" w:hanging="782"/>
        <w:spacing w:after="0" w:line="290" w:lineRule="auto"/>
        <w:tabs>
          <w:tab w:leader="none" w:pos="68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b w:val="1"/>
          <w:bCs w:val="1"/>
          <w:color w:val="auto"/>
        </w:rPr>
        <w:t>Termination</w:t>
      </w:r>
      <w:r>
        <w:rPr>
          <w:rFonts w:ascii="Arial" w:cs="Arial" w:eastAsia="Arial" w:hAnsi="Arial"/>
          <w:sz w:val="16"/>
          <w:szCs w:val="16"/>
          <w:color w:val="auto"/>
        </w:rPr>
        <w:t>. This Agreement shall terminate and be of no further force or effect upon the earlier of (i) and Share Sale or (ii) the date three (3) years following an</w:t>
      </w:r>
      <w:r>
        <w:rPr>
          <w:rFonts w:ascii="Arial" w:cs="Arial" w:eastAsia="Arial" w:hAnsi="Arial"/>
          <w:sz w:val="16"/>
          <w:szCs w:val="16"/>
          <w:b w:val="1"/>
          <w:bCs w:val="1"/>
          <w:color w:val="auto"/>
        </w:rPr>
        <w:t xml:space="preserve"> </w:t>
      </w:r>
      <w:r>
        <w:rPr>
          <w:rFonts w:ascii="Arial" w:cs="Arial" w:eastAsia="Arial" w:hAnsi="Arial"/>
          <w:sz w:val="16"/>
          <w:szCs w:val="16"/>
          <w:color w:val="auto"/>
        </w:rPr>
        <w:t>IPO that results in the conversion of all outstanding Investor Shares.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Intentionally left blank, Exhibit A and signature pages to follow.</w:t>
      </w:r>
      <w:r>
        <w:rPr>
          <w:rFonts w:ascii="Arial" w:cs="Arial" w:eastAsia="Arial" w:hAnsi="Arial"/>
          <w:sz w:val="16"/>
          <w:szCs w:val="16"/>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74930</wp:posOffset>
            </wp:positionV>
            <wp:extent cx="72802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6060" w:type="dxa"/>
            <w:vAlign w:val="bottom"/>
            <w:gridSpan w:val="4"/>
          </w:tcPr>
          <w:p>
            <w:pPr>
              <w:spacing w:after="0"/>
              <w:rPr>
                <w:sz w:val="20"/>
                <w:szCs w:val="20"/>
                <w:color w:val="auto"/>
              </w:rPr>
            </w:pPr>
            <w:r>
              <w:rPr>
                <w:rFonts w:ascii="Arial" w:cs="Arial" w:eastAsia="Arial" w:hAnsi="Arial"/>
                <w:sz w:val="16"/>
                <w:szCs w:val="16"/>
                <w:b w:val="1"/>
                <w:bCs w:val="1"/>
                <w:color w:val="auto"/>
              </w:rPr>
              <w:t>Exhibit 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6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7"/>
              </w:rPr>
              <w:t>Investors</w:t>
            </w: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4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24"/>
                <w:szCs w:val="24"/>
                <w:color w:val="auto"/>
              </w:rPr>
            </w:pPr>
          </w:p>
        </w:tc>
        <w:tc>
          <w:tcPr>
            <w:tcW w:w="5400" w:type="dxa"/>
            <w:vAlign w:val="bottom"/>
          </w:tcPr>
          <w:p>
            <w:pPr>
              <w:ind w:left="2360"/>
              <w:spacing w:after="0"/>
              <w:rPr>
                <w:sz w:val="20"/>
                <w:szCs w:val="20"/>
                <w:color w:val="auto"/>
              </w:rPr>
            </w:pPr>
            <w:r>
              <w:rPr>
                <w:rFonts w:ascii="Arial" w:cs="Arial" w:eastAsia="Arial" w:hAnsi="Arial"/>
                <w:sz w:val="13"/>
                <w:szCs w:val="13"/>
                <w:b w:val="1"/>
                <w:bCs w:val="1"/>
                <w:color w:val="auto"/>
              </w:rPr>
              <w:t>Address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53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Ahren LP</w:t>
            </w: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15 Queens Grove, London, United Kingdom, NW8 6EL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SAIV LP</w:t>
            </w: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15 Queens Grove, London, United Kingdom, NW8 6EL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BAIV LP</w:t>
            </w: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15 Queens Grove, London, United Kingdom, NW8 6EL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Atlas Venture Fund VIII, L.P.</w:t>
            </w: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400 Technology Sq., 10th Floor, Cambridge, MA 02139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Cambridge Innovation Capital (Jersey) Limited</w:t>
            </w: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Gaspe House, 66-72 Esplanade, St. Helier, Jersey, Channel Islands, JE2 3QT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Longwood Fund IV, L.P.</w:t>
            </w: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800 Boylston Suite 1555, Boston, Massachusetts, 02199, USA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Novartis Bioventures Ltd.</w:t>
            </w: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Lichtstrasse 35, 4056 Basel, Switzerland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S.R. One, Limited</w:t>
            </w: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Corporation Service Company, 2595 Interstate Drive, Suite 103, Harrisburg, PA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17110, USA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7"/>
              </w:rPr>
              <w:t>SV Life Sciences Fund V Strategic Partners, L.P. and SV Life Sciences Fund V, L.P.</w:t>
            </w: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One Boston Place, Suite 3900, Boston, MA 02118 USA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Vertex Global HC Fund I Pte. Ltd.</w:t>
            </w: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250 North Bridge Road, #11-01 Raffles City Tower, Singapore 179101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Aquila Investments IV</w:t>
            </w: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Maples Corporate Services Limited, PO Box 309, Ugland House, Grand Cayman,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KY1- 1104 Cayman Islands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20" w:type="dxa"/>
            <w:vAlign w:val="bottom"/>
            <w:tcBorders>
              <w:bottom w:val="single" w:sz="8" w:color="808080"/>
            </w:tcBorders>
          </w:tcPr>
          <w:p>
            <w:pPr>
              <w:spacing w:after="0"/>
              <w:rPr>
                <w:sz w:val="24"/>
                <w:szCs w:val="24"/>
                <w:color w:val="auto"/>
              </w:rPr>
            </w:pPr>
          </w:p>
        </w:tc>
        <w:tc>
          <w:tcPr>
            <w:tcW w:w="5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pacing w:after="0" w:line="253"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w:t>
      </w:r>
      <w:r>
        <w:rPr>
          <w:rFonts w:ascii="Arial" w:cs="Arial" w:eastAsia="Arial" w:hAnsi="Arial"/>
          <w:sz w:val="16"/>
          <w:szCs w:val="16"/>
          <w:b w:val="1"/>
          <w:bCs w:val="1"/>
          <w:color w:val="auto"/>
        </w:rPr>
        <w:t xml:space="preserve"> REGISTRATION RIGHTS AGREEMENT </w:t>
      </w:r>
      <w:r>
        <w:rPr>
          <w:rFonts w:ascii="Arial" w:cs="Arial" w:eastAsia="Arial" w:hAnsi="Arial"/>
          <w:sz w:val="16"/>
          <w:szCs w:val="16"/>
          <w:color w:val="auto"/>
        </w:rPr>
        <w:t>as of the date set forth in the first paragraph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hereof:</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[ILLEGIBLE]</w:t>
            </w:r>
          </w:p>
        </w:tc>
        <w:tc>
          <w:tcPr>
            <w:tcW w:w="980" w:type="dxa"/>
            <w:vAlign w:val="bottom"/>
          </w:tcPr>
          <w:p>
            <w:pPr>
              <w:ind w:left="360"/>
              <w:spacing w:after="0"/>
              <w:rPr>
                <w:sz w:val="20"/>
                <w:szCs w:val="20"/>
                <w:color w:val="auto"/>
              </w:rPr>
            </w:pPr>
            <w:r>
              <w:rPr>
                <w:rFonts w:ascii="Arial" w:cs="Arial" w:eastAsia="Arial" w:hAnsi="Arial"/>
                <w:sz w:val="16"/>
                <w:szCs w:val="16"/>
                <w:color w:val="auto"/>
              </w:rPr>
              <w:t>Date</w:t>
            </w: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December 2018</w:t>
            </w:r>
          </w:p>
        </w:tc>
      </w:tr>
      <w:tr>
        <w:trPr>
          <w:trHeight w:val="383"/>
        </w:trPr>
        <w:tc>
          <w:tcPr>
            <w:tcW w:w="5200" w:type="dxa"/>
            <w:vAlign w:val="bottom"/>
          </w:tcPr>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AHREN LP</w:t>
            </w:r>
            <w:r>
              <w:rPr>
                <w:rFonts w:ascii="Arial" w:cs="Arial" w:eastAsia="Arial" w:hAnsi="Arial"/>
                <w:sz w:val="16"/>
                <w:szCs w:val="16"/>
                <w:color w:val="auto"/>
              </w:rPr>
              <w:t xml:space="preserve"> [ILLEGIBLE]</w:t>
            </w:r>
          </w:p>
        </w:tc>
        <w:tc>
          <w:tcPr>
            <w:tcW w:w="9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783"/>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[ILLEGIBLE]</w:t>
            </w:r>
          </w:p>
        </w:tc>
        <w:tc>
          <w:tcPr>
            <w:tcW w:w="980" w:type="dxa"/>
            <w:vAlign w:val="bottom"/>
          </w:tcPr>
          <w:p>
            <w:pPr>
              <w:ind w:left="360"/>
              <w:spacing w:after="0"/>
              <w:rPr>
                <w:sz w:val="20"/>
                <w:szCs w:val="20"/>
                <w:color w:val="auto"/>
              </w:rPr>
            </w:pPr>
            <w:r>
              <w:rPr>
                <w:rFonts w:ascii="Arial" w:cs="Arial" w:eastAsia="Arial" w:hAnsi="Arial"/>
                <w:sz w:val="16"/>
                <w:szCs w:val="16"/>
                <w:color w:val="auto"/>
              </w:rPr>
              <w:t>Date</w:t>
            </w: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December 2018</w:t>
            </w:r>
          </w:p>
        </w:tc>
      </w:tr>
      <w:tr>
        <w:trPr>
          <w:trHeight w:val="383"/>
        </w:trPr>
        <w:tc>
          <w:tcPr>
            <w:tcW w:w="5200" w:type="dxa"/>
            <w:vAlign w:val="bottom"/>
          </w:tcPr>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SAIV LP</w:t>
            </w:r>
          </w:p>
        </w:tc>
        <w:tc>
          <w:tcPr>
            <w:tcW w:w="9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588"/>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[ILLEGIBLE]</w:t>
            </w:r>
          </w:p>
        </w:tc>
        <w:tc>
          <w:tcPr>
            <w:tcW w:w="980" w:type="dxa"/>
            <w:vAlign w:val="bottom"/>
          </w:tcPr>
          <w:p>
            <w:pPr>
              <w:ind w:left="360"/>
              <w:spacing w:after="0"/>
              <w:rPr>
                <w:sz w:val="20"/>
                <w:szCs w:val="20"/>
                <w:color w:val="auto"/>
              </w:rPr>
            </w:pPr>
            <w:r>
              <w:rPr>
                <w:rFonts w:ascii="Arial" w:cs="Arial" w:eastAsia="Arial" w:hAnsi="Arial"/>
                <w:sz w:val="16"/>
                <w:szCs w:val="16"/>
                <w:color w:val="auto"/>
              </w:rPr>
              <w:t>Date</w:t>
            </w: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December 2018</w:t>
            </w:r>
          </w:p>
        </w:tc>
      </w:tr>
      <w:tr>
        <w:trPr>
          <w:trHeight w:val="383"/>
        </w:trPr>
        <w:tc>
          <w:tcPr>
            <w:tcW w:w="5200" w:type="dxa"/>
            <w:vAlign w:val="bottom"/>
          </w:tcPr>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BAIV LP</w:t>
            </w:r>
          </w:p>
        </w:tc>
        <w:tc>
          <w:tcPr>
            <w:tcW w:w="9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587"/>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[ILLEGIBLE]</w:t>
            </w:r>
          </w:p>
        </w:tc>
        <w:tc>
          <w:tcPr>
            <w:tcW w:w="980" w:type="dxa"/>
            <w:vAlign w:val="bottom"/>
          </w:tcPr>
          <w:p>
            <w:pPr>
              <w:ind w:left="360"/>
              <w:spacing w:after="0"/>
              <w:rPr>
                <w:sz w:val="20"/>
                <w:szCs w:val="20"/>
                <w:color w:val="auto"/>
              </w:rPr>
            </w:pPr>
            <w:r>
              <w:rPr>
                <w:rFonts w:ascii="Arial" w:cs="Arial" w:eastAsia="Arial" w:hAnsi="Arial"/>
                <w:sz w:val="16"/>
                <w:szCs w:val="16"/>
                <w:color w:val="auto"/>
              </w:rPr>
              <w:t>Date</w:t>
            </w: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21 December 2018</w:t>
            </w:r>
          </w:p>
        </w:tc>
      </w:tr>
      <w:tr>
        <w:trPr>
          <w:trHeight w:val="383"/>
        </w:trPr>
        <w:tc>
          <w:tcPr>
            <w:tcW w:w="5200" w:type="dxa"/>
            <w:vAlign w:val="bottom"/>
          </w:tcPr>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VERTEX GLOBAL HC FUND I PTE. LTD</w:t>
            </w:r>
          </w:p>
        </w:tc>
        <w:tc>
          <w:tcPr>
            <w:tcW w:w="9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587"/>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[ILLEGIBLE]</w:t>
            </w:r>
          </w:p>
        </w:tc>
        <w:tc>
          <w:tcPr>
            <w:tcW w:w="980" w:type="dxa"/>
            <w:vAlign w:val="bottom"/>
          </w:tcPr>
          <w:p>
            <w:pPr>
              <w:ind w:left="360"/>
              <w:spacing w:after="0"/>
              <w:rPr>
                <w:sz w:val="20"/>
                <w:szCs w:val="20"/>
                <w:color w:val="auto"/>
              </w:rPr>
            </w:pPr>
            <w:r>
              <w:rPr>
                <w:rFonts w:ascii="Arial" w:cs="Arial" w:eastAsia="Arial" w:hAnsi="Arial"/>
                <w:sz w:val="16"/>
                <w:szCs w:val="16"/>
                <w:color w:val="auto"/>
              </w:rPr>
              <w:t>Date</w:t>
            </w: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21 December 2018</w:t>
            </w:r>
          </w:p>
        </w:tc>
      </w:tr>
      <w:tr>
        <w:trPr>
          <w:trHeight w:val="367"/>
        </w:trPr>
        <w:tc>
          <w:tcPr>
            <w:tcW w:w="5200" w:type="dxa"/>
            <w:vAlign w:val="bottom"/>
          </w:tcPr>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CAMBRIDGE INNOVATION CAPITAL (JERSEY)</w:t>
            </w:r>
          </w:p>
        </w:tc>
        <w:tc>
          <w:tcPr>
            <w:tcW w:w="9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6"/>
                <w:szCs w:val="16"/>
                <w:b w:val="1"/>
                <w:bCs w:val="1"/>
                <w:color w:val="auto"/>
              </w:rPr>
              <w:t>LIMITED</w:t>
            </w:r>
          </w:p>
        </w:tc>
        <w:tc>
          <w:tcPr>
            <w:tcW w:w="98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587"/>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[ILLEGIBLE] CFO</w:t>
            </w:r>
          </w:p>
        </w:tc>
        <w:tc>
          <w:tcPr>
            <w:tcW w:w="980" w:type="dxa"/>
            <w:vAlign w:val="bottom"/>
          </w:tcPr>
          <w:p>
            <w:pPr>
              <w:ind w:left="360"/>
              <w:spacing w:after="0"/>
              <w:rPr>
                <w:sz w:val="20"/>
                <w:szCs w:val="20"/>
                <w:color w:val="auto"/>
              </w:rPr>
            </w:pPr>
            <w:r>
              <w:rPr>
                <w:rFonts w:ascii="Arial" w:cs="Arial" w:eastAsia="Arial" w:hAnsi="Arial"/>
                <w:sz w:val="16"/>
                <w:szCs w:val="16"/>
                <w:color w:val="auto"/>
              </w:rPr>
              <w:t>Date</w:t>
            </w: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21 December 2018</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LONGWOOD FUND IV, L.P.</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802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60"/>
          </w:cols>
          <w:pgMar w:left="240" w:top="309" w:right="199" w:bottom="1440" w:gutter="0" w:footer="0" w:header="0"/>
        </w:sectPr>
      </w:pPr>
    </w:p>
    <w:bookmarkStart w:id="373" w:name="page374"/>
    <w:bookmarkEnd w:id="373"/>
    <w:tbl>
      <w:tblPr>
        <w:tblLayout w:type="fixed"/>
        <w:tblInd w:w="0" w:type="dxa"/>
        <w:tblCellMar>
          <w:top w:w="0" w:type="dxa"/>
          <w:left w:w="0" w:type="dxa"/>
          <w:bottom w:w="0" w:type="dxa"/>
          <w:right w:w="0" w:type="dxa"/>
        </w:tblCellMar>
      </w:tblPr>
      <w:tr>
        <w:trPr>
          <w:trHeight w:val="208"/>
        </w:trPr>
        <w:tc>
          <w:tcPr>
            <w:tcW w:w="5200" w:type="dxa"/>
            <w:vAlign w:val="bottom"/>
            <w:gridSpan w:val="2"/>
          </w:tcPr>
          <w:p>
            <w:pPr>
              <w:spacing w:after="0"/>
              <w:rPr>
                <w:sz w:val="20"/>
                <w:szCs w:val="20"/>
                <w:color w:val="auto"/>
              </w:rPr>
            </w:pPr>
            <w:r>
              <w:rPr>
                <w:rFonts w:ascii="Arial" w:cs="Arial" w:eastAsia="Arial" w:hAnsi="Arial"/>
                <w:sz w:val="16"/>
                <w:szCs w:val="16"/>
                <w:color w:val="auto"/>
              </w:rPr>
              <w:t>[ILLEGIBLE]</w:t>
            </w:r>
          </w:p>
        </w:tc>
        <w:tc>
          <w:tcPr>
            <w:tcW w:w="860" w:type="dxa"/>
            <w:vAlign w:val="bottom"/>
          </w:tcPr>
          <w:p>
            <w:pPr>
              <w:ind w:left="380"/>
              <w:spacing w:after="0"/>
              <w:rPr>
                <w:sz w:val="20"/>
                <w:szCs w:val="20"/>
                <w:color w:val="auto"/>
              </w:rPr>
            </w:pPr>
            <w:r>
              <w:rPr>
                <w:rFonts w:ascii="Arial" w:cs="Arial" w:eastAsia="Arial" w:hAnsi="Arial"/>
                <w:sz w:val="16"/>
                <w:szCs w:val="16"/>
                <w:color w:val="auto"/>
              </w:rPr>
              <w:t>Date</w:t>
            </w:r>
          </w:p>
        </w:tc>
        <w:tc>
          <w:tcPr>
            <w:tcW w:w="2800" w:type="dxa"/>
            <w:vAlign w:val="bottom"/>
            <w:gridSpan w:val="3"/>
          </w:tcPr>
          <w:p>
            <w:pPr>
              <w:ind w:left="160"/>
              <w:spacing w:after="0"/>
              <w:rPr>
                <w:sz w:val="20"/>
                <w:szCs w:val="20"/>
                <w:color w:val="auto"/>
              </w:rPr>
            </w:pPr>
            <w:r>
              <w:rPr>
                <w:rFonts w:ascii="Arial" w:cs="Arial" w:eastAsia="Arial" w:hAnsi="Arial"/>
                <w:sz w:val="16"/>
                <w:szCs w:val="16"/>
                <w:color w:val="auto"/>
              </w:rPr>
              <w:t>21 December 2018</w:t>
            </w:r>
          </w:p>
        </w:tc>
        <w:tc>
          <w:tcPr>
            <w:tcW w:w="2580" w:type="dxa"/>
            <w:vAlign w:val="bottom"/>
          </w:tcPr>
          <w:p>
            <w:pPr>
              <w:spacing w:after="0"/>
              <w:rPr>
                <w:sz w:val="18"/>
                <w:szCs w:val="18"/>
                <w:color w:val="auto"/>
              </w:rPr>
            </w:pPr>
          </w:p>
        </w:tc>
      </w:tr>
      <w:tr>
        <w:trPr>
          <w:trHeight w:val="383"/>
        </w:trPr>
        <w:tc>
          <w:tcPr>
            <w:tcW w:w="52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NOVARTIS BIOVENTURES LIMITED</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color w:val="auto"/>
              </w:rPr>
              <w:t>/s/ Bart Dzikowski</w:t>
            </w:r>
          </w:p>
        </w:tc>
        <w:tc>
          <w:tcPr>
            <w:tcW w:w="2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/s/ Florian Muellershausen</w:t>
            </w:r>
          </w:p>
        </w:tc>
      </w:tr>
      <w:tr>
        <w:trPr>
          <w:trHeight w:val="176"/>
        </w:trPr>
        <w:tc>
          <w:tcPr>
            <w:tcW w:w="28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6"/>
                <w:szCs w:val="16"/>
                <w:color w:val="auto"/>
                <w:w w:val="97"/>
              </w:rPr>
              <w:t>Bart Dzikowski</w:t>
            </w:r>
          </w:p>
        </w:tc>
        <w:tc>
          <w:tcPr>
            <w:tcW w:w="180" w:type="dxa"/>
            <w:vAlign w:val="bottom"/>
          </w:tcPr>
          <w:p>
            <w:pPr>
              <w:spacing w:after="0"/>
              <w:rPr>
                <w:sz w:val="15"/>
                <w:szCs w:val="15"/>
                <w:color w:val="auto"/>
              </w:rPr>
            </w:pPr>
          </w:p>
        </w:tc>
        <w:tc>
          <w:tcPr>
            <w:tcW w:w="25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6"/>
                <w:szCs w:val="16"/>
                <w:color w:val="auto"/>
                <w:w w:val="92"/>
              </w:rPr>
              <w:t>Florian Muellershausen</w:t>
            </w:r>
          </w:p>
        </w:tc>
      </w:tr>
      <w:tr>
        <w:trPr>
          <w:trHeight w:val="207"/>
        </w:trPr>
        <w:tc>
          <w:tcPr>
            <w:tcW w:w="2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Secretary of the Board</w:t>
            </w:r>
          </w:p>
        </w:tc>
        <w:tc>
          <w:tcPr>
            <w:tcW w:w="2580" w:type="dxa"/>
            <w:vAlign w:val="bottom"/>
          </w:tcPr>
          <w:p>
            <w:pPr>
              <w:jc w:val="center"/>
              <w:spacing w:after="0"/>
              <w:rPr>
                <w:sz w:val="20"/>
                <w:szCs w:val="20"/>
                <w:color w:val="auto"/>
              </w:rPr>
            </w:pPr>
            <w:r>
              <w:rPr>
                <w:rFonts w:ascii="Arial" w:cs="Arial" w:eastAsia="Arial" w:hAnsi="Arial"/>
                <w:sz w:val="16"/>
                <w:szCs w:val="16"/>
                <w:color w:val="auto"/>
                <w:w w:val="95"/>
              </w:rPr>
              <w:t>Authorized Signatory</w:t>
            </w:r>
          </w:p>
        </w:tc>
      </w:tr>
      <w:tr>
        <w:trPr>
          <w:trHeight w:val="587"/>
        </w:trPr>
        <w:tc>
          <w:tcPr>
            <w:tcW w:w="5200" w:type="dxa"/>
            <w:vAlign w:val="bottom"/>
            <w:gridSpan w:val="2"/>
          </w:tcPr>
          <w:p>
            <w:pPr>
              <w:spacing w:after="0"/>
              <w:rPr>
                <w:sz w:val="20"/>
                <w:szCs w:val="20"/>
                <w:color w:val="auto"/>
              </w:rPr>
            </w:pPr>
            <w:r>
              <w:rPr>
                <w:rFonts w:ascii="Arial" w:cs="Arial" w:eastAsia="Arial" w:hAnsi="Arial"/>
                <w:sz w:val="16"/>
                <w:szCs w:val="16"/>
                <w:color w:val="auto"/>
              </w:rPr>
              <w:t>/s/ [ILLEGIBLE]</w:t>
            </w:r>
          </w:p>
        </w:tc>
        <w:tc>
          <w:tcPr>
            <w:tcW w:w="860" w:type="dxa"/>
            <w:vAlign w:val="bottom"/>
          </w:tcPr>
          <w:p>
            <w:pPr>
              <w:ind w:left="380"/>
              <w:spacing w:after="0"/>
              <w:rPr>
                <w:sz w:val="20"/>
                <w:szCs w:val="20"/>
                <w:color w:val="auto"/>
              </w:rPr>
            </w:pPr>
            <w:r>
              <w:rPr>
                <w:rFonts w:ascii="Arial" w:cs="Arial" w:eastAsia="Arial" w:hAnsi="Arial"/>
                <w:sz w:val="16"/>
                <w:szCs w:val="16"/>
                <w:color w:val="auto"/>
              </w:rPr>
              <w:t>Date</w:t>
            </w:r>
          </w:p>
        </w:tc>
        <w:tc>
          <w:tcPr>
            <w:tcW w:w="2800" w:type="dxa"/>
            <w:vAlign w:val="bottom"/>
            <w:gridSpan w:val="3"/>
          </w:tcPr>
          <w:p>
            <w:pPr>
              <w:ind w:left="160"/>
              <w:spacing w:after="0"/>
              <w:rPr>
                <w:sz w:val="20"/>
                <w:szCs w:val="20"/>
                <w:color w:val="auto"/>
              </w:rPr>
            </w:pPr>
            <w:r>
              <w:rPr>
                <w:rFonts w:ascii="Arial" w:cs="Arial" w:eastAsia="Arial" w:hAnsi="Arial"/>
                <w:sz w:val="16"/>
                <w:szCs w:val="16"/>
                <w:color w:val="auto"/>
              </w:rPr>
              <w:t>21 December 2018</w:t>
            </w:r>
          </w:p>
        </w:tc>
        <w:tc>
          <w:tcPr>
            <w:tcW w:w="2580" w:type="dxa"/>
            <w:vAlign w:val="bottom"/>
          </w:tcPr>
          <w:p>
            <w:pPr>
              <w:spacing w:after="0"/>
              <w:rPr>
                <w:sz w:val="24"/>
                <w:szCs w:val="24"/>
                <w:color w:val="auto"/>
              </w:rPr>
            </w:pPr>
          </w:p>
        </w:tc>
      </w:tr>
      <w:tr>
        <w:trPr>
          <w:trHeight w:val="383"/>
        </w:trPr>
        <w:tc>
          <w:tcPr>
            <w:tcW w:w="52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S.R. ONE, LIMITED</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r>
      <w:tr>
        <w:trPr>
          <w:trHeight w:val="587"/>
        </w:trPr>
        <w:tc>
          <w:tcPr>
            <w:tcW w:w="5200" w:type="dxa"/>
            <w:vAlign w:val="bottom"/>
            <w:gridSpan w:val="2"/>
          </w:tcPr>
          <w:p>
            <w:pPr>
              <w:spacing w:after="0"/>
              <w:rPr>
                <w:sz w:val="20"/>
                <w:szCs w:val="20"/>
                <w:color w:val="auto"/>
              </w:rPr>
            </w:pPr>
            <w:r>
              <w:rPr>
                <w:rFonts w:ascii="Arial" w:cs="Arial" w:eastAsia="Arial" w:hAnsi="Arial"/>
                <w:sz w:val="16"/>
                <w:szCs w:val="16"/>
                <w:color w:val="auto"/>
              </w:rPr>
              <w:t>/s/ [ILLEGIBLE]</w:t>
            </w:r>
          </w:p>
        </w:tc>
        <w:tc>
          <w:tcPr>
            <w:tcW w:w="860" w:type="dxa"/>
            <w:vAlign w:val="bottom"/>
          </w:tcPr>
          <w:p>
            <w:pPr>
              <w:ind w:left="380"/>
              <w:spacing w:after="0"/>
              <w:rPr>
                <w:sz w:val="20"/>
                <w:szCs w:val="20"/>
                <w:color w:val="auto"/>
              </w:rPr>
            </w:pPr>
            <w:r>
              <w:rPr>
                <w:rFonts w:ascii="Arial" w:cs="Arial" w:eastAsia="Arial" w:hAnsi="Arial"/>
                <w:sz w:val="16"/>
                <w:szCs w:val="16"/>
                <w:color w:val="auto"/>
              </w:rPr>
              <w:t>Date</w:t>
            </w:r>
          </w:p>
        </w:tc>
        <w:tc>
          <w:tcPr>
            <w:tcW w:w="2800" w:type="dxa"/>
            <w:vAlign w:val="bottom"/>
            <w:gridSpan w:val="3"/>
          </w:tcPr>
          <w:p>
            <w:pPr>
              <w:ind w:left="160"/>
              <w:spacing w:after="0"/>
              <w:rPr>
                <w:sz w:val="20"/>
                <w:szCs w:val="20"/>
                <w:color w:val="auto"/>
              </w:rPr>
            </w:pPr>
            <w:r>
              <w:rPr>
                <w:rFonts w:ascii="Arial" w:cs="Arial" w:eastAsia="Arial" w:hAnsi="Arial"/>
                <w:sz w:val="16"/>
                <w:szCs w:val="16"/>
                <w:color w:val="auto"/>
              </w:rPr>
              <w:t>21 December 2018</w:t>
            </w:r>
          </w:p>
        </w:tc>
        <w:tc>
          <w:tcPr>
            <w:tcW w:w="2580" w:type="dxa"/>
            <w:vAlign w:val="bottom"/>
          </w:tcPr>
          <w:p>
            <w:pPr>
              <w:spacing w:after="0"/>
              <w:rPr>
                <w:sz w:val="24"/>
                <w:szCs w:val="24"/>
                <w:color w:val="auto"/>
              </w:rPr>
            </w:pPr>
          </w:p>
        </w:tc>
      </w:tr>
      <w:tr>
        <w:trPr>
          <w:trHeight w:val="383"/>
        </w:trPr>
        <w:tc>
          <w:tcPr>
            <w:tcW w:w="52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ATLAS VENTURE FUND VIII, L.P.*</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r>
      <w:tr>
        <w:trPr>
          <w:trHeight w:val="294"/>
        </w:trPr>
        <w:tc>
          <w:tcPr>
            <w:tcW w:w="2880" w:type="dxa"/>
            <w:vAlign w:val="bottom"/>
            <w:tcBorders>
              <w:bottom w:val="single" w:sz="8" w:color="808080"/>
            </w:tcBorders>
          </w:tcPr>
          <w:p>
            <w:pPr>
              <w:spacing w:after="0"/>
              <w:rPr>
                <w:sz w:val="24"/>
                <w:szCs w:val="24"/>
                <w:color w:val="auto"/>
              </w:rPr>
            </w:pPr>
          </w:p>
        </w:tc>
        <w:tc>
          <w:tcPr>
            <w:tcW w:w="2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73"/>
        </w:trPr>
        <w:tc>
          <w:tcPr>
            <w:tcW w:w="5200" w:type="dxa"/>
            <w:vAlign w:val="bottom"/>
            <w:gridSpan w:val="2"/>
          </w:tcPr>
          <w:p>
            <w:pPr>
              <w:ind w:left="120"/>
              <w:spacing w:after="0"/>
              <w:rPr>
                <w:sz w:val="20"/>
                <w:szCs w:val="20"/>
                <w:color w:val="auto"/>
              </w:rPr>
            </w:pPr>
            <w:r>
              <w:rPr>
                <w:rFonts w:ascii="Arial" w:cs="Arial" w:eastAsia="Arial" w:hAnsi="Arial"/>
                <w:sz w:val="16"/>
                <w:szCs w:val="16"/>
                <w:color w:val="auto"/>
              </w:rPr>
              <w:t>* ATLAS VENTURE FUND VIII, L.P.</w:t>
            </w: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196"/>
        </w:trPr>
        <w:tc>
          <w:tcPr>
            <w:tcW w:w="5200" w:type="dxa"/>
            <w:vAlign w:val="bottom"/>
            <w:gridSpan w:val="2"/>
          </w:tcPr>
          <w:p>
            <w:pPr>
              <w:ind w:left="300"/>
              <w:spacing w:after="0"/>
              <w:rPr>
                <w:sz w:val="20"/>
                <w:szCs w:val="20"/>
                <w:color w:val="auto"/>
              </w:rPr>
            </w:pPr>
            <w:r>
              <w:rPr>
                <w:rFonts w:ascii="Arial" w:cs="Arial" w:eastAsia="Arial" w:hAnsi="Arial"/>
                <w:sz w:val="16"/>
                <w:szCs w:val="16"/>
                <w:color w:val="auto"/>
              </w:rPr>
              <w:t>By: Atlas Venture Associates VIII, L.P.</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5200" w:type="dxa"/>
            <w:vAlign w:val="bottom"/>
            <w:gridSpan w:val="2"/>
          </w:tcPr>
          <w:p>
            <w:pPr>
              <w:ind w:left="580"/>
              <w:spacing w:after="0"/>
              <w:rPr>
                <w:sz w:val="20"/>
                <w:szCs w:val="20"/>
                <w:color w:val="auto"/>
              </w:rPr>
            </w:pPr>
            <w:r>
              <w:rPr>
                <w:rFonts w:ascii="Arial" w:cs="Arial" w:eastAsia="Arial" w:hAnsi="Arial"/>
                <w:sz w:val="16"/>
                <w:szCs w:val="16"/>
                <w:color w:val="auto"/>
              </w:rPr>
              <w:t>Its general partner</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5200" w:type="dxa"/>
            <w:vAlign w:val="bottom"/>
            <w:gridSpan w:val="2"/>
          </w:tcPr>
          <w:p>
            <w:pPr>
              <w:ind w:left="300"/>
              <w:spacing w:after="0"/>
              <w:rPr>
                <w:sz w:val="20"/>
                <w:szCs w:val="20"/>
                <w:color w:val="auto"/>
              </w:rPr>
            </w:pPr>
            <w:r>
              <w:rPr>
                <w:rFonts w:ascii="Arial" w:cs="Arial" w:eastAsia="Arial" w:hAnsi="Arial"/>
                <w:sz w:val="16"/>
                <w:szCs w:val="16"/>
                <w:color w:val="auto"/>
              </w:rPr>
              <w:t>By: Atlas Venture Associates VIII, Inc.</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7"/>
        </w:trPr>
        <w:tc>
          <w:tcPr>
            <w:tcW w:w="5200" w:type="dxa"/>
            <w:vAlign w:val="bottom"/>
            <w:gridSpan w:val="2"/>
          </w:tcPr>
          <w:p>
            <w:pPr>
              <w:ind w:left="580"/>
              <w:spacing w:after="0"/>
              <w:rPr>
                <w:sz w:val="20"/>
                <w:szCs w:val="20"/>
                <w:color w:val="auto"/>
              </w:rPr>
            </w:pPr>
            <w:r>
              <w:rPr>
                <w:rFonts w:ascii="Arial" w:cs="Arial" w:eastAsia="Arial" w:hAnsi="Arial"/>
                <w:sz w:val="16"/>
                <w:szCs w:val="16"/>
                <w:color w:val="auto"/>
              </w:rPr>
              <w:t>Its general partner</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587"/>
        </w:trPr>
        <w:tc>
          <w:tcPr>
            <w:tcW w:w="5200" w:type="dxa"/>
            <w:vAlign w:val="bottom"/>
            <w:gridSpan w:val="2"/>
          </w:tcPr>
          <w:p>
            <w:pPr>
              <w:spacing w:after="0"/>
              <w:rPr>
                <w:sz w:val="20"/>
                <w:szCs w:val="20"/>
                <w:color w:val="auto"/>
              </w:rPr>
            </w:pPr>
            <w:r>
              <w:rPr>
                <w:rFonts w:ascii="Arial" w:cs="Arial" w:eastAsia="Arial" w:hAnsi="Arial"/>
                <w:sz w:val="16"/>
                <w:szCs w:val="16"/>
                <w:color w:val="auto"/>
              </w:rPr>
              <w:t>/s/ [ILLEGIBLE]</w:t>
            </w:r>
          </w:p>
        </w:tc>
        <w:tc>
          <w:tcPr>
            <w:tcW w:w="860" w:type="dxa"/>
            <w:vAlign w:val="bottom"/>
          </w:tcPr>
          <w:p>
            <w:pPr>
              <w:ind w:left="380"/>
              <w:spacing w:after="0"/>
              <w:rPr>
                <w:sz w:val="20"/>
                <w:szCs w:val="20"/>
                <w:color w:val="auto"/>
              </w:rPr>
            </w:pPr>
            <w:r>
              <w:rPr>
                <w:rFonts w:ascii="Arial" w:cs="Arial" w:eastAsia="Arial" w:hAnsi="Arial"/>
                <w:sz w:val="16"/>
                <w:szCs w:val="16"/>
                <w:color w:val="auto"/>
              </w:rPr>
              <w:t>Date</w:t>
            </w:r>
          </w:p>
        </w:tc>
        <w:tc>
          <w:tcPr>
            <w:tcW w:w="2800" w:type="dxa"/>
            <w:vAlign w:val="bottom"/>
            <w:gridSpan w:val="3"/>
          </w:tcPr>
          <w:p>
            <w:pPr>
              <w:ind w:left="160"/>
              <w:spacing w:after="0"/>
              <w:rPr>
                <w:sz w:val="20"/>
                <w:szCs w:val="20"/>
                <w:color w:val="auto"/>
              </w:rPr>
            </w:pPr>
            <w:r>
              <w:rPr>
                <w:rFonts w:ascii="Arial" w:cs="Arial" w:eastAsia="Arial" w:hAnsi="Arial"/>
                <w:sz w:val="16"/>
                <w:szCs w:val="16"/>
                <w:color w:val="auto"/>
              </w:rPr>
              <w:t>21 December 2018</w:t>
            </w:r>
          </w:p>
        </w:tc>
        <w:tc>
          <w:tcPr>
            <w:tcW w:w="2580" w:type="dxa"/>
            <w:vAlign w:val="bottom"/>
          </w:tcPr>
          <w:p>
            <w:pPr>
              <w:spacing w:after="0"/>
              <w:rPr>
                <w:sz w:val="24"/>
                <w:szCs w:val="24"/>
                <w:color w:val="auto"/>
              </w:rPr>
            </w:pPr>
          </w:p>
        </w:tc>
      </w:tr>
      <w:tr>
        <w:trPr>
          <w:trHeight w:val="367"/>
        </w:trPr>
        <w:tc>
          <w:tcPr>
            <w:tcW w:w="52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SV LIFE SCIENCES FUND V STRATEGIC</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r>
      <w:tr>
        <w:trPr>
          <w:trHeight w:val="211"/>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PARTNERS LIMITED</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587"/>
        </w:trPr>
        <w:tc>
          <w:tcPr>
            <w:tcW w:w="5200" w:type="dxa"/>
            <w:vAlign w:val="bottom"/>
            <w:gridSpan w:val="2"/>
          </w:tcPr>
          <w:p>
            <w:pPr>
              <w:spacing w:after="0"/>
              <w:rPr>
                <w:sz w:val="20"/>
                <w:szCs w:val="20"/>
                <w:color w:val="auto"/>
              </w:rPr>
            </w:pPr>
            <w:r>
              <w:rPr>
                <w:rFonts w:ascii="Arial" w:cs="Arial" w:eastAsia="Arial" w:hAnsi="Arial"/>
                <w:sz w:val="16"/>
                <w:szCs w:val="16"/>
                <w:color w:val="auto"/>
              </w:rPr>
              <w:t>/s/ [ILLEGIBLE]</w:t>
            </w:r>
          </w:p>
        </w:tc>
        <w:tc>
          <w:tcPr>
            <w:tcW w:w="860" w:type="dxa"/>
            <w:vAlign w:val="bottom"/>
          </w:tcPr>
          <w:p>
            <w:pPr>
              <w:ind w:left="380"/>
              <w:spacing w:after="0"/>
              <w:rPr>
                <w:sz w:val="20"/>
                <w:szCs w:val="20"/>
                <w:color w:val="auto"/>
              </w:rPr>
            </w:pPr>
            <w:r>
              <w:rPr>
                <w:rFonts w:ascii="Arial" w:cs="Arial" w:eastAsia="Arial" w:hAnsi="Arial"/>
                <w:sz w:val="16"/>
                <w:szCs w:val="16"/>
                <w:color w:val="auto"/>
              </w:rPr>
              <w:t>Date</w:t>
            </w:r>
          </w:p>
        </w:tc>
        <w:tc>
          <w:tcPr>
            <w:tcW w:w="2800" w:type="dxa"/>
            <w:vAlign w:val="bottom"/>
            <w:gridSpan w:val="3"/>
          </w:tcPr>
          <w:p>
            <w:pPr>
              <w:ind w:left="160"/>
              <w:spacing w:after="0"/>
              <w:rPr>
                <w:sz w:val="20"/>
                <w:szCs w:val="20"/>
                <w:color w:val="auto"/>
              </w:rPr>
            </w:pPr>
            <w:r>
              <w:rPr>
                <w:rFonts w:ascii="Arial" w:cs="Arial" w:eastAsia="Arial" w:hAnsi="Arial"/>
                <w:sz w:val="16"/>
                <w:szCs w:val="16"/>
                <w:color w:val="auto"/>
              </w:rPr>
              <w:t>21 December 2018</w:t>
            </w:r>
          </w:p>
        </w:tc>
        <w:tc>
          <w:tcPr>
            <w:tcW w:w="2580" w:type="dxa"/>
            <w:vAlign w:val="bottom"/>
          </w:tcPr>
          <w:p>
            <w:pPr>
              <w:spacing w:after="0"/>
              <w:rPr>
                <w:sz w:val="24"/>
                <w:szCs w:val="24"/>
                <w:color w:val="auto"/>
              </w:rPr>
            </w:pPr>
          </w:p>
        </w:tc>
      </w:tr>
      <w:tr>
        <w:trPr>
          <w:trHeight w:val="383"/>
        </w:trPr>
        <w:tc>
          <w:tcPr>
            <w:tcW w:w="52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SV LIFE SCIENCES FUND V, L.P.</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r>
      <w:tr>
        <w:trPr>
          <w:trHeight w:val="587"/>
        </w:trPr>
        <w:tc>
          <w:tcPr>
            <w:tcW w:w="5200" w:type="dxa"/>
            <w:vAlign w:val="bottom"/>
            <w:gridSpan w:val="2"/>
          </w:tcPr>
          <w:p>
            <w:pPr>
              <w:spacing w:after="0"/>
              <w:rPr>
                <w:sz w:val="20"/>
                <w:szCs w:val="20"/>
                <w:color w:val="auto"/>
              </w:rPr>
            </w:pPr>
            <w:r>
              <w:rPr>
                <w:rFonts w:ascii="Arial" w:cs="Arial" w:eastAsia="Arial" w:hAnsi="Arial"/>
                <w:sz w:val="16"/>
                <w:szCs w:val="16"/>
                <w:color w:val="auto"/>
              </w:rPr>
              <w:t>/s/ [ILLEGIBLE]</w:t>
            </w:r>
          </w:p>
        </w:tc>
        <w:tc>
          <w:tcPr>
            <w:tcW w:w="860" w:type="dxa"/>
            <w:vAlign w:val="bottom"/>
          </w:tcPr>
          <w:p>
            <w:pPr>
              <w:ind w:left="380"/>
              <w:spacing w:after="0"/>
              <w:rPr>
                <w:sz w:val="20"/>
                <w:szCs w:val="20"/>
                <w:color w:val="auto"/>
              </w:rPr>
            </w:pPr>
            <w:r>
              <w:rPr>
                <w:rFonts w:ascii="Arial" w:cs="Arial" w:eastAsia="Arial" w:hAnsi="Arial"/>
                <w:sz w:val="16"/>
                <w:szCs w:val="16"/>
                <w:color w:val="auto"/>
              </w:rPr>
              <w:t>Date</w:t>
            </w:r>
          </w:p>
        </w:tc>
        <w:tc>
          <w:tcPr>
            <w:tcW w:w="2800" w:type="dxa"/>
            <w:vAlign w:val="bottom"/>
            <w:gridSpan w:val="3"/>
          </w:tcPr>
          <w:p>
            <w:pPr>
              <w:ind w:left="160"/>
              <w:spacing w:after="0"/>
              <w:rPr>
                <w:sz w:val="20"/>
                <w:szCs w:val="20"/>
                <w:color w:val="auto"/>
              </w:rPr>
            </w:pPr>
            <w:r>
              <w:rPr>
                <w:rFonts w:ascii="Arial" w:cs="Arial" w:eastAsia="Arial" w:hAnsi="Arial"/>
                <w:sz w:val="16"/>
                <w:szCs w:val="16"/>
                <w:color w:val="auto"/>
              </w:rPr>
              <w:t>21 December 2018</w:t>
            </w:r>
          </w:p>
        </w:tc>
        <w:tc>
          <w:tcPr>
            <w:tcW w:w="2580" w:type="dxa"/>
            <w:vAlign w:val="bottom"/>
          </w:tcPr>
          <w:p>
            <w:pPr>
              <w:spacing w:after="0"/>
              <w:rPr>
                <w:sz w:val="24"/>
                <w:szCs w:val="24"/>
                <w:color w:val="auto"/>
              </w:rPr>
            </w:pPr>
          </w:p>
        </w:tc>
      </w:tr>
      <w:tr>
        <w:trPr>
          <w:trHeight w:val="383"/>
        </w:trPr>
        <w:tc>
          <w:tcPr>
            <w:tcW w:w="52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BICYCLE THERAPEUTICS LIMITED</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802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74" w:name="page375"/>
    <w:bookmarkEnd w:id="374"/>
    <w:p>
      <w:pPr>
        <w:spacing w:after="0"/>
        <w:tabs>
          <w:tab w:leader="none" w:pos="5560" w:val="left"/>
          <w:tab w:leader="none" w:pos="6200" w:val="left"/>
        </w:tabs>
        <w:rPr>
          <w:sz w:val="20"/>
          <w:szCs w:val="20"/>
          <w:color w:val="auto"/>
        </w:rPr>
      </w:pPr>
      <w:r>
        <w:rPr>
          <w:rFonts w:ascii="Arial" w:cs="Arial" w:eastAsia="Arial" w:hAnsi="Arial"/>
          <w:sz w:val="16"/>
          <w:szCs w:val="16"/>
          <w:color w:val="auto"/>
        </w:rPr>
        <w:t>/s/ [ILLEGIBLE]</w:t>
      </w:r>
      <w:r>
        <w:rPr>
          <w:sz w:val="20"/>
          <w:szCs w:val="20"/>
          <w:color w:val="auto"/>
        </w:rPr>
        <w:tab/>
      </w: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21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25932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AQUILA INVESTMENTS IV</w:t>
      </w:r>
    </w:p>
    <w:p>
      <w:pPr>
        <w:spacing w:after="0" w:line="211" w:lineRule="exact"/>
        <w:rPr>
          <w:sz w:val="20"/>
          <w:szCs w:val="20"/>
          <w:color w:val="auto"/>
        </w:rPr>
      </w:pPr>
    </w:p>
    <w:p>
      <w:pPr>
        <w:jc w:val="right"/>
        <w:ind w:right="27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Registration Rights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802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219"/>
          </w:cols>
          <w:pgMar w:left="240" w:top="322" w:right="1440" w:bottom="1440" w:gutter="0" w:footer="0" w:header="0"/>
        </w:sectPr>
      </w:pPr>
    </w:p>
    <w:bookmarkStart w:id="375" w:name="page376"/>
    <w:bookmarkEnd w:id="375"/>
    <w:p>
      <w:pPr>
        <w:jc w:val="right"/>
        <w:spacing w:after="0"/>
        <w:rPr>
          <w:sz w:val="20"/>
          <w:szCs w:val="20"/>
          <w:color w:val="auto"/>
        </w:rPr>
      </w:pPr>
      <w:r>
        <w:rPr>
          <w:rFonts w:ascii="Arial" w:cs="Arial" w:eastAsia="Arial" w:hAnsi="Arial"/>
          <w:sz w:val="16"/>
          <w:szCs w:val="16"/>
          <w:b w:val="1"/>
          <w:bCs w:val="1"/>
          <w:color w:val="auto"/>
        </w:rPr>
        <w:t>Exhibit 10.2</w:t>
      </w:r>
    </w:p>
    <w:p>
      <w:pPr>
        <w:spacing w:after="0" w:line="20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BICYCLE THERAPEUTICS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204470</wp:posOffset>
            </wp:positionV>
            <wp:extent cx="1824355"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SHARE OPTION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204470</wp:posOffset>
            </wp:positionV>
            <wp:extent cx="1824355"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824355" cy="7620"/>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457835</wp:posOffset>
            </wp:positionV>
            <wp:extent cx="72802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240"/>
          </w:cols>
          <w:pgMar w:left="1440" w:top="343" w:right="219" w:bottom="1440" w:gutter="0" w:footer="0" w:header="0"/>
        </w:sectPr>
      </w:pPr>
    </w:p>
    <w:bookmarkStart w:id="376" w:name="page377"/>
    <w:bookmarkEnd w:id="376"/>
    <w:p>
      <w:pPr>
        <w:ind w:left="2"/>
        <w:spacing w:after="0"/>
        <w:tabs>
          <w:tab w:leader="none" w:pos="4422" w:val="left"/>
        </w:tabs>
        <w:rPr>
          <w:sz w:val="20"/>
          <w:szCs w:val="20"/>
          <w:color w:val="auto"/>
        </w:rPr>
      </w:pPr>
      <w:r>
        <w:rPr>
          <w:rFonts w:ascii="Arial" w:cs="Arial" w:eastAsia="Arial" w:hAnsi="Arial"/>
          <w:sz w:val="16"/>
          <w:szCs w:val="16"/>
          <w:b w:val="1"/>
          <w:bCs w:val="1"/>
          <w:color w:val="auto"/>
        </w:rPr>
        <w:t xml:space="preserve">THIS SHARE OPTION CONTRACT </w:t>
      </w:r>
      <w:r>
        <w:rPr>
          <w:rFonts w:ascii="Arial" w:cs="Arial" w:eastAsia="Arial" w:hAnsi="Arial"/>
          <w:sz w:val="16"/>
          <w:szCs w:val="16"/>
          <w:color w:val="auto"/>
        </w:rPr>
        <w:t>is made the</w:t>
      </w:r>
      <w:r>
        <w:rPr>
          <w:sz w:val="20"/>
          <w:szCs w:val="20"/>
          <w:color w:val="auto"/>
        </w:rPr>
        <w:tab/>
      </w:r>
      <w:r>
        <w:rPr>
          <w:rFonts w:ascii="Arial" w:cs="Arial" w:eastAsia="Arial" w:hAnsi="Arial"/>
          <w:sz w:val="16"/>
          <w:szCs w:val="16"/>
          <w:color w:val="auto"/>
        </w:rPr>
        <w:t xml:space="preserve">2018 </w:t>
      </w:r>
      <w:r>
        <w:rPr>
          <w:rFonts w:ascii="Arial" w:cs="Arial" w:eastAsia="Arial" w:hAnsi="Arial"/>
          <w:sz w:val="16"/>
          <w:szCs w:val="16"/>
          <w:b w:val="1"/>
          <w:bCs w:val="1"/>
          <w:color w:val="auto"/>
        </w:rPr>
        <w:t>BETWEEN:</w:t>
      </w:r>
    </w:p>
    <w:p>
      <w:pPr>
        <w:spacing w:after="0" w:line="207" w:lineRule="exact"/>
        <w:rPr>
          <w:sz w:val="20"/>
          <w:szCs w:val="20"/>
          <w:color w:val="auto"/>
        </w:rPr>
      </w:pPr>
    </w:p>
    <w:p>
      <w:pPr>
        <w:ind w:left="582" w:right="100" w:hanging="582"/>
        <w:spacing w:after="0" w:line="290" w:lineRule="auto"/>
        <w:tabs>
          <w:tab w:leader="none" w:pos="589" w:val="left"/>
        </w:tabs>
        <w:numPr>
          <w:ilvl w:val="0"/>
          <w:numId w:val="256"/>
        </w:numPr>
        <w:rPr>
          <w:rFonts w:ascii="Arial" w:cs="Arial" w:eastAsia="Arial" w:hAnsi="Arial"/>
          <w:sz w:val="16"/>
          <w:szCs w:val="16"/>
          <w:color w:val="auto"/>
        </w:rPr>
      </w:pPr>
      <w:r>
        <w:rPr>
          <w:rFonts w:ascii="Arial" w:cs="Arial" w:eastAsia="Arial" w:hAnsi="Arial"/>
          <w:sz w:val="16"/>
          <w:szCs w:val="16"/>
          <w:b w:val="1"/>
          <w:bCs w:val="1"/>
          <w:color w:val="auto"/>
        </w:rPr>
        <w:t xml:space="preserve">BICYCLE THERAPEUTICS LIMITED, </w:t>
      </w:r>
      <w:r>
        <w:rPr>
          <w:rFonts w:ascii="Arial" w:cs="Arial" w:eastAsia="Arial" w:hAnsi="Arial"/>
          <w:sz w:val="16"/>
          <w:szCs w:val="16"/>
          <w:color w:val="auto"/>
        </w:rPr>
        <w:t>registered in England and Wales with number 11036004, whose registered office is at Building 900, Babraham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Campus, Babraham, Cambridge CB22 3AT (the </w:t>
      </w:r>
      <w:r>
        <w:rPr>
          <w:rFonts w:ascii="Arial" w:cs="Arial" w:eastAsia="Arial" w:hAnsi="Arial"/>
          <w:sz w:val="16"/>
          <w:szCs w:val="16"/>
          <w:b w:val="1"/>
          <w:bCs w:val="1"/>
          <w:color w:val="auto"/>
        </w:rPr>
        <w:t>“Company</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and</w:t>
      </w:r>
    </w:p>
    <w:p>
      <w:pPr>
        <w:spacing w:after="0" w:line="142" w:lineRule="exact"/>
        <w:rPr>
          <w:rFonts w:ascii="Arial" w:cs="Arial" w:eastAsia="Arial" w:hAnsi="Arial"/>
          <w:sz w:val="16"/>
          <w:szCs w:val="16"/>
          <w:color w:val="auto"/>
        </w:rPr>
      </w:pPr>
    </w:p>
    <w:p>
      <w:pPr>
        <w:ind w:left="602" w:hanging="602"/>
        <w:spacing w:after="0"/>
        <w:tabs>
          <w:tab w:leader="none" w:pos="602" w:val="left"/>
        </w:tabs>
        <w:numPr>
          <w:ilvl w:val="0"/>
          <w:numId w:val="256"/>
        </w:numPr>
        <w:rPr>
          <w:rFonts w:ascii="Arial" w:cs="Arial" w:eastAsia="Arial" w:hAnsi="Arial"/>
          <w:sz w:val="16"/>
          <w:szCs w:val="16"/>
          <w:color w:val="auto"/>
        </w:rPr>
      </w:pPr>
      <w:r>
        <w:rPr>
          <w:rFonts w:ascii="Arial" w:cs="Arial" w:eastAsia="Arial" w:hAnsi="Arial"/>
          <w:sz w:val="16"/>
          <w:szCs w:val="16"/>
          <w:b w:val="1"/>
          <w:bCs w:val="1"/>
          <w:color w:val="auto"/>
        </w:rPr>
        <w:t xml:space="preserve">The person whose name and address is set out in Schedule 1 </w:t>
      </w:r>
      <w:r>
        <w:rPr>
          <w:rFonts w:ascii="Arial" w:cs="Arial" w:eastAsia="Arial" w:hAnsi="Arial"/>
          <w:sz w:val="16"/>
          <w:szCs w:val="16"/>
          <w:color w:val="auto"/>
        </w:rPr>
        <w:t>(the</w:t>
      </w:r>
      <w:r>
        <w:rPr>
          <w:rFonts w:ascii="Arial" w:cs="Arial" w:eastAsia="Arial" w:hAnsi="Arial"/>
          <w:sz w:val="16"/>
          <w:szCs w:val="16"/>
          <w:b w:val="1"/>
          <w:bCs w:val="1"/>
          <w:color w:val="auto"/>
        </w:rPr>
        <w:t xml:space="preserve"> “Option Holder</w:t>
      </w:r>
      <w:r>
        <w:rPr>
          <w:rFonts w:ascii="Arial" w:cs="Arial" w:eastAsia="Arial" w:hAnsi="Arial"/>
          <w:sz w:val="16"/>
          <w:szCs w:val="16"/>
          <w:color w:val="auto"/>
        </w:rPr>
        <w:t>”)</w:t>
      </w:r>
    </w:p>
    <w:p>
      <w:pPr>
        <w:spacing w:after="0" w:line="207" w:lineRule="exact"/>
        <w:rPr>
          <w:sz w:val="20"/>
          <w:szCs w:val="20"/>
          <w:color w:val="auto"/>
        </w:rPr>
      </w:pPr>
    </w:p>
    <w:p>
      <w:pPr>
        <w:ind w:left="582" w:hanging="582"/>
        <w:spacing w:after="0"/>
        <w:tabs>
          <w:tab w:leader="none" w:pos="582" w:val="left"/>
        </w:tabs>
        <w:numPr>
          <w:ilvl w:val="0"/>
          <w:numId w:val="257"/>
        </w:numPr>
        <w:rPr>
          <w:rFonts w:ascii="Arial" w:cs="Arial" w:eastAsia="Arial" w:hAnsi="Arial"/>
          <w:sz w:val="16"/>
          <w:szCs w:val="16"/>
          <w:color w:val="auto"/>
        </w:rPr>
      </w:pPr>
      <w:r>
        <w:rPr>
          <w:rFonts w:ascii="Arial" w:cs="Arial" w:eastAsia="Arial" w:hAnsi="Arial"/>
          <w:sz w:val="16"/>
          <w:szCs w:val="16"/>
          <w:b w:val="1"/>
          <w:bCs w:val="1"/>
          <w:color w:val="auto"/>
        </w:rPr>
        <w:t>INTERPRETATION</w:t>
      </w:r>
    </w:p>
    <w:p>
      <w:pPr>
        <w:spacing w:after="0" w:line="211"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400" w:type="dxa"/>
            <w:vAlign w:val="bottom"/>
          </w:tcPr>
          <w:p>
            <w:pPr>
              <w:jc w:val="right"/>
              <w:ind w:right="119"/>
              <w:spacing w:after="0"/>
              <w:rPr>
                <w:sz w:val="20"/>
                <w:szCs w:val="20"/>
                <w:color w:val="auto"/>
              </w:rPr>
            </w:pPr>
            <w:r>
              <w:rPr>
                <w:rFonts w:ascii="Arial" w:cs="Arial" w:eastAsia="Arial" w:hAnsi="Arial"/>
                <w:sz w:val="16"/>
                <w:szCs w:val="16"/>
                <w:color w:val="auto"/>
                <w:w w:val="80"/>
              </w:rPr>
              <w:t>1.1</w:t>
            </w:r>
          </w:p>
        </w:tc>
        <w:tc>
          <w:tcPr>
            <w:tcW w:w="4000" w:type="dxa"/>
            <w:vAlign w:val="bottom"/>
          </w:tcPr>
          <w:p>
            <w:pPr>
              <w:ind w:left="180"/>
              <w:spacing w:after="0"/>
              <w:rPr>
                <w:sz w:val="20"/>
                <w:szCs w:val="20"/>
                <w:color w:val="auto"/>
              </w:rPr>
            </w:pPr>
            <w:r>
              <w:rPr>
                <w:rFonts w:ascii="Arial" w:cs="Arial" w:eastAsia="Arial" w:hAnsi="Arial"/>
                <w:sz w:val="16"/>
                <w:szCs w:val="16"/>
                <w:color w:val="auto"/>
              </w:rPr>
              <w:t>In this Share Option Contract:-</w:t>
            </w:r>
          </w:p>
        </w:tc>
        <w:tc>
          <w:tcPr>
            <w:tcW w:w="7060" w:type="dxa"/>
            <w:vAlign w:val="bottom"/>
          </w:tcPr>
          <w:p>
            <w:pPr>
              <w:spacing w:after="0"/>
              <w:rPr>
                <w:sz w:val="18"/>
                <w:szCs w:val="18"/>
                <w:color w:val="auto"/>
              </w:rPr>
            </w:pPr>
          </w:p>
        </w:tc>
      </w:tr>
      <w:tr>
        <w:trPr>
          <w:trHeight w:val="391"/>
        </w:trPr>
        <w:tc>
          <w:tcPr>
            <w:tcW w:w="40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Arial" w:cs="Arial" w:eastAsia="Arial" w:hAnsi="Arial"/>
                <w:sz w:val="16"/>
                <w:szCs w:val="16"/>
                <w:b w:val="1"/>
                <w:bCs w:val="1"/>
                <w:color w:val="auto"/>
              </w:rPr>
              <w:t>“Accountants”</w:t>
            </w:r>
          </w:p>
        </w:tc>
        <w:tc>
          <w:tcPr>
            <w:tcW w:w="7060" w:type="dxa"/>
            <w:vAlign w:val="bottom"/>
          </w:tcPr>
          <w:p>
            <w:pPr>
              <w:ind w:left="1240"/>
              <w:spacing w:after="0"/>
              <w:rPr>
                <w:sz w:val="20"/>
                <w:szCs w:val="20"/>
                <w:color w:val="auto"/>
              </w:rPr>
            </w:pPr>
            <w:r>
              <w:rPr>
                <w:rFonts w:ascii="Arial" w:cs="Arial" w:eastAsia="Arial" w:hAnsi="Arial"/>
                <w:sz w:val="16"/>
                <w:szCs w:val="16"/>
                <w:color w:val="auto"/>
              </w:rPr>
              <w:t>means the Company’s accountants from time to time</w:t>
            </w:r>
          </w:p>
        </w:tc>
      </w:tr>
      <w:tr>
        <w:trPr>
          <w:trHeight w:val="391"/>
        </w:trPr>
        <w:tc>
          <w:tcPr>
            <w:tcW w:w="40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Arial" w:cs="Arial" w:eastAsia="Arial" w:hAnsi="Arial"/>
                <w:sz w:val="16"/>
                <w:szCs w:val="16"/>
                <w:b w:val="1"/>
                <w:bCs w:val="1"/>
                <w:color w:val="auto"/>
              </w:rPr>
              <w:t>“Acquiring Company”</w:t>
            </w:r>
          </w:p>
        </w:tc>
        <w:tc>
          <w:tcPr>
            <w:tcW w:w="7060" w:type="dxa"/>
            <w:vAlign w:val="bottom"/>
          </w:tcPr>
          <w:p>
            <w:pPr>
              <w:ind w:left="1240"/>
              <w:spacing w:after="0"/>
              <w:rPr>
                <w:sz w:val="20"/>
                <w:szCs w:val="20"/>
                <w:color w:val="auto"/>
              </w:rPr>
            </w:pPr>
            <w:r>
              <w:rPr>
                <w:rFonts w:ascii="Arial" w:cs="Arial" w:eastAsia="Arial" w:hAnsi="Arial"/>
                <w:sz w:val="16"/>
                <w:szCs w:val="16"/>
                <w:color w:val="auto"/>
              </w:rPr>
              <w:t>means a company which has acquired Control of the Company</w:t>
            </w:r>
          </w:p>
        </w:tc>
      </w:tr>
      <w:tr>
        <w:trPr>
          <w:trHeight w:val="380"/>
        </w:trPr>
        <w:tc>
          <w:tcPr>
            <w:tcW w:w="40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Arial" w:cs="Arial" w:eastAsia="Arial" w:hAnsi="Arial"/>
                <w:sz w:val="16"/>
                <w:szCs w:val="16"/>
                <w:b w:val="1"/>
                <w:bCs w:val="1"/>
                <w:color w:val="auto"/>
              </w:rPr>
              <w:t>“Admission”</w:t>
            </w:r>
          </w:p>
        </w:tc>
        <w:tc>
          <w:tcPr>
            <w:tcW w:w="7060" w:type="dxa"/>
            <w:vAlign w:val="bottom"/>
          </w:tcPr>
          <w:p>
            <w:pPr>
              <w:ind w:left="1240"/>
              <w:spacing w:after="0"/>
              <w:rPr>
                <w:sz w:val="20"/>
                <w:szCs w:val="20"/>
                <w:color w:val="auto"/>
              </w:rPr>
            </w:pPr>
            <w:r>
              <w:rPr>
                <w:rFonts w:ascii="Arial" w:cs="Arial" w:eastAsia="Arial" w:hAnsi="Arial"/>
                <w:sz w:val="16"/>
                <w:szCs w:val="16"/>
                <w:color w:val="auto"/>
              </w:rPr>
              <w:t>the admission of all or any of the Ordinary Shares or securities representing those</w:t>
            </w:r>
          </w:p>
        </w:tc>
      </w:tr>
      <w:tr>
        <w:trPr>
          <w:trHeight w:val="196"/>
        </w:trPr>
        <w:tc>
          <w:tcPr>
            <w:tcW w:w="4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060" w:type="dxa"/>
            <w:vAlign w:val="bottom"/>
          </w:tcPr>
          <w:p>
            <w:pPr>
              <w:ind w:left="1240"/>
              <w:spacing w:after="0"/>
              <w:rPr>
                <w:sz w:val="20"/>
                <w:szCs w:val="20"/>
                <w:color w:val="auto"/>
              </w:rPr>
            </w:pPr>
            <w:r>
              <w:rPr>
                <w:rFonts w:ascii="Arial" w:cs="Arial" w:eastAsia="Arial" w:hAnsi="Arial"/>
                <w:sz w:val="16"/>
                <w:szCs w:val="16"/>
                <w:color w:val="auto"/>
              </w:rPr>
              <w:t>shares (including without limitation American depositary receipts, American</w:t>
            </w:r>
          </w:p>
        </w:tc>
      </w:tr>
      <w:tr>
        <w:trPr>
          <w:trHeight w:val="196"/>
        </w:trPr>
        <w:tc>
          <w:tcPr>
            <w:tcW w:w="4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060" w:type="dxa"/>
            <w:vAlign w:val="bottom"/>
          </w:tcPr>
          <w:p>
            <w:pPr>
              <w:ind w:left="1240"/>
              <w:spacing w:after="0"/>
              <w:rPr>
                <w:sz w:val="20"/>
                <w:szCs w:val="20"/>
                <w:color w:val="auto"/>
              </w:rPr>
            </w:pPr>
            <w:r>
              <w:rPr>
                <w:rFonts w:ascii="Arial" w:cs="Arial" w:eastAsia="Arial" w:hAnsi="Arial"/>
                <w:sz w:val="16"/>
                <w:szCs w:val="16"/>
                <w:color w:val="auto"/>
                <w:w w:val="97"/>
              </w:rPr>
              <w:t>depositary shares and/or other instruments) to or the grant of permission by any like</w:t>
            </w:r>
          </w:p>
        </w:tc>
      </w:tr>
      <w:tr>
        <w:trPr>
          <w:trHeight w:val="196"/>
        </w:trPr>
        <w:tc>
          <w:tcPr>
            <w:tcW w:w="4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060" w:type="dxa"/>
            <w:vAlign w:val="bottom"/>
          </w:tcPr>
          <w:p>
            <w:pPr>
              <w:ind w:left="1240"/>
              <w:spacing w:after="0"/>
              <w:rPr>
                <w:sz w:val="20"/>
                <w:szCs w:val="20"/>
                <w:color w:val="auto"/>
              </w:rPr>
            </w:pPr>
            <w:r>
              <w:rPr>
                <w:rFonts w:ascii="Arial" w:cs="Arial" w:eastAsia="Arial" w:hAnsi="Arial"/>
                <w:sz w:val="16"/>
                <w:szCs w:val="16"/>
                <w:color w:val="auto"/>
                <w:w w:val="97"/>
              </w:rPr>
              <w:t>authority for the same to be traded or quoted on Nasdaq or on the Official List of the</w:t>
            </w:r>
          </w:p>
        </w:tc>
      </w:tr>
      <w:tr>
        <w:trPr>
          <w:trHeight w:val="196"/>
        </w:trPr>
        <w:tc>
          <w:tcPr>
            <w:tcW w:w="4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060" w:type="dxa"/>
            <w:vAlign w:val="bottom"/>
          </w:tcPr>
          <w:p>
            <w:pPr>
              <w:ind w:left="1240"/>
              <w:spacing w:after="0"/>
              <w:rPr>
                <w:sz w:val="20"/>
                <w:szCs w:val="20"/>
                <w:color w:val="auto"/>
              </w:rPr>
            </w:pPr>
            <w:r>
              <w:rPr>
                <w:rFonts w:ascii="Arial" w:cs="Arial" w:eastAsia="Arial" w:hAnsi="Arial"/>
                <w:sz w:val="16"/>
                <w:szCs w:val="16"/>
                <w:color w:val="auto"/>
              </w:rPr>
              <w:t>United Kingdom Listing Authority or on the AIM operated by the London Stock</w:t>
            </w:r>
          </w:p>
        </w:tc>
      </w:tr>
      <w:tr>
        <w:trPr>
          <w:trHeight w:val="196"/>
        </w:trPr>
        <w:tc>
          <w:tcPr>
            <w:tcW w:w="4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060" w:type="dxa"/>
            <w:vAlign w:val="bottom"/>
          </w:tcPr>
          <w:p>
            <w:pPr>
              <w:ind w:left="1240"/>
              <w:spacing w:after="0"/>
              <w:rPr>
                <w:sz w:val="20"/>
                <w:szCs w:val="20"/>
                <w:color w:val="auto"/>
              </w:rPr>
            </w:pPr>
            <w:r>
              <w:rPr>
                <w:rFonts w:ascii="Arial" w:cs="Arial" w:eastAsia="Arial" w:hAnsi="Arial"/>
                <w:sz w:val="16"/>
                <w:szCs w:val="16"/>
                <w:color w:val="auto"/>
                <w:w w:val="99"/>
              </w:rPr>
              <w:t>Exchange Plc or any other recognised investment exchange (as defined in section</w:t>
            </w:r>
          </w:p>
        </w:tc>
      </w:tr>
      <w:tr>
        <w:trPr>
          <w:trHeight w:val="207"/>
        </w:trPr>
        <w:tc>
          <w:tcPr>
            <w:tcW w:w="4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Arial" w:cs="Arial" w:eastAsia="Arial" w:hAnsi="Arial"/>
                <w:sz w:val="16"/>
                <w:szCs w:val="16"/>
                <w:color w:val="auto"/>
              </w:rPr>
              <w:t>285 of the Financial Services and Markets Act 2000)</w:t>
            </w:r>
          </w:p>
        </w:tc>
      </w:tr>
      <w:tr>
        <w:trPr>
          <w:trHeight w:val="391"/>
        </w:trPr>
        <w:tc>
          <w:tcPr>
            <w:tcW w:w="40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Arial" w:cs="Arial" w:eastAsia="Arial" w:hAnsi="Arial"/>
                <w:sz w:val="16"/>
                <w:szCs w:val="16"/>
                <w:b w:val="1"/>
                <w:bCs w:val="1"/>
                <w:color w:val="auto"/>
              </w:rPr>
              <w:t>“Agent”</w:t>
            </w:r>
          </w:p>
        </w:tc>
        <w:tc>
          <w:tcPr>
            <w:tcW w:w="7060" w:type="dxa"/>
            <w:vAlign w:val="bottom"/>
          </w:tcPr>
          <w:p>
            <w:pPr>
              <w:ind w:left="1240"/>
              <w:spacing w:after="0"/>
              <w:rPr>
                <w:sz w:val="20"/>
                <w:szCs w:val="20"/>
                <w:color w:val="auto"/>
              </w:rPr>
            </w:pPr>
            <w:r>
              <w:rPr>
                <w:rFonts w:ascii="Arial" w:cs="Arial" w:eastAsia="Arial" w:hAnsi="Arial"/>
                <w:sz w:val="16"/>
                <w:szCs w:val="16"/>
                <w:color w:val="auto"/>
              </w:rPr>
              <w:t>means the person acting as the Option Holder’s agent under Clauses 5 or 10</w:t>
            </w:r>
          </w:p>
        </w:tc>
      </w:tr>
      <w:tr>
        <w:trPr>
          <w:trHeight w:val="391"/>
        </w:trPr>
        <w:tc>
          <w:tcPr>
            <w:tcW w:w="40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Arial" w:cs="Arial" w:eastAsia="Arial" w:hAnsi="Arial"/>
                <w:sz w:val="16"/>
                <w:szCs w:val="16"/>
                <w:b w:val="1"/>
                <w:bCs w:val="1"/>
                <w:color w:val="auto"/>
              </w:rPr>
              <w:t>“AIM”</w:t>
            </w:r>
          </w:p>
        </w:tc>
        <w:tc>
          <w:tcPr>
            <w:tcW w:w="7060" w:type="dxa"/>
            <w:vAlign w:val="bottom"/>
          </w:tcPr>
          <w:p>
            <w:pPr>
              <w:ind w:left="1240"/>
              <w:spacing w:after="0"/>
              <w:rPr>
                <w:sz w:val="20"/>
                <w:szCs w:val="20"/>
                <w:color w:val="auto"/>
              </w:rPr>
            </w:pPr>
            <w:r>
              <w:rPr>
                <w:rFonts w:ascii="Arial" w:cs="Arial" w:eastAsia="Arial" w:hAnsi="Arial"/>
                <w:sz w:val="16"/>
                <w:szCs w:val="16"/>
                <w:color w:val="auto"/>
              </w:rPr>
              <w:t>means a market operated by London Stock Exchange plc known as AIM</w:t>
            </w:r>
          </w:p>
        </w:tc>
      </w:tr>
      <w:tr>
        <w:trPr>
          <w:trHeight w:val="391"/>
        </w:trPr>
        <w:tc>
          <w:tcPr>
            <w:tcW w:w="40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Arial" w:cs="Arial" w:eastAsia="Arial" w:hAnsi="Arial"/>
                <w:sz w:val="16"/>
                <w:szCs w:val="16"/>
                <w:b w:val="1"/>
                <w:bCs w:val="1"/>
                <w:color w:val="auto"/>
              </w:rPr>
              <w:t>“Articles”</w:t>
            </w:r>
          </w:p>
        </w:tc>
        <w:tc>
          <w:tcPr>
            <w:tcW w:w="7060" w:type="dxa"/>
            <w:vAlign w:val="bottom"/>
          </w:tcPr>
          <w:p>
            <w:pPr>
              <w:ind w:left="1240"/>
              <w:spacing w:after="0"/>
              <w:rPr>
                <w:sz w:val="20"/>
                <w:szCs w:val="20"/>
                <w:color w:val="auto"/>
              </w:rPr>
            </w:pPr>
            <w:r>
              <w:rPr>
                <w:rFonts w:ascii="Arial" w:cs="Arial" w:eastAsia="Arial" w:hAnsi="Arial"/>
                <w:sz w:val="16"/>
                <w:szCs w:val="16"/>
                <w:color w:val="auto"/>
              </w:rPr>
              <w:t>means the articles of association of the Company for the time being in force</w:t>
            </w:r>
          </w:p>
        </w:tc>
      </w:tr>
      <w:tr>
        <w:trPr>
          <w:trHeight w:val="380"/>
        </w:trPr>
        <w:tc>
          <w:tcPr>
            <w:tcW w:w="40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Arial" w:cs="Arial" w:eastAsia="Arial" w:hAnsi="Arial"/>
                <w:sz w:val="16"/>
                <w:szCs w:val="16"/>
                <w:b w:val="1"/>
                <w:bCs w:val="1"/>
                <w:color w:val="auto"/>
              </w:rPr>
              <w:t>“Assets Sale”</w:t>
            </w:r>
          </w:p>
        </w:tc>
        <w:tc>
          <w:tcPr>
            <w:tcW w:w="7060" w:type="dxa"/>
            <w:vAlign w:val="bottom"/>
          </w:tcPr>
          <w:p>
            <w:pPr>
              <w:ind w:left="1240"/>
              <w:spacing w:after="0"/>
              <w:rPr>
                <w:sz w:val="20"/>
                <w:szCs w:val="20"/>
                <w:color w:val="auto"/>
              </w:rPr>
            </w:pPr>
            <w:r>
              <w:rPr>
                <w:rFonts w:ascii="Arial" w:cs="Arial" w:eastAsia="Arial" w:hAnsi="Arial"/>
                <w:sz w:val="16"/>
                <w:szCs w:val="16"/>
                <w:color w:val="auto"/>
              </w:rPr>
              <w:t>means an unconditional agreement being entered into for the sale of the whole or</w:t>
            </w:r>
          </w:p>
        </w:tc>
      </w:tr>
      <w:tr>
        <w:trPr>
          <w:trHeight w:val="207"/>
        </w:trPr>
        <w:tc>
          <w:tcPr>
            <w:tcW w:w="4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Arial" w:cs="Arial" w:eastAsia="Arial" w:hAnsi="Arial"/>
                <w:sz w:val="16"/>
                <w:szCs w:val="16"/>
                <w:color w:val="auto"/>
              </w:rPr>
              <w:t>substantially the whole of the trade and assets of the Group</w:t>
            </w:r>
          </w:p>
        </w:tc>
      </w:tr>
      <w:tr>
        <w:trPr>
          <w:trHeight w:val="380"/>
        </w:trPr>
        <w:tc>
          <w:tcPr>
            <w:tcW w:w="40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Arial" w:cs="Arial" w:eastAsia="Arial" w:hAnsi="Arial"/>
                <w:sz w:val="16"/>
                <w:szCs w:val="16"/>
                <w:b w:val="1"/>
                <w:bCs w:val="1"/>
                <w:color w:val="auto"/>
              </w:rPr>
              <w:t>“Bad Leaver”</w:t>
            </w:r>
          </w:p>
        </w:tc>
        <w:tc>
          <w:tcPr>
            <w:tcW w:w="7060" w:type="dxa"/>
            <w:vAlign w:val="bottom"/>
          </w:tcPr>
          <w:p>
            <w:pPr>
              <w:ind w:left="1240"/>
              <w:spacing w:after="0"/>
              <w:rPr>
                <w:sz w:val="20"/>
                <w:szCs w:val="20"/>
                <w:color w:val="auto"/>
              </w:rPr>
            </w:pPr>
            <w:r>
              <w:rPr>
                <w:rFonts w:ascii="Arial" w:cs="Arial" w:eastAsia="Arial" w:hAnsi="Arial"/>
                <w:sz w:val="16"/>
                <w:szCs w:val="16"/>
                <w:color w:val="auto"/>
                <w:w w:val="99"/>
              </w:rPr>
              <w:t>an Employee whose employment or consultancy is terminated by a member of the</w:t>
            </w:r>
          </w:p>
        </w:tc>
      </w:tr>
      <w:tr>
        <w:trPr>
          <w:trHeight w:val="196"/>
        </w:trPr>
        <w:tc>
          <w:tcPr>
            <w:tcW w:w="4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060" w:type="dxa"/>
            <w:vAlign w:val="bottom"/>
          </w:tcPr>
          <w:p>
            <w:pPr>
              <w:ind w:left="1240"/>
              <w:spacing w:after="0"/>
              <w:rPr>
                <w:sz w:val="20"/>
                <w:szCs w:val="20"/>
                <w:color w:val="auto"/>
              </w:rPr>
            </w:pPr>
            <w:r>
              <w:rPr>
                <w:rFonts w:ascii="Arial" w:cs="Arial" w:eastAsia="Arial" w:hAnsi="Arial"/>
                <w:sz w:val="16"/>
                <w:szCs w:val="16"/>
                <w:color w:val="auto"/>
              </w:rPr>
              <w:t>Group either in circumstances which justify summary dismissal under the relevant</w:t>
            </w:r>
          </w:p>
        </w:tc>
      </w:tr>
      <w:tr>
        <w:trPr>
          <w:trHeight w:val="196"/>
        </w:trPr>
        <w:tc>
          <w:tcPr>
            <w:tcW w:w="4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060" w:type="dxa"/>
            <w:vAlign w:val="bottom"/>
          </w:tcPr>
          <w:p>
            <w:pPr>
              <w:ind w:left="1240"/>
              <w:spacing w:after="0"/>
              <w:rPr>
                <w:sz w:val="20"/>
                <w:szCs w:val="20"/>
                <w:color w:val="auto"/>
              </w:rPr>
            </w:pPr>
            <w:r>
              <w:rPr>
                <w:rFonts w:ascii="Arial" w:cs="Arial" w:eastAsia="Arial" w:hAnsi="Arial"/>
                <w:sz w:val="16"/>
                <w:szCs w:val="16"/>
                <w:color w:val="auto"/>
              </w:rPr>
              <w:t>service contract or as a result of the breach by the Employee of any Restrictive</w:t>
            </w:r>
          </w:p>
        </w:tc>
      </w:tr>
      <w:tr>
        <w:trPr>
          <w:trHeight w:val="196"/>
        </w:trPr>
        <w:tc>
          <w:tcPr>
            <w:tcW w:w="4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060" w:type="dxa"/>
            <w:vAlign w:val="bottom"/>
          </w:tcPr>
          <w:p>
            <w:pPr>
              <w:ind w:left="1240"/>
              <w:spacing w:after="0"/>
              <w:rPr>
                <w:sz w:val="20"/>
                <w:szCs w:val="20"/>
                <w:color w:val="auto"/>
              </w:rPr>
            </w:pPr>
            <w:r>
              <w:rPr>
                <w:rFonts w:ascii="Arial" w:cs="Arial" w:eastAsia="Arial" w:hAnsi="Arial"/>
                <w:sz w:val="16"/>
                <w:szCs w:val="16"/>
                <w:color w:val="auto"/>
                <w:w w:val="96"/>
              </w:rPr>
              <w:t>Covenants in such Employee’s employment or consultancy agreement or any Former</w:t>
            </w:r>
          </w:p>
        </w:tc>
      </w:tr>
      <w:tr>
        <w:trPr>
          <w:trHeight w:val="196"/>
        </w:trPr>
        <w:tc>
          <w:tcPr>
            <w:tcW w:w="4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060" w:type="dxa"/>
            <w:vAlign w:val="bottom"/>
          </w:tcPr>
          <w:p>
            <w:pPr>
              <w:ind w:left="1240"/>
              <w:spacing w:after="0"/>
              <w:rPr>
                <w:sz w:val="20"/>
                <w:szCs w:val="20"/>
                <w:color w:val="auto"/>
              </w:rPr>
            </w:pPr>
            <w:r>
              <w:rPr>
                <w:rFonts w:ascii="Arial" w:cs="Arial" w:eastAsia="Arial" w:hAnsi="Arial"/>
                <w:sz w:val="16"/>
                <w:szCs w:val="16"/>
                <w:color w:val="auto"/>
              </w:rPr>
              <w:t>Employee who breaches any Restrictive Covenants in such Former Employee’s</w:t>
            </w:r>
          </w:p>
        </w:tc>
      </w:tr>
      <w:tr>
        <w:trPr>
          <w:trHeight w:val="207"/>
        </w:trPr>
        <w:tc>
          <w:tcPr>
            <w:tcW w:w="4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060" w:type="dxa"/>
            <w:vAlign w:val="bottom"/>
          </w:tcPr>
          <w:p>
            <w:pPr>
              <w:ind w:left="1240"/>
              <w:spacing w:after="0"/>
              <w:rPr>
                <w:sz w:val="20"/>
                <w:szCs w:val="20"/>
                <w:color w:val="auto"/>
              </w:rPr>
            </w:pPr>
            <w:r>
              <w:rPr>
                <w:rFonts w:ascii="Arial" w:cs="Arial" w:eastAsia="Arial" w:hAnsi="Arial"/>
                <w:sz w:val="16"/>
                <w:szCs w:val="16"/>
                <w:color w:val="auto"/>
              </w:rPr>
              <w:t>employment or consultancy agreement</w:t>
            </w:r>
          </w:p>
        </w:tc>
      </w:tr>
      <w:tr>
        <w:trPr>
          <w:trHeight w:val="391"/>
        </w:trPr>
        <w:tc>
          <w:tcPr>
            <w:tcW w:w="40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Arial" w:cs="Arial" w:eastAsia="Arial" w:hAnsi="Arial"/>
                <w:sz w:val="16"/>
                <w:szCs w:val="16"/>
                <w:b w:val="1"/>
                <w:bCs w:val="1"/>
                <w:color w:val="auto"/>
              </w:rPr>
              <w:t xml:space="preserve">“Control” </w:t>
            </w:r>
            <w:r>
              <w:rPr>
                <w:rFonts w:ascii="Arial" w:cs="Arial" w:eastAsia="Arial" w:hAnsi="Arial"/>
                <w:sz w:val="16"/>
                <w:szCs w:val="16"/>
                <w:color w:val="auto"/>
              </w:rPr>
              <w:t>and</w:t>
            </w:r>
            <w:r>
              <w:rPr>
                <w:rFonts w:ascii="Arial" w:cs="Arial" w:eastAsia="Arial" w:hAnsi="Arial"/>
                <w:sz w:val="16"/>
                <w:szCs w:val="16"/>
                <w:b w:val="1"/>
                <w:bCs w:val="1"/>
                <w:color w:val="auto"/>
              </w:rPr>
              <w:t xml:space="preserve"> “Controlling Interest”</w:t>
            </w:r>
          </w:p>
        </w:tc>
        <w:tc>
          <w:tcPr>
            <w:tcW w:w="7060" w:type="dxa"/>
            <w:vAlign w:val="bottom"/>
          </w:tcPr>
          <w:p>
            <w:pPr>
              <w:ind w:left="1240"/>
              <w:spacing w:after="0"/>
              <w:rPr>
                <w:sz w:val="20"/>
                <w:szCs w:val="20"/>
                <w:color w:val="auto"/>
              </w:rPr>
            </w:pPr>
            <w:r>
              <w:rPr>
                <w:rFonts w:ascii="Arial" w:cs="Arial" w:eastAsia="Arial" w:hAnsi="Arial"/>
                <w:sz w:val="16"/>
                <w:szCs w:val="16"/>
                <w:color w:val="auto"/>
              </w:rPr>
              <w:t>has the meaning given in Section 1124 of the CTA</w:t>
            </w:r>
          </w:p>
        </w:tc>
      </w:tr>
      <w:tr>
        <w:trPr>
          <w:trHeight w:val="315"/>
        </w:trPr>
        <w:tc>
          <w:tcPr>
            <w:tcW w:w="40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7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18" w:right="19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11"/>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“CTA”</w:t>
            </w:r>
          </w:p>
        </w:tc>
        <w:tc>
          <w:tcPr>
            <w:tcW w:w="6980" w:type="dxa"/>
            <w:vAlign w:val="bottom"/>
          </w:tcPr>
          <w:p>
            <w:pPr>
              <w:ind w:left="1160"/>
              <w:spacing w:after="0"/>
              <w:rPr>
                <w:sz w:val="20"/>
                <w:szCs w:val="20"/>
                <w:color w:val="auto"/>
              </w:rPr>
            </w:pPr>
            <w:r>
              <w:rPr>
                <w:rFonts w:ascii="Arial" w:cs="Arial" w:eastAsia="Arial" w:hAnsi="Arial"/>
                <w:sz w:val="16"/>
                <w:szCs w:val="16"/>
                <w:color w:val="auto"/>
              </w:rPr>
              <w:t>means the Corporation Tax Act 2010</w:t>
            </w:r>
          </w:p>
        </w:tc>
      </w:tr>
      <w:tr>
        <w:trPr>
          <w:trHeight w:val="391"/>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“Date of Grant”</w:t>
            </w:r>
          </w:p>
        </w:tc>
        <w:tc>
          <w:tcPr>
            <w:tcW w:w="6980" w:type="dxa"/>
            <w:vAlign w:val="bottom"/>
          </w:tcPr>
          <w:p>
            <w:pPr>
              <w:ind w:left="1160"/>
              <w:spacing w:after="0"/>
              <w:rPr>
                <w:sz w:val="20"/>
                <w:szCs w:val="20"/>
                <w:color w:val="auto"/>
              </w:rPr>
            </w:pPr>
            <w:r>
              <w:rPr>
                <w:rFonts w:ascii="Arial" w:cs="Arial" w:eastAsia="Arial" w:hAnsi="Arial"/>
                <w:sz w:val="16"/>
                <w:szCs w:val="16"/>
                <w:color w:val="auto"/>
              </w:rPr>
              <w:t>has the meaning given to the term in Schedule 1</w:t>
            </w:r>
          </w:p>
        </w:tc>
      </w:tr>
      <w:tr>
        <w:trPr>
          <w:trHeight w:val="380"/>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“Directors”</w:t>
            </w:r>
          </w:p>
        </w:tc>
        <w:tc>
          <w:tcPr>
            <w:tcW w:w="6980" w:type="dxa"/>
            <w:vAlign w:val="bottom"/>
          </w:tcPr>
          <w:p>
            <w:pPr>
              <w:ind w:left="1160"/>
              <w:spacing w:after="0"/>
              <w:rPr>
                <w:sz w:val="20"/>
                <w:szCs w:val="20"/>
                <w:color w:val="auto"/>
              </w:rPr>
            </w:pPr>
            <w:r>
              <w:rPr>
                <w:rFonts w:ascii="Arial" w:cs="Arial" w:eastAsia="Arial" w:hAnsi="Arial"/>
                <w:sz w:val="16"/>
                <w:szCs w:val="16"/>
                <w:color w:val="auto"/>
                <w:w w:val="98"/>
              </w:rPr>
              <w:t>means the board of directors of the Company or a duly authorised committee of the</w:t>
            </w:r>
          </w:p>
        </w:tc>
      </w:tr>
      <w:tr>
        <w:trPr>
          <w:trHeight w:val="207"/>
        </w:trPr>
        <w:tc>
          <w:tcPr>
            <w:tcW w:w="4480" w:type="dxa"/>
            <w:vAlign w:val="bottom"/>
          </w:tcPr>
          <w:p>
            <w:pPr>
              <w:spacing w:after="0"/>
              <w:rPr>
                <w:sz w:val="18"/>
                <w:szCs w:val="18"/>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directors</w:t>
            </w:r>
          </w:p>
        </w:tc>
      </w:tr>
      <w:tr>
        <w:trPr>
          <w:trHeight w:val="380"/>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“Electronic Communication”</w:t>
            </w:r>
          </w:p>
        </w:tc>
        <w:tc>
          <w:tcPr>
            <w:tcW w:w="6980" w:type="dxa"/>
            <w:vAlign w:val="bottom"/>
          </w:tcPr>
          <w:p>
            <w:pPr>
              <w:ind w:left="1160"/>
              <w:spacing w:after="0"/>
              <w:rPr>
                <w:sz w:val="20"/>
                <w:szCs w:val="20"/>
                <w:color w:val="auto"/>
              </w:rPr>
            </w:pPr>
            <w:r>
              <w:rPr>
                <w:rFonts w:ascii="Arial" w:cs="Arial" w:eastAsia="Arial" w:hAnsi="Arial"/>
                <w:sz w:val="16"/>
                <w:szCs w:val="16"/>
                <w:color w:val="auto"/>
                <w:w w:val="97"/>
              </w:rPr>
              <w:t>has the meaning given in section 15 of the Electronic Communications Act 2000 (but</w:t>
            </w:r>
          </w:p>
        </w:tc>
      </w:tr>
      <w:tr>
        <w:trPr>
          <w:trHeight w:val="207"/>
        </w:trPr>
        <w:tc>
          <w:tcPr>
            <w:tcW w:w="4480" w:type="dxa"/>
            <w:vAlign w:val="bottom"/>
          </w:tcPr>
          <w:p>
            <w:pPr>
              <w:spacing w:after="0"/>
              <w:rPr>
                <w:sz w:val="18"/>
                <w:szCs w:val="18"/>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excluding mobile telephone text messages)</w:t>
            </w:r>
          </w:p>
        </w:tc>
      </w:tr>
      <w:tr>
        <w:trPr>
          <w:trHeight w:val="380"/>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“Employee”</w:t>
            </w:r>
          </w:p>
        </w:tc>
        <w:tc>
          <w:tcPr>
            <w:tcW w:w="6980" w:type="dxa"/>
            <w:vAlign w:val="bottom"/>
          </w:tcPr>
          <w:p>
            <w:pPr>
              <w:ind w:left="1160"/>
              <w:spacing w:after="0"/>
              <w:rPr>
                <w:sz w:val="20"/>
                <w:szCs w:val="20"/>
                <w:color w:val="auto"/>
              </w:rPr>
            </w:pPr>
            <w:r>
              <w:rPr>
                <w:rFonts w:ascii="Arial" w:cs="Arial" w:eastAsia="Arial" w:hAnsi="Arial"/>
                <w:sz w:val="16"/>
                <w:szCs w:val="16"/>
                <w:color w:val="auto"/>
                <w:w w:val="96"/>
              </w:rPr>
              <w:t>an individual who is employed by, seconded to or who provides consultancy services</w:t>
            </w:r>
          </w:p>
        </w:tc>
      </w:tr>
      <w:tr>
        <w:trPr>
          <w:trHeight w:val="207"/>
        </w:trPr>
        <w:tc>
          <w:tcPr>
            <w:tcW w:w="4480" w:type="dxa"/>
            <w:vAlign w:val="bottom"/>
          </w:tcPr>
          <w:p>
            <w:pPr>
              <w:spacing w:after="0"/>
              <w:rPr>
                <w:sz w:val="18"/>
                <w:szCs w:val="18"/>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to any member of the Group and any director of any member of the Group</w:t>
            </w:r>
          </w:p>
        </w:tc>
      </w:tr>
      <w:tr>
        <w:trPr>
          <w:trHeight w:val="380"/>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“Employer’s NICs”</w:t>
            </w:r>
          </w:p>
        </w:tc>
        <w:tc>
          <w:tcPr>
            <w:tcW w:w="6980" w:type="dxa"/>
            <w:vAlign w:val="bottom"/>
          </w:tcPr>
          <w:p>
            <w:pPr>
              <w:ind w:left="1160"/>
              <w:spacing w:after="0"/>
              <w:rPr>
                <w:sz w:val="20"/>
                <w:szCs w:val="20"/>
                <w:color w:val="auto"/>
              </w:rPr>
            </w:pPr>
            <w:r>
              <w:rPr>
                <w:rFonts w:ascii="Arial" w:cs="Arial" w:eastAsia="Arial" w:hAnsi="Arial"/>
                <w:sz w:val="16"/>
                <w:szCs w:val="16"/>
                <w:color w:val="auto"/>
                <w:w w:val="98"/>
              </w:rPr>
              <w:t>means the secondary Class I NICs which may be recovered from the Option Holder</w:t>
            </w:r>
          </w:p>
        </w:tc>
      </w:tr>
      <w:tr>
        <w:trPr>
          <w:trHeight w:val="207"/>
        </w:trPr>
        <w:tc>
          <w:tcPr>
            <w:tcW w:w="4480" w:type="dxa"/>
            <w:vAlign w:val="bottom"/>
          </w:tcPr>
          <w:p>
            <w:pPr>
              <w:spacing w:after="0"/>
              <w:rPr>
                <w:sz w:val="18"/>
                <w:szCs w:val="18"/>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or which are the liability of the Option Holder (as mentioned in Clause 10)</w:t>
            </w:r>
          </w:p>
        </w:tc>
      </w:tr>
      <w:tr>
        <w:trPr>
          <w:trHeight w:val="376"/>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“Exchange of Options”</w:t>
            </w:r>
          </w:p>
        </w:tc>
        <w:tc>
          <w:tcPr>
            <w:tcW w:w="6980" w:type="dxa"/>
            <w:vAlign w:val="bottom"/>
          </w:tcPr>
          <w:p>
            <w:pPr>
              <w:ind w:left="1160"/>
              <w:spacing w:after="0"/>
              <w:rPr>
                <w:sz w:val="20"/>
                <w:szCs w:val="20"/>
                <w:color w:val="auto"/>
              </w:rPr>
            </w:pPr>
            <w:r>
              <w:rPr>
                <w:rFonts w:ascii="Arial" w:cs="Arial" w:eastAsia="Arial" w:hAnsi="Arial"/>
                <w:sz w:val="16"/>
                <w:szCs w:val="16"/>
                <w:color w:val="auto"/>
              </w:rPr>
              <w:t>means the grant to the Option Holder, in consideration of the release of his rights</w:t>
            </w:r>
          </w:p>
        </w:tc>
      </w:tr>
      <w:tr>
        <w:trPr>
          <w:trHeight w:val="200"/>
        </w:trPr>
        <w:tc>
          <w:tcPr>
            <w:tcW w:w="4480" w:type="dxa"/>
            <w:vAlign w:val="bottom"/>
          </w:tcPr>
          <w:p>
            <w:pPr>
              <w:spacing w:after="0"/>
              <w:rPr>
                <w:sz w:val="17"/>
                <w:szCs w:val="17"/>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 xml:space="preserve">under this Share Option Contract (the </w:t>
            </w:r>
            <w:r>
              <w:rPr>
                <w:rFonts w:ascii="Arial" w:cs="Arial" w:eastAsia="Arial" w:hAnsi="Arial"/>
                <w:sz w:val="16"/>
                <w:szCs w:val="16"/>
                <w:b w:val="1"/>
                <w:bCs w:val="1"/>
                <w:color w:val="auto"/>
              </w:rPr>
              <w:t>“Old Rights</w:t>
            </w:r>
            <w:r>
              <w:rPr>
                <w:rFonts w:ascii="Arial" w:cs="Arial" w:eastAsia="Arial" w:hAnsi="Arial"/>
                <w:sz w:val="16"/>
                <w:szCs w:val="16"/>
                <w:color w:val="auto"/>
              </w:rPr>
              <w:t>”) of rights to acquire Ordinary</w:t>
            </w:r>
          </w:p>
        </w:tc>
      </w:tr>
      <w:tr>
        <w:trPr>
          <w:trHeight w:val="196"/>
        </w:trPr>
        <w:tc>
          <w:tcPr>
            <w:tcW w:w="4480" w:type="dxa"/>
            <w:vAlign w:val="bottom"/>
          </w:tcPr>
          <w:p>
            <w:pPr>
              <w:spacing w:after="0"/>
              <w:rPr>
                <w:sz w:val="17"/>
                <w:szCs w:val="17"/>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Shares in an Acquiring Company or a company which has control of an Acquiring</w:t>
            </w:r>
          </w:p>
        </w:tc>
      </w:tr>
      <w:tr>
        <w:trPr>
          <w:trHeight w:val="196"/>
        </w:trPr>
        <w:tc>
          <w:tcPr>
            <w:tcW w:w="4480" w:type="dxa"/>
            <w:vAlign w:val="bottom"/>
          </w:tcPr>
          <w:p>
            <w:pPr>
              <w:spacing w:after="0"/>
              <w:rPr>
                <w:sz w:val="17"/>
                <w:szCs w:val="17"/>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Company or either is, or has control of, a company which is a member of a</w:t>
            </w:r>
          </w:p>
        </w:tc>
      </w:tr>
      <w:tr>
        <w:trPr>
          <w:trHeight w:val="196"/>
        </w:trPr>
        <w:tc>
          <w:tcPr>
            <w:tcW w:w="4480" w:type="dxa"/>
            <w:vAlign w:val="bottom"/>
          </w:tcPr>
          <w:p>
            <w:pPr>
              <w:spacing w:after="0"/>
              <w:rPr>
                <w:sz w:val="17"/>
                <w:szCs w:val="17"/>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w w:val="98"/>
              </w:rPr>
              <w:t>consortium owning either an Acquiring Company or a company having control of an</w:t>
            </w:r>
          </w:p>
        </w:tc>
      </w:tr>
      <w:tr>
        <w:trPr>
          <w:trHeight w:val="207"/>
        </w:trPr>
        <w:tc>
          <w:tcPr>
            <w:tcW w:w="4480" w:type="dxa"/>
            <w:vAlign w:val="bottom"/>
          </w:tcPr>
          <w:p>
            <w:pPr>
              <w:spacing w:after="0"/>
              <w:rPr>
                <w:sz w:val="18"/>
                <w:szCs w:val="18"/>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Acquiring Company, being rights which are:</w:t>
            </w:r>
          </w:p>
        </w:tc>
      </w:tr>
      <w:tr>
        <w:trPr>
          <w:trHeight w:val="380"/>
        </w:trPr>
        <w:tc>
          <w:tcPr>
            <w:tcW w:w="4480" w:type="dxa"/>
            <w:vAlign w:val="bottom"/>
          </w:tcPr>
          <w:p>
            <w:pPr>
              <w:spacing w:after="0"/>
              <w:rPr>
                <w:sz w:val="24"/>
                <w:szCs w:val="24"/>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w w:val="97"/>
              </w:rPr>
              <w:t>(a) in the opinion of the Company, substantially equivalent in value to the Old Rights</w:t>
            </w:r>
          </w:p>
        </w:tc>
      </w:tr>
      <w:tr>
        <w:trPr>
          <w:trHeight w:val="196"/>
        </w:trPr>
        <w:tc>
          <w:tcPr>
            <w:tcW w:w="4480" w:type="dxa"/>
            <w:vAlign w:val="bottom"/>
          </w:tcPr>
          <w:p>
            <w:pPr>
              <w:spacing w:after="0"/>
              <w:rPr>
                <w:sz w:val="17"/>
                <w:szCs w:val="17"/>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w w:val="96"/>
              </w:rPr>
              <w:t>(disregarding the fact that the Option may not then have become vested in respect of</w:t>
            </w:r>
          </w:p>
        </w:tc>
      </w:tr>
      <w:tr>
        <w:trPr>
          <w:trHeight w:val="207"/>
        </w:trPr>
        <w:tc>
          <w:tcPr>
            <w:tcW w:w="4480" w:type="dxa"/>
            <w:vAlign w:val="bottom"/>
          </w:tcPr>
          <w:p>
            <w:pPr>
              <w:spacing w:after="0"/>
              <w:rPr>
                <w:sz w:val="18"/>
                <w:szCs w:val="18"/>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all of the Option Shares) and</w:t>
            </w:r>
          </w:p>
        </w:tc>
      </w:tr>
      <w:tr>
        <w:trPr>
          <w:trHeight w:val="391"/>
        </w:trPr>
        <w:tc>
          <w:tcPr>
            <w:tcW w:w="4480" w:type="dxa"/>
            <w:vAlign w:val="bottom"/>
          </w:tcPr>
          <w:p>
            <w:pPr>
              <w:spacing w:after="0"/>
              <w:rPr>
                <w:sz w:val="24"/>
                <w:szCs w:val="24"/>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(b) on terms approved by the Company</w:t>
            </w:r>
          </w:p>
        </w:tc>
      </w:tr>
      <w:tr>
        <w:trPr>
          <w:trHeight w:val="380"/>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“Exercise Price”</w:t>
            </w:r>
          </w:p>
        </w:tc>
        <w:tc>
          <w:tcPr>
            <w:tcW w:w="6980" w:type="dxa"/>
            <w:vAlign w:val="bottom"/>
          </w:tcPr>
          <w:p>
            <w:pPr>
              <w:ind w:left="1160"/>
              <w:spacing w:after="0"/>
              <w:rPr>
                <w:sz w:val="20"/>
                <w:szCs w:val="20"/>
                <w:color w:val="auto"/>
              </w:rPr>
            </w:pPr>
            <w:r>
              <w:rPr>
                <w:rFonts w:ascii="Arial" w:cs="Arial" w:eastAsia="Arial" w:hAnsi="Arial"/>
                <w:sz w:val="16"/>
                <w:szCs w:val="16"/>
                <w:color w:val="auto"/>
              </w:rPr>
              <w:t>means the price per Ordinary Share payable upon the exercise of an Option as</w:t>
            </w:r>
          </w:p>
        </w:tc>
      </w:tr>
      <w:tr>
        <w:trPr>
          <w:trHeight w:val="207"/>
        </w:trPr>
        <w:tc>
          <w:tcPr>
            <w:tcW w:w="4480" w:type="dxa"/>
            <w:vAlign w:val="bottom"/>
          </w:tcPr>
          <w:p>
            <w:pPr>
              <w:spacing w:after="0"/>
              <w:rPr>
                <w:sz w:val="18"/>
                <w:szCs w:val="18"/>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specified in Clause 2</w:t>
            </w:r>
          </w:p>
        </w:tc>
      </w:tr>
      <w:tr>
        <w:trPr>
          <w:trHeight w:val="380"/>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“Former Employee”</w:t>
            </w:r>
          </w:p>
        </w:tc>
        <w:tc>
          <w:tcPr>
            <w:tcW w:w="6980" w:type="dxa"/>
            <w:vAlign w:val="bottom"/>
          </w:tcPr>
          <w:p>
            <w:pPr>
              <w:ind w:left="1160"/>
              <w:spacing w:after="0"/>
              <w:rPr>
                <w:sz w:val="20"/>
                <w:szCs w:val="20"/>
                <w:color w:val="auto"/>
              </w:rPr>
            </w:pPr>
            <w:r>
              <w:rPr>
                <w:rFonts w:ascii="Arial" w:cs="Arial" w:eastAsia="Arial" w:hAnsi="Arial"/>
                <w:sz w:val="16"/>
                <w:szCs w:val="16"/>
                <w:color w:val="auto"/>
              </w:rPr>
              <w:t>an Employee whose employment or consultancy or office with any member of the</w:t>
            </w:r>
          </w:p>
        </w:tc>
      </w:tr>
      <w:tr>
        <w:trPr>
          <w:trHeight w:val="207"/>
        </w:trPr>
        <w:tc>
          <w:tcPr>
            <w:tcW w:w="4480" w:type="dxa"/>
            <w:vAlign w:val="bottom"/>
          </w:tcPr>
          <w:p>
            <w:pPr>
              <w:spacing w:after="0"/>
              <w:rPr>
                <w:sz w:val="18"/>
                <w:szCs w:val="18"/>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Group has terminated</w:t>
            </w:r>
          </w:p>
        </w:tc>
      </w:tr>
      <w:tr>
        <w:trPr>
          <w:trHeight w:val="380"/>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“Group”</w:t>
            </w:r>
          </w:p>
        </w:tc>
        <w:tc>
          <w:tcPr>
            <w:tcW w:w="6980" w:type="dxa"/>
            <w:vAlign w:val="bottom"/>
          </w:tcPr>
          <w:p>
            <w:pPr>
              <w:ind w:left="1160"/>
              <w:spacing w:after="0"/>
              <w:rPr>
                <w:sz w:val="20"/>
                <w:szCs w:val="20"/>
                <w:color w:val="auto"/>
              </w:rPr>
            </w:pPr>
            <w:r>
              <w:rPr>
                <w:rFonts w:ascii="Arial" w:cs="Arial" w:eastAsia="Arial" w:hAnsi="Arial"/>
                <w:sz w:val="16"/>
                <w:szCs w:val="16"/>
                <w:color w:val="auto"/>
                <w:w w:val="95"/>
              </w:rPr>
              <w:t>has the meaning ascribed to it in paragraph 58 of Schedule 5 to ITEPA (the Company</w:t>
            </w:r>
          </w:p>
        </w:tc>
      </w:tr>
      <w:tr>
        <w:trPr>
          <w:trHeight w:val="207"/>
        </w:trPr>
        <w:tc>
          <w:tcPr>
            <w:tcW w:w="4480" w:type="dxa"/>
            <w:vAlign w:val="bottom"/>
          </w:tcPr>
          <w:p>
            <w:pPr>
              <w:spacing w:after="0"/>
              <w:rPr>
                <w:sz w:val="18"/>
                <w:szCs w:val="18"/>
                <w:color w:val="auto"/>
              </w:rPr>
            </w:pPr>
          </w:p>
        </w:tc>
        <w:tc>
          <w:tcPr>
            <w:tcW w:w="6980" w:type="dxa"/>
            <w:vAlign w:val="bottom"/>
          </w:tcPr>
          <w:p>
            <w:pPr>
              <w:ind w:left="1160"/>
              <w:spacing w:after="0"/>
              <w:rPr>
                <w:sz w:val="20"/>
                <w:szCs w:val="20"/>
                <w:color w:val="auto"/>
              </w:rPr>
            </w:pPr>
            <w:r>
              <w:rPr>
                <w:rFonts w:ascii="Arial" w:cs="Arial" w:eastAsia="Arial" w:hAnsi="Arial"/>
                <w:sz w:val="16"/>
                <w:szCs w:val="16"/>
                <w:color w:val="auto"/>
              </w:rPr>
              <w:t>being the parent company for the purposes of that paragraph)</w:t>
            </w:r>
          </w:p>
        </w:tc>
      </w:tr>
      <w:tr>
        <w:trPr>
          <w:trHeight w:val="391"/>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“HMRC”</w:t>
            </w:r>
          </w:p>
        </w:tc>
        <w:tc>
          <w:tcPr>
            <w:tcW w:w="6980" w:type="dxa"/>
            <w:vAlign w:val="bottom"/>
          </w:tcPr>
          <w:p>
            <w:pPr>
              <w:ind w:left="1160"/>
              <w:spacing w:after="0"/>
              <w:rPr>
                <w:sz w:val="20"/>
                <w:szCs w:val="20"/>
                <w:color w:val="auto"/>
              </w:rPr>
            </w:pPr>
            <w:r>
              <w:rPr>
                <w:rFonts w:ascii="Arial" w:cs="Arial" w:eastAsia="Arial" w:hAnsi="Arial"/>
                <w:sz w:val="16"/>
                <w:szCs w:val="16"/>
                <w:color w:val="auto"/>
              </w:rPr>
              <w:t>means HM Revenue &amp; Customs</w:t>
            </w:r>
          </w:p>
        </w:tc>
      </w:tr>
      <w:tr>
        <w:trPr>
          <w:trHeight w:val="391"/>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“ITEPA”</w:t>
            </w:r>
          </w:p>
        </w:tc>
        <w:tc>
          <w:tcPr>
            <w:tcW w:w="6980" w:type="dxa"/>
            <w:vAlign w:val="bottom"/>
          </w:tcPr>
          <w:p>
            <w:pPr>
              <w:ind w:left="1160"/>
              <w:spacing w:after="0"/>
              <w:rPr>
                <w:sz w:val="20"/>
                <w:szCs w:val="20"/>
                <w:color w:val="auto"/>
              </w:rPr>
            </w:pPr>
            <w:r>
              <w:rPr>
                <w:rFonts w:ascii="Arial" w:cs="Arial" w:eastAsia="Arial" w:hAnsi="Arial"/>
                <w:sz w:val="16"/>
                <w:szCs w:val="16"/>
                <w:color w:val="auto"/>
              </w:rPr>
              <w:t>means the Income Tax (Earnings and Pensions) Act 2003</w:t>
            </w:r>
          </w:p>
        </w:tc>
      </w:tr>
      <w:tr>
        <w:trPr>
          <w:trHeight w:val="391"/>
        </w:trPr>
        <w:tc>
          <w:tcPr>
            <w:tcW w:w="4480" w:type="dxa"/>
            <w:vAlign w:val="bottom"/>
          </w:tcPr>
          <w:p>
            <w:pPr>
              <w:ind w:left="580"/>
              <w:spacing w:after="0"/>
              <w:rPr>
                <w:sz w:val="20"/>
                <w:szCs w:val="20"/>
                <w:color w:val="auto"/>
              </w:rPr>
            </w:pPr>
            <w:r>
              <w:rPr>
                <w:rFonts w:ascii="Arial" w:cs="Arial" w:eastAsia="Arial" w:hAnsi="Arial"/>
                <w:sz w:val="16"/>
                <w:szCs w:val="16"/>
                <w:b w:val="1"/>
                <w:bCs w:val="1"/>
                <w:color w:val="auto"/>
              </w:rPr>
              <w:t>“Maximum Number of Option Shares”</w:t>
            </w:r>
          </w:p>
        </w:tc>
        <w:tc>
          <w:tcPr>
            <w:tcW w:w="6980" w:type="dxa"/>
            <w:vAlign w:val="bottom"/>
          </w:tcPr>
          <w:p>
            <w:pPr>
              <w:ind w:left="1160"/>
              <w:spacing w:after="0"/>
              <w:rPr>
                <w:sz w:val="20"/>
                <w:szCs w:val="20"/>
                <w:color w:val="auto"/>
              </w:rPr>
            </w:pPr>
            <w:r>
              <w:rPr>
                <w:rFonts w:ascii="Arial" w:cs="Arial" w:eastAsia="Arial" w:hAnsi="Arial"/>
                <w:sz w:val="16"/>
                <w:szCs w:val="16"/>
                <w:color w:val="auto"/>
              </w:rPr>
              <w:t>has the meaning set out in Schedule 1</w:t>
            </w:r>
          </w:p>
        </w:tc>
      </w:tr>
      <w:tr>
        <w:trPr>
          <w:trHeight w:val="315"/>
        </w:trPr>
        <w:tc>
          <w:tcPr>
            <w:tcW w:w="4480" w:type="dxa"/>
            <w:vAlign w:val="bottom"/>
            <w:tcBorders>
              <w:bottom w:val="single" w:sz="8" w:color="808080"/>
            </w:tcBorders>
          </w:tcPr>
          <w:p>
            <w:pPr>
              <w:spacing w:after="0"/>
              <w:rPr>
                <w:sz w:val="24"/>
                <w:szCs w:val="24"/>
                <w:color w:val="auto"/>
              </w:rPr>
            </w:pPr>
          </w:p>
        </w:tc>
        <w:tc>
          <w:tcPr>
            <w:tcW w:w="6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8" w:right="199"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211"/>
        </w:trPr>
        <w:tc>
          <w:tcPr>
            <w:tcW w:w="4120" w:type="dxa"/>
            <w:vAlign w:val="bottom"/>
          </w:tcPr>
          <w:p>
            <w:pPr>
              <w:ind w:left="580"/>
              <w:spacing w:after="0"/>
              <w:rPr>
                <w:sz w:val="20"/>
                <w:szCs w:val="20"/>
                <w:color w:val="auto"/>
              </w:rPr>
            </w:pPr>
            <w:r>
              <w:rPr>
                <w:rFonts w:ascii="Arial" w:cs="Arial" w:eastAsia="Arial" w:hAnsi="Arial"/>
                <w:sz w:val="16"/>
                <w:szCs w:val="16"/>
                <w:b w:val="1"/>
                <w:bCs w:val="1"/>
                <w:color w:val="auto"/>
              </w:rPr>
              <w:t>“NICs”</w:t>
            </w:r>
          </w:p>
        </w:tc>
        <w:tc>
          <w:tcPr>
            <w:tcW w:w="7340" w:type="dxa"/>
            <w:vAlign w:val="bottom"/>
          </w:tcPr>
          <w:p>
            <w:pPr>
              <w:ind w:left="1520"/>
              <w:spacing w:after="0"/>
              <w:rPr>
                <w:sz w:val="20"/>
                <w:szCs w:val="20"/>
                <w:color w:val="auto"/>
              </w:rPr>
            </w:pPr>
            <w:r>
              <w:rPr>
                <w:rFonts w:ascii="Arial" w:cs="Arial" w:eastAsia="Arial" w:hAnsi="Arial"/>
                <w:sz w:val="16"/>
                <w:szCs w:val="16"/>
                <w:color w:val="auto"/>
              </w:rPr>
              <w:t>means National Insurance Contributions</w:t>
            </w:r>
          </w:p>
        </w:tc>
      </w:tr>
      <w:tr>
        <w:trPr>
          <w:trHeight w:val="380"/>
        </w:trPr>
        <w:tc>
          <w:tcPr>
            <w:tcW w:w="4120" w:type="dxa"/>
            <w:vAlign w:val="bottom"/>
          </w:tcPr>
          <w:p>
            <w:pPr>
              <w:ind w:left="580"/>
              <w:spacing w:after="0"/>
              <w:rPr>
                <w:sz w:val="20"/>
                <w:szCs w:val="20"/>
                <w:color w:val="auto"/>
              </w:rPr>
            </w:pPr>
            <w:r>
              <w:rPr>
                <w:rFonts w:ascii="Arial" w:cs="Arial" w:eastAsia="Arial" w:hAnsi="Arial"/>
                <w:sz w:val="16"/>
                <w:szCs w:val="16"/>
                <w:b w:val="1"/>
                <w:bCs w:val="1"/>
                <w:color w:val="auto"/>
              </w:rPr>
              <w:t>“NI Regulations”</w:t>
            </w:r>
          </w:p>
        </w:tc>
        <w:tc>
          <w:tcPr>
            <w:tcW w:w="7340" w:type="dxa"/>
            <w:vAlign w:val="bottom"/>
          </w:tcPr>
          <w:p>
            <w:pPr>
              <w:ind w:left="1520"/>
              <w:spacing w:after="0"/>
              <w:rPr>
                <w:sz w:val="20"/>
                <w:szCs w:val="20"/>
                <w:color w:val="auto"/>
              </w:rPr>
            </w:pPr>
            <w:r>
              <w:rPr>
                <w:rFonts w:ascii="Arial" w:cs="Arial" w:eastAsia="Arial" w:hAnsi="Arial"/>
                <w:sz w:val="16"/>
                <w:szCs w:val="16"/>
                <w:color w:val="auto"/>
              </w:rPr>
              <w:t>means the laws, regulations and practices currently in force relating to liability for</w:t>
            </w:r>
          </w:p>
        </w:tc>
      </w:tr>
      <w:tr>
        <w:trPr>
          <w:trHeight w:val="207"/>
        </w:trPr>
        <w:tc>
          <w:tcPr>
            <w:tcW w:w="4120" w:type="dxa"/>
            <w:vAlign w:val="bottom"/>
          </w:tcPr>
          <w:p>
            <w:pPr>
              <w:spacing w:after="0"/>
              <w:rPr>
                <w:sz w:val="18"/>
                <w:szCs w:val="18"/>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and the collection of National Insurance Contributions</w:t>
            </w:r>
          </w:p>
        </w:tc>
      </w:tr>
      <w:tr>
        <w:trPr>
          <w:trHeight w:val="380"/>
        </w:trPr>
        <w:tc>
          <w:tcPr>
            <w:tcW w:w="4120" w:type="dxa"/>
            <w:vAlign w:val="bottom"/>
          </w:tcPr>
          <w:p>
            <w:pPr>
              <w:ind w:left="580"/>
              <w:spacing w:after="0"/>
              <w:rPr>
                <w:sz w:val="20"/>
                <w:szCs w:val="20"/>
                <w:color w:val="auto"/>
              </w:rPr>
            </w:pPr>
            <w:r>
              <w:rPr>
                <w:rFonts w:ascii="Arial" w:cs="Arial" w:eastAsia="Arial" w:hAnsi="Arial"/>
                <w:sz w:val="16"/>
                <w:szCs w:val="16"/>
                <w:b w:val="1"/>
                <w:bCs w:val="1"/>
                <w:color w:val="auto"/>
              </w:rPr>
              <w:t>“Option”</w:t>
            </w:r>
          </w:p>
        </w:tc>
        <w:tc>
          <w:tcPr>
            <w:tcW w:w="7340" w:type="dxa"/>
            <w:vAlign w:val="bottom"/>
          </w:tcPr>
          <w:p>
            <w:pPr>
              <w:ind w:left="1520"/>
              <w:spacing w:after="0"/>
              <w:rPr>
                <w:sz w:val="20"/>
                <w:szCs w:val="20"/>
                <w:color w:val="auto"/>
              </w:rPr>
            </w:pPr>
            <w:r>
              <w:rPr>
                <w:rFonts w:ascii="Arial" w:cs="Arial" w:eastAsia="Arial" w:hAnsi="Arial"/>
                <w:sz w:val="16"/>
                <w:szCs w:val="16"/>
                <w:color w:val="auto"/>
                <w:w w:val="96"/>
              </w:rPr>
              <w:t>means a right to acquire Ordinary Shares granted pursuant to and in accordance with</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w w:val="98"/>
              </w:rPr>
              <w:t>the terms of this Share Option Contract and which has not lapsed nor ceased to be</w:t>
            </w:r>
          </w:p>
        </w:tc>
      </w:tr>
      <w:tr>
        <w:trPr>
          <w:trHeight w:val="207"/>
        </w:trPr>
        <w:tc>
          <w:tcPr>
            <w:tcW w:w="4120" w:type="dxa"/>
            <w:vAlign w:val="bottom"/>
          </w:tcPr>
          <w:p>
            <w:pPr>
              <w:spacing w:after="0"/>
              <w:rPr>
                <w:sz w:val="18"/>
                <w:szCs w:val="18"/>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exercisable</w:t>
            </w:r>
          </w:p>
        </w:tc>
      </w:tr>
      <w:tr>
        <w:trPr>
          <w:trHeight w:val="380"/>
        </w:trPr>
        <w:tc>
          <w:tcPr>
            <w:tcW w:w="4120" w:type="dxa"/>
            <w:vAlign w:val="bottom"/>
          </w:tcPr>
          <w:p>
            <w:pPr>
              <w:ind w:left="580"/>
              <w:spacing w:after="0"/>
              <w:rPr>
                <w:sz w:val="20"/>
                <w:szCs w:val="20"/>
                <w:color w:val="auto"/>
              </w:rPr>
            </w:pPr>
            <w:r>
              <w:rPr>
                <w:rFonts w:ascii="Arial" w:cs="Arial" w:eastAsia="Arial" w:hAnsi="Arial"/>
                <w:sz w:val="16"/>
                <w:szCs w:val="16"/>
                <w:b w:val="1"/>
                <w:bCs w:val="1"/>
                <w:color w:val="auto"/>
              </w:rPr>
              <w:t>“Option Holder”</w:t>
            </w:r>
          </w:p>
        </w:tc>
        <w:tc>
          <w:tcPr>
            <w:tcW w:w="7340" w:type="dxa"/>
            <w:vAlign w:val="bottom"/>
          </w:tcPr>
          <w:p>
            <w:pPr>
              <w:ind w:left="1520"/>
              <w:spacing w:after="0"/>
              <w:rPr>
                <w:sz w:val="20"/>
                <w:szCs w:val="20"/>
                <w:color w:val="auto"/>
              </w:rPr>
            </w:pPr>
            <w:r>
              <w:rPr>
                <w:rFonts w:ascii="Arial" w:cs="Arial" w:eastAsia="Arial" w:hAnsi="Arial"/>
                <w:sz w:val="16"/>
                <w:szCs w:val="16"/>
                <w:color w:val="auto"/>
                <w:w w:val="97"/>
              </w:rPr>
              <w:t>means the person who has been granted the Option or, if that person has died, and,</w:t>
            </w:r>
          </w:p>
        </w:tc>
      </w:tr>
      <w:tr>
        <w:trPr>
          <w:trHeight w:val="207"/>
        </w:trPr>
        <w:tc>
          <w:tcPr>
            <w:tcW w:w="4120" w:type="dxa"/>
            <w:vAlign w:val="bottom"/>
          </w:tcPr>
          <w:p>
            <w:pPr>
              <w:spacing w:after="0"/>
              <w:rPr>
                <w:sz w:val="18"/>
                <w:szCs w:val="18"/>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where the context requires, his Personal Representatives</w:t>
            </w:r>
          </w:p>
        </w:tc>
      </w:tr>
      <w:tr>
        <w:trPr>
          <w:trHeight w:val="380"/>
        </w:trPr>
        <w:tc>
          <w:tcPr>
            <w:tcW w:w="4120" w:type="dxa"/>
            <w:vAlign w:val="bottom"/>
          </w:tcPr>
          <w:p>
            <w:pPr>
              <w:ind w:left="580"/>
              <w:spacing w:after="0"/>
              <w:rPr>
                <w:sz w:val="20"/>
                <w:szCs w:val="20"/>
                <w:color w:val="auto"/>
              </w:rPr>
            </w:pPr>
            <w:r>
              <w:rPr>
                <w:rFonts w:ascii="Arial" w:cs="Arial" w:eastAsia="Arial" w:hAnsi="Arial"/>
                <w:sz w:val="16"/>
                <w:szCs w:val="16"/>
                <w:b w:val="1"/>
                <w:bCs w:val="1"/>
                <w:color w:val="auto"/>
              </w:rPr>
              <w:t>“Option Holder’s Employer”</w:t>
            </w:r>
          </w:p>
        </w:tc>
        <w:tc>
          <w:tcPr>
            <w:tcW w:w="7340" w:type="dxa"/>
            <w:vAlign w:val="bottom"/>
          </w:tcPr>
          <w:p>
            <w:pPr>
              <w:ind w:left="1520"/>
              <w:spacing w:after="0"/>
              <w:rPr>
                <w:sz w:val="20"/>
                <w:szCs w:val="20"/>
                <w:color w:val="auto"/>
              </w:rPr>
            </w:pPr>
            <w:r>
              <w:rPr>
                <w:rFonts w:ascii="Arial" w:cs="Arial" w:eastAsia="Arial" w:hAnsi="Arial"/>
                <w:sz w:val="16"/>
                <w:szCs w:val="16"/>
                <w:color w:val="auto"/>
              </w:rPr>
              <w:t>means such member of the Group as is or, if the Option Holder has ceased to be</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employed within the Group, was the Option Holder’s employer or such other</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w w:val="95"/>
              </w:rPr>
              <w:t>member of the Group or other person as, under the PAYE Regulations or, as the case</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w w:val="97"/>
              </w:rPr>
              <w:t>may be, the NI Regulations, or any other statutory or regulatory enactment (whether</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in the United Kingdom or otherwise) is obliged to account for any Option Tax</w:t>
            </w:r>
          </w:p>
        </w:tc>
      </w:tr>
      <w:tr>
        <w:trPr>
          <w:trHeight w:val="207"/>
        </w:trPr>
        <w:tc>
          <w:tcPr>
            <w:tcW w:w="4120" w:type="dxa"/>
            <w:vAlign w:val="bottom"/>
          </w:tcPr>
          <w:p>
            <w:pPr>
              <w:spacing w:after="0"/>
              <w:rPr>
                <w:sz w:val="18"/>
                <w:szCs w:val="18"/>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Liability</w:t>
            </w:r>
          </w:p>
        </w:tc>
      </w:tr>
      <w:tr>
        <w:trPr>
          <w:trHeight w:val="391"/>
        </w:trPr>
        <w:tc>
          <w:tcPr>
            <w:tcW w:w="4120" w:type="dxa"/>
            <w:vAlign w:val="bottom"/>
          </w:tcPr>
          <w:p>
            <w:pPr>
              <w:ind w:left="580"/>
              <w:spacing w:after="0"/>
              <w:rPr>
                <w:sz w:val="20"/>
                <w:szCs w:val="20"/>
                <w:color w:val="auto"/>
              </w:rPr>
            </w:pPr>
            <w:r>
              <w:rPr>
                <w:rFonts w:ascii="Arial" w:cs="Arial" w:eastAsia="Arial" w:hAnsi="Arial"/>
                <w:sz w:val="16"/>
                <w:szCs w:val="16"/>
                <w:b w:val="1"/>
                <w:bCs w:val="1"/>
                <w:color w:val="auto"/>
              </w:rPr>
              <w:t>“Option Shares”</w:t>
            </w:r>
          </w:p>
        </w:tc>
        <w:tc>
          <w:tcPr>
            <w:tcW w:w="7340" w:type="dxa"/>
            <w:vAlign w:val="bottom"/>
          </w:tcPr>
          <w:p>
            <w:pPr>
              <w:ind w:left="1520"/>
              <w:spacing w:after="0"/>
              <w:rPr>
                <w:sz w:val="20"/>
                <w:szCs w:val="20"/>
                <w:color w:val="auto"/>
              </w:rPr>
            </w:pPr>
            <w:r>
              <w:rPr>
                <w:rFonts w:ascii="Arial" w:cs="Arial" w:eastAsia="Arial" w:hAnsi="Arial"/>
                <w:sz w:val="16"/>
                <w:szCs w:val="16"/>
                <w:color w:val="auto"/>
              </w:rPr>
              <w:t>means the Ordinary Shares over which an Option subsists</w:t>
            </w:r>
          </w:p>
        </w:tc>
      </w:tr>
      <w:tr>
        <w:trPr>
          <w:trHeight w:val="380"/>
        </w:trPr>
        <w:tc>
          <w:tcPr>
            <w:tcW w:w="4120" w:type="dxa"/>
            <w:vAlign w:val="bottom"/>
          </w:tcPr>
          <w:p>
            <w:pPr>
              <w:ind w:left="580"/>
              <w:spacing w:after="0"/>
              <w:rPr>
                <w:sz w:val="20"/>
                <w:szCs w:val="20"/>
                <w:color w:val="auto"/>
              </w:rPr>
            </w:pPr>
            <w:r>
              <w:rPr>
                <w:rFonts w:ascii="Arial" w:cs="Arial" w:eastAsia="Arial" w:hAnsi="Arial"/>
                <w:sz w:val="16"/>
                <w:szCs w:val="16"/>
                <w:b w:val="1"/>
                <w:bCs w:val="1"/>
                <w:color w:val="auto"/>
              </w:rPr>
              <w:t>“Option Tax Liability”</w:t>
            </w:r>
          </w:p>
        </w:tc>
        <w:tc>
          <w:tcPr>
            <w:tcW w:w="7340" w:type="dxa"/>
            <w:vAlign w:val="bottom"/>
          </w:tcPr>
          <w:p>
            <w:pPr>
              <w:ind w:left="1520"/>
              <w:spacing w:after="0"/>
              <w:rPr>
                <w:sz w:val="20"/>
                <w:szCs w:val="20"/>
                <w:color w:val="auto"/>
              </w:rPr>
            </w:pPr>
            <w:r>
              <w:rPr>
                <w:rFonts w:ascii="Arial" w:cs="Arial" w:eastAsia="Arial" w:hAnsi="Arial"/>
                <w:sz w:val="16"/>
                <w:szCs w:val="16"/>
                <w:color w:val="auto"/>
                <w:w w:val="98"/>
              </w:rPr>
              <w:t>means, in relation to an Option Holder, any liability of the Option Holder’s Employer</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to account to HMRC or other tax authority for any amount of, or representing,</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income tax or National Insurance contributions (which may, to the extent provided</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for in this Share Option Contract, include secondary employers’ Class I</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w w:val="99"/>
              </w:rPr>
              <w:t>contributions) or any other tax charge levy or other sum, whether under the laws of</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the United Kingdom or otherwise, which may arise on the grant, vesting, exercise,</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w w:val="96"/>
              </w:rPr>
              <w:t>assignment or release of the Option or the acquisition of Ordinary Shares pursuant to</w:t>
            </w:r>
          </w:p>
        </w:tc>
      </w:tr>
      <w:tr>
        <w:trPr>
          <w:trHeight w:val="207"/>
        </w:trPr>
        <w:tc>
          <w:tcPr>
            <w:tcW w:w="4120" w:type="dxa"/>
            <w:vAlign w:val="bottom"/>
          </w:tcPr>
          <w:p>
            <w:pPr>
              <w:spacing w:after="0"/>
              <w:rPr>
                <w:sz w:val="18"/>
                <w:szCs w:val="18"/>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this Share Option Contract</w:t>
            </w:r>
          </w:p>
        </w:tc>
      </w:tr>
      <w:tr>
        <w:trPr>
          <w:trHeight w:val="380"/>
        </w:trPr>
        <w:tc>
          <w:tcPr>
            <w:tcW w:w="4120" w:type="dxa"/>
            <w:vAlign w:val="bottom"/>
          </w:tcPr>
          <w:p>
            <w:pPr>
              <w:ind w:left="580"/>
              <w:spacing w:after="0"/>
              <w:rPr>
                <w:sz w:val="20"/>
                <w:szCs w:val="20"/>
                <w:color w:val="auto"/>
              </w:rPr>
            </w:pPr>
            <w:r>
              <w:rPr>
                <w:rFonts w:ascii="Arial" w:cs="Arial" w:eastAsia="Arial" w:hAnsi="Arial"/>
                <w:sz w:val="16"/>
                <w:szCs w:val="16"/>
                <w:b w:val="1"/>
                <w:bCs w:val="1"/>
                <w:color w:val="auto"/>
              </w:rPr>
              <w:t>“Ordinary Share Capital”</w:t>
            </w:r>
          </w:p>
        </w:tc>
        <w:tc>
          <w:tcPr>
            <w:tcW w:w="7340" w:type="dxa"/>
            <w:vAlign w:val="bottom"/>
          </w:tcPr>
          <w:p>
            <w:pPr>
              <w:ind w:left="1520"/>
              <w:spacing w:after="0"/>
              <w:rPr>
                <w:sz w:val="20"/>
                <w:szCs w:val="20"/>
                <w:color w:val="auto"/>
              </w:rPr>
            </w:pPr>
            <w:r>
              <w:rPr>
                <w:rFonts w:ascii="Arial" w:cs="Arial" w:eastAsia="Arial" w:hAnsi="Arial"/>
                <w:sz w:val="16"/>
                <w:szCs w:val="16"/>
                <w:color w:val="auto"/>
                <w:w w:val="95"/>
              </w:rPr>
              <w:t>means the issued ordinary share capital of the Company other than preference shares</w:t>
            </w:r>
          </w:p>
        </w:tc>
      </w:tr>
      <w:tr>
        <w:trPr>
          <w:trHeight w:val="207"/>
        </w:trPr>
        <w:tc>
          <w:tcPr>
            <w:tcW w:w="4120" w:type="dxa"/>
            <w:vAlign w:val="bottom"/>
          </w:tcPr>
          <w:p>
            <w:pPr>
              <w:spacing w:after="0"/>
              <w:rPr>
                <w:sz w:val="18"/>
                <w:szCs w:val="18"/>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carrying the right to a priority return of capital</w:t>
            </w:r>
          </w:p>
        </w:tc>
      </w:tr>
      <w:tr>
        <w:trPr>
          <w:trHeight w:val="391"/>
        </w:trPr>
        <w:tc>
          <w:tcPr>
            <w:tcW w:w="4120" w:type="dxa"/>
            <w:vAlign w:val="bottom"/>
          </w:tcPr>
          <w:p>
            <w:pPr>
              <w:ind w:left="580"/>
              <w:spacing w:after="0"/>
              <w:rPr>
                <w:sz w:val="20"/>
                <w:szCs w:val="20"/>
                <w:color w:val="auto"/>
              </w:rPr>
            </w:pPr>
            <w:r>
              <w:rPr>
                <w:rFonts w:ascii="Arial" w:cs="Arial" w:eastAsia="Arial" w:hAnsi="Arial"/>
                <w:sz w:val="16"/>
                <w:szCs w:val="16"/>
                <w:b w:val="1"/>
                <w:bCs w:val="1"/>
                <w:color w:val="auto"/>
              </w:rPr>
              <w:t>“Ordinary Shares”</w:t>
            </w:r>
          </w:p>
        </w:tc>
        <w:tc>
          <w:tcPr>
            <w:tcW w:w="7340" w:type="dxa"/>
            <w:vAlign w:val="bottom"/>
          </w:tcPr>
          <w:p>
            <w:pPr>
              <w:ind w:left="1520"/>
              <w:spacing w:after="0"/>
              <w:rPr>
                <w:sz w:val="20"/>
                <w:szCs w:val="20"/>
                <w:color w:val="auto"/>
              </w:rPr>
            </w:pPr>
            <w:r>
              <w:rPr>
                <w:rFonts w:ascii="Arial" w:cs="Arial" w:eastAsia="Arial" w:hAnsi="Arial"/>
                <w:sz w:val="16"/>
                <w:szCs w:val="16"/>
                <w:color w:val="auto"/>
              </w:rPr>
              <w:t>means fully-paid Ordinary Shares in the capital of the Company</w:t>
            </w:r>
          </w:p>
        </w:tc>
      </w:tr>
      <w:tr>
        <w:trPr>
          <w:trHeight w:val="391"/>
        </w:trPr>
        <w:tc>
          <w:tcPr>
            <w:tcW w:w="4120" w:type="dxa"/>
            <w:vAlign w:val="bottom"/>
          </w:tcPr>
          <w:p>
            <w:pPr>
              <w:ind w:left="580"/>
              <w:spacing w:after="0"/>
              <w:rPr>
                <w:sz w:val="20"/>
                <w:szCs w:val="20"/>
                <w:color w:val="auto"/>
              </w:rPr>
            </w:pPr>
            <w:r>
              <w:rPr>
                <w:rFonts w:ascii="Arial" w:cs="Arial" w:eastAsia="Arial" w:hAnsi="Arial"/>
                <w:sz w:val="16"/>
                <w:szCs w:val="16"/>
                <w:b w:val="1"/>
                <w:bCs w:val="1"/>
                <w:color w:val="auto"/>
              </w:rPr>
              <w:t>“PAYE Regulations”</w:t>
            </w:r>
          </w:p>
        </w:tc>
        <w:tc>
          <w:tcPr>
            <w:tcW w:w="7340" w:type="dxa"/>
            <w:vAlign w:val="bottom"/>
          </w:tcPr>
          <w:p>
            <w:pPr>
              <w:ind w:left="1520"/>
              <w:spacing w:after="0"/>
              <w:rPr>
                <w:sz w:val="20"/>
                <w:szCs w:val="20"/>
                <w:color w:val="auto"/>
              </w:rPr>
            </w:pPr>
            <w:r>
              <w:rPr>
                <w:rFonts w:ascii="Arial" w:cs="Arial" w:eastAsia="Arial" w:hAnsi="Arial"/>
                <w:sz w:val="16"/>
                <w:szCs w:val="16"/>
                <w:color w:val="auto"/>
              </w:rPr>
              <w:t>means the regulations made under Section 684 of ITEPA</w:t>
            </w:r>
          </w:p>
        </w:tc>
      </w:tr>
      <w:tr>
        <w:trPr>
          <w:trHeight w:val="380"/>
        </w:trPr>
        <w:tc>
          <w:tcPr>
            <w:tcW w:w="4120" w:type="dxa"/>
            <w:vAlign w:val="bottom"/>
          </w:tcPr>
          <w:p>
            <w:pPr>
              <w:ind w:left="580"/>
              <w:spacing w:after="0"/>
              <w:rPr>
                <w:sz w:val="20"/>
                <w:szCs w:val="20"/>
                <w:color w:val="auto"/>
              </w:rPr>
            </w:pPr>
            <w:r>
              <w:rPr>
                <w:rFonts w:ascii="Arial" w:cs="Arial" w:eastAsia="Arial" w:hAnsi="Arial"/>
                <w:sz w:val="16"/>
                <w:szCs w:val="16"/>
                <w:b w:val="1"/>
                <w:bCs w:val="1"/>
                <w:color w:val="auto"/>
              </w:rPr>
              <w:t>“Personal Representatives”</w:t>
            </w:r>
          </w:p>
        </w:tc>
        <w:tc>
          <w:tcPr>
            <w:tcW w:w="7340" w:type="dxa"/>
            <w:vAlign w:val="bottom"/>
          </w:tcPr>
          <w:p>
            <w:pPr>
              <w:ind w:left="1520"/>
              <w:spacing w:after="0"/>
              <w:rPr>
                <w:sz w:val="20"/>
                <w:szCs w:val="20"/>
                <w:color w:val="auto"/>
              </w:rPr>
            </w:pPr>
            <w:r>
              <w:rPr>
                <w:rFonts w:ascii="Arial" w:cs="Arial" w:eastAsia="Arial" w:hAnsi="Arial"/>
                <w:sz w:val="16"/>
                <w:szCs w:val="16"/>
                <w:color w:val="auto"/>
              </w:rPr>
              <w:t>means, in relation to an Option Holder, the legal Personal Representatives of the</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w w:val="99"/>
              </w:rPr>
              <w:t>Option Holder (being either the executors of a will to whom a valid grant of probate</w:t>
            </w:r>
          </w:p>
        </w:tc>
      </w:tr>
      <w:tr>
        <w:trPr>
          <w:trHeight w:val="196"/>
        </w:trPr>
        <w:tc>
          <w:tcPr>
            <w:tcW w:w="4120" w:type="dxa"/>
            <w:vAlign w:val="bottom"/>
          </w:tcPr>
          <w:p>
            <w:pPr>
              <w:spacing w:after="0"/>
              <w:rPr>
                <w:sz w:val="17"/>
                <w:szCs w:val="17"/>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has been made or, if the Option Holder dies intestate, the duly appointed</w:t>
            </w:r>
          </w:p>
        </w:tc>
      </w:tr>
      <w:tr>
        <w:trPr>
          <w:trHeight w:val="207"/>
        </w:trPr>
        <w:tc>
          <w:tcPr>
            <w:tcW w:w="4120" w:type="dxa"/>
            <w:vAlign w:val="bottom"/>
          </w:tcPr>
          <w:p>
            <w:pPr>
              <w:spacing w:after="0"/>
              <w:rPr>
                <w:sz w:val="18"/>
                <w:szCs w:val="18"/>
                <w:color w:val="auto"/>
              </w:rPr>
            </w:pPr>
          </w:p>
        </w:tc>
        <w:tc>
          <w:tcPr>
            <w:tcW w:w="7340" w:type="dxa"/>
            <w:vAlign w:val="bottom"/>
          </w:tcPr>
          <w:p>
            <w:pPr>
              <w:ind w:left="1520"/>
              <w:spacing w:after="0"/>
              <w:rPr>
                <w:sz w:val="20"/>
                <w:szCs w:val="20"/>
                <w:color w:val="auto"/>
              </w:rPr>
            </w:pPr>
            <w:r>
              <w:rPr>
                <w:rFonts w:ascii="Arial" w:cs="Arial" w:eastAsia="Arial" w:hAnsi="Arial"/>
                <w:sz w:val="16"/>
                <w:szCs w:val="16"/>
                <w:color w:val="auto"/>
              </w:rPr>
              <w:t>administrator(s) of the Option Holder’s estate)</w:t>
            </w:r>
          </w:p>
        </w:tc>
      </w:tr>
      <w:tr>
        <w:trPr>
          <w:trHeight w:val="315"/>
        </w:trPr>
        <w:tc>
          <w:tcPr>
            <w:tcW w:w="4120" w:type="dxa"/>
            <w:vAlign w:val="bottom"/>
            <w:tcBorders>
              <w:bottom w:val="single" w:sz="8" w:color="808080"/>
            </w:tcBorders>
          </w:tcPr>
          <w:p>
            <w:pPr>
              <w:spacing w:after="0"/>
              <w:rPr>
                <w:sz w:val="24"/>
                <w:szCs w:val="24"/>
                <w:color w:val="auto"/>
              </w:rPr>
            </w:pPr>
          </w:p>
        </w:tc>
        <w:tc>
          <w:tcPr>
            <w:tcW w:w="7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6"/>
                <w:szCs w:val="16"/>
                <w:color w:val="auto"/>
              </w:rPr>
              <w:t>who have produced to the Company evidence of their appointment</w:t>
            </w:r>
          </w:p>
        </w:tc>
      </w:tr>
      <w:tr>
        <w:trPr>
          <w:trHeight w:val="380"/>
        </w:trPr>
        <w:tc>
          <w:tcPr>
            <w:tcW w:w="400" w:type="dxa"/>
            <w:vAlign w:val="bottom"/>
          </w:tcPr>
          <w:p>
            <w:pPr>
              <w:spacing w:after="0"/>
              <w:rPr>
                <w:sz w:val="24"/>
                <w:szCs w:val="24"/>
                <w:color w:val="auto"/>
              </w:rPr>
            </w:pPr>
          </w:p>
        </w:tc>
        <w:tc>
          <w:tcPr>
            <w:tcW w:w="4260" w:type="dxa"/>
            <w:vAlign w:val="bottom"/>
          </w:tcPr>
          <w:p>
            <w:pPr>
              <w:ind w:left="180"/>
              <w:spacing w:after="0"/>
              <w:rPr>
                <w:sz w:val="20"/>
                <w:szCs w:val="20"/>
                <w:color w:val="auto"/>
              </w:rPr>
            </w:pPr>
            <w:r>
              <w:rPr>
                <w:rFonts w:ascii="Arial" w:cs="Arial" w:eastAsia="Arial" w:hAnsi="Arial"/>
                <w:sz w:val="16"/>
                <w:szCs w:val="16"/>
                <w:b w:val="1"/>
                <w:bCs w:val="1"/>
                <w:color w:val="auto"/>
              </w:rPr>
              <w:t>“Restrictive Covenants”</w:t>
            </w:r>
          </w:p>
        </w:tc>
        <w:tc>
          <w:tcPr>
            <w:tcW w:w="6540" w:type="dxa"/>
            <w:vAlign w:val="bottom"/>
          </w:tcPr>
          <w:p>
            <w:pPr>
              <w:ind w:left="980"/>
              <w:spacing w:after="0"/>
              <w:rPr>
                <w:sz w:val="20"/>
                <w:szCs w:val="20"/>
                <w:color w:val="auto"/>
              </w:rPr>
            </w:pPr>
            <w:r>
              <w:rPr>
                <w:rFonts w:ascii="Arial" w:cs="Arial" w:eastAsia="Arial" w:hAnsi="Arial"/>
                <w:sz w:val="16"/>
                <w:szCs w:val="16"/>
                <w:color w:val="auto"/>
                <w:w w:val="96"/>
              </w:rPr>
              <w:t>obligations in respect of confidentiality, intellectual property, non-solicitation, non-</w:t>
            </w:r>
          </w:p>
        </w:tc>
      </w:tr>
      <w:tr>
        <w:trPr>
          <w:trHeight w:val="207"/>
        </w:trPr>
        <w:tc>
          <w:tcPr>
            <w:tcW w:w="4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6"/>
                <w:szCs w:val="16"/>
                <w:color w:val="auto"/>
              </w:rPr>
              <w:t>dealing, non-poaching and/or non-competition</w:t>
            </w:r>
          </w:p>
        </w:tc>
      </w:tr>
      <w:tr>
        <w:trPr>
          <w:trHeight w:val="391"/>
        </w:trPr>
        <w:tc>
          <w:tcPr>
            <w:tcW w:w="400" w:type="dxa"/>
            <w:vAlign w:val="bottom"/>
          </w:tcPr>
          <w:p>
            <w:pPr>
              <w:spacing w:after="0"/>
              <w:rPr>
                <w:sz w:val="24"/>
                <w:szCs w:val="24"/>
                <w:color w:val="auto"/>
              </w:rPr>
            </w:pPr>
          </w:p>
        </w:tc>
        <w:tc>
          <w:tcPr>
            <w:tcW w:w="4260" w:type="dxa"/>
            <w:vAlign w:val="bottom"/>
          </w:tcPr>
          <w:p>
            <w:pPr>
              <w:ind w:left="180"/>
              <w:spacing w:after="0"/>
              <w:rPr>
                <w:sz w:val="20"/>
                <w:szCs w:val="20"/>
                <w:color w:val="auto"/>
              </w:rPr>
            </w:pPr>
            <w:r>
              <w:rPr>
                <w:rFonts w:ascii="Arial" w:cs="Arial" w:eastAsia="Arial" w:hAnsi="Arial"/>
                <w:sz w:val="16"/>
                <w:szCs w:val="16"/>
                <w:b w:val="1"/>
                <w:bCs w:val="1"/>
                <w:color w:val="auto"/>
              </w:rPr>
              <w:t>“Share Option Contract”</w:t>
            </w:r>
          </w:p>
        </w:tc>
        <w:tc>
          <w:tcPr>
            <w:tcW w:w="6540" w:type="dxa"/>
            <w:vAlign w:val="bottom"/>
          </w:tcPr>
          <w:p>
            <w:pPr>
              <w:ind w:left="980"/>
              <w:spacing w:after="0"/>
              <w:rPr>
                <w:sz w:val="20"/>
                <w:szCs w:val="20"/>
                <w:color w:val="auto"/>
              </w:rPr>
            </w:pPr>
            <w:r>
              <w:rPr>
                <w:rFonts w:ascii="Arial" w:cs="Arial" w:eastAsia="Arial" w:hAnsi="Arial"/>
                <w:sz w:val="16"/>
                <w:szCs w:val="16"/>
                <w:color w:val="auto"/>
              </w:rPr>
              <w:t>means this agreement</w:t>
            </w:r>
          </w:p>
        </w:tc>
      </w:tr>
      <w:tr>
        <w:trPr>
          <w:trHeight w:val="380"/>
        </w:trPr>
        <w:tc>
          <w:tcPr>
            <w:tcW w:w="400" w:type="dxa"/>
            <w:vAlign w:val="bottom"/>
          </w:tcPr>
          <w:p>
            <w:pPr>
              <w:spacing w:after="0"/>
              <w:rPr>
                <w:sz w:val="24"/>
                <w:szCs w:val="24"/>
                <w:color w:val="auto"/>
              </w:rPr>
            </w:pPr>
          </w:p>
        </w:tc>
        <w:tc>
          <w:tcPr>
            <w:tcW w:w="4260" w:type="dxa"/>
            <w:vAlign w:val="bottom"/>
          </w:tcPr>
          <w:p>
            <w:pPr>
              <w:ind w:left="180"/>
              <w:spacing w:after="0"/>
              <w:rPr>
                <w:sz w:val="20"/>
                <w:szCs w:val="20"/>
                <w:color w:val="auto"/>
              </w:rPr>
            </w:pPr>
            <w:r>
              <w:rPr>
                <w:rFonts w:ascii="Arial" w:cs="Arial" w:eastAsia="Arial" w:hAnsi="Arial"/>
                <w:sz w:val="16"/>
                <w:szCs w:val="16"/>
                <w:b w:val="1"/>
                <w:bCs w:val="1"/>
                <w:color w:val="auto"/>
              </w:rPr>
              <w:t>“Subsidiary”</w:t>
            </w:r>
          </w:p>
        </w:tc>
        <w:tc>
          <w:tcPr>
            <w:tcW w:w="6540" w:type="dxa"/>
            <w:vAlign w:val="bottom"/>
          </w:tcPr>
          <w:p>
            <w:pPr>
              <w:ind w:left="980"/>
              <w:spacing w:after="0"/>
              <w:rPr>
                <w:sz w:val="20"/>
                <w:szCs w:val="20"/>
                <w:color w:val="auto"/>
              </w:rPr>
            </w:pPr>
            <w:r>
              <w:rPr>
                <w:rFonts w:ascii="Arial" w:cs="Arial" w:eastAsia="Arial" w:hAnsi="Arial"/>
                <w:sz w:val="16"/>
                <w:szCs w:val="16"/>
                <w:color w:val="auto"/>
              </w:rPr>
              <w:t>means any company which is for the time being a subsidiary (as defined</w:t>
            </w:r>
          </w:p>
        </w:tc>
      </w:tr>
      <w:tr>
        <w:trPr>
          <w:trHeight w:val="196"/>
        </w:trPr>
        <w:tc>
          <w:tcPr>
            <w:tcW w:w="4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540" w:type="dxa"/>
            <w:vAlign w:val="bottom"/>
          </w:tcPr>
          <w:p>
            <w:pPr>
              <w:ind w:left="980"/>
              <w:spacing w:after="0"/>
              <w:rPr>
                <w:sz w:val="20"/>
                <w:szCs w:val="20"/>
                <w:color w:val="auto"/>
              </w:rPr>
            </w:pPr>
            <w:r>
              <w:rPr>
                <w:rFonts w:ascii="Arial" w:cs="Arial" w:eastAsia="Arial" w:hAnsi="Arial"/>
                <w:sz w:val="16"/>
                <w:szCs w:val="16"/>
                <w:color w:val="auto"/>
                <w:w w:val="91"/>
              </w:rPr>
              <w:t>Section 1159 and Schedule 6 of the Companies Act 2006) of the Company and under</w:t>
            </w:r>
          </w:p>
        </w:tc>
      </w:tr>
      <w:tr>
        <w:trPr>
          <w:trHeight w:val="207"/>
        </w:trPr>
        <w:tc>
          <w:tcPr>
            <w:tcW w:w="4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6"/>
                <w:szCs w:val="16"/>
                <w:color w:val="auto"/>
              </w:rPr>
              <w:t>the control of the Company</w:t>
            </w:r>
          </w:p>
        </w:tc>
      </w:tr>
      <w:tr>
        <w:trPr>
          <w:trHeight w:val="391"/>
        </w:trPr>
        <w:tc>
          <w:tcPr>
            <w:tcW w:w="400" w:type="dxa"/>
            <w:vAlign w:val="bottom"/>
          </w:tcPr>
          <w:p>
            <w:pPr>
              <w:spacing w:after="0"/>
              <w:rPr>
                <w:sz w:val="24"/>
                <w:szCs w:val="24"/>
                <w:color w:val="auto"/>
              </w:rPr>
            </w:pPr>
          </w:p>
        </w:tc>
        <w:tc>
          <w:tcPr>
            <w:tcW w:w="4260" w:type="dxa"/>
            <w:vAlign w:val="bottom"/>
          </w:tcPr>
          <w:p>
            <w:pPr>
              <w:ind w:left="180"/>
              <w:spacing w:after="0"/>
              <w:rPr>
                <w:sz w:val="20"/>
                <w:szCs w:val="20"/>
                <w:color w:val="auto"/>
              </w:rPr>
            </w:pPr>
            <w:r>
              <w:rPr>
                <w:rFonts w:ascii="Arial" w:cs="Arial" w:eastAsia="Arial" w:hAnsi="Arial"/>
                <w:sz w:val="16"/>
                <w:szCs w:val="16"/>
                <w:b w:val="1"/>
                <w:bCs w:val="1"/>
                <w:color w:val="auto"/>
              </w:rPr>
              <w:t>“Taxes Act”</w:t>
            </w:r>
          </w:p>
        </w:tc>
        <w:tc>
          <w:tcPr>
            <w:tcW w:w="6540" w:type="dxa"/>
            <w:vAlign w:val="bottom"/>
          </w:tcPr>
          <w:p>
            <w:pPr>
              <w:ind w:left="980"/>
              <w:spacing w:after="0"/>
              <w:rPr>
                <w:sz w:val="20"/>
                <w:szCs w:val="20"/>
                <w:color w:val="auto"/>
              </w:rPr>
            </w:pPr>
            <w:r>
              <w:rPr>
                <w:rFonts w:ascii="Arial" w:cs="Arial" w:eastAsia="Arial" w:hAnsi="Arial"/>
                <w:sz w:val="16"/>
                <w:szCs w:val="16"/>
                <w:color w:val="auto"/>
              </w:rPr>
              <w:t>means the Income and Corporation Taxes Act 1988</w:t>
            </w:r>
          </w:p>
        </w:tc>
      </w:tr>
      <w:tr>
        <w:trPr>
          <w:trHeight w:val="380"/>
        </w:trPr>
        <w:tc>
          <w:tcPr>
            <w:tcW w:w="400" w:type="dxa"/>
            <w:vAlign w:val="bottom"/>
          </w:tcPr>
          <w:p>
            <w:pPr>
              <w:spacing w:after="0"/>
              <w:rPr>
                <w:sz w:val="24"/>
                <w:szCs w:val="24"/>
                <w:color w:val="auto"/>
              </w:rPr>
            </w:pPr>
          </w:p>
        </w:tc>
        <w:tc>
          <w:tcPr>
            <w:tcW w:w="4260" w:type="dxa"/>
            <w:vAlign w:val="bottom"/>
          </w:tcPr>
          <w:p>
            <w:pPr>
              <w:ind w:left="180"/>
              <w:spacing w:after="0"/>
              <w:rPr>
                <w:sz w:val="20"/>
                <w:szCs w:val="20"/>
                <w:color w:val="auto"/>
              </w:rPr>
            </w:pPr>
            <w:r>
              <w:rPr>
                <w:rFonts w:ascii="Arial" w:cs="Arial" w:eastAsia="Arial" w:hAnsi="Arial"/>
                <w:sz w:val="16"/>
                <w:szCs w:val="16"/>
                <w:b w:val="1"/>
                <w:bCs w:val="1"/>
                <w:color w:val="auto"/>
              </w:rPr>
              <w:t>“Trade Sale”</w:t>
            </w:r>
          </w:p>
        </w:tc>
        <w:tc>
          <w:tcPr>
            <w:tcW w:w="6540" w:type="dxa"/>
            <w:vAlign w:val="bottom"/>
          </w:tcPr>
          <w:p>
            <w:pPr>
              <w:ind w:left="980"/>
              <w:spacing w:after="0"/>
              <w:rPr>
                <w:sz w:val="20"/>
                <w:szCs w:val="20"/>
                <w:color w:val="auto"/>
              </w:rPr>
            </w:pPr>
            <w:r>
              <w:rPr>
                <w:rFonts w:ascii="Arial" w:cs="Arial" w:eastAsia="Arial" w:hAnsi="Arial"/>
                <w:sz w:val="16"/>
                <w:szCs w:val="16"/>
                <w:color w:val="auto"/>
                <w:w w:val="97"/>
              </w:rPr>
              <w:t>a sale or other transfer of the whole or any part of the issued share capital of the</w:t>
            </w:r>
          </w:p>
        </w:tc>
      </w:tr>
      <w:tr>
        <w:trPr>
          <w:trHeight w:val="196"/>
        </w:trPr>
        <w:tc>
          <w:tcPr>
            <w:tcW w:w="4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540" w:type="dxa"/>
            <w:vAlign w:val="bottom"/>
          </w:tcPr>
          <w:p>
            <w:pPr>
              <w:ind w:left="980"/>
              <w:spacing w:after="0"/>
              <w:rPr>
                <w:sz w:val="20"/>
                <w:szCs w:val="20"/>
                <w:color w:val="auto"/>
              </w:rPr>
            </w:pPr>
            <w:r>
              <w:rPr>
                <w:rFonts w:ascii="Arial" w:cs="Arial" w:eastAsia="Arial" w:hAnsi="Arial"/>
                <w:sz w:val="16"/>
                <w:szCs w:val="16"/>
                <w:color w:val="auto"/>
              </w:rPr>
              <w:t>Company on arm’s length terms to any person (or any merger or scheme of</w:t>
            </w:r>
          </w:p>
        </w:tc>
      </w:tr>
      <w:tr>
        <w:trPr>
          <w:trHeight w:val="196"/>
        </w:trPr>
        <w:tc>
          <w:tcPr>
            <w:tcW w:w="4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540" w:type="dxa"/>
            <w:vAlign w:val="bottom"/>
          </w:tcPr>
          <w:p>
            <w:pPr>
              <w:ind w:left="980"/>
              <w:spacing w:after="0"/>
              <w:rPr>
                <w:sz w:val="20"/>
                <w:szCs w:val="20"/>
                <w:color w:val="auto"/>
              </w:rPr>
            </w:pPr>
            <w:r>
              <w:rPr>
                <w:rFonts w:ascii="Arial" w:cs="Arial" w:eastAsia="Arial" w:hAnsi="Arial"/>
                <w:sz w:val="16"/>
                <w:szCs w:val="16"/>
                <w:color w:val="auto"/>
                <w:w w:val="96"/>
              </w:rPr>
              <w:t>arrangement resulting in any persons holding shares) and resulting in that person</w:t>
            </w:r>
          </w:p>
        </w:tc>
      </w:tr>
      <w:tr>
        <w:trPr>
          <w:trHeight w:val="196"/>
        </w:trPr>
        <w:tc>
          <w:tcPr>
            <w:tcW w:w="4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540" w:type="dxa"/>
            <w:vAlign w:val="bottom"/>
          </w:tcPr>
          <w:p>
            <w:pPr>
              <w:ind w:left="980"/>
              <w:spacing w:after="0"/>
              <w:rPr>
                <w:sz w:val="20"/>
                <w:szCs w:val="20"/>
                <w:color w:val="auto"/>
              </w:rPr>
            </w:pPr>
            <w:r>
              <w:rPr>
                <w:rFonts w:ascii="Arial" w:cs="Arial" w:eastAsia="Arial" w:hAnsi="Arial"/>
                <w:sz w:val="16"/>
                <w:szCs w:val="16"/>
                <w:color w:val="auto"/>
                <w:w w:val="95"/>
              </w:rPr>
              <w:t>together with all persons (if any) acting in concert (within the meaning given in the</w:t>
            </w:r>
          </w:p>
        </w:tc>
      </w:tr>
      <w:tr>
        <w:trPr>
          <w:trHeight w:val="196"/>
        </w:trPr>
        <w:tc>
          <w:tcPr>
            <w:tcW w:w="4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540" w:type="dxa"/>
            <w:vAlign w:val="bottom"/>
          </w:tcPr>
          <w:p>
            <w:pPr>
              <w:ind w:left="980"/>
              <w:spacing w:after="0"/>
              <w:rPr>
                <w:sz w:val="20"/>
                <w:szCs w:val="20"/>
                <w:color w:val="auto"/>
              </w:rPr>
            </w:pPr>
            <w:r>
              <w:rPr>
                <w:rFonts w:ascii="Arial" w:cs="Arial" w:eastAsia="Arial" w:hAnsi="Arial"/>
                <w:sz w:val="16"/>
                <w:szCs w:val="16"/>
                <w:color w:val="auto"/>
              </w:rPr>
              <w:t>City Code on Takeovers and Mergers) with such person together holding a</w:t>
            </w:r>
          </w:p>
        </w:tc>
      </w:tr>
      <w:tr>
        <w:trPr>
          <w:trHeight w:val="207"/>
        </w:trPr>
        <w:tc>
          <w:tcPr>
            <w:tcW w:w="4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6"/>
                <w:szCs w:val="16"/>
                <w:color w:val="auto"/>
              </w:rPr>
              <w:t>Controlling Interest in the Company</w:t>
            </w:r>
          </w:p>
        </w:tc>
      </w:tr>
      <w:tr>
        <w:trPr>
          <w:trHeight w:val="380"/>
        </w:trPr>
        <w:tc>
          <w:tcPr>
            <w:tcW w:w="400" w:type="dxa"/>
            <w:vAlign w:val="bottom"/>
          </w:tcPr>
          <w:p>
            <w:pPr>
              <w:spacing w:after="0"/>
              <w:rPr>
                <w:sz w:val="24"/>
                <w:szCs w:val="24"/>
                <w:color w:val="auto"/>
              </w:rPr>
            </w:pPr>
          </w:p>
        </w:tc>
        <w:tc>
          <w:tcPr>
            <w:tcW w:w="4260" w:type="dxa"/>
            <w:vAlign w:val="bottom"/>
          </w:tcPr>
          <w:p>
            <w:pPr>
              <w:ind w:left="180"/>
              <w:spacing w:after="0"/>
              <w:rPr>
                <w:sz w:val="20"/>
                <w:szCs w:val="20"/>
                <w:color w:val="auto"/>
              </w:rPr>
            </w:pPr>
            <w:r>
              <w:rPr>
                <w:rFonts w:ascii="Arial" w:cs="Arial" w:eastAsia="Arial" w:hAnsi="Arial"/>
                <w:sz w:val="16"/>
                <w:szCs w:val="16"/>
                <w:b w:val="1"/>
                <w:bCs w:val="1"/>
                <w:color w:val="auto"/>
              </w:rPr>
              <w:t>“UK Listing Authority”</w:t>
            </w:r>
          </w:p>
        </w:tc>
        <w:tc>
          <w:tcPr>
            <w:tcW w:w="6540" w:type="dxa"/>
            <w:vAlign w:val="bottom"/>
          </w:tcPr>
          <w:p>
            <w:pPr>
              <w:ind w:left="980"/>
              <w:spacing w:after="0"/>
              <w:rPr>
                <w:sz w:val="20"/>
                <w:szCs w:val="20"/>
                <w:color w:val="auto"/>
              </w:rPr>
            </w:pPr>
            <w:r>
              <w:rPr>
                <w:rFonts w:ascii="Arial" w:cs="Arial" w:eastAsia="Arial" w:hAnsi="Arial"/>
                <w:sz w:val="16"/>
                <w:szCs w:val="16"/>
                <w:color w:val="auto"/>
              </w:rPr>
              <w:t>means the Financial Conduct Authority acting in its capacity as the competent</w:t>
            </w:r>
          </w:p>
        </w:tc>
      </w:tr>
      <w:tr>
        <w:trPr>
          <w:trHeight w:val="207"/>
        </w:trPr>
        <w:tc>
          <w:tcPr>
            <w:tcW w:w="4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6"/>
                <w:szCs w:val="16"/>
                <w:color w:val="auto"/>
                <w:w w:val="93"/>
              </w:rPr>
              <w:t>authority for the purposes of Part VI of the Financial Services and Markets Act 2000</w:t>
            </w:r>
          </w:p>
        </w:tc>
      </w:tr>
      <w:tr>
        <w:trPr>
          <w:trHeight w:val="380"/>
        </w:trPr>
        <w:tc>
          <w:tcPr>
            <w:tcW w:w="400" w:type="dxa"/>
            <w:vAlign w:val="bottom"/>
          </w:tcPr>
          <w:p>
            <w:pPr>
              <w:spacing w:after="0"/>
              <w:rPr>
                <w:sz w:val="24"/>
                <w:szCs w:val="24"/>
                <w:color w:val="auto"/>
              </w:rPr>
            </w:pPr>
          </w:p>
        </w:tc>
        <w:tc>
          <w:tcPr>
            <w:tcW w:w="4260" w:type="dxa"/>
            <w:vAlign w:val="bottom"/>
          </w:tcPr>
          <w:p>
            <w:pPr>
              <w:ind w:left="180"/>
              <w:spacing w:after="0"/>
              <w:rPr>
                <w:sz w:val="20"/>
                <w:szCs w:val="20"/>
                <w:color w:val="auto"/>
              </w:rPr>
            </w:pPr>
            <w:r>
              <w:rPr>
                <w:rFonts w:ascii="Arial" w:cs="Arial" w:eastAsia="Arial" w:hAnsi="Arial"/>
                <w:sz w:val="16"/>
                <w:szCs w:val="16"/>
                <w:b w:val="1"/>
                <w:bCs w:val="1"/>
                <w:color w:val="auto"/>
              </w:rPr>
              <w:t>“Vested”</w:t>
            </w:r>
          </w:p>
        </w:tc>
        <w:tc>
          <w:tcPr>
            <w:tcW w:w="6540" w:type="dxa"/>
            <w:vAlign w:val="bottom"/>
          </w:tcPr>
          <w:p>
            <w:pPr>
              <w:ind w:left="980"/>
              <w:spacing w:after="0"/>
              <w:rPr>
                <w:sz w:val="20"/>
                <w:szCs w:val="20"/>
                <w:color w:val="auto"/>
              </w:rPr>
            </w:pPr>
            <w:r>
              <w:rPr>
                <w:rFonts w:ascii="Arial" w:cs="Arial" w:eastAsia="Arial" w:hAnsi="Arial"/>
                <w:sz w:val="16"/>
                <w:szCs w:val="16"/>
                <w:color w:val="auto"/>
                <w:w w:val="91"/>
              </w:rPr>
              <w:t>shall describe an Option which has become capable of exercise due to the completion</w:t>
            </w:r>
          </w:p>
        </w:tc>
      </w:tr>
      <w:tr>
        <w:trPr>
          <w:trHeight w:val="207"/>
        </w:trPr>
        <w:tc>
          <w:tcPr>
            <w:tcW w:w="4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540" w:type="dxa"/>
            <w:vAlign w:val="bottom"/>
          </w:tcPr>
          <w:p>
            <w:pPr>
              <w:ind w:left="980"/>
              <w:spacing w:after="0"/>
              <w:rPr>
                <w:sz w:val="20"/>
                <w:szCs w:val="20"/>
                <w:color w:val="auto"/>
              </w:rPr>
            </w:pPr>
            <w:r>
              <w:rPr>
                <w:rFonts w:ascii="Arial" w:cs="Arial" w:eastAsia="Arial" w:hAnsi="Arial"/>
                <w:sz w:val="16"/>
                <w:szCs w:val="16"/>
                <w:color w:val="auto"/>
              </w:rPr>
              <w:t>of a time period specified in this Share Option Contract</w:t>
            </w:r>
          </w:p>
        </w:tc>
      </w:tr>
      <w:tr>
        <w:trPr>
          <w:trHeight w:val="391"/>
        </w:trPr>
        <w:tc>
          <w:tcPr>
            <w:tcW w:w="400" w:type="dxa"/>
            <w:vAlign w:val="bottom"/>
          </w:tcPr>
          <w:p>
            <w:pPr>
              <w:spacing w:after="0"/>
              <w:rPr>
                <w:sz w:val="24"/>
                <w:szCs w:val="24"/>
                <w:color w:val="auto"/>
              </w:rPr>
            </w:pPr>
          </w:p>
        </w:tc>
        <w:tc>
          <w:tcPr>
            <w:tcW w:w="4260" w:type="dxa"/>
            <w:vAlign w:val="bottom"/>
          </w:tcPr>
          <w:p>
            <w:pPr>
              <w:ind w:left="180"/>
              <w:spacing w:after="0"/>
              <w:rPr>
                <w:sz w:val="20"/>
                <w:szCs w:val="20"/>
                <w:color w:val="auto"/>
              </w:rPr>
            </w:pPr>
            <w:r>
              <w:rPr>
                <w:rFonts w:ascii="Arial" w:cs="Arial" w:eastAsia="Arial" w:hAnsi="Arial"/>
                <w:sz w:val="16"/>
                <w:szCs w:val="16"/>
                <w:b w:val="1"/>
                <w:bCs w:val="1"/>
                <w:color w:val="auto"/>
              </w:rPr>
              <w:t>“Vesting Start Date”</w:t>
            </w:r>
          </w:p>
        </w:tc>
        <w:tc>
          <w:tcPr>
            <w:tcW w:w="6540" w:type="dxa"/>
            <w:vAlign w:val="bottom"/>
          </w:tcPr>
          <w:p>
            <w:pPr>
              <w:ind w:left="980"/>
              <w:spacing w:after="0"/>
              <w:rPr>
                <w:sz w:val="20"/>
                <w:szCs w:val="20"/>
                <w:color w:val="auto"/>
              </w:rPr>
            </w:pPr>
            <w:r>
              <w:rPr>
                <w:rFonts w:ascii="Arial" w:cs="Arial" w:eastAsia="Arial" w:hAnsi="Arial"/>
                <w:sz w:val="16"/>
                <w:szCs w:val="16"/>
                <w:color w:val="auto"/>
              </w:rPr>
              <w:t>has the meaning set out in in Schedule 1</w:t>
            </w:r>
          </w:p>
        </w:tc>
      </w:tr>
      <w:tr>
        <w:trPr>
          <w:trHeight w:val="391"/>
        </w:trPr>
        <w:tc>
          <w:tcPr>
            <w:tcW w:w="400" w:type="dxa"/>
            <w:vAlign w:val="bottom"/>
          </w:tcPr>
          <w:p>
            <w:pPr>
              <w:spacing w:after="0"/>
              <w:rPr>
                <w:sz w:val="24"/>
                <w:szCs w:val="24"/>
                <w:color w:val="auto"/>
              </w:rPr>
            </w:pPr>
          </w:p>
        </w:tc>
        <w:tc>
          <w:tcPr>
            <w:tcW w:w="4260" w:type="dxa"/>
            <w:vAlign w:val="bottom"/>
          </w:tcPr>
          <w:p>
            <w:pPr>
              <w:ind w:left="180"/>
              <w:spacing w:after="0"/>
              <w:rPr>
                <w:sz w:val="20"/>
                <w:szCs w:val="20"/>
                <w:color w:val="auto"/>
              </w:rPr>
            </w:pPr>
            <w:r>
              <w:rPr>
                <w:rFonts w:ascii="Arial" w:cs="Arial" w:eastAsia="Arial" w:hAnsi="Arial"/>
                <w:sz w:val="16"/>
                <w:szCs w:val="16"/>
                <w:b w:val="1"/>
                <w:bCs w:val="1"/>
                <w:color w:val="auto"/>
              </w:rPr>
              <w:t>“Vesting Terms”</w:t>
            </w:r>
          </w:p>
        </w:tc>
        <w:tc>
          <w:tcPr>
            <w:tcW w:w="6540" w:type="dxa"/>
            <w:vAlign w:val="bottom"/>
          </w:tcPr>
          <w:p>
            <w:pPr>
              <w:ind w:left="980"/>
              <w:spacing w:after="0"/>
              <w:rPr>
                <w:sz w:val="20"/>
                <w:szCs w:val="20"/>
                <w:color w:val="auto"/>
              </w:rPr>
            </w:pPr>
            <w:r>
              <w:rPr>
                <w:rFonts w:ascii="Arial" w:cs="Arial" w:eastAsia="Arial" w:hAnsi="Arial"/>
                <w:sz w:val="16"/>
                <w:szCs w:val="16"/>
                <w:color w:val="auto"/>
              </w:rPr>
              <w:t>has the meaning set out in in Schedule 1</w:t>
            </w:r>
          </w:p>
        </w:tc>
      </w:tr>
      <w:tr>
        <w:trPr>
          <w:trHeight w:val="391"/>
        </w:trPr>
        <w:tc>
          <w:tcPr>
            <w:tcW w:w="400" w:type="dxa"/>
            <w:vAlign w:val="bottom"/>
          </w:tcPr>
          <w:p>
            <w:pPr>
              <w:jc w:val="right"/>
              <w:ind w:right="119"/>
              <w:spacing w:after="0"/>
              <w:rPr>
                <w:sz w:val="20"/>
                <w:szCs w:val="20"/>
                <w:color w:val="auto"/>
              </w:rPr>
            </w:pPr>
            <w:r>
              <w:rPr>
                <w:rFonts w:ascii="Arial" w:cs="Arial" w:eastAsia="Arial" w:hAnsi="Arial"/>
                <w:sz w:val="16"/>
                <w:szCs w:val="16"/>
                <w:color w:val="auto"/>
                <w:w w:val="80"/>
              </w:rPr>
              <w:t>1.2</w:t>
            </w:r>
          </w:p>
        </w:tc>
        <w:tc>
          <w:tcPr>
            <w:tcW w:w="4260" w:type="dxa"/>
            <w:vAlign w:val="bottom"/>
          </w:tcPr>
          <w:p>
            <w:pPr>
              <w:ind w:left="180"/>
              <w:spacing w:after="0"/>
              <w:rPr>
                <w:sz w:val="20"/>
                <w:szCs w:val="20"/>
                <w:color w:val="auto"/>
              </w:rPr>
            </w:pPr>
            <w:r>
              <w:rPr>
                <w:rFonts w:ascii="Arial" w:cs="Arial" w:eastAsia="Arial" w:hAnsi="Arial"/>
                <w:sz w:val="16"/>
                <w:szCs w:val="16"/>
                <w:color w:val="auto"/>
              </w:rPr>
              <w:t>For the purposes of this Share Option Contract:</w:t>
            </w:r>
          </w:p>
        </w:tc>
        <w:tc>
          <w:tcPr>
            <w:tcW w:w="6540" w:type="dxa"/>
            <w:vAlign w:val="bottom"/>
          </w:tcPr>
          <w:p>
            <w:pPr>
              <w:spacing w:after="0"/>
              <w:rPr>
                <w:sz w:val="24"/>
                <w:szCs w:val="24"/>
                <w:color w:val="auto"/>
              </w:rPr>
            </w:pPr>
          </w:p>
        </w:tc>
      </w:tr>
    </w:tbl>
    <w:p>
      <w:pPr>
        <w:spacing w:after="0" w:line="184" w:lineRule="exact"/>
        <w:rPr>
          <w:sz w:val="20"/>
          <w:szCs w:val="20"/>
          <w:color w:val="auto"/>
        </w:rPr>
      </w:pPr>
    </w:p>
    <w:p>
      <w:pPr>
        <w:ind w:left="1160" w:right="200" w:hanging="586"/>
        <w:spacing w:after="0" w:line="320" w:lineRule="auto"/>
        <w:tabs>
          <w:tab w:leader="none" w:pos="11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references to Ordinary Shares in respect of which an Option subsists at any time are to be read and construed as references to the Ordinary Shares over which the Option is then held and in respect of which it has not previously been exercised and has not lapsed and ceased to be exercisable;</w:t>
      </w:r>
    </w:p>
    <w:p>
      <w:pPr>
        <w:spacing w:after="0" w:line="12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any reference to any enactment includes a reference to that enactment as from time to time modified extended or re-enacted;</w:t>
      </w:r>
    </w:p>
    <w:p>
      <w:pPr>
        <w:spacing w:after="0" w:line="20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words denoting the masculine gender shall include the feminine;</w:t>
      </w:r>
    </w:p>
    <w:p>
      <w:pPr>
        <w:spacing w:after="0" w:line="20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color w:val="auto"/>
        </w:rPr>
        <w:t>words denoting the singular shall include the plural and vice versa;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802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200"/>
          </w:cols>
          <w:pgMar w:left="240" w:top="322" w:right="459" w:bottom="1440" w:gutter="0" w:footer="0" w:header="0"/>
        </w:sectPr>
      </w:pPr>
    </w:p>
    <w:bookmarkStart w:id="380" w:name="page381"/>
    <w:bookmarkEnd w:id="380"/>
    <w:p>
      <w:pPr>
        <w:ind w:left="1182" w:right="140" w:hanging="595"/>
        <w:spacing w:after="0" w:line="285" w:lineRule="auto"/>
        <w:tabs>
          <w:tab w:leader="none" w:pos="119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references to clauses and appendices are to the clauses and appendices of this Share Option Contract and no account should be taken of the clause headings which have been inserted for ease of reference only; and</w:t>
      </w:r>
    </w:p>
    <w:p>
      <w:pPr>
        <w:spacing w:after="0" w:line="149" w:lineRule="exact"/>
        <w:rPr>
          <w:rFonts w:ascii="Arial" w:cs="Arial" w:eastAsia="Arial" w:hAnsi="Arial"/>
          <w:sz w:val="16"/>
          <w:szCs w:val="16"/>
          <w:color w:val="auto"/>
        </w:rPr>
      </w:pPr>
    </w:p>
    <w:p>
      <w:pPr>
        <w:ind w:left="1182" w:hanging="595"/>
        <w:spacing w:after="0"/>
        <w:tabs>
          <w:tab w:leader="none" w:pos="118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persons shall be taken to be connected with one another if they are so connected as mentioned in Section 993 of the Income Tax Act 2007.</w:t>
      </w:r>
    </w:p>
    <w:p>
      <w:pPr>
        <w:spacing w:after="0" w:line="207" w:lineRule="exact"/>
        <w:rPr>
          <w:sz w:val="20"/>
          <w:szCs w:val="20"/>
          <w:color w:val="auto"/>
        </w:rPr>
      </w:pPr>
    </w:p>
    <w:p>
      <w:pPr>
        <w:ind w:left="582" w:right="140" w:hanging="586"/>
        <w:spacing w:after="0" w:line="270" w:lineRule="auto"/>
        <w:tabs>
          <w:tab w:leader="none" w:pos="562"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If any question, dispute or disagreement arises as to the interpretation of this Share Option Contract, the decision of the Remuneration Committee shall (except as regards any matter required to be determined by the Accountants hereunder) be final and binding upon all persons. In any case, in this Share Option Contract, where the Remuneration Committee has a discretion, its exercise of that discretion shall be final and binding upon all persons.</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color w:val="auto"/>
        </w:rPr>
        <w:t>In any matter in which they are required to act hereunder, the Accountants shall be deemed to be acting as experts and not as arbitrators and the Arbitration Act of</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1996 shall not apply hereto.</w:t>
      </w:r>
    </w:p>
    <w:p>
      <w:pPr>
        <w:spacing w:after="0" w:line="192" w:lineRule="exact"/>
        <w:rPr>
          <w:sz w:val="20"/>
          <w:szCs w:val="20"/>
          <w:color w:val="auto"/>
        </w:rPr>
      </w:pPr>
    </w:p>
    <w:p>
      <w:pPr>
        <w:ind w:left="582" w:hanging="582"/>
        <w:spacing w:after="0"/>
        <w:tabs>
          <w:tab w:leader="none" w:pos="582" w:val="left"/>
        </w:tabs>
        <w:numPr>
          <w:ilvl w:val="0"/>
          <w:numId w:val="259"/>
        </w:numPr>
        <w:rPr>
          <w:rFonts w:ascii="Arial" w:cs="Arial" w:eastAsia="Arial" w:hAnsi="Arial"/>
          <w:sz w:val="16"/>
          <w:szCs w:val="16"/>
          <w:color w:val="auto"/>
        </w:rPr>
      </w:pPr>
      <w:r>
        <w:rPr>
          <w:rFonts w:ascii="Arial" w:cs="Arial" w:eastAsia="Arial" w:hAnsi="Arial"/>
          <w:sz w:val="16"/>
          <w:szCs w:val="16"/>
          <w:b w:val="1"/>
          <w:bCs w:val="1"/>
          <w:color w:val="auto"/>
        </w:rPr>
        <w:t>GRANT OF OPTION</w:t>
      </w:r>
    </w:p>
    <w:p>
      <w:pPr>
        <w:spacing w:after="0" w:line="207" w:lineRule="exact"/>
        <w:rPr>
          <w:sz w:val="20"/>
          <w:szCs w:val="20"/>
          <w:color w:val="auto"/>
        </w:rPr>
      </w:pPr>
    </w:p>
    <w:p>
      <w:pPr>
        <w:ind w:left="582" w:right="120" w:hanging="586"/>
        <w:spacing w:after="0" w:line="326" w:lineRule="auto"/>
        <w:tabs>
          <w:tab w:leader="none" w:pos="562"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5"/>
          <w:szCs w:val="15"/>
          <w:color w:val="auto"/>
        </w:rPr>
        <w:t xml:space="preserve">The Company </w:t>
      </w:r>
      <w:r>
        <w:rPr>
          <w:rFonts w:ascii="Arial" w:cs="Arial" w:eastAsia="Arial" w:hAnsi="Arial"/>
          <w:sz w:val="15"/>
          <w:szCs w:val="15"/>
          <w:b w:val="1"/>
          <w:bCs w:val="1"/>
          <w:color w:val="auto"/>
        </w:rPr>
        <w:t>HEREBY GRANTS</w:t>
      </w:r>
      <w:r>
        <w:rPr>
          <w:rFonts w:ascii="Arial" w:cs="Arial" w:eastAsia="Arial" w:hAnsi="Arial"/>
          <w:sz w:val="15"/>
          <w:szCs w:val="15"/>
          <w:color w:val="auto"/>
        </w:rPr>
        <w:t xml:space="preserve"> on the Date of Grant to the Option Holder the right, exercisable only subject to, and in accordance with the following terms and conditions of this Share Option Contract, to acquire Ordinary Shares up to the Maximum Number of Option Shares at a price of 1 pence per Ordinary Share.</w:t>
      </w:r>
    </w:p>
    <w:p>
      <w:pPr>
        <w:spacing w:after="0" w:line="12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Details of all restrictions attaching to the Ordinary Shares which may be acquired upon the exercise of this Option are set out in the Articles.</w:t>
      </w:r>
    </w:p>
    <w:p>
      <w:pPr>
        <w:spacing w:after="0" w:line="207" w:lineRule="exact"/>
        <w:rPr>
          <w:sz w:val="20"/>
          <w:szCs w:val="20"/>
          <w:color w:val="auto"/>
        </w:rPr>
      </w:pPr>
    </w:p>
    <w:p>
      <w:pPr>
        <w:ind w:left="582" w:right="80" w:hanging="570"/>
        <w:spacing w:after="0" w:line="285" w:lineRule="auto"/>
        <w:tabs>
          <w:tab w:leader="none" w:pos="562"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color w:val="auto"/>
        </w:rPr>
        <w:t>Nothing in this Share Option Contract shall be taken to impose any restriction or limitation upon the exercise by the members of the Company of their rights to make any alteration to the Articles of Association or the share capital of the Company</w:t>
      </w:r>
    </w:p>
    <w:p>
      <w:pPr>
        <w:spacing w:after="0" w:line="146" w:lineRule="exact"/>
        <w:rPr>
          <w:sz w:val="20"/>
          <w:szCs w:val="20"/>
          <w:color w:val="auto"/>
        </w:rPr>
      </w:pPr>
    </w:p>
    <w:p>
      <w:pPr>
        <w:ind w:left="582" w:hanging="582"/>
        <w:spacing w:after="0"/>
        <w:tabs>
          <w:tab w:leader="none" w:pos="582" w:val="left"/>
        </w:tabs>
        <w:numPr>
          <w:ilvl w:val="0"/>
          <w:numId w:val="260"/>
        </w:numPr>
        <w:rPr>
          <w:rFonts w:ascii="Arial" w:cs="Arial" w:eastAsia="Arial" w:hAnsi="Arial"/>
          <w:sz w:val="16"/>
          <w:szCs w:val="16"/>
          <w:color w:val="auto"/>
        </w:rPr>
      </w:pPr>
      <w:r>
        <w:rPr>
          <w:rFonts w:ascii="Arial" w:cs="Arial" w:eastAsia="Arial" w:hAnsi="Arial"/>
          <w:sz w:val="16"/>
          <w:szCs w:val="16"/>
          <w:b w:val="1"/>
          <w:bCs w:val="1"/>
          <w:color w:val="auto"/>
        </w:rPr>
        <w:t>RELATIONSHIP WITH CONTRACT OF EMPLOYMENT</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5"/>
          <w:szCs w:val="15"/>
          <w:color w:val="auto"/>
        </w:rPr>
        <w:t>The grant of this Option will not form part of the Option Holder’s entitlement to remuneration or benefits pursuant to the Option Holder’s contract of employment.</w:t>
      </w:r>
    </w:p>
    <w:p>
      <w:pPr>
        <w:spacing w:after="0" w:line="207" w:lineRule="exact"/>
        <w:rPr>
          <w:sz w:val="20"/>
          <w:szCs w:val="20"/>
          <w:color w:val="auto"/>
        </w:rPr>
      </w:pPr>
    </w:p>
    <w:p>
      <w:pPr>
        <w:ind w:left="582" w:right="160" w:hanging="586"/>
        <w:spacing w:after="0" w:line="285" w:lineRule="auto"/>
        <w:tabs>
          <w:tab w:leader="none" w:pos="562"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The rights and obligations of the Option Holder under the terms of the Option Holder’s contract of employment with the Company or any past or present Subsidiary shall not be affected by the grant of this Option.</w:t>
      </w:r>
    </w:p>
    <w:p>
      <w:pPr>
        <w:spacing w:after="0" w:line="150" w:lineRule="exact"/>
        <w:rPr>
          <w:sz w:val="20"/>
          <w:szCs w:val="20"/>
          <w:color w:val="auto"/>
        </w:rPr>
      </w:pPr>
    </w:p>
    <w:p>
      <w:pPr>
        <w:jc w:val="both"/>
        <w:ind w:left="582" w:right="40" w:hanging="586"/>
        <w:spacing w:after="0" w:line="270" w:lineRule="auto"/>
        <w:tabs>
          <w:tab w:leader="none" w:pos="562"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The Option Holder shall not be entitled to any compensation or damages for any loss or potential loss which the Option Holder may suffer by reason of being unable to exercise this Option in consequence of the loss or termination of the Option Holder’s office or employment with the Company or any past or present Subsidiary for any reason whatsoever.</w:t>
      </w:r>
    </w:p>
    <w:p>
      <w:pPr>
        <w:spacing w:after="0" w:line="158" w:lineRule="exact"/>
        <w:rPr>
          <w:sz w:val="20"/>
          <w:szCs w:val="20"/>
          <w:color w:val="auto"/>
        </w:rPr>
      </w:pPr>
    </w:p>
    <w:p>
      <w:pPr>
        <w:ind w:left="582" w:hanging="582"/>
        <w:spacing w:after="0"/>
        <w:tabs>
          <w:tab w:leader="none" w:pos="582" w:val="left"/>
        </w:tabs>
        <w:numPr>
          <w:ilvl w:val="0"/>
          <w:numId w:val="261"/>
        </w:numPr>
        <w:rPr>
          <w:rFonts w:ascii="Arial" w:cs="Arial" w:eastAsia="Arial" w:hAnsi="Arial"/>
          <w:sz w:val="16"/>
          <w:szCs w:val="16"/>
          <w:color w:val="auto"/>
        </w:rPr>
      </w:pPr>
      <w:r>
        <w:rPr>
          <w:rFonts w:ascii="Arial" w:cs="Arial" w:eastAsia="Arial" w:hAnsi="Arial"/>
          <w:sz w:val="16"/>
          <w:szCs w:val="16"/>
          <w:b w:val="1"/>
          <w:bCs w:val="1"/>
          <w:color w:val="auto"/>
        </w:rPr>
        <w:t>EXERCISE OF THIS OPTION - GENERAL RULES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An Option may only be exercised to the extent it is Vested.</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color w:val="auto"/>
        </w:rPr>
        <w:t>During the Option Holder’s lifetime, only the Option Holder may exercise an Option.</w:t>
      </w:r>
    </w:p>
    <w:p>
      <w:pPr>
        <w:spacing w:after="0" w:line="207"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An Option shall be treated as Vested in accordance with the Vesting Terms and shall be capable of exercise only in accordance with Clauses 8 and 9 and only upon the occurrence of any of the events set out in Clauses 5, 6, 7 and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802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42"/>
          </w:cols>
          <w:pgMar w:left="238" w:top="322" w:right="219" w:bottom="1440" w:gutter="0" w:footer="0" w:header="0"/>
        </w:sectPr>
      </w:pPr>
    </w:p>
    <w:bookmarkStart w:id="381" w:name="page382"/>
    <w:bookmarkEnd w:id="381"/>
    <w:p>
      <w:pPr>
        <w:ind w:left="582" w:hanging="582"/>
        <w:spacing w:after="0"/>
        <w:tabs>
          <w:tab w:leader="none" w:pos="582" w:val="left"/>
        </w:tabs>
        <w:numPr>
          <w:ilvl w:val="0"/>
          <w:numId w:val="262"/>
        </w:numPr>
        <w:rPr>
          <w:rFonts w:ascii="Arial" w:cs="Arial" w:eastAsia="Arial" w:hAnsi="Arial"/>
          <w:sz w:val="16"/>
          <w:szCs w:val="16"/>
          <w:color w:val="auto"/>
        </w:rPr>
      </w:pPr>
      <w:r>
        <w:rPr>
          <w:rFonts w:ascii="Arial" w:cs="Arial" w:eastAsia="Arial" w:hAnsi="Arial"/>
          <w:sz w:val="16"/>
          <w:szCs w:val="16"/>
          <w:b w:val="1"/>
          <w:bCs w:val="1"/>
          <w:color w:val="auto"/>
        </w:rPr>
        <w:t>TRADE SALE</w:t>
      </w:r>
    </w:p>
    <w:p>
      <w:pPr>
        <w:spacing w:after="0" w:line="211"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i w:val="1"/>
          <w:iCs w:val="1"/>
          <w:color w:val="auto"/>
        </w:rPr>
        <w:t>Exercise prior to a Trade Sale</w:t>
      </w:r>
    </w:p>
    <w:p>
      <w:pPr>
        <w:spacing w:after="0" w:line="207" w:lineRule="exact"/>
        <w:rPr>
          <w:sz w:val="20"/>
          <w:szCs w:val="20"/>
          <w:color w:val="auto"/>
        </w:rPr>
      </w:pPr>
    </w:p>
    <w:p>
      <w:pPr>
        <w:ind w:left="582" w:right="60" w:hanging="586"/>
        <w:spacing w:after="0" w:line="270" w:lineRule="auto"/>
        <w:tabs>
          <w:tab w:leader="none" w:pos="562"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The Directors may notify the Option Holder prior to a date upon which, in the reasonable opinion of the Directors, a Trade Sale is likely to occur, of that fact and that (subject to the Remuneration Committee determining otherwise) all outstanding Options will lapse unless exercised (to the extent vested), conditional upon the fulfilment or satisfactory waiver of any conditions of such Trade Sale, prior to such Trade Sale taking place (“</w:t>
      </w:r>
      <w:r>
        <w:rPr>
          <w:rFonts w:ascii="Arial" w:cs="Arial" w:eastAsia="Arial" w:hAnsi="Arial"/>
          <w:sz w:val="16"/>
          <w:szCs w:val="16"/>
          <w:b w:val="1"/>
          <w:bCs w:val="1"/>
          <w:color w:val="auto"/>
        </w:rPr>
        <w:t>Prior Notice</w:t>
      </w:r>
      <w:r>
        <w:rPr>
          <w:rFonts w:ascii="Arial" w:cs="Arial" w:eastAsia="Arial" w:hAnsi="Arial"/>
          <w:sz w:val="16"/>
          <w:szCs w:val="16"/>
          <w:color w:val="auto"/>
        </w:rPr>
        <w:t>”).</w:t>
      </w:r>
    </w:p>
    <w:p>
      <w:pPr>
        <w:spacing w:after="0" w:line="162" w:lineRule="exact"/>
        <w:rPr>
          <w:sz w:val="20"/>
          <w:szCs w:val="20"/>
          <w:color w:val="auto"/>
        </w:rPr>
      </w:pPr>
    </w:p>
    <w:p>
      <w:pPr>
        <w:ind w:left="582" w:right="20" w:hanging="586"/>
        <w:spacing w:after="0" w:line="260" w:lineRule="auto"/>
        <w:tabs>
          <w:tab w:leader="none" w:pos="562"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If such Trade Sale does not take place within 90 days after the giving of Prior Notice any such exercise shall be deemed for all purposes never to have occurred and the Directors will return or procure the return to the Option Holder of any Exercise Price and any payment in respect of Option Tax Liability paid to it or to the Option Holder’s Employer. In lieu of providing Prior Notice, the Company shall have the right, but not the obligation, to make or provide for a cash payment to the Option Holder, without any consent of the Option Holder, in exchange for the cancellation thereof, in an amount equal to the difference between (a) the value as determined by the Directors of the consideration payable per Ordinary Share (the “</w:t>
      </w:r>
      <w:r>
        <w:rPr>
          <w:rFonts w:ascii="Arial" w:cs="Arial" w:eastAsia="Arial" w:hAnsi="Arial"/>
          <w:sz w:val="16"/>
          <w:szCs w:val="16"/>
          <w:b w:val="1"/>
          <w:bCs w:val="1"/>
          <w:color w:val="auto"/>
        </w:rPr>
        <w:t>Sale Price</w:t>
      </w:r>
      <w:r>
        <w:rPr>
          <w:rFonts w:ascii="Arial" w:cs="Arial" w:eastAsia="Arial" w:hAnsi="Arial"/>
          <w:sz w:val="16"/>
          <w:szCs w:val="16"/>
          <w:color w:val="auto"/>
        </w:rPr>
        <w:t>”) times the number of Option Shares being cancelled (to the extent then vested, including by reason of acceleration in connection with such Trade Sale, at prices not in excess of the Sale Price) and (B) the aggregate exercise price of such vested Option Shares.</w:t>
      </w:r>
    </w:p>
    <w:p>
      <w:pPr>
        <w:spacing w:after="0" w:line="17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4"/>
          <w:szCs w:val="14"/>
          <w:color w:val="auto"/>
        </w:rPr>
        <w:t>The provisions of Clause 5.1 shall not apply to the extent that an Exchange of Options is accepted by the Option Holder.</w:t>
      </w:r>
    </w:p>
    <w:p>
      <w:pPr>
        <w:spacing w:after="0" w:line="207" w:lineRule="exact"/>
        <w:rPr>
          <w:sz w:val="20"/>
          <w:szCs w:val="20"/>
          <w:color w:val="auto"/>
        </w:rPr>
      </w:pPr>
    </w:p>
    <w:p>
      <w:pPr>
        <w:ind w:left="582" w:hanging="586"/>
        <w:spacing w:after="0" w:line="265" w:lineRule="auto"/>
        <w:tabs>
          <w:tab w:leader="none" w:pos="562"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The service of a notice of exercise in accordance with Clause 5.1, or the service of a notice of exercise after completion of a Trade Sale if such exercise is permitted, shall irrevocably constitute the Company as the Option Holder’s agent for the sale of all the Option Shares acquired by the Option Holder as a result of the exercise of an Option on or after completion of the Trade Sale on terms which (subject to this Clause 5) are no less favourable than the terms on which Ordinary Shares are acquired by the purchaser from the other shareholders of the Company.</w:t>
      </w:r>
    </w:p>
    <w:p>
      <w:pPr>
        <w:spacing w:after="0" w:line="166" w:lineRule="exact"/>
        <w:rPr>
          <w:sz w:val="20"/>
          <w:szCs w:val="20"/>
          <w:color w:val="auto"/>
        </w:rPr>
      </w:pPr>
    </w:p>
    <w:p>
      <w:pPr>
        <w:ind w:left="582" w:right="340" w:hanging="586"/>
        <w:spacing w:after="0" w:line="308" w:lineRule="auto"/>
        <w:tabs>
          <w:tab w:leader="none" w:pos="562"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4"/>
          <w:szCs w:val="14"/>
          <w:color w:val="auto"/>
        </w:rPr>
        <w:t>The Agent shall have irrevocable and unconditional authority to sign, complete, execute and deliver in the name of and on behalf of the Option Holder (and/or to appoint any person nominated by it to do so) any agreement, stock transfer form and any other documents necessary (i) to transfer such Option Shares to the purchaser (and to give normal warranties, representations and covenants that such Shares are sold with full title guarantee, are free from any encumbrance of any nature and as to the authority of the Option Holder and its agent to sell such Shares) against payment of the purchase money and/or delivery of any other consideration to the Agent or (ii) cancel any Option Shares (to the extent Vested) in consideration of a cash payment as described in Clause 5.2.</w:t>
      </w:r>
    </w:p>
    <w:p>
      <w:pPr>
        <w:spacing w:after="0" w:line="141" w:lineRule="exact"/>
        <w:rPr>
          <w:sz w:val="20"/>
          <w:szCs w:val="20"/>
          <w:color w:val="auto"/>
        </w:rPr>
      </w:pPr>
    </w:p>
    <w:p>
      <w:pPr>
        <w:ind w:left="582" w:right="40" w:hanging="586"/>
        <w:spacing w:after="0" w:line="265" w:lineRule="auto"/>
        <w:tabs>
          <w:tab w:leader="none" w:pos="562"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The Option Holder agrees that the Agent shall be entitled to retain out of the purchase money an amount to the value of the aggregate Exercise Price if not already paid by the Option Holder (to be held to the order of the Company) and the amount of any Option Tax Liability which is the subject of the indemnity in Clause 10 (to be held to the order of the Company or any company which is the Option Holder’s Employer) and the Agent may retain possession of any other purchase consideration until these amounts have been settled in full.</w:t>
      </w:r>
    </w:p>
    <w:p>
      <w:pPr>
        <w:spacing w:after="0" w:line="166" w:lineRule="exact"/>
        <w:rPr>
          <w:sz w:val="20"/>
          <w:szCs w:val="20"/>
          <w:color w:val="auto"/>
        </w:rPr>
      </w:pPr>
    </w:p>
    <w:p>
      <w:pPr>
        <w:ind w:left="582" w:right="100" w:hanging="586"/>
        <w:spacing w:after="0" w:line="265" w:lineRule="auto"/>
        <w:tabs>
          <w:tab w:leader="none" w:pos="562"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6"/>
          <w:szCs w:val="16"/>
          <w:color w:val="auto"/>
        </w:rPr>
        <w:t>The Agent may receive the purchase money and any other purchase consideration on behalf of the Option Holder and give a valid discharge to the purchaser for it. The Agent will pay the purchase money received by it in respect of the sale of the Option Holder’s Ordinary Shares or the cash cancellation of the option Holder’s Option Shares to the Option Holder less any amounts referred to under Clause 5.5 and shall deliver to the Option Holder any other purchase consideration as soon as reasonably practicable following receipt of cleared funds for those amounts.</w:t>
      </w:r>
    </w:p>
    <w:p>
      <w:pPr>
        <w:spacing w:after="0" w:line="166" w:lineRule="exact"/>
        <w:rPr>
          <w:sz w:val="20"/>
          <w:szCs w:val="20"/>
          <w:color w:val="auto"/>
        </w:rPr>
      </w:pPr>
    </w:p>
    <w:p>
      <w:pPr>
        <w:jc w:val="both"/>
        <w:ind w:left="582" w:right="60" w:hanging="586"/>
        <w:spacing w:after="0" w:line="270" w:lineRule="auto"/>
        <w:tabs>
          <w:tab w:leader="none" w:pos="562"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6"/>
          <w:szCs w:val="16"/>
          <w:color w:val="auto"/>
        </w:rPr>
        <w:t>If a general offer is made to acquire the whole or any part of the issued ordinary share capital of the Company which, on it becoming or being declared unconditional and the purchaser completing the acquisition, would constitute a Trade Sale, then the provisions of Clauses 5.1 to 5.7 inclusive shall apply thereto (mutatis mutandis) and a Trade Sale shall be treated as taking place when the offer becomes or is declared unconditional.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72802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82" w:hanging="582"/>
        <w:spacing w:after="0"/>
        <w:tabs>
          <w:tab w:leader="none" w:pos="582" w:val="left"/>
        </w:tabs>
        <w:numPr>
          <w:ilvl w:val="0"/>
          <w:numId w:val="263"/>
        </w:numPr>
        <w:rPr>
          <w:rFonts w:ascii="Arial" w:cs="Arial" w:eastAsia="Arial" w:hAnsi="Arial"/>
          <w:sz w:val="16"/>
          <w:szCs w:val="16"/>
          <w:color w:val="auto"/>
        </w:rPr>
      </w:pPr>
      <w:r>
        <w:rPr>
          <w:rFonts w:ascii="Arial" w:cs="Arial" w:eastAsia="Arial" w:hAnsi="Arial"/>
          <w:sz w:val="16"/>
          <w:szCs w:val="16"/>
          <w:b w:val="1"/>
          <w:bCs w:val="1"/>
          <w:color w:val="auto"/>
        </w:rPr>
        <w:t>ADMISSION</w:t>
      </w:r>
    </w:p>
    <w:p>
      <w:pPr>
        <w:spacing w:after="0" w:line="211" w:lineRule="exact"/>
        <w:rPr>
          <w:sz w:val="20"/>
          <w:szCs w:val="20"/>
          <w:color w:val="auto"/>
        </w:rPr>
      </w:pPr>
    </w:p>
    <w:p>
      <w:pPr>
        <w:ind w:left="582" w:right="140" w:hanging="586"/>
        <w:spacing w:after="0" w:line="285" w:lineRule="auto"/>
        <w:tabs>
          <w:tab w:leader="none" w:pos="562"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In the event of Admission the Option may only be exercised, and only to the extent Vested (unless the Remuneration Committee determines otherwise), within such one or more periods after Admission as the Directors may determine and notify to the Option Holder.</w:t>
      </w:r>
    </w:p>
    <w:p>
      <w:pPr>
        <w:spacing w:after="0" w:line="150" w:lineRule="exact"/>
        <w:rPr>
          <w:sz w:val="20"/>
          <w:szCs w:val="20"/>
          <w:color w:val="auto"/>
        </w:rPr>
      </w:pPr>
    </w:p>
    <w:p>
      <w:pPr>
        <w:ind w:left="582" w:right="60" w:hanging="586"/>
        <w:spacing w:after="0" w:line="265" w:lineRule="auto"/>
        <w:tabs>
          <w:tab w:leader="none" w:pos="562"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If the Option becomes capable of exercise under Clause 6.1 the Company shall have the right not to issue and allot Ordinary Shares to the Option Holder unless the Option Holder has first agreed with the Company not to sell or otherwise dispose of Ordinary Shares acquired upon exercise of the Option within such period or periods (not extending beyond the first anniversary of the date of Admission) as the Company may specify. If requested by the underwriter engaged by the Company, the Option Holder shall execute a separate letter confirming his or her agreement to comply with this section.</w:t>
      </w:r>
    </w:p>
    <w:p>
      <w:pPr>
        <w:spacing w:after="0" w:line="162" w:lineRule="exact"/>
        <w:rPr>
          <w:sz w:val="20"/>
          <w:szCs w:val="20"/>
          <w:color w:val="auto"/>
        </w:rPr>
      </w:pPr>
    </w:p>
    <w:p>
      <w:pPr>
        <w:ind w:left="582" w:hanging="582"/>
        <w:spacing w:after="0"/>
        <w:tabs>
          <w:tab w:leader="none" w:pos="582" w:val="left"/>
        </w:tabs>
        <w:numPr>
          <w:ilvl w:val="0"/>
          <w:numId w:val="264"/>
        </w:numPr>
        <w:rPr>
          <w:rFonts w:ascii="Arial" w:cs="Arial" w:eastAsia="Arial" w:hAnsi="Arial"/>
          <w:sz w:val="16"/>
          <w:szCs w:val="16"/>
          <w:color w:val="auto"/>
        </w:rPr>
      </w:pPr>
      <w:r>
        <w:rPr>
          <w:rFonts w:ascii="Arial" w:cs="Arial" w:eastAsia="Arial" w:hAnsi="Arial"/>
          <w:sz w:val="16"/>
          <w:szCs w:val="16"/>
          <w:b w:val="1"/>
          <w:bCs w:val="1"/>
          <w:color w:val="auto"/>
        </w:rPr>
        <w:t>LEAVING EMPLOYMENT</w:t>
      </w:r>
    </w:p>
    <w:p>
      <w:pPr>
        <w:spacing w:after="0" w:line="211" w:lineRule="exact"/>
        <w:rPr>
          <w:sz w:val="20"/>
          <w:szCs w:val="20"/>
          <w:color w:val="auto"/>
        </w:rPr>
      </w:pPr>
    </w:p>
    <w:p>
      <w:pPr>
        <w:ind w:left="582" w:right="80" w:hanging="586"/>
        <w:spacing w:after="0" w:line="284" w:lineRule="auto"/>
        <w:tabs>
          <w:tab w:leader="none" w:pos="562"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5"/>
          <w:szCs w:val="15"/>
          <w:color w:val="auto"/>
        </w:rPr>
        <w:t>Unless the Remuneration Committee determines otherwise, and subject to the following sentence, if the Option Holder gives or receives notice of termination of employment (in each case, whether lawfully or unlawfully) or ceases to hold employment within the Group then any part of the Option held by the Option Holder which is not Vested will lapse on the earlier of the date when notice is given and the date when employment ceases. If the Option Holder ceases to hold employment within the Group in circumstances where the Option Holder is a Bad Leaver, the whole of the Option held by the Option Holder, whether Vested or not, will lapse on the date when the employment ceases, unless the Remuneration Committee determines otherwise.</w:t>
      </w:r>
    </w:p>
    <w:p>
      <w:pPr>
        <w:spacing w:after="0" w:line="153" w:lineRule="exact"/>
        <w:rPr>
          <w:sz w:val="20"/>
          <w:szCs w:val="20"/>
          <w:color w:val="auto"/>
        </w:rPr>
      </w:pPr>
    </w:p>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For the purposes of this Clause 7, the Option Holder shall not be treated as having ceased to hold employment within the Group unless and until the Option Holder no longer holds any office or employment with any member of the Group.</w:t>
      </w:r>
    </w:p>
    <w:p>
      <w:pPr>
        <w:spacing w:after="0" w:line="146" w:lineRule="exact"/>
        <w:rPr>
          <w:sz w:val="20"/>
          <w:szCs w:val="20"/>
          <w:color w:val="auto"/>
        </w:rPr>
      </w:pPr>
    </w:p>
    <w:p>
      <w:pPr>
        <w:ind w:left="582" w:hanging="582"/>
        <w:spacing w:after="0"/>
        <w:tabs>
          <w:tab w:leader="none" w:pos="582" w:val="left"/>
        </w:tabs>
        <w:numPr>
          <w:ilvl w:val="0"/>
          <w:numId w:val="265"/>
        </w:numPr>
        <w:rPr>
          <w:rFonts w:ascii="Arial" w:cs="Arial" w:eastAsia="Arial" w:hAnsi="Arial"/>
          <w:sz w:val="16"/>
          <w:szCs w:val="16"/>
          <w:color w:val="auto"/>
        </w:rPr>
      </w:pPr>
      <w:r>
        <w:rPr>
          <w:rFonts w:ascii="Arial" w:cs="Arial" w:eastAsia="Arial" w:hAnsi="Arial"/>
          <w:sz w:val="16"/>
          <w:szCs w:val="16"/>
          <w:b w:val="1"/>
          <w:bCs w:val="1"/>
          <w:color w:val="auto"/>
        </w:rPr>
        <w:t>LAPSE OF THE OPTION</w:t>
      </w:r>
    </w:p>
    <w:p>
      <w:pPr>
        <w:spacing w:after="0" w:line="211"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The Option shall immediately lapse and cease to be exercisable on the earliest of the following events: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4"/>
          <w:szCs w:val="14"/>
          <w:color w:val="auto"/>
        </w:rPr>
        <w:t>at the end of the day before the tenth anniversary of the Date of Grant;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4"/>
          <w:szCs w:val="14"/>
          <w:color w:val="auto"/>
        </w:rPr>
        <w:t>if it is transferred or assigned, mortgaged, charged or otherwise disposed of by the Option Holder;</w:t>
      </w:r>
    </w:p>
    <w:p>
      <w:pPr>
        <w:spacing w:after="0" w:line="207" w:lineRule="exact"/>
        <w:rPr>
          <w:sz w:val="20"/>
          <w:szCs w:val="20"/>
          <w:color w:val="auto"/>
        </w:rPr>
      </w:pPr>
    </w:p>
    <w:p>
      <w:pPr>
        <w:ind w:left="582" w:right="220" w:hanging="586"/>
        <w:spacing w:after="0" w:line="285" w:lineRule="auto"/>
        <w:tabs>
          <w:tab w:leader="none" w:pos="562"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6"/>
          <w:szCs w:val="16"/>
          <w:color w:val="auto"/>
        </w:rPr>
        <w:t>if the Option Holder is adjudged bankrupt or an interim order is made because the Option Holder intends to propose a voluntary arrangement to creditors under the Insolvency Act 1986;</w:t>
      </w:r>
    </w:p>
    <w:p>
      <w:pPr>
        <w:spacing w:after="0" w:line="150" w:lineRule="exact"/>
        <w:rPr>
          <w:sz w:val="20"/>
          <w:szCs w:val="20"/>
          <w:color w:val="auto"/>
        </w:rPr>
      </w:pPr>
    </w:p>
    <w:p>
      <w:pPr>
        <w:ind w:left="582" w:right="40" w:hanging="570"/>
        <w:spacing w:after="0" w:line="285" w:lineRule="auto"/>
        <w:tabs>
          <w:tab w:leader="none" w:pos="562"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6"/>
          <w:szCs w:val="16"/>
          <w:color w:val="auto"/>
        </w:rPr>
        <w:t>if the Option Holder makes or proposes a voluntary arrangement under the Insolvency Act 1986, or any other scheme or arrangement in relation to outstanding debts, with creditors or any section of them;</w:t>
      </w:r>
    </w:p>
    <w:p>
      <w:pPr>
        <w:spacing w:after="0" w:line="150" w:lineRule="exact"/>
        <w:rPr>
          <w:sz w:val="20"/>
          <w:szCs w:val="20"/>
          <w:color w:val="auto"/>
        </w:rPr>
      </w:pPr>
    </w:p>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6"/>
          <w:szCs w:val="16"/>
          <w:color w:val="auto"/>
        </w:rPr>
        <w:t>if the Option Holder is otherwise deprived of the legal or beneficial ownership of the Option by operation of law or doing or omitting to do anything which causes the Option Holder to be so deprived;</w:t>
      </w:r>
    </w:p>
    <w:p>
      <w:pPr>
        <w:sectPr>
          <w:pgSz w:w="11900" w:h="16838" w:orient="portrait"/>
          <w:cols w:equalWidth="0" w:num="1">
            <w:col w:w="11422"/>
          </w:cols>
          <w:pgMar w:left="238" w:top="318" w:right="239" w:bottom="0" w:gutter="0" w:footer="0" w:header="0"/>
        </w:sectPr>
      </w:pPr>
    </w:p>
    <w:bookmarkStart w:id="382" w:name="page383"/>
    <w:bookmarkEnd w:id="382"/>
    <w:p>
      <w:pPr>
        <w:ind w:hanging="586"/>
        <w:spacing w:after="0" w:line="285" w:lineRule="auto"/>
        <w:rPr>
          <w:sz w:val="20"/>
          <w:szCs w:val="20"/>
          <w:color w:val="auto"/>
        </w:rPr>
      </w:pPr>
      <w:r>
        <w:rPr>
          <w:rFonts w:ascii="Arial" w:cs="Arial" w:eastAsia="Arial" w:hAnsi="Arial"/>
          <w:sz w:val="16"/>
          <w:szCs w:val="16"/>
          <w:color w:val="auto"/>
        </w:rPr>
        <w:t>8.6</w:t>
      </w:r>
      <w:r>
        <w:rPr>
          <w:sz w:val="20"/>
          <w:szCs w:val="20"/>
          <w:color w:val="auto"/>
        </w:rPr>
        <w:t xml:space="preserve"> </w:t>
      </w:r>
      <w:r>
        <w:rPr>
          <w:rFonts w:ascii="Arial" w:cs="Arial" w:eastAsia="Arial" w:hAnsi="Arial"/>
          <w:sz w:val="16"/>
          <w:szCs w:val="16"/>
          <w:color w:val="auto"/>
        </w:rPr>
        <w:t>where the Directors have given to the Option Holder notice of a likely Trade Sale under Clause 5.1, to the extent that it is not exercised by completion of that Trade Sale;</w:t>
      </w:r>
    </w:p>
    <w:p>
      <w:pPr>
        <w:spacing w:after="0" w:line="150" w:lineRule="exact"/>
        <w:rPr>
          <w:sz w:val="20"/>
          <w:szCs w:val="20"/>
          <w:color w:val="auto"/>
        </w:rPr>
      </w:pPr>
    </w:p>
    <w:p>
      <w:pPr>
        <w:ind w:right="300" w:hanging="586"/>
        <w:spacing w:after="0" w:line="285" w:lineRule="auto"/>
        <w:rPr>
          <w:sz w:val="20"/>
          <w:szCs w:val="20"/>
          <w:color w:val="auto"/>
        </w:rPr>
      </w:pPr>
      <w:r>
        <w:rPr>
          <w:rFonts w:ascii="Arial" w:cs="Arial" w:eastAsia="Arial" w:hAnsi="Arial"/>
          <w:sz w:val="16"/>
          <w:szCs w:val="16"/>
          <w:color w:val="auto"/>
        </w:rPr>
        <w:t>8.7</w:t>
      </w:r>
      <w:r>
        <w:rPr>
          <w:sz w:val="20"/>
          <w:szCs w:val="20"/>
          <w:color w:val="auto"/>
        </w:rPr>
        <w:t xml:space="preserve"> </w:t>
      </w:r>
      <w:r>
        <w:rPr>
          <w:rFonts w:ascii="Arial" w:cs="Arial" w:eastAsia="Arial" w:hAnsi="Arial"/>
          <w:sz w:val="16"/>
          <w:szCs w:val="16"/>
          <w:color w:val="auto"/>
        </w:rPr>
        <w:t>where the Directors have not given to the Option Holder notice of a likely Trade Sale under Clause 5.1, to the extent it is not exercised within such period after completion of a Trade Sale (of no less than fourteen days) as they may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162560</wp:posOffset>
            </wp:positionV>
            <wp:extent cx="72802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660"/>
          </w:cols>
          <w:pgMar w:left="820" w:top="126" w:right="419" w:bottom="1440" w:gutter="0" w:footer="0" w:header="0"/>
        </w:sectPr>
      </w:pPr>
    </w:p>
    <w:bookmarkStart w:id="383" w:name="page384"/>
    <w:bookmarkEnd w:id="383"/>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6"/>
          <w:szCs w:val="16"/>
          <w:color w:val="auto"/>
        </w:rPr>
        <w:t>the expiry of sixty days following the Option Holder giving or being given notice of termination of employment or ceasing to hold employment under Clause 7.1 (but so that during such period no part or further part of the Option shall become Vested);</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8.9</w:t>
      </w:r>
      <w:r>
        <w:rPr>
          <w:sz w:val="20"/>
          <w:szCs w:val="20"/>
          <w:color w:val="auto"/>
        </w:rPr>
        <w:tab/>
      </w:r>
      <w:r>
        <w:rPr>
          <w:rFonts w:ascii="Arial" w:cs="Arial" w:eastAsia="Arial" w:hAnsi="Arial"/>
          <w:sz w:val="14"/>
          <w:szCs w:val="14"/>
          <w:color w:val="auto"/>
        </w:rPr>
        <w:t>a court ordered liquidation of the Company; and</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8.10</w:t>
      </w:r>
      <w:r>
        <w:rPr>
          <w:sz w:val="20"/>
          <w:szCs w:val="20"/>
          <w:color w:val="auto"/>
        </w:rPr>
        <w:tab/>
      </w:r>
      <w:r>
        <w:rPr>
          <w:rFonts w:ascii="Arial" w:cs="Arial" w:eastAsia="Arial" w:hAnsi="Arial"/>
          <w:sz w:val="14"/>
          <w:szCs w:val="14"/>
          <w:color w:val="auto"/>
        </w:rPr>
        <w:t>twenty eight days following an Assets Sale.</w:t>
      </w:r>
    </w:p>
    <w:p>
      <w:pPr>
        <w:spacing w:after="0" w:line="203" w:lineRule="exact"/>
        <w:rPr>
          <w:sz w:val="20"/>
          <w:szCs w:val="20"/>
          <w:color w:val="auto"/>
        </w:rPr>
      </w:pPr>
    </w:p>
    <w:p>
      <w:pPr>
        <w:ind w:left="582" w:hanging="582"/>
        <w:spacing w:after="0"/>
        <w:tabs>
          <w:tab w:leader="none" w:pos="582" w:val="left"/>
        </w:tabs>
        <w:numPr>
          <w:ilvl w:val="0"/>
          <w:numId w:val="266"/>
        </w:numPr>
        <w:rPr>
          <w:rFonts w:ascii="Arial" w:cs="Arial" w:eastAsia="Arial" w:hAnsi="Arial"/>
          <w:sz w:val="16"/>
          <w:szCs w:val="16"/>
          <w:color w:val="auto"/>
        </w:rPr>
      </w:pPr>
      <w:r>
        <w:rPr>
          <w:rFonts w:ascii="Arial" w:cs="Arial" w:eastAsia="Arial" w:hAnsi="Arial"/>
          <w:sz w:val="16"/>
          <w:szCs w:val="16"/>
          <w:b w:val="1"/>
          <w:bCs w:val="1"/>
          <w:color w:val="auto"/>
        </w:rPr>
        <w:t>MANNER OF EXERCISE OF OPTION</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4"/>
          <w:szCs w:val="14"/>
          <w:color w:val="auto"/>
        </w:rPr>
        <w:t>This Option shall be exercised only by the Option Holder (or the relevant Personal Representatives) serving a written notice upon the Company which:-</w:t>
      </w:r>
    </w:p>
    <w:p>
      <w:pPr>
        <w:spacing w:after="0" w:line="207" w:lineRule="exact"/>
        <w:rPr>
          <w:sz w:val="20"/>
          <w:szCs w:val="20"/>
          <w:color w:val="auto"/>
        </w:rPr>
      </w:pPr>
    </w:p>
    <w:p>
      <w:pPr>
        <w:ind w:left="1162" w:hanging="575"/>
        <w:spacing w:after="0"/>
        <w:tabs>
          <w:tab w:leader="none" w:pos="116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specifies the number of Ordinary Shares in respect of which the Option is exercised; and</w:t>
      </w:r>
    </w:p>
    <w:p>
      <w:pPr>
        <w:spacing w:after="0" w:line="207" w:lineRule="exact"/>
        <w:rPr>
          <w:rFonts w:ascii="Arial" w:cs="Arial" w:eastAsia="Arial" w:hAnsi="Arial"/>
          <w:sz w:val="16"/>
          <w:szCs w:val="16"/>
          <w:color w:val="auto"/>
        </w:rPr>
      </w:pPr>
    </w:p>
    <w:p>
      <w:pPr>
        <w:ind w:left="1182" w:right="600" w:hanging="595"/>
        <w:spacing w:after="0" w:line="285" w:lineRule="auto"/>
        <w:tabs>
          <w:tab w:leader="none" w:pos="118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is accompanied by payment (or, if permitted by the Company, an undertaking to make payment) of an amount equal to the product of the number of Ordinary Shares specified in the notice and the Exercise Price;</w:t>
      </w:r>
    </w:p>
    <w:p>
      <w:pPr>
        <w:spacing w:after="0" w:line="150" w:lineRule="exact"/>
        <w:rPr>
          <w:sz w:val="20"/>
          <w:szCs w:val="20"/>
          <w:color w:val="auto"/>
        </w:rPr>
      </w:pPr>
    </w:p>
    <w:p>
      <w:pPr>
        <w:ind w:left="582"/>
        <w:spacing w:after="0"/>
        <w:rPr>
          <w:sz w:val="20"/>
          <w:szCs w:val="20"/>
          <w:color w:val="auto"/>
        </w:rPr>
      </w:pPr>
      <w:r>
        <w:rPr>
          <w:rFonts w:ascii="Arial" w:cs="Arial" w:eastAsia="Arial" w:hAnsi="Arial"/>
          <w:sz w:val="15"/>
          <w:szCs w:val="15"/>
          <w:color w:val="auto"/>
        </w:rPr>
        <w:t>and is otherwise in the form set out in Schedule 2 to this Share Option Contract or such other form as the Company may notify in writing to the Option Holder.</w:t>
      </w:r>
    </w:p>
    <w:p>
      <w:pPr>
        <w:spacing w:after="0" w:line="219" w:lineRule="exact"/>
        <w:rPr>
          <w:sz w:val="20"/>
          <w:szCs w:val="20"/>
          <w:color w:val="auto"/>
        </w:rPr>
      </w:pPr>
    </w:p>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color w:val="auto"/>
        </w:rPr>
        <w:t>Subject to Clause 10, within 30 days beginning with the date on which the Company receives a notice of exercise which complies with Clause 9.1, the Company shall transfer to the Option Holder such number of Ordinary Shares as is specified in the notice.</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color w:val="auto"/>
        </w:rPr>
        <w:t>Subject to Clause 10, as soon as reasonably practicable after issuing or procuring the transfer of any Ordinary Shares pursuant to Clause 9.2, the Company shall:</w:t>
      </w:r>
    </w:p>
    <w:p>
      <w:pPr>
        <w:spacing w:after="0" w:line="207" w:lineRule="exact"/>
        <w:rPr>
          <w:sz w:val="20"/>
          <w:szCs w:val="20"/>
          <w:color w:val="auto"/>
        </w:rPr>
      </w:pPr>
    </w:p>
    <w:p>
      <w:pPr>
        <w:ind w:left="1182" w:right="20" w:hanging="595"/>
        <w:spacing w:after="0" w:line="285" w:lineRule="auto"/>
        <w:tabs>
          <w:tab w:leader="none" w:pos="118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procure the issue to the Option Holder of a definitive share certificate or such acknowledgement of shareholding as is prescribed from time to time in respect of the Ordinary Shares so allotted; and</w:t>
      </w:r>
    </w:p>
    <w:p>
      <w:pPr>
        <w:spacing w:after="0" w:line="149" w:lineRule="exact"/>
        <w:rPr>
          <w:rFonts w:ascii="Arial" w:cs="Arial" w:eastAsia="Arial" w:hAnsi="Arial"/>
          <w:sz w:val="16"/>
          <w:szCs w:val="16"/>
          <w:color w:val="auto"/>
        </w:rPr>
      </w:pPr>
    </w:p>
    <w:p>
      <w:pPr>
        <w:ind w:left="1182" w:right="120" w:hanging="595"/>
        <w:spacing w:after="0" w:line="285" w:lineRule="auto"/>
        <w:tabs>
          <w:tab w:leader="none" w:pos="118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(where Ordinary Shares are to be allotted and permission has been given for Ordinary Shares of the same class to be traded or dealt in on the London Stock Exchange or AIM), use its best endeavours to procure that the Ordinary Shares so allotted may be so traded or dealt in.</w:t>
      </w:r>
    </w:p>
    <w:p>
      <w:pPr>
        <w:spacing w:after="0" w:line="150" w:lineRule="exact"/>
        <w:rPr>
          <w:sz w:val="20"/>
          <w:szCs w:val="20"/>
          <w:color w:val="auto"/>
        </w:rPr>
      </w:pPr>
    </w:p>
    <w:p>
      <w:pPr>
        <w:ind w:left="582" w:right="600" w:hanging="586"/>
        <w:spacing w:after="0" w:line="285" w:lineRule="auto"/>
        <w:tabs>
          <w:tab w:leader="none" w:pos="562"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6"/>
          <w:szCs w:val="16"/>
          <w:color w:val="auto"/>
        </w:rPr>
        <w:t>The Company may, if the Option Holder so requests, transfer some or all of such Ordinary Shares to a nominee of the Option Holder provided that beneficial ownership of such Ordinary Shares shall be vested in the Option Holder.</w:t>
      </w:r>
    </w:p>
    <w:p>
      <w:pPr>
        <w:spacing w:after="0" w:line="150" w:lineRule="exact"/>
        <w:rPr>
          <w:sz w:val="20"/>
          <w:szCs w:val="20"/>
          <w:color w:val="auto"/>
        </w:rPr>
      </w:pPr>
    </w:p>
    <w:p>
      <w:pPr>
        <w:ind w:left="582" w:hanging="586"/>
        <w:spacing w:after="0" w:line="270" w:lineRule="auto"/>
        <w:tabs>
          <w:tab w:leader="none" w:pos="562"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6"/>
          <w:szCs w:val="16"/>
          <w:color w:val="auto"/>
        </w:rPr>
        <w:t>The transfer of any Ordinary Shares pursuant to the exercise of an Option shall be subject to the Memorandum and Articles of Association of the Company and to any necessary consents of any governmental or other authorities under any enactments or regulations from time to time in force and it shall be the responsibility of the Option Holder to comply with any requirements to be fulfilled in order to obtain or obviate the necessity of such consent.</w:t>
      </w:r>
    </w:p>
    <w:p>
      <w:pPr>
        <w:spacing w:after="0" w:line="162" w:lineRule="exact"/>
        <w:rPr>
          <w:sz w:val="20"/>
          <w:szCs w:val="20"/>
          <w:color w:val="auto"/>
        </w:rPr>
      </w:pPr>
    </w:p>
    <w:p>
      <w:pPr>
        <w:ind w:left="582" w:right="20" w:hanging="586"/>
        <w:spacing w:after="0" w:line="270" w:lineRule="auto"/>
        <w:tabs>
          <w:tab w:leader="none" w:pos="562" w:val="left"/>
        </w:tabs>
        <w:rPr>
          <w:sz w:val="20"/>
          <w:szCs w:val="20"/>
          <w:color w:val="auto"/>
        </w:rPr>
      </w:pPr>
      <w:r>
        <w:rPr>
          <w:rFonts w:ascii="Arial" w:cs="Arial" w:eastAsia="Arial" w:hAnsi="Arial"/>
          <w:sz w:val="16"/>
          <w:szCs w:val="16"/>
          <w:color w:val="auto"/>
        </w:rPr>
        <w:t>9.6</w:t>
      </w:r>
      <w:r>
        <w:rPr>
          <w:sz w:val="20"/>
          <w:szCs w:val="20"/>
          <w:color w:val="auto"/>
        </w:rPr>
        <w:tab/>
      </w:r>
      <w:r>
        <w:rPr>
          <w:rFonts w:ascii="Arial" w:cs="Arial" w:eastAsia="Arial" w:hAnsi="Arial"/>
          <w:sz w:val="16"/>
          <w:szCs w:val="16"/>
          <w:color w:val="auto"/>
        </w:rPr>
        <w:t>All Ordinary Shares transferred pursuant to the exercise of an Option shall be held subject to the provisions of the Articles and shall rank equally in all respects with the Ordinary Shares for the time being in issue save as regards any rights attaching to such Ordinary Shares by reference to a record date prior to the date of allotment or transfer.</w:t>
      </w:r>
    </w:p>
    <w:p>
      <w:pPr>
        <w:spacing w:after="0" w:line="158" w:lineRule="exact"/>
        <w:rPr>
          <w:sz w:val="20"/>
          <w:szCs w:val="20"/>
          <w:color w:val="auto"/>
        </w:rPr>
      </w:pPr>
    </w:p>
    <w:p>
      <w:pPr>
        <w:ind w:left="582" w:hanging="582"/>
        <w:spacing w:after="0"/>
        <w:tabs>
          <w:tab w:leader="none" w:pos="582" w:val="left"/>
        </w:tabs>
        <w:numPr>
          <w:ilvl w:val="0"/>
          <w:numId w:val="269"/>
        </w:numPr>
        <w:rPr>
          <w:rFonts w:ascii="Arial" w:cs="Arial" w:eastAsia="Arial" w:hAnsi="Arial"/>
          <w:sz w:val="16"/>
          <w:szCs w:val="16"/>
          <w:color w:val="auto"/>
        </w:rPr>
      </w:pPr>
      <w:r>
        <w:rPr>
          <w:rFonts w:ascii="Arial" w:cs="Arial" w:eastAsia="Arial" w:hAnsi="Arial"/>
          <w:sz w:val="16"/>
          <w:szCs w:val="16"/>
          <w:b w:val="1"/>
          <w:bCs w:val="1"/>
          <w:color w:val="auto"/>
        </w:rPr>
        <w:t>OPTION HOLDER’S TAX INDEMNITY</w:t>
      </w:r>
    </w:p>
    <w:p>
      <w:pPr>
        <w:spacing w:after="0" w:line="211" w:lineRule="exact"/>
        <w:rPr>
          <w:sz w:val="20"/>
          <w:szCs w:val="20"/>
          <w:color w:val="auto"/>
        </w:rPr>
      </w:pPr>
    </w:p>
    <w:p>
      <w:pPr>
        <w:ind w:left="582" w:right="100" w:hanging="586"/>
        <w:spacing w:after="0" w:line="285" w:lineRule="auto"/>
        <w:tabs>
          <w:tab w:leader="none" w:pos="562"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Option Holder shall indemnify the Option Holder’s Employer against any liability of any person to account for any Option Tax Liability, which for the purposes of this clause shall include any liability for Employer’s 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802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384" w:name="page385"/>
    <w:bookmarkEnd w:id="384"/>
    <w:p>
      <w:pPr>
        <w:jc w:val="both"/>
        <w:ind w:left="582" w:right="200" w:hanging="586"/>
        <w:spacing w:after="0" w:line="270" w:lineRule="auto"/>
        <w:tabs>
          <w:tab w:leader="none" w:pos="562"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The Company shall not be obliged to allot and issue or procure the transfer of any Ordinary Shares or any interest in Ordinary Shares pursuant to this Share Option Contract unless and until the Option Holder has paid to the Option Holder’s Employer such sum as is, in the opinion of the Option Holder’s Employer, sufficient to indemnify the Option Holder’s Employer in full against any Option Tax Liability.</w:t>
      </w:r>
    </w:p>
    <w:p>
      <w:pPr>
        <w:spacing w:after="0" w:line="162" w:lineRule="exact"/>
        <w:rPr>
          <w:sz w:val="20"/>
          <w:szCs w:val="20"/>
          <w:color w:val="auto"/>
        </w:rPr>
      </w:pPr>
    </w:p>
    <w:p>
      <w:pPr>
        <w:ind w:left="582" w:hanging="586"/>
        <w:spacing w:after="0" w:line="262" w:lineRule="auto"/>
        <w:tabs>
          <w:tab w:leader="none" w:pos="562"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The Company shall have the right not to allot and issue or procure the transfer to or to the order of the Option Holder the aggregate number of Ordinary Shares to which the Option Holder would otherwise be entitled but to retain out of such aggregate number of Ordinary Shares such number of Ordinary Shares as, in the opinion of the Company, will enable the Company to sell as agent for the Option Holder (at the best price which can reasonably expect to be obtained at the time of sale) and to pay over to the Option Holder’s Employer sufficient monies out of the net proceeds of sale, after deduction of all fees commissions and expenses incurred in relation to such sale, to satisfy the Option Holder’s liability under such indemnity.</w:t>
      </w:r>
    </w:p>
    <w:p>
      <w:pPr>
        <w:spacing w:after="0" w:line="166" w:lineRule="exact"/>
        <w:rPr>
          <w:sz w:val="20"/>
          <w:szCs w:val="20"/>
          <w:color w:val="auto"/>
        </w:rPr>
      </w:pPr>
    </w:p>
    <w:p>
      <w:pPr>
        <w:ind w:left="582" w:hanging="582"/>
        <w:spacing w:after="0"/>
        <w:tabs>
          <w:tab w:leader="none" w:pos="582" w:val="left"/>
        </w:tabs>
        <w:numPr>
          <w:ilvl w:val="0"/>
          <w:numId w:val="270"/>
        </w:numPr>
        <w:rPr>
          <w:rFonts w:ascii="Arial" w:cs="Arial" w:eastAsia="Arial" w:hAnsi="Arial"/>
          <w:sz w:val="16"/>
          <w:szCs w:val="16"/>
          <w:color w:val="auto"/>
        </w:rPr>
      </w:pPr>
      <w:r>
        <w:rPr>
          <w:rFonts w:ascii="Arial" w:cs="Arial" w:eastAsia="Arial" w:hAnsi="Arial"/>
          <w:sz w:val="16"/>
          <w:szCs w:val="16"/>
          <w:b w:val="1"/>
          <w:bCs w:val="1"/>
          <w:color w:val="auto"/>
        </w:rPr>
        <w:t>VARIATION OF SHARE CAPITAL</w:t>
      </w:r>
    </w:p>
    <w:p>
      <w:pPr>
        <w:spacing w:after="0" w:line="211" w:lineRule="exact"/>
        <w:rPr>
          <w:sz w:val="20"/>
          <w:szCs w:val="20"/>
          <w:color w:val="auto"/>
        </w:rPr>
      </w:pPr>
    </w:p>
    <w:p>
      <w:pPr>
        <w:ind w:left="582" w:right="320" w:hanging="586"/>
        <w:spacing w:after="0" w:line="285" w:lineRule="auto"/>
        <w:tabs>
          <w:tab w:leader="none" w:pos="562"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color w:val="auto"/>
        </w:rPr>
        <w:t>If the Ordinary Share Capital is varied by way of a sub-division or consolidation or any other event which might affect the value of the Option, the Remuneration Committee shall (in its discretion) adjust:</w:t>
      </w:r>
    </w:p>
    <w:p>
      <w:pPr>
        <w:spacing w:after="0" w:line="150" w:lineRule="exact"/>
        <w:rPr>
          <w:sz w:val="20"/>
          <w:szCs w:val="20"/>
          <w:color w:val="auto"/>
        </w:rPr>
      </w:pPr>
    </w:p>
    <w:p>
      <w:pPr>
        <w:ind w:left="1162" w:hanging="575"/>
        <w:spacing w:after="0"/>
        <w:tabs>
          <w:tab w:leader="none" w:pos="116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number of Option Shares; and/or</w:t>
      </w:r>
    </w:p>
    <w:p>
      <w:pPr>
        <w:spacing w:after="0" w:line="207" w:lineRule="exact"/>
        <w:rPr>
          <w:rFonts w:ascii="Arial" w:cs="Arial" w:eastAsia="Arial" w:hAnsi="Arial"/>
          <w:sz w:val="16"/>
          <w:szCs w:val="16"/>
          <w:color w:val="auto"/>
        </w:rPr>
      </w:pPr>
    </w:p>
    <w:p>
      <w:pPr>
        <w:ind w:left="1182" w:hanging="595"/>
        <w:spacing w:after="0"/>
        <w:tabs>
          <w:tab w:leader="none" w:pos="118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Exercise Price; and/or</w:t>
      </w:r>
    </w:p>
    <w:p>
      <w:pPr>
        <w:spacing w:after="0" w:line="207" w:lineRule="exact"/>
        <w:rPr>
          <w:rFonts w:ascii="Arial" w:cs="Arial" w:eastAsia="Arial" w:hAnsi="Arial"/>
          <w:sz w:val="16"/>
          <w:szCs w:val="16"/>
          <w:color w:val="auto"/>
        </w:rPr>
      </w:pPr>
    </w:p>
    <w:p>
      <w:pPr>
        <w:ind w:left="1182" w:right="540" w:hanging="595"/>
        <w:spacing w:after="0" w:line="285" w:lineRule="auto"/>
        <w:tabs>
          <w:tab w:leader="none" w:pos="119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if the Option has been exercised in respect of any Ordinary Shares but those Ordinary Shares have not yet been allotted or transferred, the number of Ordinary Shares which may be so allotted or transferred and the Exercise Price</w:t>
      </w:r>
    </w:p>
    <w:p>
      <w:pPr>
        <w:spacing w:after="0" w:line="150" w:lineRule="exact"/>
        <w:rPr>
          <w:sz w:val="20"/>
          <w:szCs w:val="20"/>
          <w:color w:val="auto"/>
        </w:rPr>
      </w:pPr>
    </w:p>
    <w:p>
      <w:pPr>
        <w:ind w:left="582"/>
        <w:spacing w:after="0"/>
        <w:rPr>
          <w:sz w:val="20"/>
          <w:szCs w:val="20"/>
          <w:color w:val="auto"/>
        </w:rPr>
      </w:pPr>
      <w:r>
        <w:rPr>
          <w:rFonts w:ascii="Arial" w:cs="Arial" w:eastAsia="Arial" w:hAnsi="Arial"/>
          <w:sz w:val="16"/>
          <w:szCs w:val="16"/>
          <w:color w:val="auto"/>
        </w:rPr>
        <w:t>so as to ensure that the value of the Option is not increased or decreased solely in consequence of such variation or other event PROVIDED THAT:</w:t>
      </w:r>
    </w:p>
    <w:p>
      <w:pPr>
        <w:spacing w:after="0" w:line="207" w:lineRule="exact"/>
        <w:rPr>
          <w:sz w:val="20"/>
          <w:szCs w:val="20"/>
          <w:color w:val="auto"/>
        </w:rPr>
      </w:pPr>
    </w:p>
    <w:p>
      <w:pPr>
        <w:ind w:left="1762" w:right="280" w:hanging="588"/>
        <w:spacing w:after="0" w:line="285" w:lineRule="auto"/>
        <w:tabs>
          <w:tab w:leader="none" w:pos="178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no such adjustment need be made if the variation or other event has, in the opinion of the Remuneration Committee, no significant effect on the value of the Option;</w:t>
      </w:r>
    </w:p>
    <w:p>
      <w:pPr>
        <w:spacing w:after="0" w:line="149" w:lineRule="exact"/>
        <w:rPr>
          <w:rFonts w:ascii="Arial" w:cs="Arial" w:eastAsia="Arial" w:hAnsi="Arial"/>
          <w:sz w:val="16"/>
          <w:szCs w:val="16"/>
          <w:color w:val="auto"/>
        </w:rPr>
      </w:pPr>
    </w:p>
    <w:p>
      <w:pPr>
        <w:ind w:left="1762" w:right="140" w:hanging="588"/>
        <w:spacing w:after="0" w:line="326" w:lineRule="auto"/>
        <w:tabs>
          <w:tab w:leader="none" w:pos="1790" w:val="left"/>
        </w:tabs>
        <w:numPr>
          <w:ilvl w:val="0"/>
          <w:numId w:val="272"/>
        </w:numPr>
        <w:rPr>
          <w:rFonts w:ascii="Arial" w:cs="Arial" w:eastAsia="Arial" w:hAnsi="Arial"/>
          <w:sz w:val="14"/>
          <w:szCs w:val="14"/>
          <w:color w:val="auto"/>
        </w:rPr>
      </w:pPr>
      <w:r>
        <w:rPr>
          <w:rFonts w:ascii="Arial" w:cs="Arial" w:eastAsia="Arial" w:hAnsi="Arial"/>
          <w:sz w:val="14"/>
          <w:szCs w:val="14"/>
          <w:color w:val="auto"/>
        </w:rPr>
        <w:t>except insofar as the Remuneration Committee (on behalf of the Company) agree to capitalise the Company’s reserves and apply the same at the time of allotment of the Ordinary Shares in paying up the difference between the Exercise Price and the nominal value of the Ordinary Shares, the Exercise Price in relation to any right to subscribe for Ordinary Shares shall not be reduced below the nominal value of an Ordinary Share; and</w:t>
      </w:r>
    </w:p>
    <w:p>
      <w:pPr>
        <w:spacing w:after="0" w:line="126" w:lineRule="exact"/>
        <w:rPr>
          <w:rFonts w:ascii="Arial" w:cs="Arial" w:eastAsia="Arial" w:hAnsi="Arial"/>
          <w:sz w:val="14"/>
          <w:szCs w:val="14"/>
          <w:color w:val="auto"/>
        </w:rPr>
      </w:pPr>
    </w:p>
    <w:p>
      <w:pPr>
        <w:ind w:left="1762" w:right="20" w:hanging="588"/>
        <w:spacing w:after="0" w:line="285" w:lineRule="auto"/>
        <w:tabs>
          <w:tab w:leader="none" w:pos="1799"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number of Option Shares as so adjusted is rounded down to the nearest whole number and the Exercise Price is rounded up to the nearest whole penny.</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color w:val="auto"/>
        </w:rPr>
        <w:t>The Remuneration Committee shall notify the Option Holder of any adjustment made pursuant to this Clause 11.</w:t>
      </w:r>
    </w:p>
    <w:p>
      <w:pPr>
        <w:spacing w:after="0" w:line="203" w:lineRule="exact"/>
        <w:rPr>
          <w:sz w:val="20"/>
          <w:szCs w:val="20"/>
          <w:color w:val="auto"/>
        </w:rPr>
      </w:pPr>
    </w:p>
    <w:p>
      <w:pPr>
        <w:ind w:left="582" w:hanging="582"/>
        <w:spacing w:after="0"/>
        <w:tabs>
          <w:tab w:leader="none" w:pos="582" w:val="left"/>
        </w:tabs>
        <w:numPr>
          <w:ilvl w:val="0"/>
          <w:numId w:val="273"/>
        </w:numPr>
        <w:rPr>
          <w:rFonts w:ascii="Arial" w:cs="Arial" w:eastAsia="Arial" w:hAnsi="Arial"/>
          <w:sz w:val="16"/>
          <w:szCs w:val="16"/>
          <w:color w:val="auto"/>
        </w:rPr>
      </w:pPr>
      <w:r>
        <w:rPr>
          <w:rFonts w:ascii="Arial" w:cs="Arial" w:eastAsia="Arial" w:hAnsi="Arial"/>
          <w:sz w:val="16"/>
          <w:szCs w:val="16"/>
          <w:b w:val="1"/>
          <w:bCs w:val="1"/>
          <w:color w:val="auto"/>
        </w:rPr>
        <w:t>AMENDMENT OF THIS SHARE OPTION CONTRACT</w:t>
      </w:r>
    </w:p>
    <w:p>
      <w:pPr>
        <w:spacing w:after="0" w:line="211" w:lineRule="exact"/>
        <w:rPr>
          <w:rFonts w:ascii="Arial" w:cs="Arial" w:eastAsia="Arial" w:hAnsi="Arial"/>
          <w:sz w:val="16"/>
          <w:szCs w:val="16"/>
          <w:color w:val="auto"/>
        </w:rPr>
      </w:pPr>
    </w:p>
    <w:p>
      <w:pPr>
        <w:ind w:left="582" w:right="440"/>
        <w:spacing w:after="0" w:line="285" w:lineRule="auto"/>
        <w:rPr>
          <w:rFonts w:ascii="Arial" w:cs="Arial" w:eastAsia="Arial" w:hAnsi="Arial"/>
          <w:sz w:val="16"/>
          <w:szCs w:val="16"/>
          <w:color w:val="auto"/>
        </w:rPr>
      </w:pPr>
      <w:r>
        <w:rPr>
          <w:rFonts w:ascii="Arial" w:cs="Arial" w:eastAsia="Arial" w:hAnsi="Arial"/>
          <w:sz w:val="16"/>
          <w:szCs w:val="16"/>
          <w:color w:val="auto"/>
        </w:rPr>
        <w:t>The Company and the Option Holder may at any time, and by the execution of a deed, alter or add to any of the provisions of this Share Option Contract in any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802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385" w:name="page386"/>
    <w:bookmarkEnd w:id="385"/>
    <w:p>
      <w:pPr>
        <w:ind w:left="582" w:hanging="582"/>
        <w:spacing w:after="0"/>
        <w:tabs>
          <w:tab w:leader="none" w:pos="582" w:val="left"/>
        </w:tabs>
        <w:numPr>
          <w:ilvl w:val="0"/>
          <w:numId w:val="274"/>
        </w:numPr>
        <w:rPr>
          <w:rFonts w:ascii="Arial" w:cs="Arial" w:eastAsia="Arial" w:hAnsi="Arial"/>
          <w:sz w:val="16"/>
          <w:szCs w:val="16"/>
          <w:color w:val="auto"/>
        </w:rPr>
      </w:pPr>
      <w:r>
        <w:rPr>
          <w:rFonts w:ascii="Arial" w:cs="Arial" w:eastAsia="Arial" w:hAnsi="Arial"/>
          <w:sz w:val="16"/>
          <w:szCs w:val="16"/>
          <w:b w:val="1"/>
          <w:bCs w:val="1"/>
          <w:color w:val="auto"/>
        </w:rPr>
        <w:t>SERVICE OF DOCUMENTS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4"/>
          <w:szCs w:val="14"/>
          <w:color w:val="auto"/>
        </w:rPr>
        <w:t>Except as otherwise provided in this Share Option Contract, any notice or document to be given by, or on behalf of, the Company to the Option Holder or the relevant</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Personal Representatives in accordance or in connection with it shall be duly given:</w:t>
      </w:r>
    </w:p>
    <w:p>
      <w:pPr>
        <w:spacing w:after="0" w:line="196" w:lineRule="exact"/>
        <w:rPr>
          <w:sz w:val="20"/>
          <w:szCs w:val="20"/>
          <w:color w:val="auto"/>
        </w:rPr>
      </w:pPr>
    </w:p>
    <w:p>
      <w:pPr>
        <w:ind w:left="1182" w:right="180" w:hanging="595"/>
        <w:spacing w:after="0" w:line="285" w:lineRule="auto"/>
        <w:tabs>
          <w:tab w:leader="none" w:pos="118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by sending it through the post in a pre-paid envelope to the address last known to the Company to be his address and, if so sent, it shall be deemed to have been duly given on the date of posting; or</w:t>
      </w:r>
    </w:p>
    <w:p>
      <w:pPr>
        <w:spacing w:after="0" w:line="149" w:lineRule="exact"/>
        <w:rPr>
          <w:rFonts w:ascii="Arial" w:cs="Arial" w:eastAsia="Arial" w:hAnsi="Arial"/>
          <w:sz w:val="16"/>
          <w:szCs w:val="16"/>
          <w:color w:val="auto"/>
        </w:rPr>
      </w:pPr>
    </w:p>
    <w:p>
      <w:pPr>
        <w:ind w:left="1182" w:hanging="595"/>
        <w:spacing w:after="0" w:line="265" w:lineRule="auto"/>
        <w:tabs>
          <w:tab w:leader="none" w:pos="1189"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if the Option Holder holds office or employment with any member of the Group, by delivering it to him at his place of work or by sending to him a facsimile transmission or Electronic Communication and if so sent it shall be deemed to have been duly given at the time of transmission </w:t>
      </w:r>
      <w:r>
        <w:rPr>
          <w:rFonts w:ascii="Arial" w:cs="Arial" w:eastAsia="Arial" w:hAnsi="Arial"/>
          <w:sz w:val="16"/>
          <w:szCs w:val="16"/>
          <w:b w:val="1"/>
          <w:bCs w:val="1"/>
          <w:color w:val="auto"/>
        </w:rPr>
        <w:t>SAVE THAT</w:t>
      </w:r>
      <w:r>
        <w:rPr>
          <w:rFonts w:ascii="Arial" w:cs="Arial" w:eastAsia="Arial" w:hAnsi="Arial"/>
          <w:sz w:val="16"/>
          <w:szCs w:val="16"/>
          <w:color w:val="auto"/>
        </w:rPr>
        <w:t xml:space="preserve"> a notice or document shall not be duly given by Electronic Communication unless that person is known by the Option Holder’s Employer to have personal access during their normal business hours to information sent to him by Electronic Communication.</w:t>
      </w:r>
    </w:p>
    <w:p>
      <w:pPr>
        <w:spacing w:after="0" w:line="166" w:lineRule="exact"/>
        <w:rPr>
          <w:sz w:val="20"/>
          <w:szCs w:val="20"/>
          <w:color w:val="auto"/>
        </w:rPr>
      </w:pPr>
    </w:p>
    <w:p>
      <w:pPr>
        <w:jc w:val="both"/>
        <w:ind w:left="582" w:right="80" w:hanging="586"/>
        <w:spacing w:after="0" w:line="270" w:lineRule="auto"/>
        <w:tabs>
          <w:tab w:leader="none" w:pos="562"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color w:val="auto"/>
        </w:rPr>
        <w:t>Any notice or document so sent to the Option Holder shall be deemed to have been duly given notwithstanding that the Option Holder is then deceased (and whether or not the Company has notice of his death) except where the relevant Personal Representatives have supplied to the Company an address to which documents are to be sent.</w:t>
      </w:r>
    </w:p>
    <w:p>
      <w:pPr>
        <w:spacing w:after="0" w:line="162" w:lineRule="exact"/>
        <w:rPr>
          <w:sz w:val="20"/>
          <w:szCs w:val="20"/>
          <w:color w:val="auto"/>
        </w:rPr>
      </w:pPr>
    </w:p>
    <w:p>
      <w:pPr>
        <w:ind w:left="582" w:right="260" w:hanging="570"/>
        <w:spacing w:after="0" w:line="285" w:lineRule="auto"/>
        <w:tabs>
          <w:tab w:leader="none" w:pos="562"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6"/>
          <w:szCs w:val="16"/>
          <w:color w:val="auto"/>
        </w:rPr>
        <w:t>Any notice in writing or document to be submitted or given by the Option Holder to the Company in accordance or in connection with this Share Option Contract may be delivered, sent by post, facsimile transmission or Electronic Communication but shall not in any event be duly given unless:</w:t>
      </w:r>
    </w:p>
    <w:p>
      <w:pPr>
        <w:spacing w:after="0" w:line="150" w:lineRule="exact"/>
        <w:rPr>
          <w:sz w:val="20"/>
          <w:szCs w:val="20"/>
          <w:color w:val="auto"/>
        </w:rPr>
      </w:pPr>
    </w:p>
    <w:p>
      <w:pPr>
        <w:ind w:left="1182" w:right="120" w:hanging="595"/>
        <w:spacing w:after="0" w:line="285" w:lineRule="auto"/>
        <w:tabs>
          <w:tab w:leader="none" w:pos="118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it is actually received (or, in the case of an Electronic Communication, opened) by the secretary of the Company or such other individual as may from time to time be nominated by the Company and whose name and address has been notified to the Option Holder; or</w:t>
      </w:r>
    </w:p>
    <w:p>
      <w:pPr>
        <w:spacing w:after="0" w:line="149" w:lineRule="exact"/>
        <w:rPr>
          <w:rFonts w:ascii="Arial" w:cs="Arial" w:eastAsia="Arial" w:hAnsi="Arial"/>
          <w:sz w:val="16"/>
          <w:szCs w:val="16"/>
          <w:color w:val="auto"/>
        </w:rPr>
      </w:pPr>
    </w:p>
    <w:p>
      <w:pPr>
        <w:ind w:left="1182" w:hanging="595"/>
        <w:spacing w:after="0"/>
        <w:tabs>
          <w:tab w:leader="none" w:pos="118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if given by Electronic Communication, it includes a digitally encrypted signature of the Option Holder.</w:t>
      </w:r>
    </w:p>
    <w:p>
      <w:pPr>
        <w:spacing w:after="0" w:line="207" w:lineRule="exact"/>
        <w:rPr>
          <w:sz w:val="20"/>
          <w:szCs w:val="20"/>
          <w:color w:val="auto"/>
        </w:rPr>
      </w:pPr>
    </w:p>
    <w:p>
      <w:pPr>
        <w:ind w:left="582" w:right="380" w:hanging="586"/>
        <w:spacing w:after="0" w:line="270" w:lineRule="auto"/>
        <w:tabs>
          <w:tab w:leader="none" w:pos="562"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For the purposes of this Share Option Contract, an Electronic Communication shall be treated as not having been duly made or received if it contains, or is accompanied by a warning or caution that it could contain or be subject to, a virus or other computer programme which could alter damage or interfere with any computer software or Electronic Communication.</w:t>
      </w:r>
    </w:p>
    <w:p>
      <w:pPr>
        <w:spacing w:after="0" w:line="158" w:lineRule="exact"/>
        <w:rPr>
          <w:sz w:val="20"/>
          <w:szCs w:val="20"/>
          <w:color w:val="auto"/>
        </w:rPr>
      </w:pPr>
    </w:p>
    <w:p>
      <w:pPr>
        <w:ind w:left="582" w:hanging="582"/>
        <w:spacing w:after="0"/>
        <w:tabs>
          <w:tab w:leader="none" w:pos="582" w:val="left"/>
        </w:tabs>
        <w:numPr>
          <w:ilvl w:val="0"/>
          <w:numId w:val="277"/>
        </w:numPr>
        <w:rPr>
          <w:rFonts w:ascii="Arial" w:cs="Arial" w:eastAsia="Arial" w:hAnsi="Arial"/>
          <w:sz w:val="16"/>
          <w:szCs w:val="16"/>
          <w:color w:val="auto"/>
        </w:rPr>
      </w:pPr>
      <w:r>
        <w:rPr>
          <w:rFonts w:ascii="Arial" w:cs="Arial" w:eastAsia="Arial" w:hAnsi="Arial"/>
          <w:sz w:val="16"/>
          <w:szCs w:val="16"/>
          <w:b w:val="1"/>
          <w:bCs w:val="1"/>
          <w:color w:val="auto"/>
        </w:rPr>
        <w:t>GOVERNING LAW, JURISDICTION AND SERVICE OF PROCESS</w:t>
      </w:r>
    </w:p>
    <w:p>
      <w:pPr>
        <w:spacing w:after="0" w:line="211" w:lineRule="exact"/>
        <w:rPr>
          <w:sz w:val="20"/>
          <w:szCs w:val="20"/>
          <w:color w:val="auto"/>
        </w:rPr>
      </w:pPr>
    </w:p>
    <w:p>
      <w:pPr>
        <w:ind w:left="582" w:right="180"/>
        <w:spacing w:after="0" w:line="320" w:lineRule="auto"/>
        <w:rPr>
          <w:sz w:val="20"/>
          <w:szCs w:val="20"/>
          <w:color w:val="auto"/>
        </w:rPr>
      </w:pPr>
      <w:r>
        <w:rPr>
          <w:rFonts w:ascii="Arial" w:cs="Arial" w:eastAsia="Arial" w:hAnsi="Arial"/>
          <w:sz w:val="15"/>
          <w:szCs w:val="15"/>
          <w:color w:val="auto"/>
        </w:rPr>
        <w:t>This Share Option Contract shall be governed by, and construed in accordance with, English law and each party irrevocably agrees that the Courts of England shall have exclusive jurisdiction in relation to any claim, dispute or difference concerning this Share Option Contract and any matter arising therefrom.</w:t>
      </w:r>
    </w:p>
    <w:p>
      <w:pPr>
        <w:spacing w:after="0" w:line="12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Intentionally left blank, the Schedules and the signature page to follow.</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802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18" w:right="259" w:bottom="1440" w:gutter="0" w:footer="0" w:header="0"/>
        </w:sectPr>
      </w:pPr>
    </w:p>
    <w:bookmarkStart w:id="386" w:name="page387"/>
    <w:bookmarkEnd w:id="386"/>
    <w:p>
      <w:pPr>
        <w:jc w:val="center"/>
        <w:ind w:right="-1220"/>
        <w:spacing w:after="0"/>
        <w:rPr>
          <w:sz w:val="20"/>
          <w:szCs w:val="20"/>
          <w:color w:val="auto"/>
        </w:rPr>
      </w:pPr>
      <w:r>
        <w:rPr>
          <w:rFonts w:ascii="Arial" w:cs="Arial" w:eastAsia="Arial" w:hAnsi="Arial"/>
          <w:sz w:val="16"/>
          <w:szCs w:val="16"/>
          <w:b w:val="1"/>
          <w:bCs w:val="1"/>
          <w:color w:val="auto"/>
        </w:rPr>
        <w:t>SCHEDULE 1</w:t>
      </w:r>
    </w:p>
    <w:p>
      <w:pPr>
        <w:spacing w:after="0" w:line="207" w:lineRule="exact"/>
        <w:rPr>
          <w:sz w:val="20"/>
          <w:szCs w:val="20"/>
          <w:color w:val="auto"/>
        </w:rPr>
      </w:pPr>
    </w:p>
    <w:p>
      <w:pPr>
        <w:jc w:val="right"/>
        <w:ind w:right="2659"/>
        <w:spacing w:after="0"/>
        <w:rPr>
          <w:sz w:val="20"/>
          <w:szCs w:val="20"/>
          <w:color w:val="auto"/>
        </w:rPr>
      </w:pPr>
      <w:r>
        <w:rPr>
          <w:rFonts w:ascii="Arial" w:cs="Arial" w:eastAsia="Arial" w:hAnsi="Arial"/>
          <w:sz w:val="16"/>
          <w:szCs w:val="16"/>
          <w:b w:val="1"/>
          <w:bCs w:val="1"/>
          <w:color w:val="auto"/>
        </w:rPr>
        <w:t>OPTION HOLDER’S DETAILS AND KEY TERMS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OPTION HOLDER’S DETAILS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Holder Name”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Holder’s Address”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TERMS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Grant”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“Maximum Number of Option Shares”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Start Date”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802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219"/>
          </w:cols>
          <w:pgMar w:left="240" w:top="318" w:right="1440" w:bottom="1440" w:gutter="0" w:footer="0" w:header="0"/>
        </w:sectPr>
      </w:pPr>
    </w:p>
    <w:bookmarkStart w:id="387" w:name="page388"/>
    <w:bookmarkEnd w:id="387"/>
    <w:p>
      <w:pPr>
        <w:jc w:val="center"/>
        <w:ind w:right="-1"/>
        <w:spacing w:after="0"/>
        <w:rPr>
          <w:sz w:val="20"/>
          <w:szCs w:val="20"/>
          <w:color w:val="auto"/>
        </w:rPr>
      </w:pPr>
      <w:r>
        <w:rPr>
          <w:rFonts w:ascii="Arial" w:cs="Arial" w:eastAsia="Arial" w:hAnsi="Arial"/>
          <w:sz w:val="16"/>
          <w:szCs w:val="16"/>
          <w:b w:val="1"/>
          <w:bCs w:val="1"/>
          <w:color w:val="auto"/>
        </w:rPr>
        <w:t>SCHEDULE 2</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NOTICE OF EXERCISE OF SHARE OPTION</w:t>
      </w:r>
    </w:p>
    <w:p>
      <w:pPr>
        <w:spacing w:after="0" w:line="207" w:lineRule="exact"/>
        <w:rPr>
          <w:sz w:val="20"/>
          <w:szCs w:val="20"/>
          <w:color w:val="auto"/>
        </w:rPr>
      </w:pPr>
    </w:p>
    <w:p>
      <w:pPr>
        <w:ind w:left="2"/>
        <w:spacing w:after="0"/>
        <w:tabs>
          <w:tab w:leader="none" w:pos="582" w:val="left"/>
        </w:tabs>
        <w:rPr>
          <w:sz w:val="20"/>
          <w:szCs w:val="20"/>
          <w:color w:val="auto"/>
        </w:rPr>
      </w:pPr>
      <w:r>
        <w:rPr>
          <w:rFonts w:ascii="Arial" w:cs="Arial" w:eastAsia="Arial" w:hAnsi="Arial"/>
          <w:sz w:val="16"/>
          <w:szCs w:val="16"/>
          <w:b w:val="1"/>
          <w:bCs w:val="1"/>
          <w:color w:val="auto"/>
        </w:rPr>
        <w:t>TO:</w:t>
      </w:r>
      <w:r>
        <w:rPr>
          <w:sz w:val="20"/>
          <w:szCs w:val="20"/>
          <w:color w:val="auto"/>
        </w:rPr>
        <w:tab/>
      </w:r>
      <w:r>
        <w:rPr>
          <w:rFonts w:ascii="Arial" w:cs="Arial" w:eastAsia="Arial" w:hAnsi="Arial"/>
          <w:sz w:val="16"/>
          <w:szCs w:val="16"/>
          <w:b w:val="1"/>
          <w:bCs w:val="1"/>
          <w:color w:val="auto"/>
        </w:rPr>
        <w:t>BICYCLE THERAPEUTICS LIMITED</w:t>
      </w:r>
    </w:p>
    <w:p>
      <w:pPr>
        <w:spacing w:after="0" w:line="27"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Company Secretary</w:t>
      </w:r>
    </w:p>
    <w:p>
      <w:pPr>
        <w:spacing w:after="0" w:line="12"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Building 900</w:t>
      </w:r>
    </w:p>
    <w:p>
      <w:pPr>
        <w:spacing w:after="0" w:line="12"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Babraham Research Campus</w:t>
      </w:r>
    </w:p>
    <w:p>
      <w:pPr>
        <w:spacing w:after="0" w:line="12"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Babraham</w:t>
      </w:r>
    </w:p>
    <w:p>
      <w:pPr>
        <w:spacing w:after="0" w:line="12"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Cambridge</w:t>
      </w:r>
    </w:p>
    <w:p>
      <w:pPr>
        <w:spacing w:after="0" w:line="12"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CB22 3AT</w:t>
      </w:r>
    </w:p>
    <w:p>
      <w:pPr>
        <w:spacing w:after="0" w:line="196" w:lineRule="exact"/>
        <w:rPr>
          <w:sz w:val="20"/>
          <w:szCs w:val="20"/>
          <w:color w:val="auto"/>
        </w:rPr>
      </w:pPr>
    </w:p>
    <w:p>
      <w:pPr>
        <w:ind w:left="2" w:right="120"/>
        <w:spacing w:after="0" w:line="285" w:lineRule="auto"/>
        <w:rPr>
          <w:sz w:val="20"/>
          <w:szCs w:val="20"/>
          <w:color w:val="auto"/>
        </w:rPr>
      </w:pPr>
      <w:r>
        <w:rPr>
          <w:rFonts w:ascii="Arial" w:cs="Arial" w:eastAsia="Arial" w:hAnsi="Arial"/>
          <w:sz w:val="16"/>
          <w:szCs w:val="16"/>
          <w:color w:val="auto"/>
        </w:rPr>
        <w:t>I, the Option Holder, give notice under Clause 9.1 of the Share Option Agreement to exercise the option granted under the Share Option Agreement in respect of [·] Ordinary Shares (the “</w:t>
      </w:r>
      <w:r>
        <w:rPr>
          <w:rFonts w:ascii="Arial" w:cs="Arial" w:eastAsia="Arial" w:hAnsi="Arial"/>
          <w:sz w:val="16"/>
          <w:szCs w:val="16"/>
          <w:b w:val="1"/>
          <w:bCs w:val="1"/>
          <w:color w:val="auto"/>
        </w:rPr>
        <w:t>Exercised Shares</w:t>
      </w:r>
      <w:r>
        <w:rPr>
          <w:rFonts w:ascii="Arial" w:cs="Arial" w:eastAsia="Arial" w:hAnsi="Arial"/>
          <w:sz w:val="16"/>
          <w:szCs w:val="16"/>
          <w:color w:val="auto"/>
        </w:rPr>
        <w:t>”), and I enclose a cheque for the Exercise Price of £[·].</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u w:val="single" w:color="auto"/>
          <w:color w:val="auto"/>
        </w:rPr>
        <w:t>Wording which may be included if exercise is effected under Clause 5 of the Share Option Agreement:</w:t>
      </w:r>
    </w:p>
    <w:p>
      <w:pPr>
        <w:spacing w:after="0" w:line="207" w:lineRule="exact"/>
        <w:rPr>
          <w:sz w:val="20"/>
          <w:szCs w:val="20"/>
          <w:color w:val="auto"/>
        </w:rPr>
      </w:pPr>
    </w:p>
    <w:p>
      <w:pPr>
        <w:ind w:left="2" w:right="500" w:firstLine="4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 have been notified under Clause 5 of the Share Option Agreement that the Directors believe a Trade Sale is likely to occur (the “</w:t>
      </w:r>
      <w:r>
        <w:rPr>
          <w:rFonts w:ascii="Arial" w:cs="Arial" w:eastAsia="Arial" w:hAnsi="Arial"/>
          <w:sz w:val="16"/>
          <w:szCs w:val="16"/>
          <w:b w:val="1"/>
          <w:bCs w:val="1"/>
          <w:i w:val="1"/>
          <w:iCs w:val="1"/>
          <w:color w:val="auto"/>
        </w:rPr>
        <w:t>Relevant Trade Sale</w:t>
      </w:r>
      <w:r>
        <w:rPr>
          <w:rFonts w:ascii="Arial" w:cs="Arial" w:eastAsia="Arial" w:hAnsi="Arial"/>
          <w:sz w:val="16"/>
          <w:szCs w:val="16"/>
          <w:i w:val="1"/>
          <w:iCs w:val="1"/>
          <w:color w:val="auto"/>
        </w:rPr>
        <w:t>”). I agree and</w:t>
      </w:r>
      <w:r>
        <w:rPr>
          <w:rFonts w:ascii="Arial" w:cs="Arial" w:eastAsia="Arial" w:hAnsi="Arial"/>
          <w:sz w:val="16"/>
          <w:szCs w:val="16"/>
          <w:color w:val="auto"/>
        </w:rPr>
        <w:t xml:space="preserve"> </w:t>
      </w:r>
      <w:r>
        <w:rPr>
          <w:rFonts w:ascii="Arial" w:cs="Arial" w:eastAsia="Arial" w:hAnsi="Arial"/>
          <w:sz w:val="16"/>
          <w:szCs w:val="16"/>
          <w:i w:val="1"/>
          <w:iCs w:val="1"/>
          <w:color w:val="auto"/>
        </w:rPr>
        <w:t>undertake as follows:</w:t>
      </w:r>
    </w:p>
    <w:p>
      <w:pPr>
        <w:spacing w:after="0" w:line="150" w:lineRule="exact"/>
        <w:rPr>
          <w:sz w:val="20"/>
          <w:szCs w:val="20"/>
          <w:color w:val="auto"/>
        </w:rPr>
      </w:pPr>
    </w:p>
    <w:p>
      <w:pPr>
        <w:ind w:left="582" w:hanging="582"/>
        <w:spacing w:after="0"/>
        <w:tabs>
          <w:tab w:leader="none" w:pos="582" w:val="left"/>
        </w:tabs>
        <w:numPr>
          <w:ilvl w:val="0"/>
          <w:numId w:val="278"/>
        </w:numPr>
        <w:rPr>
          <w:rFonts w:ascii="Arial" w:cs="Arial" w:eastAsia="Arial" w:hAnsi="Arial"/>
          <w:sz w:val="16"/>
          <w:szCs w:val="16"/>
          <w:i w:val="1"/>
          <w:iCs w:val="1"/>
          <w:color w:val="auto"/>
        </w:rPr>
      </w:pPr>
      <w:r>
        <w:rPr>
          <w:rFonts w:ascii="Arial" w:cs="Arial" w:eastAsia="Arial" w:hAnsi="Arial"/>
          <w:sz w:val="16"/>
          <w:szCs w:val="16"/>
          <w:i w:val="1"/>
          <w:iCs w:val="1"/>
          <w:color w:val="auto"/>
        </w:rPr>
        <w:t>I agree that such exercise is conditional on each of the following taking place:</w:t>
      </w:r>
    </w:p>
    <w:p>
      <w:pPr>
        <w:spacing w:after="0" w:line="207" w:lineRule="exact"/>
        <w:rPr>
          <w:rFonts w:ascii="Arial" w:cs="Arial" w:eastAsia="Arial" w:hAnsi="Arial"/>
          <w:sz w:val="16"/>
          <w:szCs w:val="16"/>
          <w:i w:val="1"/>
          <w:iCs w:val="1"/>
          <w:color w:val="auto"/>
        </w:rPr>
      </w:pPr>
    </w:p>
    <w:p>
      <w:pPr>
        <w:ind w:left="582"/>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1.1</w:t>
      </w:r>
      <w:r>
        <w:rPr>
          <w:rFonts w:ascii="Arial" w:cs="Arial" w:eastAsia="Arial" w:hAnsi="Arial"/>
          <w:sz w:val="14"/>
          <w:szCs w:val="14"/>
          <w:i w:val="1"/>
          <w:iCs w:val="1"/>
          <w:color w:val="auto"/>
        </w:rPr>
        <w:t>my signing each of the documents referred to in, and doing each of the things which I undertake to do under, Clause 2 below; and</w:t>
      </w:r>
    </w:p>
    <w:p>
      <w:pPr>
        <w:spacing w:after="0" w:line="207" w:lineRule="exact"/>
        <w:rPr>
          <w:rFonts w:ascii="Arial" w:cs="Arial" w:eastAsia="Arial" w:hAnsi="Arial"/>
          <w:sz w:val="16"/>
          <w:szCs w:val="16"/>
          <w:i w:val="1"/>
          <w:iCs w:val="1"/>
          <w:color w:val="auto"/>
        </w:rPr>
      </w:pPr>
    </w:p>
    <w:p>
      <w:pPr>
        <w:ind w:left="582"/>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1.2</w:t>
      </w:r>
      <w:r>
        <w:rPr>
          <w:rFonts w:ascii="Arial" w:cs="Arial" w:eastAsia="Arial" w:hAnsi="Arial"/>
          <w:sz w:val="15"/>
          <w:szCs w:val="15"/>
          <w:i w:val="1"/>
          <w:iCs w:val="1"/>
          <w:color w:val="auto"/>
        </w:rPr>
        <w:t>any conditions of the Relevant Trade Sale being fulfilled or waived satisfactorily</w:t>
      </w:r>
    </w:p>
    <w:p>
      <w:pPr>
        <w:spacing w:after="0" w:line="207" w:lineRule="exact"/>
        <w:rPr>
          <w:rFonts w:ascii="Arial" w:cs="Arial" w:eastAsia="Arial" w:hAnsi="Arial"/>
          <w:sz w:val="16"/>
          <w:szCs w:val="16"/>
          <w:i w:val="1"/>
          <w:iCs w:val="1"/>
          <w:color w:val="auto"/>
        </w:rPr>
      </w:pPr>
    </w:p>
    <w:p>
      <w:pPr>
        <w:ind w:left="582" w:hanging="582"/>
        <w:spacing w:after="0"/>
        <w:tabs>
          <w:tab w:leader="none" w:pos="582" w:val="left"/>
        </w:tabs>
        <w:numPr>
          <w:ilvl w:val="0"/>
          <w:numId w:val="278"/>
        </w:numPr>
        <w:rPr>
          <w:rFonts w:ascii="Arial" w:cs="Arial" w:eastAsia="Arial" w:hAnsi="Arial"/>
          <w:sz w:val="16"/>
          <w:szCs w:val="16"/>
          <w:i w:val="1"/>
          <w:iCs w:val="1"/>
          <w:color w:val="auto"/>
        </w:rPr>
      </w:pPr>
      <w:r>
        <w:rPr>
          <w:rFonts w:ascii="Arial" w:cs="Arial" w:eastAsia="Arial" w:hAnsi="Arial"/>
          <w:sz w:val="16"/>
          <w:szCs w:val="16"/>
          <w:i w:val="1"/>
          <w:iCs w:val="1"/>
          <w:color w:val="auto"/>
        </w:rPr>
        <w:t>I undertake to the Company) as follows:</w:t>
      </w:r>
    </w:p>
    <w:p>
      <w:pPr>
        <w:spacing w:after="0" w:line="207" w:lineRule="exact"/>
        <w:rPr>
          <w:rFonts w:ascii="Arial" w:cs="Arial" w:eastAsia="Arial" w:hAnsi="Arial"/>
          <w:sz w:val="16"/>
          <w:szCs w:val="16"/>
          <w:i w:val="1"/>
          <w:iCs w:val="1"/>
          <w:color w:val="auto"/>
        </w:rPr>
      </w:pPr>
    </w:p>
    <w:p>
      <w:pPr>
        <w:ind w:left="1162" w:right="240" w:hanging="587"/>
        <w:spacing w:after="0" w:line="285" w:lineRule="auto"/>
        <w:rPr>
          <w:rFonts w:ascii="Arial" w:cs="Arial" w:eastAsia="Arial" w:hAnsi="Arial"/>
          <w:sz w:val="16"/>
          <w:szCs w:val="16"/>
          <w:i w:val="1"/>
          <w:iCs w:val="1"/>
          <w:color w:val="auto"/>
        </w:rPr>
      </w:pPr>
      <w:r>
        <w:rPr>
          <w:rFonts w:ascii="Arial" w:cs="Arial" w:eastAsia="Arial" w:hAnsi="Arial"/>
          <w:sz w:val="16"/>
          <w:szCs w:val="16"/>
          <w:i w:val="1"/>
          <w:iCs w:val="1"/>
          <w:color w:val="auto"/>
        </w:rPr>
        <w:t>2.1if requested by the Company, to sign a joint election under Section 431(1) Income Tax (Earnings &amp; Pensions) Act 2003 in such form as the Company may specify within 14 days of the date on which the Exercised Shares are acquired by me;</w:t>
      </w:r>
    </w:p>
    <w:p>
      <w:pPr>
        <w:spacing w:after="0" w:line="149" w:lineRule="exact"/>
        <w:rPr>
          <w:rFonts w:ascii="Arial" w:cs="Arial" w:eastAsia="Arial" w:hAnsi="Arial"/>
          <w:sz w:val="16"/>
          <w:szCs w:val="16"/>
          <w:i w:val="1"/>
          <w:iCs w:val="1"/>
          <w:color w:val="auto"/>
        </w:rPr>
      </w:pPr>
    </w:p>
    <w:p>
      <w:pPr>
        <w:ind w:left="1162" w:hanging="587"/>
        <w:spacing w:after="0" w:line="360" w:lineRule="auto"/>
        <w:rPr>
          <w:rFonts w:ascii="Arial" w:cs="Arial" w:eastAsia="Arial" w:hAnsi="Arial"/>
          <w:sz w:val="16"/>
          <w:szCs w:val="16"/>
          <w:i w:val="1"/>
          <w:iCs w:val="1"/>
          <w:color w:val="auto"/>
        </w:rPr>
      </w:pPr>
      <w:r>
        <w:rPr>
          <w:rFonts w:ascii="Arial" w:cs="Arial" w:eastAsia="Arial" w:hAnsi="Arial"/>
          <w:sz w:val="16"/>
          <w:szCs w:val="16"/>
          <w:i w:val="1"/>
          <w:iCs w:val="1"/>
          <w:color w:val="auto"/>
        </w:rPr>
        <w:t>2.2</w:t>
      </w:r>
      <w:r>
        <w:rPr>
          <w:rFonts w:ascii="Arial" w:cs="Arial" w:eastAsia="Arial" w:hAnsi="Arial"/>
          <w:sz w:val="14"/>
          <w:szCs w:val="14"/>
          <w:i w:val="1"/>
          <w:iCs w:val="1"/>
          <w:color w:val="auto"/>
        </w:rPr>
        <w:t>if requested by Company, to sign prior to completion of the Relevant Trade Sale a power of attorney appointing any director of the Company to sign such documents on my behalf and agree such things as may reasonably be necessary to complete the sale of my Option Shares under the Relevant Trade Sale; and</w:t>
      </w:r>
    </w:p>
    <w:p>
      <w:pPr>
        <w:spacing w:after="0" w:line="103" w:lineRule="exact"/>
        <w:rPr>
          <w:rFonts w:ascii="Arial" w:cs="Arial" w:eastAsia="Arial" w:hAnsi="Arial"/>
          <w:sz w:val="16"/>
          <w:szCs w:val="16"/>
          <w:i w:val="1"/>
          <w:iCs w:val="1"/>
          <w:color w:val="auto"/>
        </w:rPr>
      </w:pPr>
    </w:p>
    <w:p>
      <w:pPr>
        <w:ind w:left="582"/>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2.3</w:t>
      </w:r>
      <w:r>
        <w:rPr>
          <w:rFonts w:ascii="Arial" w:cs="Arial" w:eastAsia="Arial" w:hAnsi="Arial"/>
          <w:sz w:val="14"/>
          <w:szCs w:val="14"/>
          <w:i w:val="1"/>
          <w:iCs w:val="1"/>
          <w:color w:val="auto"/>
        </w:rPr>
        <w:t>to waive any right of pre-emption, class rights or restrictions on transfer in the event of a change of control of the Company.</w:t>
      </w:r>
    </w:p>
    <w:p>
      <w:pPr>
        <w:spacing w:after="0" w:line="207" w:lineRule="exact"/>
        <w:rPr>
          <w:rFonts w:ascii="Arial" w:cs="Arial" w:eastAsia="Arial" w:hAnsi="Arial"/>
          <w:sz w:val="16"/>
          <w:szCs w:val="16"/>
          <w:i w:val="1"/>
          <w:iCs w:val="1"/>
          <w:color w:val="auto"/>
        </w:rPr>
      </w:pPr>
    </w:p>
    <w:p>
      <w:pPr>
        <w:ind w:left="582" w:right="160" w:hanging="582"/>
        <w:spacing w:after="0" w:line="262" w:lineRule="auto"/>
        <w:tabs>
          <w:tab w:leader="none" w:pos="582" w:val="left"/>
        </w:tabs>
        <w:numPr>
          <w:ilvl w:val="0"/>
          <w:numId w:val="278"/>
        </w:numPr>
        <w:rPr>
          <w:rFonts w:ascii="Arial" w:cs="Arial" w:eastAsia="Arial" w:hAnsi="Arial"/>
          <w:sz w:val="16"/>
          <w:szCs w:val="16"/>
          <w:i w:val="1"/>
          <w:iCs w:val="1"/>
          <w:color w:val="auto"/>
        </w:rPr>
      </w:pPr>
      <w:r>
        <w:rPr>
          <w:rFonts w:ascii="Arial" w:cs="Arial" w:eastAsia="Arial" w:hAnsi="Arial"/>
          <w:sz w:val="16"/>
          <w:szCs w:val="16"/>
          <w:i w:val="1"/>
          <w:iCs w:val="1"/>
          <w:color w:val="auto"/>
        </w:rPr>
        <w:t>I authorise the Company to receive as my agent the proceeds of sale of my Option Shares (the “</w:t>
      </w:r>
      <w:r>
        <w:rPr>
          <w:rFonts w:ascii="Arial" w:cs="Arial" w:eastAsia="Arial" w:hAnsi="Arial"/>
          <w:sz w:val="16"/>
          <w:szCs w:val="16"/>
          <w:b w:val="1"/>
          <w:bCs w:val="1"/>
          <w:i w:val="1"/>
          <w:iCs w:val="1"/>
          <w:color w:val="auto"/>
        </w:rPr>
        <w:t>Sale Proceeds</w:t>
      </w:r>
      <w:r>
        <w:rPr>
          <w:rFonts w:ascii="Arial" w:cs="Arial" w:eastAsia="Arial" w:hAnsi="Arial"/>
          <w:sz w:val="16"/>
          <w:szCs w:val="16"/>
          <w:i w:val="1"/>
          <w:iCs w:val="1"/>
          <w:color w:val="auto"/>
        </w:rPr>
        <w:t>”), to deduct from the Sale Proceeds (in accordance with my obligation to indemnify the Company or other company which is my employer for such amounts) such sum (if any) as is required to enable the Company or any other company which is my employer to pay income tax (payable via PAYE) and Class 1 National Insurance contributions including employer’s (secondary) National Insurance contributions arising as a result of the exercise of my options and to pay or transfer to me the balance of the Sale Proceeds after those deductions.</w:t>
      </w:r>
      <w:r>
        <w:rPr>
          <w:rFonts w:ascii="Arial" w:cs="Arial" w:eastAsia="Arial" w:hAnsi="Arial"/>
          <w:sz w:val="16"/>
          <w:szCs w:val="16"/>
          <w:color w:val="auto"/>
        </w:rPr>
        <w:t>]</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u w:val="single" w:color="auto"/>
          <w:color w:val="auto"/>
        </w:rPr>
        <w:t>Wording which may be included if exercise is effected after completion of a Trade Sale:</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 have been notified that a Trade Sale has been completed on [date] (the “</w:t>
      </w:r>
      <w:r>
        <w:rPr>
          <w:rFonts w:ascii="Arial" w:cs="Arial" w:eastAsia="Arial" w:hAnsi="Arial"/>
          <w:sz w:val="16"/>
          <w:szCs w:val="16"/>
          <w:b w:val="1"/>
          <w:bCs w:val="1"/>
          <w:i w:val="1"/>
          <w:iCs w:val="1"/>
          <w:color w:val="auto"/>
        </w:rPr>
        <w:t>Relevant Trade Sale</w:t>
      </w:r>
      <w:r>
        <w:rPr>
          <w:rFonts w:ascii="Arial" w:cs="Arial" w:eastAsia="Arial" w:hAnsi="Arial"/>
          <w:sz w:val="16"/>
          <w:szCs w:val="16"/>
          <w:i w:val="1"/>
          <w:iCs w:val="1"/>
          <w:color w:val="auto"/>
        </w:rPr>
        <w:t>”). I agree and undertake as follows:</w:t>
      </w:r>
    </w:p>
    <w:p>
      <w:pPr>
        <w:spacing w:after="0" w:line="207" w:lineRule="exact"/>
        <w:rPr>
          <w:sz w:val="20"/>
          <w:szCs w:val="20"/>
          <w:color w:val="auto"/>
        </w:rPr>
      </w:pPr>
    </w:p>
    <w:p>
      <w:pPr>
        <w:ind w:left="582" w:right="320" w:hanging="582"/>
        <w:spacing w:after="0" w:line="285" w:lineRule="auto"/>
        <w:tabs>
          <w:tab w:leader="none" w:pos="582" w:val="left"/>
        </w:tabs>
        <w:numPr>
          <w:ilvl w:val="0"/>
          <w:numId w:val="279"/>
        </w:numPr>
        <w:rPr>
          <w:rFonts w:ascii="Arial" w:cs="Arial" w:eastAsia="Arial" w:hAnsi="Arial"/>
          <w:sz w:val="16"/>
          <w:szCs w:val="16"/>
          <w:i w:val="1"/>
          <w:iCs w:val="1"/>
          <w:color w:val="auto"/>
        </w:rPr>
      </w:pPr>
      <w:r>
        <w:rPr>
          <w:rFonts w:ascii="Arial" w:cs="Arial" w:eastAsia="Arial" w:hAnsi="Arial"/>
          <w:sz w:val="16"/>
          <w:szCs w:val="16"/>
          <w:i w:val="1"/>
          <w:iCs w:val="1"/>
          <w:color w:val="auto"/>
        </w:rPr>
        <w:t>I agree that such exercise is conditional on me signing each of the documents referred to in, and doing each of the things which I undertake to do under, Clause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802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388" w:name="page389"/>
    <w:bookmarkEnd w:id="388"/>
    <w:p>
      <w:pPr>
        <w:ind w:left="582" w:hanging="582"/>
        <w:spacing w:after="0"/>
        <w:tabs>
          <w:tab w:leader="none" w:pos="582" w:val="left"/>
        </w:tabs>
        <w:numPr>
          <w:ilvl w:val="0"/>
          <w:numId w:val="280"/>
        </w:numPr>
        <w:rPr>
          <w:rFonts w:ascii="Arial" w:cs="Arial" w:eastAsia="Arial" w:hAnsi="Arial"/>
          <w:sz w:val="16"/>
          <w:szCs w:val="16"/>
          <w:i w:val="1"/>
          <w:iCs w:val="1"/>
          <w:color w:val="auto"/>
        </w:rPr>
      </w:pPr>
      <w:r>
        <w:rPr>
          <w:rFonts w:ascii="Arial" w:cs="Arial" w:eastAsia="Arial" w:hAnsi="Arial"/>
          <w:sz w:val="16"/>
          <w:szCs w:val="16"/>
          <w:i w:val="1"/>
          <w:iCs w:val="1"/>
          <w:color w:val="auto"/>
        </w:rPr>
        <w:t>I undertake to the Company as follows:</w:t>
      </w:r>
    </w:p>
    <w:p>
      <w:pPr>
        <w:spacing w:after="0" w:line="207" w:lineRule="exact"/>
        <w:rPr>
          <w:rFonts w:ascii="Arial" w:cs="Arial" w:eastAsia="Arial" w:hAnsi="Arial"/>
          <w:sz w:val="16"/>
          <w:szCs w:val="16"/>
          <w:i w:val="1"/>
          <w:iCs w:val="1"/>
          <w:color w:val="auto"/>
        </w:rPr>
      </w:pPr>
    </w:p>
    <w:p>
      <w:pPr>
        <w:ind w:left="1162" w:right="240" w:hanging="587"/>
        <w:spacing w:after="0" w:line="285" w:lineRule="auto"/>
        <w:rPr>
          <w:rFonts w:ascii="Arial" w:cs="Arial" w:eastAsia="Arial" w:hAnsi="Arial"/>
          <w:sz w:val="16"/>
          <w:szCs w:val="16"/>
          <w:i w:val="1"/>
          <w:iCs w:val="1"/>
          <w:color w:val="auto"/>
        </w:rPr>
      </w:pPr>
      <w:r>
        <w:rPr>
          <w:rFonts w:ascii="Arial" w:cs="Arial" w:eastAsia="Arial" w:hAnsi="Arial"/>
          <w:sz w:val="16"/>
          <w:szCs w:val="16"/>
          <w:i w:val="1"/>
          <w:iCs w:val="1"/>
          <w:color w:val="auto"/>
        </w:rPr>
        <w:t>2.1if requested by the Company, to sign a joint election under Section 431(1) Income Tax (Earnings &amp; Pensions) Act 2003 in such form as the Company may specify within 14 days of the date on which the Exercised Shares are acquired by me;</w:t>
      </w:r>
    </w:p>
    <w:p>
      <w:pPr>
        <w:spacing w:after="0" w:line="149" w:lineRule="exact"/>
        <w:rPr>
          <w:rFonts w:ascii="Arial" w:cs="Arial" w:eastAsia="Arial" w:hAnsi="Arial"/>
          <w:sz w:val="16"/>
          <w:szCs w:val="16"/>
          <w:i w:val="1"/>
          <w:iCs w:val="1"/>
          <w:color w:val="auto"/>
        </w:rPr>
      </w:pPr>
    </w:p>
    <w:p>
      <w:pPr>
        <w:ind w:left="1162" w:hanging="587"/>
        <w:spacing w:after="0" w:line="320" w:lineRule="auto"/>
        <w:rPr>
          <w:rFonts w:ascii="Arial" w:cs="Arial" w:eastAsia="Arial" w:hAnsi="Arial"/>
          <w:sz w:val="16"/>
          <w:szCs w:val="16"/>
          <w:i w:val="1"/>
          <w:iCs w:val="1"/>
          <w:color w:val="auto"/>
        </w:rPr>
      </w:pPr>
      <w:r>
        <w:rPr>
          <w:rFonts w:ascii="Arial" w:cs="Arial" w:eastAsia="Arial" w:hAnsi="Arial"/>
          <w:sz w:val="16"/>
          <w:szCs w:val="16"/>
          <w:i w:val="1"/>
          <w:iCs w:val="1"/>
          <w:color w:val="auto"/>
        </w:rPr>
        <w:t>2.2</w:t>
      </w:r>
      <w:r>
        <w:rPr>
          <w:rFonts w:ascii="Arial" w:cs="Arial" w:eastAsia="Arial" w:hAnsi="Arial"/>
          <w:sz w:val="15"/>
          <w:szCs w:val="15"/>
          <w:i w:val="1"/>
          <w:iCs w:val="1"/>
          <w:color w:val="auto"/>
        </w:rPr>
        <w:t>if requested by the Company, to sign a power of attorney appointing any director of the Company to sign such documents on my behalf and agree such things as may reasonably be necessary to complete the sale of my Option Shares to the purchaser under the Relevant Trade Sale; and</w:t>
      </w:r>
    </w:p>
    <w:p>
      <w:pPr>
        <w:spacing w:after="0" w:line="126" w:lineRule="exact"/>
        <w:rPr>
          <w:rFonts w:ascii="Arial" w:cs="Arial" w:eastAsia="Arial" w:hAnsi="Arial"/>
          <w:sz w:val="16"/>
          <w:szCs w:val="16"/>
          <w:i w:val="1"/>
          <w:iCs w:val="1"/>
          <w:color w:val="auto"/>
        </w:rPr>
      </w:pPr>
    </w:p>
    <w:p>
      <w:pPr>
        <w:ind w:left="582"/>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2.3</w:t>
      </w:r>
      <w:r>
        <w:rPr>
          <w:rFonts w:ascii="Arial" w:cs="Arial" w:eastAsia="Arial" w:hAnsi="Arial"/>
          <w:sz w:val="14"/>
          <w:szCs w:val="14"/>
          <w:i w:val="1"/>
          <w:iCs w:val="1"/>
          <w:color w:val="auto"/>
        </w:rPr>
        <w:t>to waive any right of pre-emption, class rights or restrictions on transfer in the event of a change of control of the Company.</w:t>
      </w:r>
    </w:p>
    <w:p>
      <w:pPr>
        <w:spacing w:after="0" w:line="207" w:lineRule="exact"/>
        <w:rPr>
          <w:rFonts w:ascii="Arial" w:cs="Arial" w:eastAsia="Arial" w:hAnsi="Arial"/>
          <w:sz w:val="16"/>
          <w:szCs w:val="16"/>
          <w:i w:val="1"/>
          <w:iCs w:val="1"/>
          <w:color w:val="auto"/>
        </w:rPr>
      </w:pPr>
    </w:p>
    <w:p>
      <w:pPr>
        <w:ind w:left="582" w:right="220" w:hanging="582"/>
        <w:spacing w:after="0" w:line="262" w:lineRule="auto"/>
        <w:tabs>
          <w:tab w:leader="none" w:pos="582" w:val="left"/>
        </w:tabs>
        <w:numPr>
          <w:ilvl w:val="0"/>
          <w:numId w:val="280"/>
        </w:numPr>
        <w:rPr>
          <w:rFonts w:ascii="Arial" w:cs="Arial" w:eastAsia="Arial" w:hAnsi="Arial"/>
          <w:sz w:val="16"/>
          <w:szCs w:val="16"/>
          <w:i w:val="1"/>
          <w:iCs w:val="1"/>
          <w:color w:val="auto"/>
        </w:rPr>
      </w:pPr>
      <w:r>
        <w:rPr>
          <w:rFonts w:ascii="Arial" w:cs="Arial" w:eastAsia="Arial" w:hAnsi="Arial"/>
          <w:sz w:val="16"/>
          <w:szCs w:val="16"/>
          <w:i w:val="1"/>
          <w:iCs w:val="1"/>
          <w:color w:val="auto"/>
        </w:rPr>
        <w:t>I authorise the Company to receive as my agent the proceeds of sale of my Option Shares (the “</w:t>
      </w:r>
      <w:r>
        <w:rPr>
          <w:rFonts w:ascii="Arial" w:cs="Arial" w:eastAsia="Arial" w:hAnsi="Arial"/>
          <w:sz w:val="16"/>
          <w:szCs w:val="16"/>
          <w:b w:val="1"/>
          <w:bCs w:val="1"/>
          <w:i w:val="1"/>
          <w:iCs w:val="1"/>
          <w:color w:val="auto"/>
        </w:rPr>
        <w:t>Sale Proceeds</w:t>
      </w:r>
      <w:r>
        <w:rPr>
          <w:rFonts w:ascii="Arial" w:cs="Arial" w:eastAsia="Arial" w:hAnsi="Arial"/>
          <w:sz w:val="16"/>
          <w:szCs w:val="16"/>
          <w:i w:val="1"/>
          <w:iCs w:val="1"/>
          <w:color w:val="auto"/>
        </w:rPr>
        <w:t>”) and to deduct from the Sale Proceeds, (in accordance with my obligation to indemnify the Company or other company which is my employer for such amounts) such sum (if any) as is required to enable the Company or any other company which is my employer to pay income tax (payable via PAYE) and Class 1 National Insurance contributions including employer’s (secondary) National Insurance contributions arising as a result of the exercise of my options and to pay or transfer to me the balance of the Sale Proceeds after those deductions.</w:t>
      </w:r>
      <w:r>
        <w:rPr>
          <w:rFonts w:ascii="Arial" w:cs="Arial" w:eastAsia="Arial" w:hAnsi="Arial"/>
          <w:sz w:val="16"/>
          <w:szCs w:val="16"/>
          <w:color w:val="auto"/>
        </w:rPr>
        <w:t>]</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6"/>
          <w:szCs w:val="16"/>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15240</wp:posOffset>
            </wp:positionV>
            <wp:extent cx="308991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089910" cy="7620"/>
                    </a:xfrm>
                    <a:prstGeom prst="rect">
                      <a:avLst/>
                    </a:prstGeom>
                    <a:noFill/>
                  </pic:spPr>
                </pic:pic>
              </a:graphicData>
            </a:graphic>
          </wp:anchor>
        </w:drawing>
      </w:r>
    </w:p>
    <w:p>
      <w:pPr>
        <w:spacing w:after="0" w:line="200" w:lineRule="exact"/>
        <w:rPr>
          <w:sz w:val="20"/>
          <w:szCs w:val="20"/>
          <w:color w:val="auto"/>
        </w:rPr>
      </w:pPr>
    </w:p>
    <w:p>
      <w:pPr>
        <w:ind w:left="2"/>
        <w:spacing w:after="0"/>
        <w:rPr>
          <w:sz w:val="20"/>
          <w:szCs w:val="20"/>
          <w:color w:val="auto"/>
        </w:rPr>
      </w:pPr>
      <w:r>
        <w:rPr>
          <w:rFonts w:ascii="Arial" w:cs="Arial" w:eastAsia="Arial" w:hAnsi="Arial"/>
          <w:sz w:val="16"/>
          <w:szCs w:val="16"/>
          <w:color w:val="auto"/>
        </w:rPr>
        <w:t>Print name:</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15240</wp:posOffset>
            </wp:positionV>
            <wp:extent cx="319913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19913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207010</wp:posOffset>
            </wp:positionV>
            <wp:extent cx="72802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389" w:name="page390"/>
    <w:bookmarkEnd w:id="389"/>
    <w:p>
      <w:pPr>
        <w:spacing w:after="0"/>
        <w:rPr>
          <w:sz w:val="20"/>
          <w:szCs w:val="20"/>
          <w:color w:val="auto"/>
        </w:rPr>
      </w:pPr>
      <w:r>
        <w:rPr>
          <w:rFonts w:ascii="Arial" w:cs="Arial" w:eastAsia="Arial" w:hAnsi="Arial"/>
          <w:sz w:val="15"/>
          <w:szCs w:val="15"/>
          <w:b w:val="1"/>
          <w:bCs w:val="1"/>
          <w:color w:val="auto"/>
        </w:rPr>
        <w:t xml:space="preserve">EXECUTED AS A DEED </w:t>
      </w:r>
      <w:r>
        <w:rPr>
          <w:rFonts w:ascii="Arial" w:cs="Arial" w:eastAsia="Arial" w:hAnsi="Arial"/>
          <w:sz w:val="15"/>
          <w:szCs w:val="15"/>
          <w:color w:val="auto"/>
        </w:rPr>
        <w:t>by the parties on the date which first appears in this Share Option Contract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Executed as a deed by </w:t>
      </w:r>
      <w:r>
        <w:rPr>
          <w:rFonts w:ascii="Arial" w:cs="Arial" w:eastAsia="Arial" w:hAnsi="Arial"/>
          <w:sz w:val="16"/>
          <w:szCs w:val="16"/>
          <w:b w:val="1"/>
          <w:bCs w:val="1"/>
          <w:color w:val="auto"/>
        </w:rPr>
        <w:t>BICYCLE THERAPEUTICS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LIMITED </w:t>
      </w:r>
      <w:r>
        <w:rPr>
          <w:rFonts w:ascii="Arial" w:cs="Arial" w:eastAsia="Arial" w:hAnsi="Arial"/>
          <w:sz w:val="16"/>
          <w:szCs w:val="16"/>
          <w:color w:val="auto"/>
        </w:rPr>
        <w:t>acting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363347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[print 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363347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363347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[print 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363347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775970</wp:posOffset>
            </wp:positionV>
            <wp:extent cx="363347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63347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520065</wp:posOffset>
            </wp:positionV>
            <wp:extent cx="363347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63347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263525</wp:posOffset>
            </wp:positionV>
            <wp:extent cx="363347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263525</wp:posOffset>
            </wp:positionV>
            <wp:extent cx="363347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63347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455295</wp:posOffset>
            </wp:positionV>
            <wp:extent cx="72802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219"/>
          </w:cols>
          <w:pgMar w:left="240" w:top="318" w:right="1440" w:bottom="1440" w:gutter="0" w:footer="0" w:header="0"/>
        </w:sectPr>
      </w:pPr>
    </w:p>
    <w:bookmarkStart w:id="390" w:name="page391"/>
    <w:bookmarkEnd w:id="390"/>
    <w:p>
      <w:pPr>
        <w:spacing w:after="0"/>
        <w:rPr>
          <w:sz w:val="20"/>
          <w:szCs w:val="20"/>
          <w:color w:val="auto"/>
        </w:rPr>
      </w:pPr>
      <w:r>
        <w:rPr>
          <w:rFonts w:ascii="Arial" w:cs="Arial" w:eastAsia="Arial" w:hAnsi="Arial"/>
          <w:sz w:val="14"/>
          <w:szCs w:val="14"/>
          <w:color w:val="auto"/>
        </w:rPr>
        <w:t>Executed as a deed by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363347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363347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[print 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-108585</wp:posOffset>
            </wp:positionV>
            <wp:extent cx="363347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775970</wp:posOffset>
            </wp:positionV>
            <wp:extent cx="363347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63347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520065</wp:posOffset>
            </wp:positionV>
            <wp:extent cx="363347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63347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263525</wp:posOffset>
            </wp:positionV>
            <wp:extent cx="363347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263525</wp:posOffset>
            </wp:positionV>
            <wp:extent cx="363347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63347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455295</wp:posOffset>
            </wp:positionV>
            <wp:extent cx="72802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219"/>
          </w:cols>
          <w:pgMar w:left="240" w:top="322" w:right="1440" w:bottom="1440" w:gutter="0" w:footer="0" w:header="0"/>
        </w:sectPr>
      </w:pPr>
    </w:p>
    <w:bookmarkStart w:id="391" w:name="page392"/>
    <w:bookmarkEnd w:id="391"/>
    <w:p>
      <w:pPr>
        <w:jc w:val="right"/>
        <w:spacing w:after="0"/>
        <w:rPr>
          <w:sz w:val="20"/>
          <w:szCs w:val="20"/>
          <w:color w:val="auto"/>
        </w:rPr>
      </w:pPr>
      <w:r>
        <w:rPr>
          <w:rFonts w:ascii="Arial" w:cs="Arial" w:eastAsia="Arial" w:hAnsi="Arial"/>
          <w:sz w:val="16"/>
          <w:szCs w:val="16"/>
          <w:b w:val="1"/>
          <w:bCs w:val="1"/>
          <w:color w:val="auto"/>
        </w:rPr>
        <w:t>Exhibit 10.3</w:t>
      </w:r>
    </w:p>
    <w:p>
      <w:pPr>
        <w:spacing w:after="0" w:line="20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BICYCLE THERAPEUTICS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204470</wp:posOffset>
            </wp:positionV>
            <wp:extent cx="1824355"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SHARE OPTION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204470</wp:posOffset>
            </wp:positionV>
            <wp:extent cx="1824355"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824355" cy="7620"/>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457835</wp:posOffset>
            </wp:positionV>
            <wp:extent cx="72802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240"/>
          </w:cols>
          <w:pgMar w:left="1440" w:top="343" w:right="219" w:bottom="1440" w:gutter="0" w:footer="0" w:header="0"/>
        </w:sectPr>
      </w:pPr>
    </w:p>
    <w:bookmarkStart w:id="392" w:name="page393"/>
    <w:bookmarkEnd w:id="392"/>
    <w:p>
      <w:pPr>
        <w:ind w:left="2"/>
        <w:spacing w:after="0"/>
        <w:tabs>
          <w:tab w:leader="none" w:pos="4962" w:val="left"/>
        </w:tabs>
        <w:rPr>
          <w:sz w:val="20"/>
          <w:szCs w:val="20"/>
          <w:color w:val="auto"/>
        </w:rPr>
      </w:pPr>
      <w:r>
        <w:rPr>
          <w:rFonts w:ascii="Arial" w:cs="Arial" w:eastAsia="Arial" w:hAnsi="Arial"/>
          <w:sz w:val="16"/>
          <w:szCs w:val="16"/>
          <w:b w:val="1"/>
          <w:bCs w:val="1"/>
          <w:color w:val="auto"/>
        </w:rPr>
        <w:t xml:space="preserve">THIS SHARE OPTION CONTRACT </w:t>
      </w:r>
      <w:r>
        <w:rPr>
          <w:rFonts w:ascii="Arial" w:cs="Arial" w:eastAsia="Arial" w:hAnsi="Arial"/>
          <w:sz w:val="16"/>
          <w:szCs w:val="16"/>
          <w:color w:val="auto"/>
        </w:rPr>
        <w:t>is made the</w:t>
      </w:r>
      <w:r>
        <w:rPr>
          <w:sz w:val="20"/>
          <w:szCs w:val="20"/>
          <w:color w:val="auto"/>
        </w:rPr>
        <w:tab/>
      </w:r>
      <w:r>
        <w:rPr>
          <w:rFonts w:ascii="Arial" w:cs="Arial" w:eastAsia="Arial" w:hAnsi="Arial"/>
          <w:sz w:val="16"/>
          <w:szCs w:val="16"/>
          <w:b w:val="1"/>
          <w:bCs w:val="1"/>
          <w:color w:val="auto"/>
        </w:rPr>
        <w:t>BETWEEN:</w:t>
      </w:r>
    </w:p>
    <w:p>
      <w:pPr>
        <w:spacing w:after="0" w:line="207" w:lineRule="exact"/>
        <w:rPr>
          <w:sz w:val="20"/>
          <w:szCs w:val="20"/>
          <w:color w:val="auto"/>
        </w:rPr>
      </w:pPr>
    </w:p>
    <w:p>
      <w:pPr>
        <w:ind w:left="2" w:right="100" w:hanging="2"/>
        <w:spacing w:after="0" w:line="290" w:lineRule="auto"/>
        <w:tabs>
          <w:tab w:leader="none" w:pos="596" w:val="left"/>
        </w:tabs>
        <w:numPr>
          <w:ilvl w:val="0"/>
          <w:numId w:val="281"/>
        </w:numPr>
        <w:rPr>
          <w:rFonts w:ascii="Arial" w:cs="Arial" w:eastAsia="Arial" w:hAnsi="Arial"/>
          <w:sz w:val="16"/>
          <w:szCs w:val="16"/>
          <w:color w:val="auto"/>
        </w:rPr>
      </w:pPr>
      <w:r>
        <w:rPr>
          <w:rFonts w:ascii="Arial" w:cs="Arial" w:eastAsia="Arial" w:hAnsi="Arial"/>
          <w:sz w:val="16"/>
          <w:szCs w:val="16"/>
          <w:b w:val="1"/>
          <w:bCs w:val="1"/>
          <w:color w:val="auto"/>
        </w:rPr>
        <w:t>BICYCLE THERAPEUTICS LIMITED</w:t>
      </w:r>
      <w:r>
        <w:rPr>
          <w:rFonts w:ascii="Arial" w:cs="Arial" w:eastAsia="Arial" w:hAnsi="Arial"/>
          <w:sz w:val="16"/>
          <w:szCs w:val="16"/>
          <w:color w:val="auto"/>
        </w:rPr>
        <w:t>, registered in England and Wales with number 11036004, whose registered office is at Building 900, Babraham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Campus, Babraham, Cambridge CB22 3AT (the “</w:t>
      </w:r>
      <w:r>
        <w:rPr>
          <w:rFonts w:ascii="Arial" w:cs="Arial" w:eastAsia="Arial" w:hAnsi="Arial"/>
          <w:sz w:val="16"/>
          <w:szCs w:val="16"/>
          <w:b w:val="1"/>
          <w:bCs w:val="1"/>
          <w:color w:val="auto"/>
        </w:rPr>
        <w:t>Company</w:t>
      </w:r>
      <w:r>
        <w:rPr>
          <w:rFonts w:ascii="Arial" w:cs="Arial" w:eastAsia="Arial" w:hAnsi="Arial"/>
          <w:sz w:val="16"/>
          <w:szCs w:val="16"/>
          <w:color w:val="auto"/>
        </w:rPr>
        <w:t>”); and</w:t>
      </w:r>
    </w:p>
    <w:p>
      <w:pPr>
        <w:spacing w:after="0" w:line="142" w:lineRule="exact"/>
        <w:rPr>
          <w:sz w:val="20"/>
          <w:szCs w:val="20"/>
          <w:color w:val="auto"/>
        </w:rPr>
      </w:pPr>
    </w:p>
    <w:p>
      <w:pPr>
        <w:ind w:left="2"/>
        <w:spacing w:after="0"/>
        <w:tabs>
          <w:tab w:leader="none" w:pos="3702"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color w:val="auto"/>
        </w:rPr>
        <w:t>Option Holder</w:t>
      </w:r>
      <w:r>
        <w:rPr>
          <w:rFonts w:ascii="Arial" w:cs="Arial" w:eastAsia="Arial" w:hAnsi="Arial"/>
          <w:sz w:val="16"/>
          <w:szCs w:val="16"/>
          <w:color w:val="auto"/>
        </w:rPr>
        <w:t>”)</w:t>
      </w:r>
    </w:p>
    <w:p>
      <w:pPr>
        <w:spacing w:after="0" w:line="207" w:lineRule="exact"/>
        <w:rPr>
          <w:sz w:val="20"/>
          <w:szCs w:val="20"/>
          <w:color w:val="auto"/>
        </w:rPr>
      </w:pPr>
    </w:p>
    <w:p>
      <w:pPr>
        <w:ind w:left="582" w:hanging="582"/>
        <w:spacing w:after="0"/>
        <w:tabs>
          <w:tab w:leader="none" w:pos="582" w:val="left"/>
        </w:tabs>
        <w:numPr>
          <w:ilvl w:val="0"/>
          <w:numId w:val="282"/>
        </w:numPr>
        <w:rPr>
          <w:rFonts w:ascii="Arial" w:cs="Arial" w:eastAsia="Arial" w:hAnsi="Arial"/>
          <w:sz w:val="16"/>
          <w:szCs w:val="16"/>
          <w:color w:val="auto"/>
        </w:rPr>
      </w:pPr>
      <w:r>
        <w:rPr>
          <w:rFonts w:ascii="Arial" w:cs="Arial" w:eastAsia="Arial" w:hAnsi="Arial"/>
          <w:sz w:val="16"/>
          <w:szCs w:val="16"/>
          <w:b w:val="1"/>
          <w:bCs w:val="1"/>
          <w:color w:val="auto"/>
        </w:rPr>
        <w:t>INTERPRETATION</w:t>
      </w:r>
    </w:p>
    <w:p>
      <w:pPr>
        <w:sectPr>
          <w:pgSz w:w="11900" w:h="16838" w:orient="portrait"/>
          <w:cols w:equalWidth="0" w:num="1">
            <w:col w:w="11462"/>
          </w:cols>
          <w:pgMar w:left="238" w:top="319" w:right="199" w:bottom="1440" w:gutter="0" w:footer="0" w:header="0"/>
        </w:sectPr>
      </w:pP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In this Share Option Contract:-</w:t>
      </w:r>
    </w:p>
    <w:p>
      <w:pPr>
        <w:spacing w:after="0" w:line="203" w:lineRule="exact"/>
        <w:rPr>
          <w:sz w:val="20"/>
          <w:szCs w:val="20"/>
          <w:color w:val="auto"/>
        </w:rPr>
      </w:pPr>
    </w:p>
    <w:p>
      <w:pPr>
        <w:ind w:left="7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Accountants</w:t>
      </w:r>
      <w:r>
        <w:rPr>
          <w:rFonts w:ascii="Arial" w:cs="Arial" w:eastAsia="Arial" w:hAnsi="Arial"/>
          <w:sz w:val="16"/>
          <w:szCs w:val="16"/>
          <w:color w:val="auto"/>
        </w:rPr>
        <w:t>”</w:t>
      </w:r>
    </w:p>
    <w:p>
      <w:pPr>
        <w:spacing w:after="0" w:line="207" w:lineRule="exact"/>
        <w:rPr>
          <w:sz w:val="20"/>
          <w:szCs w:val="20"/>
          <w:color w:val="auto"/>
        </w:rPr>
      </w:pPr>
    </w:p>
    <w:p>
      <w:pPr>
        <w:ind w:left="7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Acquiring Company</w:t>
      </w:r>
      <w:r>
        <w:rPr>
          <w:rFonts w:ascii="Arial" w:cs="Arial" w:eastAsia="Arial" w:hAnsi="Arial"/>
          <w:sz w:val="16"/>
          <w:szCs w:val="16"/>
          <w:color w:val="auto"/>
        </w:rPr>
        <w:t>”</w:t>
      </w:r>
    </w:p>
    <w:p>
      <w:pPr>
        <w:spacing w:after="0" w:line="207" w:lineRule="exact"/>
        <w:rPr>
          <w:sz w:val="20"/>
          <w:szCs w:val="20"/>
          <w:color w:val="auto"/>
        </w:rPr>
      </w:pPr>
    </w:p>
    <w:p>
      <w:pPr>
        <w:ind w:left="7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Admission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means the Company’s accountants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means a company which has acquired Control of the Company</w:t>
      </w:r>
    </w:p>
    <w:p>
      <w:pPr>
        <w:spacing w:after="0" w:line="207" w:lineRule="exact"/>
        <w:rPr>
          <w:sz w:val="20"/>
          <w:szCs w:val="20"/>
          <w:color w:val="auto"/>
        </w:rPr>
      </w:pPr>
    </w:p>
    <w:p>
      <w:pPr>
        <w:ind w:right="260"/>
        <w:spacing w:after="0" w:line="288" w:lineRule="auto"/>
        <w:rPr>
          <w:sz w:val="20"/>
          <w:szCs w:val="20"/>
          <w:color w:val="auto"/>
        </w:rPr>
      </w:pPr>
      <w:r>
        <w:rPr>
          <w:rFonts w:ascii="Arial" w:cs="Arial" w:eastAsia="Arial" w:hAnsi="Arial"/>
          <w:sz w:val="15"/>
          <w:szCs w:val="15"/>
          <w:color w:val="auto"/>
        </w:rPr>
        <w:t>means the first occasion on which ordinary shares in the capital of the Company are admitted to the Official List of the UK Listing Authority or to trading on AIM or permission is given for them to be traded on any other share market approved for this purpose by the holders of a majority of the Ordinary Share Capital</w:t>
      </w:r>
    </w:p>
    <w:p>
      <w:pPr>
        <w:spacing w:after="0" w:line="146" w:lineRule="exact"/>
        <w:rPr>
          <w:sz w:val="20"/>
          <w:szCs w:val="20"/>
          <w:color w:val="auto"/>
        </w:rPr>
      </w:pPr>
    </w:p>
    <w:p>
      <w:pPr>
        <w:sectPr>
          <w:pgSz w:w="11900" w:h="16838" w:orient="portrait"/>
          <w:cols w:equalWidth="0" w:num="2">
            <w:col w:w="4922" w:space="720"/>
            <w:col w:w="5820"/>
          </w:cols>
          <w:pgMar w:left="238" w:top="319" w:right="199" w:bottom="1440" w:gutter="0" w:footer="0" w:header="0"/>
          <w:type w:val="continuous"/>
        </w:sectPr>
      </w:pPr>
    </w:p>
    <w:p>
      <w:pPr>
        <w:ind w:left="7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w:t>
      </w:r>
      <w:r>
        <w:rPr>
          <w:rFonts w:ascii="Arial" w:cs="Arial" w:eastAsia="Arial" w:hAnsi="Arial"/>
          <w:sz w:val="16"/>
          <w:szCs w:val="16"/>
          <w:color w:val="auto"/>
        </w:rPr>
        <w:t>”</w:t>
      </w:r>
    </w:p>
    <w:p>
      <w:pPr>
        <w:spacing w:after="0" w:line="207" w:lineRule="exact"/>
        <w:rPr>
          <w:sz w:val="20"/>
          <w:szCs w:val="20"/>
          <w:color w:val="auto"/>
        </w:rPr>
      </w:pPr>
    </w:p>
    <w:p>
      <w:pPr>
        <w:ind w:left="7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AIM</w:t>
      </w:r>
      <w:r>
        <w:rPr>
          <w:rFonts w:ascii="Arial" w:cs="Arial" w:eastAsia="Arial" w:hAnsi="Arial"/>
          <w:sz w:val="16"/>
          <w:szCs w:val="16"/>
          <w:color w:val="auto"/>
        </w:rPr>
        <w:t>”</w:t>
      </w:r>
    </w:p>
    <w:p>
      <w:pPr>
        <w:spacing w:after="0" w:line="207" w:lineRule="exact"/>
        <w:rPr>
          <w:sz w:val="20"/>
          <w:szCs w:val="20"/>
          <w:color w:val="auto"/>
        </w:rPr>
      </w:pPr>
    </w:p>
    <w:p>
      <w:pPr>
        <w:ind w:left="7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w:t>
      </w:r>
      <w:r>
        <w:rPr>
          <w:rFonts w:ascii="Arial" w:cs="Arial" w:eastAsia="Arial" w:hAnsi="Arial"/>
          <w:sz w:val="16"/>
          <w:szCs w:val="16"/>
          <w:color w:val="auto"/>
        </w:rPr>
        <w:t>”</w:t>
      </w:r>
    </w:p>
    <w:p>
      <w:pPr>
        <w:spacing w:after="0" w:line="207" w:lineRule="exact"/>
        <w:rPr>
          <w:sz w:val="20"/>
          <w:szCs w:val="20"/>
          <w:color w:val="auto"/>
        </w:rPr>
      </w:pPr>
    </w:p>
    <w:p>
      <w:pPr>
        <w:ind w:left="70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Assets Sale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person acting as the Option Holder’s agent under Clauses 5 or 10</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means a market operated by London Stock Exchange plc known as AIM</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means the articles of association of the Company for the time being in force</w:t>
      </w:r>
    </w:p>
    <w:p>
      <w:pPr>
        <w:spacing w:after="0" w:line="207" w:lineRule="exact"/>
        <w:rPr>
          <w:sz w:val="20"/>
          <w:szCs w:val="20"/>
          <w:color w:val="auto"/>
        </w:rPr>
      </w:pPr>
    </w:p>
    <w:p>
      <w:pPr>
        <w:ind w:right="420"/>
        <w:spacing w:after="0" w:line="270" w:lineRule="auto"/>
        <w:rPr>
          <w:sz w:val="20"/>
          <w:szCs w:val="20"/>
          <w:color w:val="auto"/>
        </w:rPr>
      </w:pPr>
      <w:r>
        <w:rPr>
          <w:rFonts w:ascii="Arial" w:cs="Arial" w:eastAsia="Arial" w:hAnsi="Arial"/>
          <w:sz w:val="16"/>
          <w:szCs w:val="16"/>
          <w:color w:val="auto"/>
        </w:rPr>
        <w:t>means the consummation of the transactions contemplated by an unconditional agreement being entered into for the sale of the whole or substantially the whole of the trade and assets of the Group</w:t>
      </w:r>
    </w:p>
    <w:p>
      <w:pPr>
        <w:spacing w:after="0" w:line="158" w:lineRule="exact"/>
        <w:rPr>
          <w:sz w:val="20"/>
          <w:szCs w:val="20"/>
          <w:color w:val="auto"/>
        </w:rPr>
      </w:pPr>
    </w:p>
    <w:p>
      <w:pPr>
        <w:sectPr>
          <w:pgSz w:w="11900" w:h="16838" w:orient="portrait"/>
          <w:cols w:equalWidth="0" w:num="2">
            <w:col w:w="4922" w:space="720"/>
            <w:col w:w="5820"/>
          </w:cols>
          <w:pgMar w:left="238" w:top="319" w:right="199" w:bottom="1440" w:gutter="0" w:footer="0" w:header="0"/>
          <w:type w:val="continuous"/>
        </w:sectPr>
      </w:pPr>
    </w:p>
    <w:tbl>
      <w:tblPr>
        <w:tblLayout w:type="fixed"/>
        <w:tblInd w:w="2" w:type="dxa"/>
        <w:tblCellMar>
          <w:top w:w="0" w:type="dxa"/>
          <w:left w:w="0" w:type="dxa"/>
          <w:bottom w:w="0" w:type="dxa"/>
          <w:right w:w="0" w:type="dxa"/>
        </w:tblCellMar>
      </w:tblPr>
      <w:tr>
        <w:trPr>
          <w:trHeight w:val="200"/>
        </w:trPr>
        <w:tc>
          <w:tcPr>
            <w:tcW w:w="364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Bad Leaver</w:t>
            </w:r>
            <w:r>
              <w:rPr>
                <w:rFonts w:ascii="Arial" w:cs="Arial" w:eastAsia="Arial" w:hAnsi="Arial"/>
                <w:sz w:val="16"/>
                <w:szCs w:val="16"/>
                <w:color w:val="auto"/>
              </w:rPr>
              <w:t>”</w:t>
            </w:r>
          </w:p>
        </w:tc>
        <w:tc>
          <w:tcPr>
            <w:tcW w:w="7820" w:type="dxa"/>
            <w:vAlign w:val="bottom"/>
          </w:tcPr>
          <w:p>
            <w:pPr>
              <w:ind w:left="2000"/>
              <w:spacing w:after="0"/>
              <w:rPr>
                <w:sz w:val="20"/>
                <w:szCs w:val="20"/>
                <w:color w:val="auto"/>
              </w:rPr>
            </w:pPr>
            <w:r>
              <w:rPr>
                <w:rFonts w:ascii="Arial" w:cs="Arial" w:eastAsia="Arial" w:hAnsi="Arial"/>
                <w:sz w:val="16"/>
                <w:szCs w:val="16"/>
                <w:color w:val="auto"/>
                <w:w w:val="98"/>
              </w:rPr>
              <w:t>means an Option Holder (i) whose employment or consultancy is terminated by the</w:t>
            </w:r>
          </w:p>
        </w:tc>
      </w:tr>
      <w:tr>
        <w:trPr>
          <w:trHeight w:val="196"/>
        </w:trPr>
        <w:tc>
          <w:tcPr>
            <w:tcW w:w="3640" w:type="dxa"/>
            <w:vAlign w:val="bottom"/>
          </w:tcPr>
          <w:p>
            <w:pPr>
              <w:spacing w:after="0"/>
              <w:rPr>
                <w:sz w:val="17"/>
                <w:szCs w:val="17"/>
                <w:color w:val="auto"/>
              </w:rPr>
            </w:pPr>
          </w:p>
        </w:tc>
        <w:tc>
          <w:tcPr>
            <w:tcW w:w="7820" w:type="dxa"/>
            <w:vAlign w:val="bottom"/>
          </w:tcPr>
          <w:p>
            <w:pPr>
              <w:ind w:left="2000"/>
              <w:spacing w:after="0"/>
              <w:rPr>
                <w:sz w:val="20"/>
                <w:szCs w:val="20"/>
                <w:color w:val="auto"/>
              </w:rPr>
            </w:pPr>
            <w:r>
              <w:rPr>
                <w:rFonts w:ascii="Arial" w:cs="Arial" w:eastAsia="Arial" w:hAnsi="Arial"/>
                <w:sz w:val="16"/>
                <w:szCs w:val="16"/>
                <w:color w:val="auto"/>
                <w:w w:val="99"/>
              </w:rPr>
              <w:t>Company or any Group Company as a result of the breach by the Option Holder of</w:t>
            </w:r>
          </w:p>
        </w:tc>
      </w:tr>
      <w:tr>
        <w:trPr>
          <w:trHeight w:val="196"/>
        </w:trPr>
        <w:tc>
          <w:tcPr>
            <w:tcW w:w="3640" w:type="dxa"/>
            <w:vAlign w:val="bottom"/>
          </w:tcPr>
          <w:p>
            <w:pPr>
              <w:spacing w:after="0"/>
              <w:rPr>
                <w:sz w:val="17"/>
                <w:szCs w:val="17"/>
                <w:color w:val="auto"/>
              </w:rPr>
            </w:pPr>
          </w:p>
        </w:tc>
        <w:tc>
          <w:tcPr>
            <w:tcW w:w="7820" w:type="dxa"/>
            <w:vAlign w:val="bottom"/>
          </w:tcPr>
          <w:p>
            <w:pPr>
              <w:ind w:left="2000"/>
              <w:spacing w:after="0"/>
              <w:rPr>
                <w:sz w:val="20"/>
                <w:szCs w:val="20"/>
                <w:color w:val="auto"/>
              </w:rPr>
            </w:pPr>
            <w:r>
              <w:rPr>
                <w:rFonts w:ascii="Arial" w:cs="Arial" w:eastAsia="Arial" w:hAnsi="Arial"/>
                <w:sz w:val="16"/>
                <w:szCs w:val="16"/>
                <w:color w:val="auto"/>
              </w:rPr>
              <w:t>any Restrictive Covenants (as defined in the Articles) in such Option Holder’s</w:t>
            </w:r>
          </w:p>
        </w:tc>
      </w:tr>
      <w:tr>
        <w:trPr>
          <w:trHeight w:val="196"/>
        </w:trPr>
        <w:tc>
          <w:tcPr>
            <w:tcW w:w="3640" w:type="dxa"/>
            <w:vAlign w:val="bottom"/>
          </w:tcPr>
          <w:p>
            <w:pPr>
              <w:spacing w:after="0"/>
              <w:rPr>
                <w:sz w:val="17"/>
                <w:szCs w:val="17"/>
                <w:color w:val="auto"/>
              </w:rPr>
            </w:pPr>
          </w:p>
        </w:tc>
        <w:tc>
          <w:tcPr>
            <w:tcW w:w="7820" w:type="dxa"/>
            <w:vAlign w:val="bottom"/>
          </w:tcPr>
          <w:p>
            <w:pPr>
              <w:ind w:left="2000"/>
              <w:spacing w:after="0"/>
              <w:rPr>
                <w:sz w:val="20"/>
                <w:szCs w:val="20"/>
                <w:color w:val="auto"/>
              </w:rPr>
            </w:pPr>
            <w:r>
              <w:rPr>
                <w:rFonts w:ascii="Arial" w:cs="Arial" w:eastAsia="Arial" w:hAnsi="Arial"/>
                <w:sz w:val="16"/>
                <w:szCs w:val="16"/>
                <w:color w:val="auto"/>
                <w:w w:val="97"/>
              </w:rPr>
              <w:t>employment or consultancy agreement, (ii) who breaches any Restrictive Covenants</w:t>
            </w:r>
          </w:p>
        </w:tc>
      </w:tr>
      <w:tr>
        <w:trPr>
          <w:trHeight w:val="196"/>
        </w:trPr>
        <w:tc>
          <w:tcPr>
            <w:tcW w:w="3640" w:type="dxa"/>
            <w:vAlign w:val="bottom"/>
          </w:tcPr>
          <w:p>
            <w:pPr>
              <w:spacing w:after="0"/>
              <w:rPr>
                <w:sz w:val="17"/>
                <w:szCs w:val="17"/>
                <w:color w:val="auto"/>
              </w:rPr>
            </w:pPr>
          </w:p>
        </w:tc>
        <w:tc>
          <w:tcPr>
            <w:tcW w:w="7820" w:type="dxa"/>
            <w:vAlign w:val="bottom"/>
          </w:tcPr>
          <w:p>
            <w:pPr>
              <w:ind w:left="2000"/>
              <w:spacing w:after="0"/>
              <w:rPr>
                <w:sz w:val="20"/>
                <w:szCs w:val="20"/>
                <w:color w:val="auto"/>
              </w:rPr>
            </w:pPr>
            <w:r>
              <w:rPr>
                <w:rFonts w:ascii="Arial" w:cs="Arial" w:eastAsia="Arial" w:hAnsi="Arial"/>
                <w:sz w:val="16"/>
                <w:szCs w:val="16"/>
                <w:color w:val="auto"/>
              </w:rPr>
              <w:t>in such Option Holder’s employment or consultancy agreement after the Option</w:t>
            </w:r>
          </w:p>
        </w:tc>
      </w:tr>
      <w:tr>
        <w:trPr>
          <w:trHeight w:val="196"/>
        </w:trPr>
        <w:tc>
          <w:tcPr>
            <w:tcW w:w="3640" w:type="dxa"/>
            <w:vAlign w:val="bottom"/>
          </w:tcPr>
          <w:p>
            <w:pPr>
              <w:spacing w:after="0"/>
              <w:rPr>
                <w:sz w:val="17"/>
                <w:szCs w:val="17"/>
                <w:color w:val="auto"/>
              </w:rPr>
            </w:pPr>
          </w:p>
        </w:tc>
        <w:tc>
          <w:tcPr>
            <w:tcW w:w="7820" w:type="dxa"/>
            <w:vAlign w:val="bottom"/>
          </w:tcPr>
          <w:p>
            <w:pPr>
              <w:ind w:left="2000"/>
              <w:spacing w:after="0"/>
              <w:rPr>
                <w:sz w:val="20"/>
                <w:szCs w:val="20"/>
                <w:color w:val="auto"/>
              </w:rPr>
            </w:pPr>
            <w:r>
              <w:rPr>
                <w:rFonts w:ascii="Arial" w:cs="Arial" w:eastAsia="Arial" w:hAnsi="Arial"/>
                <w:sz w:val="16"/>
                <w:szCs w:val="16"/>
                <w:color w:val="auto"/>
              </w:rPr>
              <w:t>Holder’s employment or consultancy is terminated or (iii) whose employment is</w:t>
            </w:r>
          </w:p>
        </w:tc>
      </w:tr>
      <w:tr>
        <w:trPr>
          <w:trHeight w:val="196"/>
        </w:trPr>
        <w:tc>
          <w:tcPr>
            <w:tcW w:w="3640" w:type="dxa"/>
            <w:vAlign w:val="bottom"/>
          </w:tcPr>
          <w:p>
            <w:pPr>
              <w:spacing w:after="0"/>
              <w:rPr>
                <w:sz w:val="17"/>
                <w:szCs w:val="17"/>
                <w:color w:val="auto"/>
              </w:rPr>
            </w:pPr>
          </w:p>
        </w:tc>
        <w:tc>
          <w:tcPr>
            <w:tcW w:w="7820" w:type="dxa"/>
            <w:vAlign w:val="bottom"/>
          </w:tcPr>
          <w:p>
            <w:pPr>
              <w:ind w:left="2000"/>
              <w:spacing w:after="0"/>
              <w:rPr>
                <w:sz w:val="20"/>
                <w:szCs w:val="20"/>
                <w:color w:val="auto"/>
              </w:rPr>
            </w:pPr>
            <w:r>
              <w:rPr>
                <w:rFonts w:ascii="Arial" w:cs="Arial" w:eastAsia="Arial" w:hAnsi="Arial"/>
                <w:sz w:val="16"/>
                <w:szCs w:val="16"/>
                <w:color w:val="auto"/>
                <w:w w:val="98"/>
              </w:rPr>
              <w:t>terminated for Cause as defined in the Option Holder’s employment agreement with</w:t>
            </w:r>
          </w:p>
        </w:tc>
      </w:tr>
      <w:tr>
        <w:trPr>
          <w:trHeight w:val="196"/>
        </w:trPr>
        <w:tc>
          <w:tcPr>
            <w:tcW w:w="3640" w:type="dxa"/>
            <w:vAlign w:val="bottom"/>
          </w:tcPr>
          <w:p>
            <w:pPr>
              <w:spacing w:after="0"/>
              <w:rPr>
                <w:sz w:val="17"/>
                <w:szCs w:val="17"/>
                <w:color w:val="auto"/>
              </w:rPr>
            </w:pPr>
          </w:p>
        </w:tc>
        <w:tc>
          <w:tcPr>
            <w:tcW w:w="7820" w:type="dxa"/>
            <w:vAlign w:val="bottom"/>
          </w:tcPr>
          <w:p>
            <w:pPr>
              <w:ind w:left="2000"/>
              <w:spacing w:after="0"/>
              <w:rPr>
                <w:sz w:val="20"/>
                <w:szCs w:val="20"/>
                <w:color w:val="auto"/>
              </w:rPr>
            </w:pPr>
            <w:r>
              <w:rPr>
                <w:rFonts w:ascii="Arial" w:cs="Arial" w:eastAsia="Arial" w:hAnsi="Arial"/>
                <w:sz w:val="16"/>
                <w:szCs w:val="16"/>
                <w:color w:val="auto"/>
                <w:w w:val="96"/>
              </w:rPr>
              <w:t>the Company or any group member or, if no such agreement exists, as defined under</w:t>
            </w:r>
          </w:p>
        </w:tc>
      </w:tr>
      <w:tr>
        <w:trPr>
          <w:trHeight w:val="207"/>
        </w:trPr>
        <w:tc>
          <w:tcPr>
            <w:tcW w:w="3640" w:type="dxa"/>
            <w:vAlign w:val="bottom"/>
          </w:tcPr>
          <w:p>
            <w:pPr>
              <w:spacing w:after="0"/>
              <w:rPr>
                <w:sz w:val="18"/>
                <w:szCs w:val="18"/>
                <w:color w:val="auto"/>
              </w:rPr>
            </w:pPr>
          </w:p>
        </w:tc>
        <w:tc>
          <w:tcPr>
            <w:tcW w:w="7820" w:type="dxa"/>
            <w:vAlign w:val="bottom"/>
          </w:tcPr>
          <w:p>
            <w:pPr>
              <w:ind w:left="2000"/>
              <w:spacing w:after="0"/>
              <w:rPr>
                <w:sz w:val="20"/>
                <w:szCs w:val="20"/>
                <w:color w:val="auto"/>
              </w:rPr>
            </w:pPr>
            <w:r>
              <w:rPr>
                <w:rFonts w:ascii="Arial" w:cs="Arial" w:eastAsia="Arial" w:hAnsi="Arial"/>
                <w:sz w:val="16"/>
                <w:szCs w:val="16"/>
                <w:color w:val="auto"/>
              </w:rPr>
              <w:t>applicable law</w:t>
            </w:r>
          </w:p>
        </w:tc>
      </w:tr>
      <w:tr>
        <w:trPr>
          <w:trHeight w:val="315"/>
        </w:trPr>
        <w:tc>
          <w:tcPr>
            <w:tcW w:w="364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19" w:right="199" w:bottom="1440" w:gutter="0" w:footer="0" w:header="0"/>
          <w:type w:val="continuous"/>
        </w:sectPr>
      </w:pPr>
    </w:p>
    <w:bookmarkStart w:id="393" w:name="page394"/>
    <w:bookmarkEnd w:id="393"/>
    <w:tbl>
      <w:tblPr>
        <w:tblLayout w:type="fixed"/>
        <w:tblInd w:w="0" w:type="dxa"/>
        <w:tblCellMar>
          <w:top w:w="0" w:type="dxa"/>
          <w:left w:w="0" w:type="dxa"/>
          <w:bottom w:w="0" w:type="dxa"/>
          <w:right w:w="0" w:type="dxa"/>
        </w:tblCellMar>
      </w:tblPr>
      <w:tr>
        <w:trPr>
          <w:trHeight w:val="211"/>
        </w:trPr>
        <w:tc>
          <w:tcPr>
            <w:tcW w:w="4180" w:type="dxa"/>
            <w:vAlign w:val="bottom"/>
          </w:tcPr>
          <w:p>
            <w:pPr>
              <w:ind w:left="700"/>
              <w:spacing w:after="0"/>
              <w:rPr>
                <w:sz w:val="20"/>
                <w:szCs w:val="20"/>
                <w:color w:val="auto"/>
              </w:rPr>
            </w:pPr>
            <w:r>
              <w:rPr>
                <w:rFonts w:ascii="Arial" w:cs="Arial" w:eastAsia="Arial" w:hAnsi="Arial"/>
                <w:sz w:val="16"/>
                <w:szCs w:val="16"/>
                <w:b w:val="1"/>
                <w:bCs w:val="1"/>
                <w:color w:val="auto"/>
              </w:rPr>
              <w:t>Code</w:t>
            </w:r>
          </w:p>
        </w:tc>
        <w:tc>
          <w:tcPr>
            <w:tcW w:w="7280" w:type="dxa"/>
            <w:vAlign w:val="bottom"/>
          </w:tcPr>
          <w:p>
            <w:pPr>
              <w:ind w:left="1460"/>
              <w:spacing w:after="0"/>
              <w:rPr>
                <w:sz w:val="20"/>
                <w:szCs w:val="20"/>
                <w:color w:val="auto"/>
              </w:rPr>
            </w:pPr>
            <w:r>
              <w:rPr>
                <w:rFonts w:ascii="Arial" w:cs="Arial" w:eastAsia="Arial" w:hAnsi="Arial"/>
                <w:sz w:val="16"/>
                <w:szCs w:val="16"/>
                <w:color w:val="auto"/>
              </w:rPr>
              <w:t>means the United States Internal Revenue Code of 1986, as amended</w:t>
            </w:r>
          </w:p>
        </w:tc>
      </w:tr>
      <w:tr>
        <w:trPr>
          <w:trHeight w:val="391"/>
        </w:trPr>
        <w:tc>
          <w:tcPr>
            <w:tcW w:w="418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w:t>
            </w:r>
          </w:p>
        </w:tc>
        <w:tc>
          <w:tcPr>
            <w:tcW w:w="7280" w:type="dxa"/>
            <w:vAlign w:val="bottom"/>
          </w:tcPr>
          <w:p>
            <w:pPr>
              <w:ind w:left="1460"/>
              <w:spacing w:after="0"/>
              <w:rPr>
                <w:sz w:val="20"/>
                <w:szCs w:val="20"/>
                <w:color w:val="auto"/>
              </w:rPr>
            </w:pPr>
            <w:r>
              <w:rPr>
                <w:rFonts w:ascii="Arial" w:cs="Arial" w:eastAsia="Arial" w:hAnsi="Arial"/>
                <w:sz w:val="16"/>
                <w:szCs w:val="16"/>
                <w:color w:val="auto"/>
              </w:rPr>
              <w:t>has the meaning given in Section 1124 of the CTA</w:t>
            </w:r>
          </w:p>
        </w:tc>
      </w:tr>
      <w:tr>
        <w:trPr>
          <w:trHeight w:val="391"/>
        </w:trPr>
        <w:tc>
          <w:tcPr>
            <w:tcW w:w="418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CTA</w:t>
            </w:r>
            <w:r>
              <w:rPr>
                <w:rFonts w:ascii="Arial" w:cs="Arial" w:eastAsia="Arial" w:hAnsi="Arial"/>
                <w:sz w:val="16"/>
                <w:szCs w:val="16"/>
                <w:color w:val="auto"/>
              </w:rPr>
              <w:t>”</w:t>
            </w:r>
          </w:p>
        </w:tc>
        <w:tc>
          <w:tcPr>
            <w:tcW w:w="7280" w:type="dxa"/>
            <w:vAlign w:val="bottom"/>
          </w:tcPr>
          <w:p>
            <w:pPr>
              <w:ind w:left="1460"/>
              <w:spacing w:after="0"/>
              <w:rPr>
                <w:sz w:val="20"/>
                <w:szCs w:val="20"/>
                <w:color w:val="auto"/>
              </w:rPr>
            </w:pPr>
            <w:r>
              <w:rPr>
                <w:rFonts w:ascii="Arial" w:cs="Arial" w:eastAsia="Arial" w:hAnsi="Arial"/>
                <w:sz w:val="16"/>
                <w:szCs w:val="16"/>
                <w:color w:val="auto"/>
              </w:rPr>
              <w:t>means the Corporation Tax Act 2010</w:t>
            </w:r>
          </w:p>
        </w:tc>
      </w:tr>
      <w:tr>
        <w:trPr>
          <w:trHeight w:val="391"/>
        </w:trPr>
        <w:tc>
          <w:tcPr>
            <w:tcW w:w="418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Date of Grant</w:t>
            </w:r>
            <w:r>
              <w:rPr>
                <w:rFonts w:ascii="Arial" w:cs="Arial" w:eastAsia="Arial" w:hAnsi="Arial"/>
                <w:sz w:val="16"/>
                <w:szCs w:val="16"/>
                <w:color w:val="auto"/>
              </w:rPr>
              <w:t>”</w:t>
            </w:r>
          </w:p>
        </w:tc>
        <w:tc>
          <w:tcPr>
            <w:tcW w:w="7280" w:type="dxa"/>
            <w:vAlign w:val="bottom"/>
          </w:tcPr>
          <w:p>
            <w:pPr>
              <w:ind w:left="1460"/>
              <w:spacing w:after="0"/>
              <w:rPr>
                <w:sz w:val="20"/>
                <w:szCs w:val="20"/>
                <w:color w:val="auto"/>
              </w:rPr>
            </w:pPr>
            <w:r>
              <w:rPr>
                <w:rFonts w:ascii="Arial" w:cs="Arial" w:eastAsia="Arial" w:hAnsi="Arial"/>
                <w:sz w:val="16"/>
                <w:szCs w:val="16"/>
                <w:color w:val="auto"/>
              </w:rPr>
              <w:t>means</w:t>
            </w:r>
          </w:p>
        </w:tc>
      </w:tr>
      <w:tr>
        <w:trPr>
          <w:trHeight w:val="380"/>
        </w:trPr>
        <w:tc>
          <w:tcPr>
            <w:tcW w:w="418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Directors</w:t>
            </w:r>
            <w:r>
              <w:rPr>
                <w:rFonts w:ascii="Arial" w:cs="Arial" w:eastAsia="Arial" w:hAnsi="Arial"/>
                <w:sz w:val="16"/>
                <w:szCs w:val="16"/>
                <w:color w:val="auto"/>
              </w:rPr>
              <w:t>”</w:t>
            </w:r>
          </w:p>
        </w:tc>
        <w:tc>
          <w:tcPr>
            <w:tcW w:w="7280" w:type="dxa"/>
            <w:vAlign w:val="bottom"/>
          </w:tcPr>
          <w:p>
            <w:pPr>
              <w:ind w:left="1460"/>
              <w:spacing w:after="0"/>
              <w:rPr>
                <w:sz w:val="20"/>
                <w:szCs w:val="20"/>
                <w:color w:val="auto"/>
              </w:rPr>
            </w:pPr>
            <w:r>
              <w:rPr>
                <w:rFonts w:ascii="Arial" w:cs="Arial" w:eastAsia="Arial" w:hAnsi="Arial"/>
                <w:sz w:val="16"/>
                <w:szCs w:val="16"/>
                <w:color w:val="auto"/>
                <w:w w:val="98"/>
              </w:rPr>
              <w:t>means the board of directors of the Company or a duly authorized committee of the</w:t>
            </w:r>
          </w:p>
        </w:tc>
      </w:tr>
      <w:tr>
        <w:trPr>
          <w:trHeight w:val="207"/>
        </w:trPr>
        <w:tc>
          <w:tcPr>
            <w:tcW w:w="4180" w:type="dxa"/>
            <w:vAlign w:val="bottom"/>
          </w:tcPr>
          <w:p>
            <w:pPr>
              <w:spacing w:after="0"/>
              <w:rPr>
                <w:sz w:val="18"/>
                <w:szCs w:val="18"/>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rPr>
              <w:t>directors</w:t>
            </w:r>
          </w:p>
        </w:tc>
      </w:tr>
      <w:tr>
        <w:trPr>
          <w:trHeight w:val="380"/>
        </w:trPr>
        <w:tc>
          <w:tcPr>
            <w:tcW w:w="418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Electronic Communication</w:t>
            </w:r>
            <w:r>
              <w:rPr>
                <w:rFonts w:ascii="Arial" w:cs="Arial" w:eastAsia="Arial" w:hAnsi="Arial"/>
                <w:sz w:val="16"/>
                <w:szCs w:val="16"/>
                <w:color w:val="auto"/>
              </w:rPr>
              <w:t>”</w:t>
            </w:r>
          </w:p>
        </w:tc>
        <w:tc>
          <w:tcPr>
            <w:tcW w:w="7280" w:type="dxa"/>
            <w:vAlign w:val="bottom"/>
          </w:tcPr>
          <w:p>
            <w:pPr>
              <w:ind w:left="1460"/>
              <w:spacing w:after="0"/>
              <w:rPr>
                <w:sz w:val="20"/>
                <w:szCs w:val="20"/>
                <w:color w:val="auto"/>
              </w:rPr>
            </w:pPr>
            <w:r>
              <w:rPr>
                <w:rFonts w:ascii="Arial" w:cs="Arial" w:eastAsia="Arial" w:hAnsi="Arial"/>
                <w:sz w:val="16"/>
                <w:szCs w:val="16"/>
                <w:color w:val="auto"/>
                <w:w w:val="97"/>
              </w:rPr>
              <w:t>has the meaning given in section 15 of the Electronic Communications Act 2000 (but</w:t>
            </w:r>
          </w:p>
        </w:tc>
      </w:tr>
      <w:tr>
        <w:trPr>
          <w:trHeight w:val="207"/>
        </w:trPr>
        <w:tc>
          <w:tcPr>
            <w:tcW w:w="4180" w:type="dxa"/>
            <w:vAlign w:val="bottom"/>
          </w:tcPr>
          <w:p>
            <w:pPr>
              <w:spacing w:after="0"/>
              <w:rPr>
                <w:sz w:val="18"/>
                <w:szCs w:val="18"/>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rPr>
              <w:t>excluding mobile telephone text messages)</w:t>
            </w:r>
          </w:p>
        </w:tc>
      </w:tr>
      <w:tr>
        <w:trPr>
          <w:trHeight w:val="376"/>
        </w:trPr>
        <w:tc>
          <w:tcPr>
            <w:tcW w:w="418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Options</w:t>
            </w:r>
            <w:r>
              <w:rPr>
                <w:rFonts w:ascii="Arial" w:cs="Arial" w:eastAsia="Arial" w:hAnsi="Arial"/>
                <w:sz w:val="16"/>
                <w:szCs w:val="16"/>
                <w:color w:val="auto"/>
              </w:rPr>
              <w:t>”</w:t>
            </w:r>
          </w:p>
        </w:tc>
        <w:tc>
          <w:tcPr>
            <w:tcW w:w="7280" w:type="dxa"/>
            <w:vAlign w:val="bottom"/>
          </w:tcPr>
          <w:p>
            <w:pPr>
              <w:ind w:left="1460"/>
              <w:spacing w:after="0"/>
              <w:rPr>
                <w:sz w:val="20"/>
                <w:szCs w:val="20"/>
                <w:color w:val="auto"/>
              </w:rPr>
            </w:pPr>
            <w:r>
              <w:rPr>
                <w:rFonts w:ascii="Arial" w:cs="Arial" w:eastAsia="Arial" w:hAnsi="Arial"/>
                <w:sz w:val="16"/>
                <w:szCs w:val="16"/>
                <w:color w:val="auto"/>
              </w:rPr>
              <w:t>means the grant to the Option Holder, in consideration of the release of his rights</w:t>
            </w:r>
          </w:p>
        </w:tc>
      </w:tr>
      <w:tr>
        <w:trPr>
          <w:trHeight w:val="200"/>
        </w:trPr>
        <w:tc>
          <w:tcPr>
            <w:tcW w:w="4180" w:type="dxa"/>
            <w:vAlign w:val="bottom"/>
          </w:tcPr>
          <w:p>
            <w:pPr>
              <w:spacing w:after="0"/>
              <w:rPr>
                <w:sz w:val="17"/>
                <w:szCs w:val="17"/>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w w:val="97"/>
              </w:rPr>
              <w:t>under this Share Option Contract (the “</w:t>
            </w:r>
            <w:r>
              <w:rPr>
                <w:rFonts w:ascii="Arial" w:cs="Arial" w:eastAsia="Arial" w:hAnsi="Arial"/>
                <w:sz w:val="16"/>
                <w:szCs w:val="16"/>
                <w:b w:val="1"/>
                <w:bCs w:val="1"/>
                <w:color w:val="auto"/>
                <w:w w:val="97"/>
              </w:rPr>
              <w:t>Old Rights</w:t>
            </w:r>
            <w:r>
              <w:rPr>
                <w:rFonts w:ascii="Arial" w:cs="Arial" w:eastAsia="Arial" w:hAnsi="Arial"/>
                <w:sz w:val="16"/>
                <w:szCs w:val="16"/>
                <w:color w:val="auto"/>
                <w:w w:val="97"/>
              </w:rPr>
              <w:t>”) of rights to acquire shares in an</w:t>
            </w:r>
          </w:p>
        </w:tc>
      </w:tr>
      <w:tr>
        <w:trPr>
          <w:trHeight w:val="196"/>
        </w:trPr>
        <w:tc>
          <w:tcPr>
            <w:tcW w:w="4180" w:type="dxa"/>
            <w:vAlign w:val="bottom"/>
          </w:tcPr>
          <w:p>
            <w:pPr>
              <w:spacing w:after="0"/>
              <w:rPr>
                <w:sz w:val="17"/>
                <w:szCs w:val="17"/>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rPr>
              <w:t>Acquiring Company or a company which has control of an Acquiring Company or</w:t>
            </w:r>
          </w:p>
        </w:tc>
      </w:tr>
      <w:tr>
        <w:trPr>
          <w:trHeight w:val="196"/>
        </w:trPr>
        <w:tc>
          <w:tcPr>
            <w:tcW w:w="4180" w:type="dxa"/>
            <w:vAlign w:val="bottom"/>
          </w:tcPr>
          <w:p>
            <w:pPr>
              <w:spacing w:after="0"/>
              <w:rPr>
                <w:sz w:val="17"/>
                <w:szCs w:val="17"/>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rPr>
              <w:t>either is, or has control of, a company which is a member of a consortium owning</w:t>
            </w:r>
          </w:p>
        </w:tc>
      </w:tr>
      <w:tr>
        <w:trPr>
          <w:trHeight w:val="196"/>
        </w:trPr>
        <w:tc>
          <w:tcPr>
            <w:tcW w:w="4180" w:type="dxa"/>
            <w:vAlign w:val="bottom"/>
          </w:tcPr>
          <w:p>
            <w:pPr>
              <w:spacing w:after="0"/>
              <w:rPr>
                <w:sz w:val="17"/>
                <w:szCs w:val="17"/>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rPr>
              <w:t>either an Acquiring Company or a company having control of an Acquiring</w:t>
            </w:r>
          </w:p>
        </w:tc>
      </w:tr>
      <w:tr>
        <w:trPr>
          <w:trHeight w:val="207"/>
        </w:trPr>
        <w:tc>
          <w:tcPr>
            <w:tcW w:w="4180" w:type="dxa"/>
            <w:vAlign w:val="bottom"/>
          </w:tcPr>
          <w:p>
            <w:pPr>
              <w:spacing w:after="0"/>
              <w:rPr>
                <w:sz w:val="18"/>
                <w:szCs w:val="18"/>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rPr>
              <w:t>Company, being rights which are</w:t>
            </w:r>
          </w:p>
        </w:tc>
      </w:tr>
      <w:tr>
        <w:trPr>
          <w:trHeight w:val="380"/>
        </w:trPr>
        <w:tc>
          <w:tcPr>
            <w:tcW w:w="4180" w:type="dxa"/>
            <w:vAlign w:val="bottom"/>
          </w:tcPr>
          <w:p>
            <w:pPr>
              <w:spacing w:after="0"/>
              <w:rPr>
                <w:sz w:val="24"/>
                <w:szCs w:val="24"/>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rPr>
              <w:t>(a)   in the opinion of the Company, substantially equivalent in value to the Old</w:t>
            </w:r>
          </w:p>
        </w:tc>
      </w:tr>
      <w:tr>
        <w:trPr>
          <w:trHeight w:val="196"/>
        </w:trPr>
        <w:tc>
          <w:tcPr>
            <w:tcW w:w="4180" w:type="dxa"/>
            <w:vAlign w:val="bottom"/>
          </w:tcPr>
          <w:p>
            <w:pPr>
              <w:spacing w:after="0"/>
              <w:rPr>
                <w:sz w:val="17"/>
                <w:szCs w:val="17"/>
                <w:color w:val="auto"/>
              </w:rPr>
            </w:pPr>
          </w:p>
        </w:tc>
        <w:tc>
          <w:tcPr>
            <w:tcW w:w="7280" w:type="dxa"/>
            <w:vAlign w:val="bottom"/>
          </w:tcPr>
          <w:p>
            <w:pPr>
              <w:ind w:left="1800"/>
              <w:spacing w:after="0"/>
              <w:rPr>
                <w:sz w:val="20"/>
                <w:szCs w:val="20"/>
                <w:color w:val="auto"/>
              </w:rPr>
            </w:pPr>
            <w:r>
              <w:rPr>
                <w:rFonts w:ascii="Arial" w:cs="Arial" w:eastAsia="Arial" w:hAnsi="Arial"/>
                <w:sz w:val="16"/>
                <w:szCs w:val="16"/>
                <w:color w:val="auto"/>
                <w:w w:val="97"/>
              </w:rPr>
              <w:t>Rights (disregarding the fact that the Option may not then have become vested</w:t>
            </w:r>
          </w:p>
        </w:tc>
      </w:tr>
      <w:tr>
        <w:trPr>
          <w:trHeight w:val="207"/>
        </w:trPr>
        <w:tc>
          <w:tcPr>
            <w:tcW w:w="4180" w:type="dxa"/>
            <w:vAlign w:val="bottom"/>
          </w:tcPr>
          <w:p>
            <w:pPr>
              <w:spacing w:after="0"/>
              <w:rPr>
                <w:sz w:val="18"/>
                <w:szCs w:val="18"/>
                <w:color w:val="auto"/>
              </w:rPr>
            </w:pPr>
          </w:p>
        </w:tc>
        <w:tc>
          <w:tcPr>
            <w:tcW w:w="7280" w:type="dxa"/>
            <w:vAlign w:val="bottom"/>
          </w:tcPr>
          <w:p>
            <w:pPr>
              <w:ind w:left="1800"/>
              <w:spacing w:after="0"/>
              <w:rPr>
                <w:sz w:val="20"/>
                <w:szCs w:val="20"/>
                <w:color w:val="auto"/>
              </w:rPr>
            </w:pPr>
            <w:r>
              <w:rPr>
                <w:rFonts w:ascii="Arial" w:cs="Arial" w:eastAsia="Arial" w:hAnsi="Arial"/>
                <w:sz w:val="16"/>
                <w:szCs w:val="16"/>
                <w:color w:val="auto"/>
              </w:rPr>
              <w:t>in respect of all of the Option Shares) and</w:t>
            </w:r>
          </w:p>
        </w:tc>
      </w:tr>
      <w:tr>
        <w:trPr>
          <w:trHeight w:val="587"/>
        </w:trPr>
        <w:tc>
          <w:tcPr>
            <w:tcW w:w="4180" w:type="dxa"/>
            <w:vAlign w:val="bottom"/>
          </w:tcPr>
          <w:p>
            <w:pPr>
              <w:spacing w:after="0"/>
              <w:rPr>
                <w:sz w:val="24"/>
                <w:szCs w:val="24"/>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rPr>
              <w:t>(b)   on terms approved by the Company</w:t>
            </w:r>
          </w:p>
        </w:tc>
      </w:tr>
      <w:tr>
        <w:trPr>
          <w:trHeight w:val="380"/>
        </w:trPr>
        <w:tc>
          <w:tcPr>
            <w:tcW w:w="418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w:t>
            </w:r>
          </w:p>
        </w:tc>
        <w:tc>
          <w:tcPr>
            <w:tcW w:w="7280" w:type="dxa"/>
            <w:vAlign w:val="bottom"/>
          </w:tcPr>
          <w:p>
            <w:pPr>
              <w:ind w:left="1460"/>
              <w:spacing w:after="0"/>
              <w:rPr>
                <w:sz w:val="20"/>
                <w:szCs w:val="20"/>
                <w:color w:val="auto"/>
              </w:rPr>
            </w:pPr>
            <w:r>
              <w:rPr>
                <w:rFonts w:ascii="Arial" w:cs="Arial" w:eastAsia="Arial" w:hAnsi="Arial"/>
                <w:sz w:val="16"/>
                <w:szCs w:val="16"/>
                <w:color w:val="auto"/>
              </w:rPr>
              <w:t>means the price per Ordinary Share payable upon the exercise of an Option as</w:t>
            </w:r>
          </w:p>
        </w:tc>
      </w:tr>
      <w:tr>
        <w:trPr>
          <w:trHeight w:val="207"/>
        </w:trPr>
        <w:tc>
          <w:tcPr>
            <w:tcW w:w="4180" w:type="dxa"/>
            <w:vAlign w:val="bottom"/>
          </w:tcPr>
          <w:p>
            <w:pPr>
              <w:spacing w:after="0"/>
              <w:rPr>
                <w:sz w:val="18"/>
                <w:szCs w:val="18"/>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rPr>
              <w:t>specified in Clause 2.1</w:t>
            </w:r>
          </w:p>
        </w:tc>
      </w:tr>
      <w:tr>
        <w:trPr>
          <w:trHeight w:val="380"/>
        </w:trPr>
        <w:tc>
          <w:tcPr>
            <w:tcW w:w="418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w:t>
            </w:r>
          </w:p>
        </w:tc>
        <w:tc>
          <w:tcPr>
            <w:tcW w:w="7280" w:type="dxa"/>
            <w:vAlign w:val="bottom"/>
          </w:tcPr>
          <w:p>
            <w:pPr>
              <w:ind w:left="1460"/>
              <w:spacing w:after="0"/>
              <w:rPr>
                <w:sz w:val="20"/>
                <w:szCs w:val="20"/>
                <w:color w:val="auto"/>
              </w:rPr>
            </w:pPr>
            <w:r>
              <w:rPr>
                <w:rFonts w:ascii="Arial" w:cs="Arial" w:eastAsia="Arial" w:hAnsi="Arial"/>
                <w:sz w:val="16"/>
                <w:szCs w:val="16"/>
                <w:color w:val="auto"/>
                <w:w w:val="99"/>
              </w:rPr>
              <w:t>means the Company and any company which is a Subsidiary of the Company and</w:t>
            </w:r>
          </w:p>
        </w:tc>
      </w:tr>
      <w:tr>
        <w:trPr>
          <w:trHeight w:val="207"/>
        </w:trPr>
        <w:tc>
          <w:tcPr>
            <w:tcW w:w="4180" w:type="dxa"/>
            <w:vAlign w:val="bottom"/>
          </w:tcPr>
          <w:p>
            <w:pPr>
              <w:spacing w:after="0"/>
              <w:rPr>
                <w:sz w:val="18"/>
                <w:szCs w:val="18"/>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rPr>
              <w:t>references to a “Group Company” shall be construed accordingly</w:t>
            </w:r>
          </w:p>
        </w:tc>
      </w:tr>
      <w:tr>
        <w:trPr>
          <w:trHeight w:val="391"/>
        </w:trPr>
        <w:tc>
          <w:tcPr>
            <w:tcW w:w="418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HMRC</w:t>
            </w:r>
            <w:r>
              <w:rPr>
                <w:rFonts w:ascii="Arial" w:cs="Arial" w:eastAsia="Arial" w:hAnsi="Arial"/>
                <w:sz w:val="16"/>
                <w:szCs w:val="16"/>
                <w:color w:val="auto"/>
              </w:rPr>
              <w:t>”</w:t>
            </w:r>
          </w:p>
        </w:tc>
        <w:tc>
          <w:tcPr>
            <w:tcW w:w="7280" w:type="dxa"/>
            <w:vAlign w:val="bottom"/>
          </w:tcPr>
          <w:p>
            <w:pPr>
              <w:ind w:left="1460"/>
              <w:spacing w:after="0"/>
              <w:rPr>
                <w:sz w:val="20"/>
                <w:szCs w:val="20"/>
                <w:color w:val="auto"/>
              </w:rPr>
            </w:pPr>
            <w:r>
              <w:rPr>
                <w:rFonts w:ascii="Arial" w:cs="Arial" w:eastAsia="Arial" w:hAnsi="Arial"/>
                <w:sz w:val="16"/>
                <w:szCs w:val="16"/>
                <w:color w:val="auto"/>
              </w:rPr>
              <w:t>means HM Revenue &amp; Customs</w:t>
            </w:r>
          </w:p>
        </w:tc>
      </w:tr>
      <w:tr>
        <w:trPr>
          <w:trHeight w:val="391"/>
        </w:trPr>
        <w:tc>
          <w:tcPr>
            <w:tcW w:w="418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Shares</w:t>
            </w:r>
            <w:r>
              <w:rPr>
                <w:rFonts w:ascii="Arial" w:cs="Arial" w:eastAsia="Arial" w:hAnsi="Arial"/>
                <w:sz w:val="16"/>
                <w:szCs w:val="16"/>
                <w:color w:val="auto"/>
              </w:rPr>
              <w:t>”</w:t>
            </w:r>
          </w:p>
        </w:tc>
        <w:tc>
          <w:tcPr>
            <w:tcW w:w="7280" w:type="dxa"/>
            <w:vAlign w:val="bottom"/>
          </w:tcPr>
          <w:p>
            <w:pPr>
              <w:ind w:left="1460"/>
              <w:spacing w:after="0"/>
              <w:rPr>
                <w:sz w:val="20"/>
                <w:szCs w:val="20"/>
                <w:color w:val="auto"/>
              </w:rPr>
            </w:pPr>
            <w:r>
              <w:rPr>
                <w:rFonts w:ascii="Arial" w:cs="Arial" w:eastAsia="Arial" w:hAnsi="Arial"/>
                <w:sz w:val="16"/>
                <w:szCs w:val="16"/>
                <w:color w:val="auto"/>
              </w:rPr>
              <w:t>means the Ordinary Shares over which an Option subsists</w:t>
            </w:r>
          </w:p>
        </w:tc>
      </w:tr>
      <w:tr>
        <w:trPr>
          <w:trHeight w:val="380"/>
        </w:trPr>
        <w:tc>
          <w:tcPr>
            <w:tcW w:w="418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Tax Liability</w:t>
            </w:r>
            <w:r>
              <w:rPr>
                <w:rFonts w:ascii="Arial" w:cs="Arial" w:eastAsia="Arial" w:hAnsi="Arial"/>
                <w:sz w:val="16"/>
                <w:szCs w:val="16"/>
                <w:color w:val="auto"/>
              </w:rPr>
              <w:t>”</w:t>
            </w:r>
          </w:p>
        </w:tc>
        <w:tc>
          <w:tcPr>
            <w:tcW w:w="7280" w:type="dxa"/>
            <w:vAlign w:val="bottom"/>
          </w:tcPr>
          <w:p>
            <w:pPr>
              <w:ind w:left="1460"/>
              <w:spacing w:after="0"/>
              <w:rPr>
                <w:sz w:val="20"/>
                <w:szCs w:val="20"/>
                <w:color w:val="auto"/>
              </w:rPr>
            </w:pPr>
            <w:r>
              <w:rPr>
                <w:rFonts w:ascii="Arial" w:cs="Arial" w:eastAsia="Arial" w:hAnsi="Arial"/>
                <w:sz w:val="16"/>
                <w:szCs w:val="16"/>
                <w:color w:val="auto"/>
                <w:w w:val="99"/>
              </w:rPr>
              <w:t>means the withholding taxes (including, without limitation, federal, state, local, and</w:t>
            </w:r>
          </w:p>
        </w:tc>
      </w:tr>
      <w:tr>
        <w:trPr>
          <w:trHeight w:val="196"/>
        </w:trPr>
        <w:tc>
          <w:tcPr>
            <w:tcW w:w="4180" w:type="dxa"/>
            <w:vAlign w:val="bottom"/>
          </w:tcPr>
          <w:p>
            <w:pPr>
              <w:spacing w:after="0"/>
              <w:rPr>
                <w:sz w:val="17"/>
                <w:szCs w:val="17"/>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w w:val="98"/>
              </w:rPr>
              <w:t>foreign income, employment, and other tax withholding) required, in the Company’s</w:t>
            </w:r>
          </w:p>
        </w:tc>
      </w:tr>
      <w:tr>
        <w:trPr>
          <w:trHeight w:val="196"/>
        </w:trPr>
        <w:tc>
          <w:tcPr>
            <w:tcW w:w="4180" w:type="dxa"/>
            <w:vAlign w:val="bottom"/>
          </w:tcPr>
          <w:p>
            <w:pPr>
              <w:spacing w:after="0"/>
              <w:rPr>
                <w:sz w:val="17"/>
                <w:szCs w:val="17"/>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w w:val="99"/>
              </w:rPr>
              <w:t>sole judgment, to be collected or withheld in relation to the grant, vesting, exercise,</w:t>
            </w:r>
          </w:p>
        </w:tc>
      </w:tr>
      <w:tr>
        <w:trPr>
          <w:trHeight w:val="196"/>
        </w:trPr>
        <w:tc>
          <w:tcPr>
            <w:tcW w:w="4180" w:type="dxa"/>
            <w:vAlign w:val="bottom"/>
          </w:tcPr>
          <w:p>
            <w:pPr>
              <w:spacing w:after="0"/>
              <w:rPr>
                <w:sz w:val="17"/>
                <w:szCs w:val="17"/>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w w:val="96"/>
              </w:rPr>
              <w:t>assignment or release of the Option or the acquisition of Ordinary Shares pursuant to</w:t>
            </w:r>
          </w:p>
        </w:tc>
      </w:tr>
      <w:tr>
        <w:trPr>
          <w:trHeight w:val="207"/>
        </w:trPr>
        <w:tc>
          <w:tcPr>
            <w:tcW w:w="4180" w:type="dxa"/>
            <w:vAlign w:val="bottom"/>
          </w:tcPr>
          <w:p>
            <w:pPr>
              <w:spacing w:after="0"/>
              <w:rPr>
                <w:sz w:val="18"/>
                <w:szCs w:val="18"/>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rPr>
              <w:t>this Share Option Contract</w:t>
            </w:r>
          </w:p>
        </w:tc>
      </w:tr>
      <w:tr>
        <w:trPr>
          <w:trHeight w:val="380"/>
        </w:trPr>
        <w:tc>
          <w:tcPr>
            <w:tcW w:w="4180" w:type="dxa"/>
            <w:vAlign w:val="bottom"/>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w:t>
            </w:r>
          </w:p>
        </w:tc>
        <w:tc>
          <w:tcPr>
            <w:tcW w:w="7280" w:type="dxa"/>
            <w:vAlign w:val="bottom"/>
          </w:tcPr>
          <w:p>
            <w:pPr>
              <w:ind w:left="1460"/>
              <w:spacing w:after="0"/>
              <w:rPr>
                <w:sz w:val="20"/>
                <w:szCs w:val="20"/>
                <w:color w:val="auto"/>
              </w:rPr>
            </w:pPr>
            <w:r>
              <w:rPr>
                <w:rFonts w:ascii="Arial" w:cs="Arial" w:eastAsia="Arial" w:hAnsi="Arial"/>
                <w:sz w:val="16"/>
                <w:szCs w:val="16"/>
                <w:color w:val="auto"/>
                <w:w w:val="96"/>
              </w:rPr>
              <w:t>means a right to acquire Ordinary Shares granted pursuant to and in accordance with</w:t>
            </w:r>
          </w:p>
        </w:tc>
      </w:tr>
      <w:tr>
        <w:trPr>
          <w:trHeight w:val="196"/>
        </w:trPr>
        <w:tc>
          <w:tcPr>
            <w:tcW w:w="4180" w:type="dxa"/>
            <w:vAlign w:val="bottom"/>
          </w:tcPr>
          <w:p>
            <w:pPr>
              <w:spacing w:after="0"/>
              <w:rPr>
                <w:sz w:val="17"/>
                <w:szCs w:val="17"/>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w w:val="98"/>
              </w:rPr>
              <w:t>the terms of this Share Option Contract and which has not lapsed nor ceased to be</w:t>
            </w:r>
          </w:p>
        </w:tc>
      </w:tr>
      <w:tr>
        <w:trPr>
          <w:trHeight w:val="207"/>
        </w:trPr>
        <w:tc>
          <w:tcPr>
            <w:tcW w:w="4180" w:type="dxa"/>
            <w:vAlign w:val="bottom"/>
          </w:tcPr>
          <w:p>
            <w:pPr>
              <w:spacing w:after="0"/>
              <w:rPr>
                <w:sz w:val="18"/>
                <w:szCs w:val="18"/>
                <w:color w:val="auto"/>
              </w:rPr>
            </w:pPr>
          </w:p>
        </w:tc>
        <w:tc>
          <w:tcPr>
            <w:tcW w:w="7280" w:type="dxa"/>
            <w:vAlign w:val="bottom"/>
          </w:tcPr>
          <w:p>
            <w:pPr>
              <w:ind w:left="1460"/>
              <w:spacing w:after="0"/>
              <w:rPr>
                <w:sz w:val="20"/>
                <w:szCs w:val="20"/>
                <w:color w:val="auto"/>
              </w:rPr>
            </w:pPr>
            <w:r>
              <w:rPr>
                <w:rFonts w:ascii="Arial" w:cs="Arial" w:eastAsia="Arial" w:hAnsi="Arial"/>
                <w:sz w:val="16"/>
                <w:szCs w:val="16"/>
                <w:color w:val="auto"/>
              </w:rPr>
              <w:t>exercisable</w:t>
            </w:r>
          </w:p>
        </w:tc>
      </w:tr>
      <w:tr>
        <w:trPr>
          <w:trHeight w:val="315"/>
        </w:trPr>
        <w:tc>
          <w:tcPr>
            <w:tcW w:w="4180" w:type="dxa"/>
            <w:vAlign w:val="bottom"/>
            <w:tcBorders>
              <w:bottom w:val="single" w:sz="8" w:color="808080"/>
            </w:tcBorders>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394" w:name="page395"/>
    <w:bookmarkEnd w:id="394"/>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Holder</w:t>
      </w:r>
      <w:r>
        <w:rPr>
          <w:rFonts w:ascii="Arial" w:cs="Arial" w:eastAsia="Arial" w:hAnsi="Arial"/>
          <w:sz w:val="16"/>
          <w:szCs w:val="16"/>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Option Holder’s Employer</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Share Capital</w:t>
      </w:r>
      <w:r>
        <w:rPr>
          <w:rFonts w:ascii="Arial" w:cs="Arial" w:eastAsia="Arial" w:hAnsi="Arial"/>
          <w:sz w:val="16"/>
          <w:szCs w:val="16"/>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Shares</w:t>
      </w:r>
      <w:r>
        <w:rPr>
          <w:rFonts w:ascii="Arial" w:cs="Arial" w:eastAsia="Arial" w:hAnsi="Arial"/>
          <w:sz w:val="16"/>
          <w:szCs w:val="16"/>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Personal Representatives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Remuneration Committee</w:t>
      </w:r>
      <w:r>
        <w:rPr>
          <w:rFonts w:ascii="Arial" w:cs="Arial" w:eastAsia="Arial" w:hAnsi="Arial"/>
          <w:sz w:val="15"/>
          <w:szCs w:val="15"/>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 Option Contract</w:t>
      </w:r>
      <w:r>
        <w:rPr>
          <w:rFonts w:ascii="Arial" w:cs="Arial" w:eastAsia="Arial" w:hAnsi="Arial"/>
          <w:sz w:val="16"/>
          <w:szCs w:val="16"/>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 Sale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UK Listing Authority</w:t>
      </w:r>
      <w:r>
        <w:rPr>
          <w:rFonts w:ascii="Arial" w:cs="Arial" w:eastAsia="Arial" w:hAnsi="Arial"/>
          <w:sz w:val="16"/>
          <w:szCs w:val="16"/>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Vested</w:t>
      </w:r>
      <w:r>
        <w:rPr>
          <w:rFonts w:ascii="Arial" w:cs="Arial" w:eastAsia="Arial" w:hAnsi="Arial"/>
          <w:sz w:val="16"/>
          <w:szCs w:val="16"/>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Vesting Start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85" w:lineRule="auto"/>
        <w:rPr>
          <w:sz w:val="20"/>
          <w:szCs w:val="20"/>
          <w:color w:val="auto"/>
        </w:rPr>
      </w:pPr>
      <w:r>
        <w:rPr>
          <w:rFonts w:ascii="Arial" w:cs="Arial" w:eastAsia="Arial" w:hAnsi="Arial"/>
          <w:sz w:val="16"/>
          <w:szCs w:val="16"/>
          <w:color w:val="auto"/>
        </w:rPr>
        <w:t>means the person who has been granted the Option or, if that person has died, and, where the context requires, his Personal Representatives</w:t>
      </w:r>
    </w:p>
    <w:p>
      <w:pPr>
        <w:spacing w:after="0" w:line="15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means such member of the Group as is or, if the Option Holder has ceased to be employed within the Group, was the Option Holder’s employer or such other member of the Group or other person as, under any statutory or regulatory enactment (whether in the United Kingdom or otherwise), is obliged to account for any Option Tax Liability</w:t>
      </w:r>
    </w:p>
    <w:p>
      <w:pPr>
        <w:spacing w:after="0" w:line="170" w:lineRule="exact"/>
        <w:rPr>
          <w:sz w:val="20"/>
          <w:szCs w:val="20"/>
          <w:color w:val="auto"/>
        </w:rPr>
      </w:pPr>
    </w:p>
    <w:p>
      <w:pPr>
        <w:ind w:right="540"/>
        <w:spacing w:after="0" w:line="285" w:lineRule="auto"/>
        <w:rPr>
          <w:sz w:val="20"/>
          <w:szCs w:val="20"/>
          <w:color w:val="auto"/>
        </w:rPr>
      </w:pPr>
      <w:r>
        <w:rPr>
          <w:rFonts w:ascii="Arial" w:cs="Arial" w:eastAsia="Arial" w:hAnsi="Arial"/>
          <w:sz w:val="16"/>
          <w:szCs w:val="16"/>
          <w:color w:val="auto"/>
        </w:rPr>
        <w:t>means the issued ordinary share capital of the Company other than fixed-rate preference shares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means fully-paid Ordinary Shares in the capital of the Company</w:t>
      </w:r>
    </w:p>
    <w:p>
      <w:pPr>
        <w:spacing w:after="0" w:line="20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means, in relation to an Option Holder, the legal Personal Representatives of the Option Holder (being either the executors of a will to whom a valid grant of probate has been made or, if the Option Holder dies intestate, the duly appointed administrator(s) of the Option Holder’s estate) who have produced to the Company evidence of their appointment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means the remuneration committee of the board of directors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means this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means any company which is for the time being a subsidiary (as defined in</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Section 1159 and Schedule 6 of the Companies Act 2006) of the Company, under the Control of the Company</w:t>
      </w:r>
    </w:p>
    <w:p>
      <w:pPr>
        <w:spacing w:after="0" w:line="161"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means holders of the Ordinary Shares completing the sale of the whole of the Ordinary Share Capital (other than for the purposes of an internal reorganisation) or such other disposal of shares in the Company as the holders of greater than 50% of the Ordinary Share Capital may in their discretion specify</w:t>
      </w:r>
    </w:p>
    <w:p>
      <w:pPr>
        <w:spacing w:after="0" w:line="150" w:lineRule="exact"/>
        <w:rPr>
          <w:sz w:val="20"/>
          <w:szCs w:val="20"/>
          <w:color w:val="auto"/>
        </w:rPr>
      </w:pPr>
    </w:p>
    <w:p>
      <w:pPr>
        <w:ind w:right="40"/>
        <w:spacing w:after="0" w:line="360" w:lineRule="auto"/>
        <w:rPr>
          <w:sz w:val="20"/>
          <w:szCs w:val="20"/>
          <w:color w:val="auto"/>
        </w:rPr>
      </w:pPr>
      <w:r>
        <w:rPr>
          <w:rFonts w:ascii="Arial" w:cs="Arial" w:eastAsia="Arial" w:hAnsi="Arial"/>
          <w:sz w:val="14"/>
          <w:szCs w:val="14"/>
          <w:color w:val="auto"/>
        </w:rPr>
        <w:t>means the Financial Services Authority acting in its capacity as the competent authority for the purposes of Part VI of the Financial Services and Markets Act 2000</w:t>
      </w:r>
    </w:p>
    <w:p>
      <w:pPr>
        <w:spacing w:after="0" w:line="104" w:lineRule="exact"/>
        <w:rPr>
          <w:sz w:val="20"/>
          <w:szCs w:val="20"/>
          <w:color w:val="auto"/>
        </w:rPr>
      </w:pPr>
    </w:p>
    <w:p>
      <w:pPr>
        <w:spacing w:after="0" w:line="360" w:lineRule="auto"/>
        <w:rPr>
          <w:sz w:val="20"/>
          <w:szCs w:val="20"/>
          <w:color w:val="auto"/>
        </w:rPr>
      </w:pPr>
      <w:r>
        <w:rPr>
          <w:rFonts w:ascii="Arial" w:cs="Arial" w:eastAsia="Arial" w:hAnsi="Arial"/>
          <w:sz w:val="14"/>
          <w:szCs w:val="14"/>
          <w:color w:val="auto"/>
        </w:rPr>
        <w:t>shall describe an Option which has become capable of exercise due to the completion of a time period or other condition specified in this Share Option Contract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-3584575</wp:posOffset>
            </wp:positionH>
            <wp:positionV relativeFrom="paragraph">
              <wp:posOffset>199390</wp:posOffset>
            </wp:positionV>
            <wp:extent cx="72802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2">
            <w:col w:w="4220" w:space="720"/>
            <w:col w:w="5560"/>
          </w:cols>
          <w:pgMar w:left="940" w:top="318" w:right="459" w:bottom="1440" w:gutter="0" w:footer="0" w:header="0"/>
        </w:sectPr>
      </w:pPr>
    </w:p>
    <w:bookmarkStart w:id="395" w:name="page396"/>
    <w:bookmarkEnd w:id="395"/>
    <w:p>
      <w:pPr>
        <w:ind w:left="2"/>
        <w:spacing w:after="0"/>
        <w:tabs>
          <w:tab w:leader="none" w:pos="562"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For the purposes of this Share Option Contract:</w:t>
      </w:r>
    </w:p>
    <w:p>
      <w:pPr>
        <w:spacing w:after="0" w:line="207" w:lineRule="exact"/>
        <w:rPr>
          <w:sz w:val="20"/>
          <w:szCs w:val="20"/>
          <w:color w:val="auto"/>
        </w:rPr>
      </w:pPr>
    </w:p>
    <w:p>
      <w:pPr>
        <w:ind w:left="1162" w:right="400" w:hanging="586"/>
        <w:spacing w:after="0" w:line="320" w:lineRule="auto"/>
        <w:tabs>
          <w:tab w:leader="none" w:pos="1142"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5"/>
          <w:szCs w:val="15"/>
          <w:color w:val="auto"/>
        </w:rPr>
        <w:t>references to Ordinary Shares in respect of which an Option subsists at any time are to be read and construed as references to the Ordinary Shares over which the Option is then held and in respect of which it has not previously been exercised and has not lapsed and ceased to be exercisable;</w:t>
      </w:r>
    </w:p>
    <w:p>
      <w:pPr>
        <w:spacing w:after="0" w:line="12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4"/>
          <w:szCs w:val="14"/>
          <w:color w:val="auto"/>
        </w:rPr>
        <w:t>any reference to any enactment includes a reference to that enactment as from time to time modified, extended or re-enacted;</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4"/>
          <w:szCs w:val="14"/>
          <w:color w:val="auto"/>
        </w:rPr>
        <w:t>words denoting the masculine gender shall include the feminine;</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4"/>
          <w:szCs w:val="14"/>
          <w:color w:val="auto"/>
        </w:rPr>
        <w:t>words denoting the singular shall include the plural and vice versa;</w:t>
      </w:r>
    </w:p>
    <w:p>
      <w:pPr>
        <w:spacing w:after="0" w:line="207" w:lineRule="exact"/>
        <w:rPr>
          <w:sz w:val="20"/>
          <w:szCs w:val="20"/>
          <w:color w:val="auto"/>
        </w:rPr>
      </w:pPr>
    </w:p>
    <w:p>
      <w:pPr>
        <w:ind w:left="1162" w:right="100" w:hanging="586"/>
        <w:spacing w:after="0" w:line="285" w:lineRule="auto"/>
        <w:tabs>
          <w:tab w:leader="none" w:pos="1142" w:val="left"/>
        </w:tabs>
        <w:rPr>
          <w:sz w:val="20"/>
          <w:szCs w:val="20"/>
          <w:color w:val="auto"/>
        </w:rPr>
      </w:pPr>
      <w:r>
        <w:rPr>
          <w:rFonts w:ascii="Arial" w:cs="Arial" w:eastAsia="Arial" w:hAnsi="Arial"/>
          <w:sz w:val="16"/>
          <w:szCs w:val="16"/>
          <w:color w:val="auto"/>
        </w:rPr>
        <w:t>1.2.5</w:t>
        <w:tab/>
        <w:t>references to clauses and appendices are to the clauses and appendices of this Share Option Contract and no account should be taken of the clause headings which have been inserted for ease of reference only; and</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4"/>
          <w:szCs w:val="14"/>
          <w:color w:val="auto"/>
        </w:rPr>
        <w:t>persons shall be taken to be connected with one another if they are so connected as mentioned in Section 993 of the Income Tax Act 2007.</w:t>
      </w:r>
    </w:p>
    <w:p>
      <w:pPr>
        <w:spacing w:after="0" w:line="207" w:lineRule="exact"/>
        <w:rPr>
          <w:sz w:val="20"/>
          <w:szCs w:val="20"/>
          <w:color w:val="auto"/>
        </w:rPr>
      </w:pPr>
    </w:p>
    <w:p>
      <w:pPr>
        <w:ind w:left="582" w:right="100" w:hanging="586"/>
        <w:spacing w:after="0" w:line="270" w:lineRule="auto"/>
        <w:tabs>
          <w:tab w:leader="none" w:pos="562"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If any question, dispute or disagreement arises as to the interpretation of this Share Option Contract, the decision of the Remuneration Committee shall (except as regards any matter required to be determined by the Accountants hereunder) be final and binding upon all persons. In any case, in this Share Option Contract, where the Remuneration Committee has a direction, its exercise of that discretion shall be final and binding upon all persons.</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color w:val="auto"/>
        </w:rPr>
        <w:t>In any matter in which they are required to act hereunder, the Accountants shall be deemed to be acting as experts and not as arbitrators and the Arbitration Act of</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1996 shall not apply hereto.</w:t>
      </w:r>
    </w:p>
    <w:p>
      <w:pPr>
        <w:spacing w:after="0" w:line="192" w:lineRule="exact"/>
        <w:rPr>
          <w:sz w:val="20"/>
          <w:szCs w:val="20"/>
          <w:color w:val="auto"/>
        </w:rPr>
      </w:pPr>
    </w:p>
    <w:p>
      <w:pPr>
        <w:ind w:left="582" w:hanging="582"/>
        <w:spacing w:after="0"/>
        <w:tabs>
          <w:tab w:leader="none" w:pos="582"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GRANT OF OPTION</w:t>
      </w:r>
    </w:p>
    <w:p>
      <w:pPr>
        <w:spacing w:after="0" w:line="207"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400" w:type="dxa"/>
            <w:vAlign w:val="bottom"/>
          </w:tcPr>
          <w:p>
            <w:pPr>
              <w:jc w:val="right"/>
              <w:ind w:right="119"/>
              <w:spacing w:after="0"/>
              <w:rPr>
                <w:sz w:val="20"/>
                <w:szCs w:val="20"/>
                <w:color w:val="auto"/>
              </w:rPr>
            </w:pPr>
            <w:r>
              <w:rPr>
                <w:rFonts w:ascii="Arial" w:cs="Arial" w:eastAsia="Arial" w:hAnsi="Arial"/>
                <w:sz w:val="16"/>
                <w:szCs w:val="16"/>
                <w:color w:val="auto"/>
                <w:w w:val="80"/>
              </w:rPr>
              <w:t>2.1</w:t>
            </w:r>
          </w:p>
        </w:tc>
        <w:tc>
          <w:tcPr>
            <w:tcW w:w="10640" w:type="dxa"/>
            <w:vAlign w:val="bottom"/>
            <w:gridSpan w:val="3"/>
          </w:tcPr>
          <w:p>
            <w:pPr>
              <w:ind w:left="180"/>
              <w:spacing w:after="0"/>
              <w:rPr>
                <w:sz w:val="20"/>
                <w:szCs w:val="20"/>
                <w:color w:val="auto"/>
              </w:rPr>
            </w:pPr>
            <w:r>
              <w:rPr>
                <w:rFonts w:ascii="Arial" w:cs="Arial" w:eastAsia="Arial" w:hAnsi="Arial"/>
                <w:sz w:val="16"/>
                <w:szCs w:val="16"/>
                <w:color w:val="auto"/>
                <w:w w:val="94"/>
              </w:rPr>
              <w:t xml:space="preserve">The Company </w:t>
            </w:r>
            <w:r>
              <w:rPr>
                <w:rFonts w:ascii="Arial" w:cs="Arial" w:eastAsia="Arial" w:hAnsi="Arial"/>
                <w:sz w:val="16"/>
                <w:szCs w:val="16"/>
                <w:b w:val="1"/>
                <w:bCs w:val="1"/>
                <w:color w:val="auto"/>
                <w:w w:val="94"/>
              </w:rPr>
              <w:t>HEREBY GRANTS</w:t>
            </w:r>
            <w:r>
              <w:rPr>
                <w:rFonts w:ascii="Arial" w:cs="Arial" w:eastAsia="Arial" w:hAnsi="Arial"/>
                <w:sz w:val="16"/>
                <w:szCs w:val="16"/>
                <w:color w:val="auto"/>
                <w:w w:val="94"/>
              </w:rPr>
              <w:t xml:space="preserve"> on the Date of Grant to the Option Holder the right, exercisable only subject to, and in accordance with the following terms</w:t>
            </w:r>
          </w:p>
        </w:tc>
      </w:tr>
      <w:tr>
        <w:trPr>
          <w:trHeight w:val="207"/>
        </w:trPr>
        <w:tc>
          <w:tcPr>
            <w:tcW w:w="40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6"/>
                <w:szCs w:val="16"/>
                <w:color w:val="auto"/>
              </w:rPr>
              <w:t>and conditions of this Share Option Contract, to acquire a maximum of</w:t>
            </w:r>
          </w:p>
        </w:tc>
        <w:tc>
          <w:tcPr>
            <w:tcW w:w="2840" w:type="dxa"/>
            <w:vAlign w:val="bottom"/>
          </w:tcPr>
          <w:p>
            <w:pPr>
              <w:ind w:left="460"/>
              <w:spacing w:after="0"/>
              <w:rPr>
                <w:sz w:val="20"/>
                <w:szCs w:val="20"/>
                <w:color w:val="auto"/>
              </w:rPr>
            </w:pPr>
            <w:r>
              <w:rPr>
                <w:rFonts w:ascii="Arial" w:cs="Arial" w:eastAsia="Arial" w:hAnsi="Arial"/>
                <w:sz w:val="16"/>
                <w:szCs w:val="16"/>
                <w:color w:val="auto"/>
              </w:rPr>
              <w:t>Ordinary Shares at a price of</w:t>
            </w:r>
          </w:p>
        </w:tc>
        <w:tc>
          <w:tcPr>
            <w:tcW w:w="2540" w:type="dxa"/>
            <w:vAlign w:val="bottom"/>
          </w:tcPr>
          <w:p>
            <w:pPr>
              <w:ind w:left="520"/>
              <w:spacing w:after="0"/>
              <w:rPr>
                <w:sz w:val="20"/>
                <w:szCs w:val="20"/>
                <w:color w:val="auto"/>
              </w:rPr>
            </w:pPr>
            <w:r>
              <w:rPr>
                <w:rFonts w:ascii="Arial" w:cs="Arial" w:eastAsia="Arial" w:hAnsi="Arial"/>
                <w:sz w:val="16"/>
                <w:szCs w:val="16"/>
                <w:color w:val="auto"/>
              </w:rPr>
              <w:t>per Ordinary Share.</w:t>
            </w:r>
          </w:p>
        </w:tc>
      </w:tr>
    </w:tbl>
    <w:p>
      <w:pPr>
        <w:spacing w:after="0" w:line="184"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Details of all restrictions attaching to the Ordinary Shares which may be acquired upon the exercise of this Option are set out in the Articles.</w:t>
      </w:r>
    </w:p>
    <w:p>
      <w:pPr>
        <w:spacing w:after="0" w:line="207" w:lineRule="exact"/>
        <w:rPr>
          <w:sz w:val="20"/>
          <w:szCs w:val="20"/>
          <w:color w:val="auto"/>
        </w:rPr>
      </w:pPr>
    </w:p>
    <w:p>
      <w:pPr>
        <w:ind w:left="582" w:right="40" w:hanging="586"/>
        <w:spacing w:after="0" w:line="285" w:lineRule="auto"/>
        <w:tabs>
          <w:tab w:leader="none" w:pos="562"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color w:val="auto"/>
        </w:rPr>
        <w:t>Nothing in this Share Option Contract shall be taken to impose any restriction or limitation upon the exercise by the members of the Company of their rights to make any alteration to the Articles or the share capital of the Company.</w:t>
      </w:r>
    </w:p>
    <w:p>
      <w:pPr>
        <w:spacing w:after="0" w:line="146" w:lineRule="exact"/>
        <w:rPr>
          <w:sz w:val="20"/>
          <w:szCs w:val="20"/>
          <w:color w:val="auto"/>
        </w:rPr>
      </w:pPr>
    </w:p>
    <w:p>
      <w:pPr>
        <w:ind w:left="582" w:hanging="582"/>
        <w:spacing w:after="0"/>
        <w:tabs>
          <w:tab w:leader="none" w:pos="582"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RELATIONSHIP WITH CONTRACT OF EMPLOYMENT</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5"/>
          <w:szCs w:val="15"/>
          <w:color w:val="auto"/>
        </w:rPr>
        <w:t>The grant of this Option will not form part of the Option Holder’s entitlement to remuneration or benefits pursuant to the Option Holder’s contract of employment.</w:t>
      </w:r>
    </w:p>
    <w:p>
      <w:pPr>
        <w:spacing w:after="0" w:line="207" w:lineRule="exact"/>
        <w:rPr>
          <w:sz w:val="20"/>
          <w:szCs w:val="20"/>
          <w:color w:val="auto"/>
        </w:rPr>
      </w:pPr>
    </w:p>
    <w:p>
      <w:pPr>
        <w:ind w:left="582" w:right="120" w:hanging="586"/>
        <w:spacing w:after="0" w:line="285" w:lineRule="auto"/>
        <w:tabs>
          <w:tab w:leader="none" w:pos="562"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The rights and obligations of the Option Holder and the Company or any member of the Group under the terms of the Option Holder’s contract of employment with the Company or any past or present Subsidiary shall not be affected by the grant of this Option.</w:t>
      </w:r>
    </w:p>
    <w:p>
      <w:pPr>
        <w:spacing w:after="0" w:line="150" w:lineRule="exact"/>
        <w:rPr>
          <w:sz w:val="20"/>
          <w:szCs w:val="20"/>
          <w:color w:val="auto"/>
        </w:rPr>
      </w:pPr>
    </w:p>
    <w:p>
      <w:pPr>
        <w:jc w:val="both"/>
        <w:ind w:left="582" w:hanging="586"/>
        <w:spacing w:after="0" w:line="270" w:lineRule="auto"/>
        <w:tabs>
          <w:tab w:leader="none" w:pos="562"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The Option Holder shall not be entitled to any compensation or damages for any loss or potential loss which the Option Holder may suffer by reason of being unable to exercise this Option in consequence of the loss or termination of the Option Holder’s office or employment with the Company or any past or present Subsidiary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72802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396" w:name="page397"/>
    <w:bookmarkEnd w:id="396"/>
    <w:p>
      <w:pPr>
        <w:ind w:left="582" w:hanging="582"/>
        <w:spacing w:after="0"/>
        <w:tabs>
          <w:tab w:leader="none" w:pos="582"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EXERCISE OF THIS OPTION — GENERAL RULES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An Option may only be exercised to the extent it is Vested.</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color w:val="auto"/>
        </w:rPr>
        <w:t>During the Option Holder’s lifetime, only the Option Holder may exercise an Option.</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color w:val="auto"/>
        </w:rPr>
        <w:t>An Option shall be treated as Vested and capable of exercise (subject to Clauses 5, 6, 7 and 8):</w:t>
      </w:r>
    </w:p>
    <w:p>
      <w:pPr>
        <w:spacing w:after="0" w:line="207" w:lineRule="exact"/>
        <w:rPr>
          <w:sz w:val="20"/>
          <w:szCs w:val="20"/>
          <w:color w:val="auto"/>
        </w:rPr>
      </w:pPr>
    </w:p>
    <w:tbl>
      <w:tblPr>
        <w:tblLayout w:type="fixed"/>
        <w:tblInd w:w="582" w:type="dxa"/>
        <w:tblCellMar>
          <w:top w:w="0" w:type="dxa"/>
          <w:left w:w="0" w:type="dxa"/>
          <w:bottom w:w="0" w:type="dxa"/>
          <w:right w:w="0" w:type="dxa"/>
        </w:tblCellMar>
      </w:tblPr>
      <w:tr>
        <w:trPr>
          <w:trHeight w:val="207"/>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4.3.1</w:t>
            </w:r>
          </w:p>
        </w:tc>
        <w:tc>
          <w:tcPr>
            <w:tcW w:w="600" w:type="dxa"/>
            <w:vAlign w:val="bottom"/>
          </w:tcPr>
          <w:p>
            <w:pPr>
              <w:ind w:left="120"/>
              <w:spacing w:after="0"/>
              <w:rPr>
                <w:sz w:val="20"/>
                <w:szCs w:val="20"/>
                <w:color w:val="auto"/>
              </w:rPr>
            </w:pPr>
            <w:r>
              <w:rPr>
                <w:rFonts w:ascii="Arial" w:cs="Arial" w:eastAsia="Arial" w:hAnsi="Arial"/>
                <w:sz w:val="16"/>
                <w:szCs w:val="16"/>
                <w:color w:val="auto"/>
              </w:rPr>
              <w:t>as to</w:t>
            </w:r>
          </w:p>
        </w:tc>
        <w:tc>
          <w:tcPr>
            <w:tcW w:w="3360" w:type="dxa"/>
            <w:vAlign w:val="bottom"/>
            <w:gridSpan w:val="2"/>
          </w:tcPr>
          <w:p>
            <w:pPr>
              <w:ind w:left="160"/>
              <w:spacing w:after="0"/>
              <w:rPr>
                <w:sz w:val="20"/>
                <w:szCs w:val="20"/>
                <w:color w:val="auto"/>
              </w:rPr>
            </w:pPr>
            <w:r>
              <w:rPr>
                <w:rFonts w:ascii="Arial" w:cs="Arial" w:eastAsia="Arial" w:hAnsi="Arial"/>
                <w:sz w:val="16"/>
                <w:szCs w:val="16"/>
                <w:color w:val="auto"/>
                <w:w w:val="92"/>
              </w:rPr>
              <w:t>on the first anniversary of the Vesting Start Date;</w:t>
            </w:r>
          </w:p>
        </w:tc>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80"/>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4.3.2</w:t>
            </w:r>
          </w:p>
        </w:tc>
        <w:tc>
          <w:tcPr>
            <w:tcW w:w="600" w:type="dxa"/>
            <w:vAlign w:val="bottom"/>
          </w:tcPr>
          <w:p>
            <w:pPr>
              <w:ind w:left="120"/>
              <w:spacing w:after="0"/>
              <w:rPr>
                <w:sz w:val="20"/>
                <w:szCs w:val="20"/>
                <w:color w:val="auto"/>
              </w:rPr>
            </w:pPr>
            <w:r>
              <w:rPr>
                <w:rFonts w:ascii="Arial" w:cs="Arial" w:eastAsia="Arial" w:hAnsi="Arial"/>
                <w:sz w:val="16"/>
                <w:szCs w:val="16"/>
                <w:color w:val="auto"/>
              </w:rPr>
              <w:t>as to</w:t>
            </w:r>
          </w:p>
        </w:tc>
        <w:tc>
          <w:tcPr>
            <w:tcW w:w="9660" w:type="dxa"/>
            <w:vAlign w:val="bottom"/>
            <w:gridSpan w:val="5"/>
          </w:tcPr>
          <w:p>
            <w:pPr>
              <w:ind w:left="160"/>
              <w:spacing w:after="0"/>
              <w:rPr>
                <w:sz w:val="20"/>
                <w:szCs w:val="20"/>
                <w:color w:val="auto"/>
              </w:rPr>
            </w:pPr>
            <w:r>
              <w:rPr>
                <w:rFonts w:ascii="Arial" w:cs="Arial" w:eastAsia="Arial" w:hAnsi="Arial"/>
                <w:sz w:val="16"/>
                <w:szCs w:val="16"/>
                <w:color w:val="auto"/>
                <w:w w:val="95"/>
              </w:rPr>
              <w:t>equal monthly installments, the first installment of which shall be treated as Vested at the expiry of one month after the first anniversary of the</w:t>
            </w:r>
          </w:p>
        </w:tc>
      </w:tr>
      <w:tr>
        <w:trPr>
          <w:trHeight w:val="207"/>
        </w:trPr>
        <w:tc>
          <w:tcPr>
            <w:tcW w:w="460" w:type="dxa"/>
            <w:vAlign w:val="bottom"/>
          </w:tcPr>
          <w:p>
            <w:pPr>
              <w:spacing w:after="0"/>
              <w:rPr>
                <w:sz w:val="18"/>
                <w:szCs w:val="18"/>
                <w:color w:val="auto"/>
              </w:rPr>
            </w:pPr>
          </w:p>
        </w:tc>
        <w:tc>
          <w:tcPr>
            <w:tcW w:w="8880" w:type="dxa"/>
            <w:vAlign w:val="bottom"/>
            <w:gridSpan w:val="5"/>
          </w:tcPr>
          <w:p>
            <w:pPr>
              <w:ind w:left="140"/>
              <w:spacing w:after="0"/>
              <w:rPr>
                <w:sz w:val="20"/>
                <w:szCs w:val="20"/>
                <w:color w:val="auto"/>
              </w:rPr>
            </w:pPr>
            <w:r>
              <w:rPr>
                <w:rFonts w:ascii="Arial" w:cs="Arial" w:eastAsia="Arial" w:hAnsi="Arial"/>
                <w:sz w:val="16"/>
                <w:szCs w:val="16"/>
                <w:color w:val="auto"/>
                <w:w w:val="92"/>
              </w:rPr>
              <w:t>Vesting Start Date and the last installment of which shall be treated as Vested on the fourth anniversary of the Vesting Start Date; and</w:t>
            </w:r>
          </w:p>
        </w:tc>
        <w:tc>
          <w:tcPr>
            <w:tcW w:w="1380" w:type="dxa"/>
            <w:vAlign w:val="bottom"/>
          </w:tcPr>
          <w:p>
            <w:pPr>
              <w:spacing w:after="0"/>
              <w:rPr>
                <w:sz w:val="18"/>
                <w:szCs w:val="18"/>
                <w:color w:val="auto"/>
              </w:rPr>
            </w:pPr>
          </w:p>
        </w:tc>
      </w:tr>
      <w:tr>
        <w:trPr>
          <w:trHeight w:val="380"/>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4.3.3</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as to the remaining</w:t>
            </w:r>
          </w:p>
        </w:tc>
        <w:tc>
          <w:tcPr>
            <w:tcW w:w="2400" w:type="dxa"/>
            <w:vAlign w:val="bottom"/>
          </w:tcPr>
          <w:p>
            <w:pPr>
              <w:ind w:left="180"/>
              <w:spacing w:after="0"/>
              <w:rPr>
                <w:sz w:val="20"/>
                <w:szCs w:val="20"/>
                <w:color w:val="auto"/>
              </w:rPr>
            </w:pPr>
            <w:r>
              <w:rPr>
                <w:rFonts w:ascii="Arial" w:cs="Arial" w:eastAsia="Arial" w:hAnsi="Arial"/>
                <w:sz w:val="16"/>
                <w:szCs w:val="16"/>
                <w:color w:val="auto"/>
              </w:rPr>
              <w:t>on the earlier of (i) the</w:t>
            </w:r>
          </w:p>
        </w:tc>
        <w:tc>
          <w:tcPr>
            <w:tcW w:w="6300" w:type="dxa"/>
            <w:vAlign w:val="bottom"/>
            <w:gridSpan w:val="3"/>
          </w:tcPr>
          <w:p>
            <w:pPr>
              <w:ind w:left="20"/>
              <w:spacing w:after="0"/>
              <w:rPr>
                <w:sz w:val="20"/>
                <w:szCs w:val="20"/>
                <w:color w:val="auto"/>
              </w:rPr>
            </w:pPr>
            <w:r>
              <w:rPr>
                <w:rFonts w:ascii="Arial" w:cs="Arial" w:eastAsia="Arial" w:hAnsi="Arial"/>
                <w:sz w:val="16"/>
                <w:szCs w:val="16"/>
                <w:color w:val="auto"/>
                <w:w w:val="92"/>
              </w:rPr>
              <w:t>anniversary of the Vesting Start Date; and (ii) the date on which the Directors determine, in their</w:t>
            </w:r>
          </w:p>
        </w:tc>
      </w:tr>
      <w:tr>
        <w:trPr>
          <w:trHeight w:val="196"/>
        </w:trPr>
        <w:tc>
          <w:tcPr>
            <w:tcW w:w="460" w:type="dxa"/>
            <w:vAlign w:val="bottom"/>
          </w:tcPr>
          <w:p>
            <w:pPr>
              <w:spacing w:after="0"/>
              <w:rPr>
                <w:sz w:val="17"/>
                <w:szCs w:val="17"/>
                <w:color w:val="auto"/>
              </w:rPr>
            </w:pPr>
          </w:p>
        </w:tc>
        <w:tc>
          <w:tcPr>
            <w:tcW w:w="3960" w:type="dxa"/>
            <w:vAlign w:val="bottom"/>
            <w:gridSpan w:val="3"/>
          </w:tcPr>
          <w:p>
            <w:pPr>
              <w:ind w:left="140"/>
              <w:spacing w:after="0"/>
              <w:rPr>
                <w:sz w:val="20"/>
                <w:szCs w:val="20"/>
                <w:color w:val="auto"/>
              </w:rPr>
            </w:pPr>
            <w:r>
              <w:rPr>
                <w:rFonts w:ascii="Arial" w:cs="Arial" w:eastAsia="Arial" w:hAnsi="Arial"/>
                <w:sz w:val="16"/>
                <w:szCs w:val="16"/>
                <w:color w:val="auto"/>
              </w:rPr>
              <w:t>discretion, that the Company has received income of</w:t>
            </w:r>
          </w:p>
        </w:tc>
        <w:tc>
          <w:tcPr>
            <w:tcW w:w="3660" w:type="dxa"/>
            <w:vAlign w:val="bottom"/>
          </w:tcPr>
          <w:p>
            <w:pPr>
              <w:ind w:left="140"/>
              <w:spacing w:after="0"/>
              <w:rPr>
                <w:sz w:val="20"/>
                <w:szCs w:val="20"/>
                <w:color w:val="auto"/>
              </w:rPr>
            </w:pPr>
            <w:r>
              <w:rPr>
                <w:rFonts w:ascii="Arial" w:cs="Arial" w:eastAsia="Arial" w:hAnsi="Arial"/>
                <w:sz w:val="16"/>
                <w:szCs w:val="16"/>
                <w:color w:val="auto"/>
              </w:rPr>
              <w:t>in respect of the Company’s collaborations with</w:t>
            </w:r>
          </w:p>
        </w:tc>
        <w:tc>
          <w:tcPr>
            <w:tcW w:w="126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380" w:type="dxa"/>
            <w:vAlign w:val="bottom"/>
          </w:tcPr>
          <w:p>
            <w:pPr>
              <w:ind w:left="100"/>
              <w:spacing w:after="0"/>
              <w:rPr>
                <w:sz w:val="20"/>
                <w:szCs w:val="20"/>
                <w:color w:val="auto"/>
              </w:rPr>
            </w:pPr>
            <w:r>
              <w:rPr>
                <w:rFonts w:ascii="Arial" w:cs="Arial" w:eastAsia="Arial" w:hAnsi="Arial"/>
                <w:sz w:val="16"/>
                <w:szCs w:val="16"/>
                <w:color w:val="auto"/>
              </w:rPr>
              <w:t>and any future</w:t>
            </w:r>
          </w:p>
        </w:tc>
      </w:tr>
      <w:tr>
        <w:trPr>
          <w:trHeight w:val="207"/>
        </w:trPr>
        <w:tc>
          <w:tcPr>
            <w:tcW w:w="460" w:type="dxa"/>
            <w:vAlign w:val="bottom"/>
          </w:tcPr>
          <w:p>
            <w:pPr>
              <w:spacing w:after="0"/>
              <w:rPr>
                <w:sz w:val="18"/>
                <w:szCs w:val="18"/>
                <w:color w:val="auto"/>
              </w:rPr>
            </w:pPr>
          </w:p>
        </w:tc>
        <w:tc>
          <w:tcPr>
            <w:tcW w:w="10260" w:type="dxa"/>
            <w:vAlign w:val="bottom"/>
            <w:gridSpan w:val="6"/>
          </w:tcPr>
          <w:p>
            <w:pPr>
              <w:ind w:left="140"/>
              <w:spacing w:after="0"/>
              <w:rPr>
                <w:sz w:val="20"/>
                <w:szCs w:val="20"/>
                <w:color w:val="auto"/>
              </w:rPr>
            </w:pPr>
            <w:r>
              <w:rPr>
                <w:rFonts w:ascii="Arial" w:cs="Arial" w:eastAsia="Arial" w:hAnsi="Arial"/>
                <w:sz w:val="16"/>
                <w:szCs w:val="16"/>
                <w:color w:val="auto"/>
              </w:rPr>
              <w:t>collaboration partners and/or any arrangements related to such collaborations and/or in grants or other non-repayable charitable funding.</w:t>
            </w:r>
          </w:p>
        </w:tc>
      </w:tr>
    </w:tbl>
    <w:p>
      <w:pPr>
        <w:spacing w:after="0" w:line="180" w:lineRule="exact"/>
        <w:rPr>
          <w:sz w:val="20"/>
          <w:szCs w:val="20"/>
          <w:color w:val="auto"/>
        </w:rPr>
      </w:pPr>
    </w:p>
    <w:p>
      <w:pPr>
        <w:ind w:left="582" w:hanging="582"/>
        <w:spacing w:after="0"/>
        <w:tabs>
          <w:tab w:leader="none" w:pos="582"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TRADE SALE</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i w:val="1"/>
          <w:iCs w:val="1"/>
          <w:color w:val="auto"/>
        </w:rPr>
        <w:t>Exercise prior to a Trade Sale</w:t>
      </w:r>
    </w:p>
    <w:p>
      <w:pPr>
        <w:spacing w:after="0" w:line="207" w:lineRule="exact"/>
        <w:rPr>
          <w:sz w:val="20"/>
          <w:szCs w:val="20"/>
          <w:color w:val="auto"/>
        </w:rPr>
      </w:pPr>
    </w:p>
    <w:p>
      <w:pPr>
        <w:ind w:left="582" w:right="60" w:hanging="586"/>
        <w:spacing w:after="0" w:line="288" w:lineRule="auto"/>
        <w:tabs>
          <w:tab w:leader="none" w:pos="562"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5"/>
          <w:szCs w:val="15"/>
          <w:color w:val="auto"/>
        </w:rPr>
        <w:t>The Directors may notify the Option Holder prior to a date upon which, in the reasonable opinion of the Directors, a Trade Sale is likely to occur, of that fact and that (subject to the Remuneration committee determining otherwise) all outstanding Options will lapse unless exercised (to the extent vested), conditional upon the fulfillment or satisfactory waiver of any conditions of such Trade Sale, immediately prior to such Trade Sale taking place (“Prior Notice”). If an Option Holder elects to exercise Options following the receipt of a Prior Notice, the exercise will be conditioned upon, and will occur immediately prior to, the Trade Sale.</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color w:val="auto"/>
        </w:rPr>
        <w:t>The provisions of Clause 5.1 shall not apply to the extent that an Exchange of Options occurs in the sole discretion of the Remuneration Committee.</w:t>
      </w:r>
    </w:p>
    <w:p>
      <w:pPr>
        <w:spacing w:after="0" w:line="207" w:lineRule="exact"/>
        <w:rPr>
          <w:sz w:val="20"/>
          <w:szCs w:val="20"/>
          <w:color w:val="auto"/>
        </w:rPr>
      </w:pPr>
    </w:p>
    <w:p>
      <w:pPr>
        <w:ind w:left="582" w:hanging="586"/>
        <w:spacing w:after="0" w:line="265" w:lineRule="auto"/>
        <w:tabs>
          <w:tab w:leader="none" w:pos="562"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The service of a notice exercise in accordance with Clause 5.1, or the service of a notice of exercise after completion of a Trade Sale if such exercise is permitted, shall irrevocably constitute the Company as the Option Holder’s agent for the sale of all the Option Shares acquired by the Option Holder as a result of the exercise of an Option in connection with or after completion of the Trade Sale on terms which (subject to this Clause 5) are no less favorable than the terms on which Ordinary Shares are acquired by the purchaser form the other shareholders of the Company.</w:t>
      </w:r>
    </w:p>
    <w:p>
      <w:pPr>
        <w:spacing w:after="0" w:line="166" w:lineRule="exact"/>
        <w:rPr>
          <w:sz w:val="20"/>
          <w:szCs w:val="20"/>
          <w:color w:val="auto"/>
        </w:rPr>
      </w:pPr>
    </w:p>
    <w:p>
      <w:pPr>
        <w:ind w:left="582" w:right="20" w:hanging="586"/>
        <w:spacing w:after="0" w:line="314" w:lineRule="auto"/>
        <w:tabs>
          <w:tab w:leader="none" w:pos="562"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4"/>
          <w:szCs w:val="14"/>
          <w:color w:val="auto"/>
        </w:rPr>
        <w:t>The Agent shall have irrevocable and unconditional authority to sign, complete, execute and deliver in the name of and on behalf of the Option Holder (and/or to appoint any person nominated by it to do so) any agreement, stock transfer form and any other documents necessary to transfer such Option Shares to the purchaser (and to give normal warranties, representations and covenants that such Shares are sold with full title guarantee, are free from any encumbrance of any nature and as to the authority of the Option holder and its agent to sell such Shares) against payment of the purchase money and/or delivery of any other consideration to the Agent.</w:t>
      </w:r>
    </w:p>
    <w:p>
      <w:pPr>
        <w:spacing w:after="0" w:line="136" w:lineRule="exact"/>
        <w:rPr>
          <w:sz w:val="20"/>
          <w:szCs w:val="20"/>
          <w:color w:val="auto"/>
        </w:rPr>
      </w:pPr>
    </w:p>
    <w:p>
      <w:pPr>
        <w:ind w:left="582" w:right="260" w:hanging="586"/>
        <w:spacing w:after="0" w:line="285" w:lineRule="auto"/>
        <w:tabs>
          <w:tab w:leader="none" w:pos="562"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6"/>
          <w:szCs w:val="16"/>
          <w:color w:val="auto"/>
        </w:rPr>
        <w:t>The Option Holder agrees that the Agent shall be entitled to retain out of the purchase money an amount to the value of the aggregate Exercise Price if not already paid by the Option Holder (to be held to the order of the Company) and the amount of any Option Tax Liability which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802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397" w:name="page398"/>
    <w:bookmarkEnd w:id="397"/>
    <w:p>
      <w:pPr>
        <w:ind w:left="582" w:right="340"/>
        <w:spacing w:after="0" w:line="285" w:lineRule="auto"/>
        <w:rPr>
          <w:sz w:val="20"/>
          <w:szCs w:val="20"/>
          <w:color w:val="auto"/>
        </w:rPr>
      </w:pPr>
      <w:r>
        <w:rPr>
          <w:rFonts w:ascii="Arial" w:cs="Arial" w:eastAsia="Arial" w:hAnsi="Arial"/>
          <w:sz w:val="16"/>
          <w:szCs w:val="16"/>
          <w:color w:val="auto"/>
        </w:rPr>
        <w:t>subject of the indemnity in Clause 10 (to be held to the order of the Company or any company which is the Option Holder’s Employer) and the Agent may retain possession of any other purchase consideration until these amounts have been settled in full.</w:t>
      </w:r>
    </w:p>
    <w:p>
      <w:pPr>
        <w:spacing w:after="0" w:line="150" w:lineRule="exact"/>
        <w:rPr>
          <w:sz w:val="20"/>
          <w:szCs w:val="20"/>
          <w:color w:val="auto"/>
        </w:rPr>
      </w:pPr>
    </w:p>
    <w:p>
      <w:pPr>
        <w:ind w:left="582" w:right="240" w:hanging="586"/>
        <w:spacing w:after="0" w:line="265" w:lineRule="auto"/>
        <w:tabs>
          <w:tab w:leader="none" w:pos="562"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The Agent may receive the purchase money and any other purchase consideration on behalf of the option Holder and give a valid discharge to the purchaser for it. The Agent will pay the purchase money received by it in respect of the sale of the Option Holder’s Shares to the Option Holder less any amounts referred to under Clause 5.5 and shall deliver to the Option Holder any other purchase consideration as soon as reasonably practicable following receipt of cleared funds for those amounts.</w:t>
      </w:r>
    </w:p>
    <w:p>
      <w:pPr>
        <w:spacing w:after="0" w:line="166" w:lineRule="exact"/>
        <w:rPr>
          <w:sz w:val="20"/>
          <w:szCs w:val="20"/>
          <w:color w:val="auto"/>
        </w:rPr>
      </w:pPr>
    </w:p>
    <w:p>
      <w:pPr>
        <w:jc w:val="both"/>
        <w:ind w:left="582" w:right="60" w:hanging="586"/>
        <w:spacing w:after="0" w:line="270" w:lineRule="auto"/>
        <w:tabs>
          <w:tab w:leader="none" w:pos="562"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6"/>
          <w:szCs w:val="16"/>
          <w:color w:val="auto"/>
        </w:rPr>
        <w:t>If a general offer is made to acquire the whole or any part of the issued ordinary share capital of the Company which, on it becoming or being declared unconditional and the purchaser completing the acquisition, would constitute a Trade Sale, then the provisions of Clauses 5.1 to 5.6 inclusive shall apply thereto (mutatis mutandis) and a Trade Sale shall be treated as taking place when the offer becomes or is declared unconditional.</w:t>
      </w:r>
    </w:p>
    <w:p>
      <w:pPr>
        <w:spacing w:after="0" w:line="162" w:lineRule="exact"/>
        <w:rPr>
          <w:sz w:val="20"/>
          <w:szCs w:val="20"/>
          <w:color w:val="auto"/>
        </w:rPr>
      </w:pPr>
    </w:p>
    <w:p>
      <w:pPr>
        <w:ind w:left="582" w:hanging="586"/>
        <w:spacing w:after="0" w:line="279" w:lineRule="auto"/>
        <w:tabs>
          <w:tab w:leader="none" w:pos="562"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5"/>
          <w:szCs w:val="15"/>
          <w:color w:val="auto"/>
        </w:rPr>
        <w:t>In addition and notwithstanding anything contained herein to the contrary, in the event of a Trade Sale, the Company shall have the discretion, but not the obligation, to cancel and terminate the Option upon the closing of the Trade Sale in exchange for a payment that is equal to the product of (i) the excess of (A) the amount payable in such Trade Sale with respect to one Ordinary Share over (B) the Exercise Price, multiplied by (ii) the number of Ordinary Shares underlying the Option as of the closing of the Trade Sale. In the event that the amount in clause (B) equals or exceeds the amount in clause (A), the then outstanding portion of the Option shall be automatically cancelled upon the closing of the Trade Sale with no consideration due. The amount due in connection with the cancellation of Options pursuant to this Clause 5.8 shall be (i) paid in cash, the property received in respect of Ordinary Shares in the Trade Sale or any combination of the foregoing, as determined by the Remuneration Committee and (ii) payable according to the same schedule as such consideration is payable to holders of Ordinary Shares in the Trade Sale but not payable after the fifth anniversary of the closing of the Trade Sale unless otherwise permitted by Section 409A of the Code.</w:t>
      </w:r>
    </w:p>
    <w:p>
      <w:pPr>
        <w:spacing w:after="0" w:line="153" w:lineRule="exact"/>
        <w:rPr>
          <w:sz w:val="20"/>
          <w:szCs w:val="20"/>
          <w:color w:val="auto"/>
        </w:rPr>
      </w:pPr>
    </w:p>
    <w:p>
      <w:pPr>
        <w:ind w:left="582" w:hanging="582"/>
        <w:spacing w:after="0"/>
        <w:tabs>
          <w:tab w:leader="none" w:pos="582"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ADMISSION</w:t>
      </w:r>
    </w:p>
    <w:p>
      <w:pPr>
        <w:spacing w:after="0" w:line="211" w:lineRule="exact"/>
        <w:rPr>
          <w:sz w:val="20"/>
          <w:szCs w:val="20"/>
          <w:color w:val="auto"/>
        </w:rPr>
      </w:pPr>
    </w:p>
    <w:p>
      <w:pPr>
        <w:ind w:left="582" w:right="200" w:hanging="586"/>
        <w:spacing w:after="0" w:line="285" w:lineRule="auto"/>
        <w:tabs>
          <w:tab w:leader="none" w:pos="562"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 xml:space="preserve">In the event of Admission, the Option may be exercised only to the extent Vested (unless the Remuneration Committee determines otherwise) and only within such one or more periods after Admission as the Directors may determine and notify to the Option Holder </w:t>
      </w:r>
      <w:r>
        <w:rPr>
          <w:rFonts w:ascii="Arial" w:cs="Arial" w:eastAsia="Arial" w:hAnsi="Arial"/>
          <w:sz w:val="16"/>
          <w:szCs w:val="16"/>
          <w:b w:val="1"/>
          <w:bCs w:val="1"/>
          <w:color w:val="auto"/>
        </w:rPr>
        <w:t>PROVIDED THAT</w:t>
      </w:r>
      <w:r>
        <w:rPr>
          <w:rFonts w:ascii="Arial" w:cs="Arial" w:eastAsia="Arial" w:hAnsi="Arial"/>
          <w:sz w:val="16"/>
          <w:szCs w:val="16"/>
          <w:color w:val="auto"/>
        </w:rPr>
        <w:t>:</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6.1.1</w:t>
      </w:r>
      <w:r>
        <w:rPr>
          <w:sz w:val="20"/>
          <w:szCs w:val="20"/>
          <w:color w:val="auto"/>
        </w:rPr>
        <w:tab/>
      </w:r>
      <w:r>
        <w:rPr>
          <w:rFonts w:ascii="Arial" w:cs="Arial" w:eastAsia="Arial" w:hAnsi="Arial"/>
          <w:sz w:val="14"/>
          <w:szCs w:val="14"/>
          <w:color w:val="auto"/>
        </w:rPr>
        <w:t>no such period shall be less than seven days long; and</w:t>
      </w:r>
    </w:p>
    <w:p>
      <w:pPr>
        <w:spacing w:after="0" w:line="207" w:lineRule="exact"/>
        <w:rPr>
          <w:sz w:val="20"/>
          <w:szCs w:val="20"/>
          <w:color w:val="auto"/>
        </w:rPr>
      </w:pPr>
    </w:p>
    <w:p>
      <w:pPr>
        <w:ind w:left="1162" w:right="540" w:hanging="586"/>
        <w:spacing w:after="0" w:line="285" w:lineRule="auto"/>
        <w:tabs>
          <w:tab w:leader="none" w:pos="1142" w:val="left"/>
        </w:tabs>
        <w:rPr>
          <w:sz w:val="20"/>
          <w:szCs w:val="20"/>
          <w:color w:val="auto"/>
        </w:rPr>
      </w:pPr>
      <w:r>
        <w:rPr>
          <w:rFonts w:ascii="Arial" w:cs="Arial" w:eastAsia="Arial" w:hAnsi="Arial"/>
          <w:sz w:val="16"/>
          <w:szCs w:val="16"/>
          <w:color w:val="auto"/>
        </w:rPr>
        <w:t>6.1.2</w:t>
        <w:tab/>
        <w:t>if no period is notified by the Directors prior to Admission, the Option may be exercised from the date falling sixty days after Admission and may be exercised until the end of the date falling ninety days after Admission.</w:t>
      </w:r>
    </w:p>
    <w:p>
      <w:pPr>
        <w:spacing w:after="0" w:line="150" w:lineRule="exact"/>
        <w:rPr>
          <w:sz w:val="20"/>
          <w:szCs w:val="20"/>
          <w:color w:val="auto"/>
        </w:rPr>
      </w:pPr>
    </w:p>
    <w:p>
      <w:pPr>
        <w:jc w:val="both"/>
        <w:ind w:left="582" w:right="380" w:hanging="586"/>
        <w:spacing w:after="0" w:line="270" w:lineRule="auto"/>
        <w:tabs>
          <w:tab w:leader="none" w:pos="562"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Subject to Clause 6.3, upon or following an Admission, the Company shall have the right not to issue and allot Ordinary Shares to the Option Holder unless the Option Holder has first agreed with the Company not to sell or otherwise dispose of Ordinary Shares acquired upon exercise of the Option within such period or periods (not extending beyond the first anniversary of the date of Admission) as the Company may specify.</w:t>
      </w:r>
    </w:p>
    <w:p>
      <w:pPr>
        <w:spacing w:after="0" w:line="162" w:lineRule="exact"/>
        <w:rPr>
          <w:sz w:val="20"/>
          <w:szCs w:val="20"/>
          <w:color w:val="auto"/>
        </w:rPr>
      </w:pPr>
    </w:p>
    <w:p>
      <w:pPr>
        <w:ind w:left="582" w:right="220" w:hanging="586"/>
        <w:spacing w:after="0" w:line="265" w:lineRule="auto"/>
        <w:tabs>
          <w:tab w:leader="none" w:pos="562"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color w:val="auto"/>
        </w:rPr>
        <w:t>Except as may otherwise be prohibited by the applicable securities laws and regulations of any jurisdiction or the rules of any applicable securities exchange, no agreement mentioned in Clause 6.2 shall prevent the Option Holder from immediately disposing of such number of the Ordinary Shares acquired as is sufficient to enable the Option Holder (after deduction of costs of sale) to recover the cost of the aggregate Exercise Price paid and any Option Tax Liability resulting from the Option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72802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82" w:hanging="582"/>
        <w:spacing w:after="0"/>
        <w:tabs>
          <w:tab w:leader="none" w:pos="582" w:val="left"/>
        </w:tabs>
        <w:numPr>
          <w:ilvl w:val="0"/>
          <w:numId w:val="288"/>
        </w:numPr>
        <w:rPr>
          <w:rFonts w:ascii="Arial" w:cs="Arial" w:eastAsia="Arial" w:hAnsi="Arial"/>
          <w:sz w:val="16"/>
          <w:szCs w:val="16"/>
          <w:b w:val="1"/>
          <w:bCs w:val="1"/>
          <w:color w:val="auto"/>
        </w:rPr>
      </w:pPr>
      <w:r>
        <w:rPr>
          <w:rFonts w:ascii="Arial" w:cs="Arial" w:eastAsia="Arial" w:hAnsi="Arial"/>
          <w:sz w:val="16"/>
          <w:szCs w:val="16"/>
          <w:b w:val="1"/>
          <w:bCs w:val="1"/>
          <w:color w:val="auto"/>
        </w:rPr>
        <w:t>LEAVING EMPLOYMENT</w:t>
      </w:r>
    </w:p>
    <w:p>
      <w:pPr>
        <w:spacing w:after="0" w:line="211" w:lineRule="exact"/>
        <w:rPr>
          <w:sz w:val="20"/>
          <w:szCs w:val="20"/>
          <w:color w:val="auto"/>
        </w:rPr>
      </w:pPr>
    </w:p>
    <w:p>
      <w:pPr>
        <w:ind w:left="582" w:right="120" w:hanging="586"/>
        <w:spacing w:after="0" w:line="284" w:lineRule="auto"/>
        <w:tabs>
          <w:tab w:leader="none" w:pos="562"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5"/>
          <w:szCs w:val="15"/>
          <w:color w:val="auto"/>
        </w:rPr>
        <w:t>Unless the Remuneration Committee determines otherwise, and subject to the following sentence, if the Option Holder gives or receives notice of termination of employment (in each case, whether lawfully or unlawfully) or ceases to hold employment within the Group then any part of the Option held by the Option Holder which is not Vested will lapse on the earlier of the date when notice is given and the date when employment ceases. If the Option Holder ceases to hold employment within the Group in circumstances where the Option Holder becomes a Bad Leaver, the whole of an Option held by the Option Holder, whether Vested or not, will lapse on the date when the employment ceases, unless the Remuneration Committee determines otherwise.</w:t>
      </w:r>
    </w:p>
    <w:p>
      <w:pPr>
        <w:spacing w:after="0" w:line="153" w:lineRule="exact"/>
        <w:rPr>
          <w:sz w:val="20"/>
          <w:szCs w:val="20"/>
          <w:color w:val="auto"/>
        </w:rPr>
      </w:pPr>
    </w:p>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For the purposes of this Clause 7, the Option Holder shall not be treated as having ceased to hold employment within the Group unless and until the Option Holder no longer holds any office or employment with any member of the Group.</w:t>
      </w:r>
    </w:p>
    <w:p>
      <w:pPr>
        <w:spacing w:after="0" w:line="146" w:lineRule="exact"/>
        <w:rPr>
          <w:sz w:val="20"/>
          <w:szCs w:val="20"/>
          <w:color w:val="auto"/>
        </w:rPr>
      </w:pPr>
    </w:p>
    <w:p>
      <w:pPr>
        <w:ind w:left="582" w:hanging="582"/>
        <w:spacing w:after="0"/>
        <w:tabs>
          <w:tab w:leader="none" w:pos="582" w:val="left"/>
        </w:tabs>
        <w:numPr>
          <w:ilvl w:val="0"/>
          <w:numId w:val="289"/>
        </w:numPr>
        <w:rPr>
          <w:rFonts w:ascii="Arial" w:cs="Arial" w:eastAsia="Arial" w:hAnsi="Arial"/>
          <w:sz w:val="16"/>
          <w:szCs w:val="16"/>
          <w:b w:val="1"/>
          <w:bCs w:val="1"/>
          <w:color w:val="auto"/>
        </w:rPr>
      </w:pPr>
      <w:r>
        <w:rPr>
          <w:rFonts w:ascii="Arial" w:cs="Arial" w:eastAsia="Arial" w:hAnsi="Arial"/>
          <w:sz w:val="16"/>
          <w:szCs w:val="16"/>
          <w:b w:val="1"/>
          <w:bCs w:val="1"/>
          <w:color w:val="auto"/>
        </w:rPr>
        <w:t>LAPSE OF THE OPTION</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The Option shall immediately lapse and cease to be exercisable on the earliest of the following events:-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4"/>
          <w:szCs w:val="14"/>
          <w:color w:val="auto"/>
        </w:rPr>
        <w:t>at the end of the day before the tenth anniversary of the Date of Grant;</w:t>
      </w:r>
    </w:p>
    <w:p>
      <w:pPr>
        <w:spacing w:after="0" w:line="207" w:lineRule="exact"/>
        <w:rPr>
          <w:sz w:val="20"/>
          <w:szCs w:val="20"/>
          <w:color w:val="auto"/>
        </w:rPr>
      </w:pPr>
    </w:p>
    <w:p>
      <w:pPr>
        <w:ind w:left="582" w:right="480" w:hanging="586"/>
        <w:spacing w:after="0" w:line="285" w:lineRule="auto"/>
        <w:tabs>
          <w:tab w:leader="none" w:pos="562"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6"/>
          <w:szCs w:val="16"/>
          <w:color w:val="auto"/>
        </w:rPr>
        <w:t>if it is transferred or assigned, mortgaged, charged or otherwise disposed of by the Option Holder, except as otherwise expressly permitted by Clause 9.4 or the Remuneration Committee;</w:t>
      </w:r>
    </w:p>
    <w:p>
      <w:pPr>
        <w:spacing w:after="0" w:line="150" w:lineRule="exact"/>
        <w:rPr>
          <w:sz w:val="20"/>
          <w:szCs w:val="20"/>
          <w:color w:val="auto"/>
        </w:rPr>
      </w:pPr>
    </w:p>
    <w:p>
      <w:pPr>
        <w:ind w:left="582" w:right="220" w:hanging="586"/>
        <w:spacing w:after="0" w:line="285" w:lineRule="auto"/>
        <w:tabs>
          <w:tab w:leader="none" w:pos="562"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6"/>
          <w:szCs w:val="16"/>
          <w:color w:val="auto"/>
        </w:rPr>
        <w:t>if the Option Holder is adjudged bankrupt or an interim order is made because the Option Holder intends to propose a voluntary arrangement to creditors under the Insolvency Act 1986 or Title 11 of the U.S. Code;</w:t>
      </w:r>
    </w:p>
    <w:p>
      <w:pPr>
        <w:spacing w:after="0" w:line="150" w:lineRule="exact"/>
        <w:rPr>
          <w:sz w:val="20"/>
          <w:szCs w:val="20"/>
          <w:color w:val="auto"/>
        </w:rPr>
      </w:pPr>
    </w:p>
    <w:p>
      <w:pPr>
        <w:ind w:left="582" w:right="140" w:hanging="586"/>
        <w:spacing w:after="0" w:line="285" w:lineRule="auto"/>
        <w:tabs>
          <w:tab w:leader="none" w:pos="562"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6"/>
          <w:szCs w:val="16"/>
          <w:color w:val="auto"/>
        </w:rPr>
        <w:t>if the Option Holder makes or proposes a voluntary arrangement under the Insolvency Act 1986 or Title 11 of the U.S. Code, or any other scheme or arrangement in relation to outstanding debts, with creditors or any section of them;</w:t>
      </w:r>
    </w:p>
    <w:p>
      <w:pPr>
        <w:spacing w:after="0" w:line="150" w:lineRule="exact"/>
        <w:rPr>
          <w:sz w:val="20"/>
          <w:szCs w:val="20"/>
          <w:color w:val="auto"/>
        </w:rPr>
      </w:pPr>
    </w:p>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6"/>
          <w:szCs w:val="16"/>
          <w:color w:val="auto"/>
        </w:rPr>
        <w:t>if the Option Holder is otherwise deprived of the legal or beneficial ownership of the Option by operation of law or doing or omitting to do anything which causes the Option Holder to be so deprived;</w:t>
      </w:r>
    </w:p>
    <w:p>
      <w:pPr>
        <w:spacing w:after="0" w:line="150" w:lineRule="exact"/>
        <w:rPr>
          <w:sz w:val="20"/>
          <w:szCs w:val="20"/>
          <w:color w:val="auto"/>
        </w:rPr>
      </w:pPr>
    </w:p>
    <w:p>
      <w:pPr>
        <w:ind w:left="582" w:right="180" w:hanging="586"/>
        <w:spacing w:after="0" w:line="285" w:lineRule="auto"/>
        <w:tabs>
          <w:tab w:leader="none" w:pos="562" w:val="left"/>
        </w:tabs>
        <w:rPr>
          <w:sz w:val="20"/>
          <w:szCs w:val="20"/>
          <w:color w:val="auto"/>
        </w:rPr>
      </w:pPr>
      <w:r>
        <w:rPr>
          <w:rFonts w:ascii="Arial" w:cs="Arial" w:eastAsia="Arial" w:hAnsi="Arial"/>
          <w:sz w:val="16"/>
          <w:szCs w:val="16"/>
          <w:color w:val="auto"/>
        </w:rPr>
        <w:t>8.6</w:t>
      </w:r>
      <w:r>
        <w:rPr>
          <w:sz w:val="20"/>
          <w:szCs w:val="20"/>
          <w:color w:val="auto"/>
        </w:rPr>
        <w:tab/>
      </w:r>
      <w:r>
        <w:rPr>
          <w:rFonts w:ascii="Arial" w:cs="Arial" w:eastAsia="Arial" w:hAnsi="Arial"/>
          <w:sz w:val="16"/>
          <w:szCs w:val="16"/>
          <w:color w:val="auto"/>
        </w:rPr>
        <w:t>where the Directors have given to the Option Holder notice of a likely Trade Sale under Clause 5.1, to the extent that it is not exercised by completion of that Trade Sale;</w:t>
      </w:r>
    </w:p>
    <w:p>
      <w:pPr>
        <w:spacing w:after="0" w:line="150" w:lineRule="exact"/>
        <w:rPr>
          <w:sz w:val="20"/>
          <w:szCs w:val="20"/>
          <w:color w:val="auto"/>
        </w:rPr>
      </w:pPr>
    </w:p>
    <w:p>
      <w:pPr>
        <w:ind w:left="582" w:right="480" w:hanging="586"/>
        <w:spacing w:after="0" w:line="285" w:lineRule="auto"/>
        <w:tabs>
          <w:tab w:leader="none" w:pos="562" w:val="left"/>
        </w:tabs>
        <w:rPr>
          <w:sz w:val="20"/>
          <w:szCs w:val="20"/>
          <w:color w:val="auto"/>
        </w:rPr>
      </w:pPr>
      <w:r>
        <w:rPr>
          <w:rFonts w:ascii="Arial" w:cs="Arial" w:eastAsia="Arial" w:hAnsi="Arial"/>
          <w:sz w:val="16"/>
          <w:szCs w:val="16"/>
          <w:color w:val="auto"/>
        </w:rPr>
        <w:t>8.7</w:t>
      </w:r>
      <w:r>
        <w:rPr>
          <w:sz w:val="20"/>
          <w:szCs w:val="20"/>
          <w:color w:val="auto"/>
        </w:rPr>
        <w:tab/>
      </w:r>
      <w:r>
        <w:rPr>
          <w:rFonts w:ascii="Arial" w:cs="Arial" w:eastAsia="Arial" w:hAnsi="Arial"/>
          <w:sz w:val="16"/>
          <w:szCs w:val="16"/>
          <w:color w:val="auto"/>
        </w:rPr>
        <w:t>where the Directors have not given to the Option Holder notice of a likely Trade Sale under Clause 5.1, to the extent it is not exercised within such period after completion of a Trade Sale (of no less than fourteen days) as they may specify;</w:t>
      </w:r>
    </w:p>
    <w:p>
      <w:pPr>
        <w:spacing w:after="0" w:line="150" w:lineRule="exact"/>
        <w:rPr>
          <w:sz w:val="20"/>
          <w:szCs w:val="20"/>
          <w:color w:val="auto"/>
        </w:rPr>
      </w:pPr>
    </w:p>
    <w:p>
      <w:pPr>
        <w:ind w:left="582" w:right="300" w:hanging="586"/>
        <w:spacing w:after="0" w:line="285" w:lineRule="auto"/>
        <w:tabs>
          <w:tab w:leader="none" w:pos="562"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6"/>
          <w:szCs w:val="16"/>
          <w:color w:val="auto"/>
        </w:rPr>
        <w:t>the expiry of twelve months following the earlier of the Option Holder giving or being given notice of termination of employment or ceasing to hold employment under Clause 7.1 (but so that during such period no unvested part of the Option shall become Vested);</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8.9</w:t>
      </w:r>
      <w:r>
        <w:rPr>
          <w:sz w:val="20"/>
          <w:szCs w:val="20"/>
          <w:color w:val="auto"/>
        </w:rPr>
        <w:tab/>
      </w:r>
      <w:r>
        <w:rPr>
          <w:rFonts w:ascii="Arial" w:cs="Arial" w:eastAsia="Arial" w:hAnsi="Arial"/>
          <w:sz w:val="14"/>
          <w:szCs w:val="14"/>
          <w:color w:val="auto"/>
        </w:rPr>
        <w:t>a court ordered liquidation of the Company; and</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8.10</w:t>
      </w:r>
      <w:r>
        <w:rPr>
          <w:sz w:val="20"/>
          <w:szCs w:val="20"/>
          <w:color w:val="auto"/>
        </w:rPr>
        <w:tab/>
      </w:r>
      <w:r>
        <w:rPr>
          <w:rFonts w:ascii="Arial" w:cs="Arial" w:eastAsia="Arial" w:hAnsi="Arial"/>
          <w:sz w:val="14"/>
          <w:szCs w:val="14"/>
          <w:color w:val="auto"/>
        </w:rPr>
        <w:t>twenty eight days following an Assets Sale.</w:t>
      </w:r>
    </w:p>
    <w:p>
      <w:pPr>
        <w:sectPr>
          <w:pgSz w:w="11900" w:h="16838" w:orient="portrait"/>
          <w:cols w:equalWidth="0" w:num="1">
            <w:col w:w="11422"/>
          </w:cols>
          <w:pgMar w:left="238" w:top="323" w:right="239" w:bottom="0" w:gutter="0" w:footer="0" w:header="0"/>
        </w:sectPr>
      </w:pPr>
    </w:p>
    <w:bookmarkStart w:id="398" w:name="page399"/>
    <w:bookmarkEnd w:id="398"/>
    <w:p>
      <w:pPr>
        <w:spacing w:after="0"/>
        <w:tabs>
          <w:tab w:leader="none" w:pos="5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272415</wp:posOffset>
            </wp:positionV>
            <wp:extent cx="72802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9" w:name="page400"/>
    <w:bookmarkEnd w:id="399"/>
    <w:p>
      <w:pPr>
        <w:ind w:left="582" w:hanging="582"/>
        <w:spacing w:after="0"/>
        <w:tabs>
          <w:tab w:leader="none" w:pos="582"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t>MANNER OF EXERCISE OF OPTION</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4"/>
          <w:szCs w:val="14"/>
          <w:color w:val="auto"/>
        </w:rPr>
        <w:t>This Option shall be exercised only by the Option Holder (or the relevant Personal Representatives) by serving a written notice upon the Company which:-</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9.1.1</w:t>
      </w:r>
      <w:r>
        <w:rPr>
          <w:sz w:val="20"/>
          <w:szCs w:val="20"/>
          <w:color w:val="auto"/>
        </w:rPr>
        <w:tab/>
      </w:r>
      <w:r>
        <w:rPr>
          <w:rFonts w:ascii="Arial" w:cs="Arial" w:eastAsia="Arial" w:hAnsi="Arial"/>
          <w:sz w:val="14"/>
          <w:szCs w:val="14"/>
          <w:color w:val="auto"/>
        </w:rPr>
        <w:t>specifies the number of Ordinary Shares in respect of which the Option is exercised; and</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9.1.2</w:t>
      </w:r>
      <w:r>
        <w:rPr>
          <w:sz w:val="20"/>
          <w:szCs w:val="20"/>
          <w:color w:val="auto"/>
        </w:rPr>
        <w:tab/>
      </w:r>
      <w:r>
        <w:rPr>
          <w:rFonts w:ascii="Arial" w:cs="Arial" w:eastAsia="Arial" w:hAnsi="Arial"/>
          <w:sz w:val="14"/>
          <w:szCs w:val="14"/>
          <w:color w:val="auto"/>
        </w:rPr>
        <w:t>is accompanied by payment of an amount equal to the product of the number of Ordinary Shares specified in the notice and the Exercise Price;</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5"/>
          <w:szCs w:val="15"/>
          <w:color w:val="auto"/>
        </w:rPr>
        <w:t>and is otherwise in the form set out in the Schedule to this Share Option Contract or such other form as the Company may notify in writing to the Option holder.</w:t>
      </w:r>
    </w:p>
    <w:p>
      <w:pPr>
        <w:spacing w:after="0" w:line="219" w:lineRule="exact"/>
        <w:rPr>
          <w:sz w:val="20"/>
          <w:szCs w:val="20"/>
          <w:color w:val="auto"/>
        </w:rPr>
      </w:pPr>
    </w:p>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color w:val="auto"/>
        </w:rPr>
        <w:t>Subject to Clause 10, within 30 days beginning with the date on which the Company receives a notice of exercise which complies with Clause 9.1, the Company shall transfer to the Option Holder such number of Ordinary Shares as is specified in the notice.</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color w:val="auto"/>
        </w:rPr>
        <w:t>Subject to Clause 10, as soon as reasonably practicable after issuing or procuring the transfer of any Ordinary Shares pursuant to Clause 9.2, the Company shall:</w:t>
      </w:r>
    </w:p>
    <w:p>
      <w:pPr>
        <w:spacing w:after="0" w:line="207" w:lineRule="exact"/>
        <w:rPr>
          <w:sz w:val="20"/>
          <w:szCs w:val="20"/>
          <w:color w:val="auto"/>
        </w:rPr>
      </w:pPr>
    </w:p>
    <w:p>
      <w:pPr>
        <w:ind w:left="1162" w:right="20" w:hanging="586"/>
        <w:spacing w:after="0" w:line="285" w:lineRule="auto"/>
        <w:tabs>
          <w:tab w:leader="none" w:pos="1142" w:val="left"/>
        </w:tabs>
        <w:rPr>
          <w:sz w:val="20"/>
          <w:szCs w:val="20"/>
          <w:color w:val="auto"/>
        </w:rPr>
      </w:pPr>
      <w:r>
        <w:rPr>
          <w:rFonts w:ascii="Arial" w:cs="Arial" w:eastAsia="Arial" w:hAnsi="Arial"/>
          <w:sz w:val="16"/>
          <w:szCs w:val="16"/>
          <w:color w:val="auto"/>
        </w:rPr>
        <w:t>9.3.1</w:t>
        <w:tab/>
        <w:t>procure the issue to the Option Holder of a definitive share certificate or such acknowledgement of shareholding as is prescribed from time to time in respect of the Ordinary Shares so allotted; and</w:t>
      </w:r>
    </w:p>
    <w:p>
      <w:pPr>
        <w:spacing w:after="0" w:line="150" w:lineRule="exact"/>
        <w:rPr>
          <w:sz w:val="20"/>
          <w:szCs w:val="20"/>
          <w:color w:val="auto"/>
        </w:rPr>
      </w:pPr>
    </w:p>
    <w:p>
      <w:pPr>
        <w:ind w:left="1162" w:right="180" w:hanging="586"/>
        <w:spacing w:after="0" w:line="285" w:lineRule="auto"/>
        <w:tabs>
          <w:tab w:leader="none" w:pos="1142" w:val="left"/>
        </w:tabs>
        <w:rPr>
          <w:sz w:val="20"/>
          <w:szCs w:val="20"/>
          <w:color w:val="auto"/>
        </w:rPr>
      </w:pPr>
      <w:r>
        <w:rPr>
          <w:rFonts w:ascii="Arial" w:cs="Arial" w:eastAsia="Arial" w:hAnsi="Arial"/>
          <w:sz w:val="16"/>
          <w:szCs w:val="16"/>
          <w:color w:val="auto"/>
        </w:rPr>
        <w:t>9.3.2</w:t>
        <w:tab/>
        <w:t>where Ordinary Shares are to be allotted and permission has been given for Ordinary Shares of the same class to be traded or dealt in on the London Stock Exchange or AIM, use its best endeavors to procure that the Ordinary Shares so allotted may be so traded or dealt in.</w:t>
      </w:r>
    </w:p>
    <w:p>
      <w:pPr>
        <w:spacing w:after="0" w:line="150" w:lineRule="exact"/>
        <w:rPr>
          <w:sz w:val="20"/>
          <w:szCs w:val="20"/>
          <w:color w:val="auto"/>
        </w:rPr>
      </w:pPr>
    </w:p>
    <w:p>
      <w:pPr>
        <w:ind w:left="582" w:right="600" w:hanging="586"/>
        <w:spacing w:after="0" w:line="285" w:lineRule="auto"/>
        <w:tabs>
          <w:tab w:leader="none" w:pos="562"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6"/>
          <w:szCs w:val="16"/>
          <w:color w:val="auto"/>
        </w:rPr>
        <w:t>The Company may, if the Option Holder so requests, transfer some or all of such Ordinary Shares to a nominee of the Option Holder provided that beneficial ownership of such Ordinary Shares shall be vested in the Option Holder.</w:t>
      </w:r>
    </w:p>
    <w:p>
      <w:pPr>
        <w:spacing w:after="0" w:line="150" w:lineRule="exact"/>
        <w:rPr>
          <w:sz w:val="20"/>
          <w:szCs w:val="20"/>
          <w:color w:val="auto"/>
        </w:rPr>
      </w:pPr>
    </w:p>
    <w:p>
      <w:pPr>
        <w:ind w:left="582" w:right="300" w:hanging="586"/>
        <w:spacing w:after="0" w:line="270" w:lineRule="auto"/>
        <w:tabs>
          <w:tab w:leader="none" w:pos="562"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6"/>
          <w:szCs w:val="16"/>
          <w:color w:val="auto"/>
        </w:rPr>
        <w:t>The transfer of any Ordinary Shares pursuant to the exercise of an Option shall be subject to the Articles of the Company and to any necessary consents of any governmental or other authorities under any enactments or regulations from time to time in force and it shall be the responsibility of the Option Holder to comply with any requirements to be fulfilled in order to obtain or obviate the necessity of such consent.</w:t>
      </w:r>
    </w:p>
    <w:p>
      <w:pPr>
        <w:spacing w:after="0" w:line="162" w:lineRule="exact"/>
        <w:rPr>
          <w:sz w:val="20"/>
          <w:szCs w:val="20"/>
          <w:color w:val="auto"/>
        </w:rPr>
      </w:pPr>
    </w:p>
    <w:p>
      <w:pPr>
        <w:ind w:left="582" w:right="20" w:hanging="586"/>
        <w:spacing w:after="0" w:line="270" w:lineRule="auto"/>
        <w:tabs>
          <w:tab w:leader="none" w:pos="562" w:val="left"/>
        </w:tabs>
        <w:rPr>
          <w:sz w:val="20"/>
          <w:szCs w:val="20"/>
          <w:color w:val="auto"/>
        </w:rPr>
      </w:pPr>
      <w:r>
        <w:rPr>
          <w:rFonts w:ascii="Arial" w:cs="Arial" w:eastAsia="Arial" w:hAnsi="Arial"/>
          <w:sz w:val="16"/>
          <w:szCs w:val="16"/>
          <w:color w:val="auto"/>
        </w:rPr>
        <w:t>9.6</w:t>
      </w:r>
      <w:r>
        <w:rPr>
          <w:sz w:val="20"/>
          <w:szCs w:val="20"/>
          <w:color w:val="auto"/>
        </w:rPr>
        <w:tab/>
      </w:r>
      <w:r>
        <w:rPr>
          <w:rFonts w:ascii="Arial" w:cs="Arial" w:eastAsia="Arial" w:hAnsi="Arial"/>
          <w:sz w:val="16"/>
          <w:szCs w:val="16"/>
          <w:color w:val="auto"/>
        </w:rPr>
        <w:t>All Ordinary Shares transferred pursuant to the exercise of an Option shall be held subject to the provisions of the Articles and shall rank equally in all respects with the Ordinary Shares for the time being in issue save as regards any rights attaching to such Ordinary Shares by reference to a record date prior to the date of allotment or transfer.</w:t>
      </w:r>
    </w:p>
    <w:p>
      <w:pPr>
        <w:spacing w:after="0" w:line="162" w:lineRule="exact"/>
        <w:rPr>
          <w:sz w:val="20"/>
          <w:szCs w:val="20"/>
          <w:color w:val="auto"/>
        </w:rPr>
      </w:pPr>
    </w:p>
    <w:p>
      <w:pPr>
        <w:ind w:left="582" w:right="220" w:hanging="586"/>
        <w:spacing w:after="0" w:line="288" w:lineRule="auto"/>
        <w:tabs>
          <w:tab w:leader="none" w:pos="562" w:val="left"/>
        </w:tabs>
        <w:rPr>
          <w:sz w:val="20"/>
          <w:szCs w:val="20"/>
          <w:color w:val="auto"/>
        </w:rPr>
      </w:pPr>
      <w:r>
        <w:rPr>
          <w:rFonts w:ascii="Arial" w:cs="Arial" w:eastAsia="Arial" w:hAnsi="Arial"/>
          <w:sz w:val="16"/>
          <w:szCs w:val="16"/>
          <w:color w:val="auto"/>
        </w:rPr>
        <w:t>9.7</w:t>
      </w:r>
      <w:r>
        <w:rPr>
          <w:sz w:val="20"/>
          <w:szCs w:val="20"/>
          <w:color w:val="auto"/>
        </w:rPr>
        <w:tab/>
      </w:r>
      <w:r>
        <w:rPr>
          <w:rFonts w:ascii="Arial" w:cs="Arial" w:eastAsia="Arial" w:hAnsi="Arial"/>
          <w:sz w:val="15"/>
          <w:szCs w:val="15"/>
          <w:color w:val="auto"/>
        </w:rPr>
        <w:t>Notwithstanding any other provision of this Share Option Contract, Options shall not be exercised if the issuance of Ordinary Shares upon such exercise would constitute a violation of any applicable securities laws, other laws or regulations of any jurisdiction, or the rules of any applicable securities exchange. As a further condition to the exercise of any Option, and in addition to any other requirements set forth in this Share Option Contract, the Company may require the Option Holder to make any other representations or warranties, or enter into any other agreements, as requested by the Company.</w:t>
      </w:r>
    </w:p>
    <w:p>
      <w:pPr>
        <w:spacing w:after="0" w:line="146" w:lineRule="exact"/>
        <w:rPr>
          <w:sz w:val="20"/>
          <w:szCs w:val="20"/>
          <w:color w:val="auto"/>
        </w:rPr>
      </w:pPr>
    </w:p>
    <w:p>
      <w:pPr>
        <w:ind w:left="582" w:hanging="582"/>
        <w:spacing w:after="0"/>
        <w:tabs>
          <w:tab w:leader="none" w:pos="582"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OPTION HOLDER’S TAX INDEMNITY</w:t>
      </w:r>
    </w:p>
    <w:p>
      <w:pPr>
        <w:spacing w:after="0" w:line="211" w:lineRule="exact"/>
        <w:rPr>
          <w:sz w:val="20"/>
          <w:szCs w:val="20"/>
          <w:color w:val="auto"/>
        </w:rPr>
      </w:pPr>
    </w:p>
    <w:p>
      <w:pPr>
        <w:jc w:val="both"/>
        <w:ind w:left="582" w:hanging="586"/>
        <w:spacing w:after="0" w:line="270" w:lineRule="auto"/>
        <w:tabs>
          <w:tab w:leader="none" w:pos="562"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Except as provided in the immediately following sentence, upon the exercise of the Option (or any portion thereof), the Option Holder shall pay to the Company or a Subsidiary in cash (or otherwise make arrangements satisfactory to the Remuneration Committee for the payment of) the amount of the Option Tax Liability required, in the Company’s sole judgment, to be collected or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72802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400" w:name="page401"/>
    <w:bookmarkEnd w:id="400"/>
    <w:p>
      <w:pPr>
        <w:ind w:left="582"/>
        <w:spacing w:after="0" w:line="262" w:lineRule="auto"/>
        <w:rPr>
          <w:sz w:val="20"/>
          <w:szCs w:val="20"/>
          <w:color w:val="auto"/>
        </w:rPr>
      </w:pPr>
      <w:r>
        <w:rPr>
          <w:rFonts w:ascii="Arial" w:cs="Arial" w:eastAsia="Arial" w:hAnsi="Arial"/>
          <w:sz w:val="16"/>
          <w:szCs w:val="16"/>
          <w:color w:val="auto"/>
        </w:rPr>
        <w:t>with respect to the Option. In the sole discretion of the Remuneration Committee, the Option Holder’s Option Tax Liability may be paid by (i) the Company or a Subsidiary withholding from any payroll or other amounts otherwise due to the Option Holder the amount of the Option Tax Liability due in connection with the exercise of the Option or (ii) the surrender of that whole number of Ordinary Shares having a fair market value (valued on the date of exercise) as is equal to, but does not exceed, the minimum statutory amounts of withholding taxes required to be collected or withheld by the Company or any Subsidiary with respect to the exercise of the Option.</w:t>
      </w:r>
    </w:p>
    <w:p>
      <w:pPr>
        <w:spacing w:after="0" w:line="170" w:lineRule="exact"/>
        <w:rPr>
          <w:sz w:val="20"/>
          <w:szCs w:val="20"/>
          <w:color w:val="auto"/>
        </w:rPr>
      </w:pPr>
    </w:p>
    <w:p>
      <w:pPr>
        <w:ind w:left="582" w:right="280" w:hanging="586"/>
        <w:spacing w:after="0" w:line="270" w:lineRule="auto"/>
        <w:tabs>
          <w:tab w:leader="none" w:pos="562"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The Options granted hereunder are intended to be exempt from Section 409A of the Code and this Share Option Contract shall be Interpreted consistent with such intent. None of the Company, any Group Member or any other affiliate of the Company shall have any liability with respect to taxes, interest or other penalties imposed by Section 409A of the Code but no guarantee is given that the Options are so exempt.</w:t>
      </w:r>
    </w:p>
    <w:p>
      <w:pPr>
        <w:spacing w:after="0" w:line="158" w:lineRule="exact"/>
        <w:rPr>
          <w:sz w:val="20"/>
          <w:szCs w:val="20"/>
          <w:color w:val="auto"/>
        </w:rPr>
      </w:pPr>
    </w:p>
    <w:p>
      <w:pPr>
        <w:ind w:left="582" w:hanging="582"/>
        <w:spacing w:after="0"/>
        <w:tabs>
          <w:tab w:leader="none" w:pos="582" w:val="left"/>
        </w:tabs>
        <w:numPr>
          <w:ilvl w:val="0"/>
          <w:numId w:val="292"/>
        </w:numPr>
        <w:rPr>
          <w:rFonts w:ascii="Arial" w:cs="Arial" w:eastAsia="Arial" w:hAnsi="Arial"/>
          <w:sz w:val="16"/>
          <w:szCs w:val="16"/>
          <w:b w:val="1"/>
          <w:bCs w:val="1"/>
          <w:color w:val="auto"/>
        </w:rPr>
      </w:pPr>
      <w:r>
        <w:rPr>
          <w:rFonts w:ascii="Arial" w:cs="Arial" w:eastAsia="Arial" w:hAnsi="Arial"/>
          <w:sz w:val="16"/>
          <w:szCs w:val="16"/>
          <w:b w:val="1"/>
          <w:bCs w:val="1"/>
          <w:color w:val="auto"/>
        </w:rPr>
        <w:t>VARIATION OF SHARE CAPITAL</w:t>
      </w:r>
    </w:p>
    <w:p>
      <w:pPr>
        <w:spacing w:after="0" w:line="211" w:lineRule="exact"/>
        <w:rPr>
          <w:sz w:val="20"/>
          <w:szCs w:val="20"/>
          <w:color w:val="auto"/>
        </w:rPr>
      </w:pPr>
    </w:p>
    <w:p>
      <w:pPr>
        <w:ind w:left="582" w:right="160" w:hanging="586"/>
        <w:spacing w:after="0" w:line="285" w:lineRule="auto"/>
        <w:tabs>
          <w:tab w:leader="none" w:pos="562"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color w:val="auto"/>
        </w:rPr>
        <w:t>If the Ordinary Share Capital is varied by way of capitalisation or rights issue, subdivision, consolidation or reduction or there is declared an extraordinary dividend or there occurs any other event which might affect the value of the Option, the Remuneration Committee shall adjust:-</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11.1.1</w:t>
      </w:r>
      <w:r>
        <w:rPr>
          <w:sz w:val="20"/>
          <w:szCs w:val="20"/>
          <w:color w:val="auto"/>
        </w:rPr>
        <w:tab/>
      </w:r>
      <w:r>
        <w:rPr>
          <w:rFonts w:ascii="Arial" w:cs="Arial" w:eastAsia="Arial" w:hAnsi="Arial"/>
          <w:sz w:val="14"/>
          <w:szCs w:val="14"/>
          <w:color w:val="auto"/>
        </w:rPr>
        <w:t>the number of Option Shares; and/or</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11.1.2</w:t>
      </w:r>
      <w:r>
        <w:rPr>
          <w:sz w:val="20"/>
          <w:szCs w:val="20"/>
          <w:color w:val="auto"/>
        </w:rPr>
        <w:tab/>
      </w:r>
      <w:r>
        <w:rPr>
          <w:rFonts w:ascii="Arial" w:cs="Arial" w:eastAsia="Arial" w:hAnsi="Arial"/>
          <w:sz w:val="14"/>
          <w:szCs w:val="14"/>
          <w:color w:val="auto"/>
        </w:rPr>
        <w:t>the Exercise Price; and/or</w:t>
      </w:r>
    </w:p>
    <w:p>
      <w:pPr>
        <w:spacing w:after="0" w:line="207" w:lineRule="exact"/>
        <w:rPr>
          <w:sz w:val="20"/>
          <w:szCs w:val="20"/>
          <w:color w:val="auto"/>
        </w:rPr>
      </w:pPr>
    </w:p>
    <w:p>
      <w:pPr>
        <w:ind w:left="1162" w:right="560" w:hanging="586"/>
        <w:spacing w:after="0" w:line="285" w:lineRule="auto"/>
        <w:tabs>
          <w:tab w:leader="none" w:pos="1142" w:val="left"/>
        </w:tabs>
        <w:rPr>
          <w:sz w:val="20"/>
          <w:szCs w:val="20"/>
          <w:color w:val="auto"/>
        </w:rPr>
      </w:pPr>
      <w:r>
        <w:rPr>
          <w:rFonts w:ascii="Arial" w:cs="Arial" w:eastAsia="Arial" w:hAnsi="Arial"/>
          <w:sz w:val="16"/>
          <w:szCs w:val="16"/>
          <w:color w:val="auto"/>
        </w:rPr>
        <w:t>11.1.3</w:t>
        <w:tab/>
        <w:t>if the Option has been exercised in respect of any Ordinary Shares but those Ordinary Shares have not yet been allotted or transferred, the number of Ordinary Shares which may be so allotted or transferred and the Exercise Price</w:t>
      </w:r>
    </w:p>
    <w:p>
      <w:pPr>
        <w:spacing w:after="0" w:line="146" w:lineRule="exact"/>
        <w:rPr>
          <w:sz w:val="20"/>
          <w:szCs w:val="20"/>
          <w:color w:val="auto"/>
        </w:rPr>
      </w:pPr>
    </w:p>
    <w:p>
      <w:pPr>
        <w:ind w:left="582"/>
        <w:spacing w:after="0"/>
        <w:rPr>
          <w:sz w:val="20"/>
          <w:szCs w:val="20"/>
          <w:color w:val="auto"/>
        </w:rPr>
      </w:pPr>
      <w:r>
        <w:rPr>
          <w:rFonts w:ascii="Arial" w:cs="Arial" w:eastAsia="Arial" w:hAnsi="Arial"/>
          <w:sz w:val="16"/>
          <w:szCs w:val="16"/>
          <w:color w:val="auto"/>
        </w:rPr>
        <w:t xml:space="preserve">so as to ensure that the value of the Option is not increased or decreased solely in consequence of such variation or other event </w:t>
      </w:r>
      <w:r>
        <w:rPr>
          <w:rFonts w:ascii="Arial" w:cs="Arial" w:eastAsia="Arial" w:hAnsi="Arial"/>
          <w:sz w:val="16"/>
          <w:szCs w:val="16"/>
          <w:b w:val="1"/>
          <w:bCs w:val="1"/>
          <w:color w:val="auto"/>
        </w:rPr>
        <w:t>PROVIDED THAT</w:t>
      </w:r>
      <w:r>
        <w:rPr>
          <w:rFonts w:ascii="Arial" w:cs="Arial" w:eastAsia="Arial" w:hAnsi="Arial"/>
          <w:sz w:val="16"/>
          <w:szCs w:val="16"/>
          <w:color w:val="auto"/>
        </w:rPr>
        <w:t>:</w:t>
      </w:r>
    </w:p>
    <w:p>
      <w:pPr>
        <w:spacing w:after="0" w:line="211" w:lineRule="exact"/>
        <w:rPr>
          <w:sz w:val="20"/>
          <w:szCs w:val="20"/>
          <w:color w:val="auto"/>
        </w:rPr>
      </w:pPr>
    </w:p>
    <w:p>
      <w:pPr>
        <w:ind w:left="882" w:right="760" w:hanging="295"/>
        <w:spacing w:after="0" w:line="285" w:lineRule="auto"/>
        <w:tabs>
          <w:tab w:leader="none" w:pos="879" w:val="left"/>
        </w:tabs>
        <w:numPr>
          <w:ilvl w:val="0"/>
          <w:numId w:val="293"/>
        </w:numPr>
        <w:rPr>
          <w:rFonts w:ascii="Arial" w:cs="Arial" w:eastAsia="Arial" w:hAnsi="Arial"/>
          <w:sz w:val="16"/>
          <w:szCs w:val="16"/>
          <w:color w:val="auto"/>
        </w:rPr>
      </w:pPr>
      <w:r>
        <w:rPr>
          <w:rFonts w:ascii="Arial" w:cs="Arial" w:eastAsia="Arial" w:hAnsi="Arial"/>
          <w:sz w:val="16"/>
          <w:szCs w:val="16"/>
          <w:color w:val="auto"/>
        </w:rPr>
        <w:t>unless required by Section 409A of the Code, no such adjustment need be made if the variation or other event has, in the opinion of the Remuneration Committee, no significant effect on the value of the Option;</w:t>
      </w:r>
    </w:p>
    <w:p>
      <w:pPr>
        <w:spacing w:after="0" w:line="149" w:lineRule="exact"/>
        <w:rPr>
          <w:rFonts w:ascii="Arial" w:cs="Arial" w:eastAsia="Arial" w:hAnsi="Arial"/>
          <w:sz w:val="16"/>
          <w:szCs w:val="16"/>
          <w:color w:val="auto"/>
        </w:rPr>
      </w:pPr>
    </w:p>
    <w:p>
      <w:pPr>
        <w:ind w:left="882" w:right="380" w:hanging="295"/>
        <w:spacing w:after="0" w:line="296" w:lineRule="auto"/>
        <w:tabs>
          <w:tab w:leader="none" w:pos="889" w:val="left"/>
        </w:tabs>
        <w:numPr>
          <w:ilvl w:val="0"/>
          <w:numId w:val="293"/>
        </w:numPr>
        <w:rPr>
          <w:rFonts w:ascii="Arial" w:cs="Arial" w:eastAsia="Arial" w:hAnsi="Arial"/>
          <w:sz w:val="15"/>
          <w:szCs w:val="15"/>
          <w:color w:val="auto"/>
        </w:rPr>
      </w:pPr>
      <w:r>
        <w:rPr>
          <w:rFonts w:ascii="Arial" w:cs="Arial" w:eastAsia="Arial" w:hAnsi="Arial"/>
          <w:sz w:val="15"/>
          <w:szCs w:val="15"/>
          <w:color w:val="auto"/>
        </w:rPr>
        <w:t>except insofar as the Remuneration Committee (on behalf of the Company) agree to capitalise the Company’s reserves and apply the same at the time of allotment of the Ordinary Shares in paying up the difference between the Exercise Price and the nominal value of the Ordinary Shares, the Exercise Price in relation to any right to subscribe for Ordinary Shares shall not be reduced below the nominal value of an Ordinary Share;</w:t>
      </w:r>
    </w:p>
    <w:p>
      <w:pPr>
        <w:spacing w:after="0" w:line="144" w:lineRule="exact"/>
        <w:rPr>
          <w:rFonts w:ascii="Arial" w:cs="Arial" w:eastAsia="Arial" w:hAnsi="Arial"/>
          <w:sz w:val="15"/>
          <w:szCs w:val="15"/>
          <w:color w:val="auto"/>
        </w:rPr>
      </w:pPr>
    </w:p>
    <w:p>
      <w:pPr>
        <w:ind w:left="882" w:hanging="295"/>
        <w:spacing w:after="0"/>
        <w:tabs>
          <w:tab w:leader="none" w:pos="882" w:val="left"/>
        </w:tabs>
        <w:numPr>
          <w:ilvl w:val="0"/>
          <w:numId w:val="293"/>
        </w:numPr>
        <w:rPr>
          <w:rFonts w:ascii="Arial" w:cs="Arial" w:eastAsia="Arial" w:hAnsi="Arial"/>
          <w:sz w:val="14"/>
          <w:szCs w:val="14"/>
          <w:color w:val="auto"/>
        </w:rPr>
      </w:pPr>
      <w:r>
        <w:rPr>
          <w:rFonts w:ascii="Arial" w:cs="Arial" w:eastAsia="Arial" w:hAnsi="Arial"/>
          <w:sz w:val="14"/>
          <w:szCs w:val="14"/>
          <w:color w:val="auto"/>
        </w:rPr>
        <w:t>the number of Option Shares as so adjusted is rounded down to the nearest whole number and the Exercise Price is rounded up to the nearest whole penny; and</w:t>
      </w:r>
    </w:p>
    <w:p>
      <w:pPr>
        <w:spacing w:after="0" w:line="230" w:lineRule="exact"/>
        <w:rPr>
          <w:rFonts w:ascii="Arial" w:cs="Arial" w:eastAsia="Arial" w:hAnsi="Arial"/>
          <w:sz w:val="14"/>
          <w:szCs w:val="14"/>
          <w:color w:val="auto"/>
        </w:rPr>
      </w:pPr>
    </w:p>
    <w:p>
      <w:pPr>
        <w:ind w:left="882" w:hanging="295"/>
        <w:spacing w:after="0"/>
        <w:tabs>
          <w:tab w:leader="none" w:pos="88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an adjustment pursuant to this Clause 11.1 shall only be made if permitted by, and only so as to comply with, Section 409A of the Code.</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color w:val="auto"/>
        </w:rPr>
        <w:t>The Remuneration Committee shall notify the Option Holder of any adjustment made pursuant to this Clause 11.</w:t>
      </w:r>
    </w:p>
    <w:p>
      <w:pPr>
        <w:spacing w:after="0" w:line="203" w:lineRule="exact"/>
        <w:rPr>
          <w:sz w:val="20"/>
          <w:szCs w:val="20"/>
          <w:color w:val="auto"/>
        </w:rPr>
      </w:pPr>
    </w:p>
    <w:p>
      <w:pPr>
        <w:ind w:left="582" w:hanging="582"/>
        <w:spacing w:after="0"/>
        <w:tabs>
          <w:tab w:leader="none" w:pos="582"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 THIS SHARE OPTION CONTRACT</w:t>
      </w:r>
    </w:p>
    <w:p>
      <w:pPr>
        <w:spacing w:after="0" w:line="211" w:lineRule="exact"/>
        <w:rPr>
          <w:rFonts w:ascii="Arial" w:cs="Arial" w:eastAsia="Arial" w:hAnsi="Arial"/>
          <w:sz w:val="16"/>
          <w:szCs w:val="16"/>
          <w:b w:val="1"/>
          <w:bCs w:val="1"/>
          <w:color w:val="auto"/>
        </w:rPr>
      </w:pPr>
    </w:p>
    <w:p>
      <w:pPr>
        <w:ind w:left="582" w:right="44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The Company and the Option Holder may at any time, and by the execution of a deed, alter or add to any of the provisions of this Share Option Contract in any respect. Notwithstanding the foregoing or any contrary provision of this Share Option Contract, (i) the period in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802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01" w:name="page402"/>
    <w:bookmarkEnd w:id="401"/>
    <w:p>
      <w:pPr>
        <w:ind w:left="582" w:right="580"/>
        <w:spacing w:after="0" w:line="285" w:lineRule="auto"/>
        <w:rPr>
          <w:sz w:val="20"/>
          <w:szCs w:val="20"/>
          <w:color w:val="auto"/>
        </w:rPr>
      </w:pPr>
      <w:r>
        <w:rPr>
          <w:rFonts w:ascii="Arial" w:cs="Arial" w:eastAsia="Arial" w:hAnsi="Arial"/>
          <w:sz w:val="16"/>
          <w:szCs w:val="16"/>
          <w:color w:val="auto"/>
        </w:rPr>
        <w:t>Options may be exercised shall not be extended beyond the date specified in Clause 8.1 and (ii) the Exercise Price shall not be reduced unless such reduction complies with Section 409A of the Code.</w:t>
      </w:r>
    </w:p>
    <w:p>
      <w:pPr>
        <w:spacing w:after="0" w:line="146" w:lineRule="exact"/>
        <w:rPr>
          <w:sz w:val="20"/>
          <w:szCs w:val="20"/>
          <w:color w:val="auto"/>
        </w:rPr>
      </w:pPr>
    </w:p>
    <w:p>
      <w:pPr>
        <w:ind w:left="582" w:hanging="582"/>
        <w:spacing w:after="0"/>
        <w:tabs>
          <w:tab w:leader="none" w:pos="582"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SERVICE OF DOCUMENTS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4"/>
          <w:szCs w:val="14"/>
          <w:color w:val="auto"/>
        </w:rPr>
        <w:t>Except as otherwise provided in this Share Option Contract, any notice or document to be given by, or on behalf of, the Company to the Option Holder or the relevant</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Personal Representatives in accordance or in connection with it shall be duly given:</w:t>
      </w:r>
    </w:p>
    <w:p>
      <w:pPr>
        <w:spacing w:after="0" w:line="196" w:lineRule="exact"/>
        <w:rPr>
          <w:sz w:val="20"/>
          <w:szCs w:val="20"/>
          <w:color w:val="auto"/>
        </w:rPr>
      </w:pPr>
    </w:p>
    <w:p>
      <w:pPr>
        <w:ind w:left="1162" w:right="140" w:hanging="586"/>
        <w:spacing w:after="0" w:line="285" w:lineRule="auto"/>
        <w:tabs>
          <w:tab w:leader="none" w:pos="1142" w:val="left"/>
        </w:tabs>
        <w:rPr>
          <w:sz w:val="20"/>
          <w:szCs w:val="20"/>
          <w:color w:val="auto"/>
        </w:rPr>
      </w:pPr>
      <w:r>
        <w:rPr>
          <w:rFonts w:ascii="Arial" w:cs="Arial" w:eastAsia="Arial" w:hAnsi="Arial"/>
          <w:sz w:val="16"/>
          <w:szCs w:val="16"/>
          <w:color w:val="auto"/>
        </w:rPr>
        <w:t>13.1.1</w:t>
        <w:tab/>
        <w:t>by sending it through the post in a pre-paid envelope to the address last known to the Company to be the Option Holder’s address and, if so sent, it shall be deemed to have been duly given on the date of posting; or</w:t>
      </w:r>
    </w:p>
    <w:p>
      <w:pPr>
        <w:spacing w:after="0" w:line="150" w:lineRule="exact"/>
        <w:rPr>
          <w:sz w:val="20"/>
          <w:szCs w:val="20"/>
          <w:color w:val="auto"/>
        </w:rPr>
      </w:pPr>
    </w:p>
    <w:p>
      <w:pPr>
        <w:ind w:left="1162" w:right="120" w:hanging="586"/>
        <w:spacing w:after="0" w:line="288" w:lineRule="auto"/>
        <w:tabs>
          <w:tab w:leader="none" w:pos="1142" w:val="left"/>
        </w:tabs>
        <w:rPr>
          <w:sz w:val="20"/>
          <w:szCs w:val="20"/>
          <w:color w:val="auto"/>
        </w:rPr>
      </w:pPr>
      <w:r>
        <w:rPr>
          <w:rFonts w:ascii="Arial" w:cs="Arial" w:eastAsia="Arial" w:hAnsi="Arial"/>
          <w:sz w:val="16"/>
          <w:szCs w:val="16"/>
          <w:color w:val="auto"/>
        </w:rPr>
        <w:t>13.1.2</w:t>
      </w:r>
      <w:r>
        <w:rPr>
          <w:sz w:val="20"/>
          <w:szCs w:val="20"/>
          <w:color w:val="auto"/>
        </w:rPr>
        <w:tab/>
      </w:r>
      <w:r>
        <w:rPr>
          <w:rFonts w:ascii="Arial" w:cs="Arial" w:eastAsia="Arial" w:hAnsi="Arial"/>
          <w:sz w:val="15"/>
          <w:szCs w:val="15"/>
          <w:color w:val="auto"/>
        </w:rPr>
        <w:t xml:space="preserve">if the Option Holder holds office or employment with any member of the Group, by delivering it to the Option Holder at his place of work or by sending to the Option Holder a facsimile transmission or Electronic Communication and if so sent it shall be deemed to have been duly given at the time of transmission </w:t>
      </w:r>
      <w:r>
        <w:rPr>
          <w:rFonts w:ascii="Arial" w:cs="Arial" w:eastAsia="Arial" w:hAnsi="Arial"/>
          <w:sz w:val="15"/>
          <w:szCs w:val="15"/>
          <w:b w:val="1"/>
          <w:bCs w:val="1"/>
          <w:color w:val="auto"/>
        </w:rPr>
        <w:t>SAVE THAT</w:t>
      </w:r>
      <w:r>
        <w:rPr>
          <w:rFonts w:ascii="Arial" w:cs="Arial" w:eastAsia="Arial" w:hAnsi="Arial"/>
          <w:sz w:val="15"/>
          <w:szCs w:val="15"/>
          <w:color w:val="auto"/>
        </w:rPr>
        <w:t xml:space="preserve"> a notice or document shall not be duly given by Electronic Communication unless that person is known by the Option Holder’s Employer to have personal access during their normal business hours to information sent to the Option Holder by Electronic Communication.</w:t>
      </w:r>
    </w:p>
    <w:p>
      <w:pPr>
        <w:spacing w:after="0" w:line="150" w:lineRule="exact"/>
        <w:rPr>
          <w:sz w:val="20"/>
          <w:szCs w:val="20"/>
          <w:color w:val="auto"/>
        </w:rPr>
      </w:pPr>
    </w:p>
    <w:p>
      <w:pPr>
        <w:jc w:val="both"/>
        <w:ind w:left="582" w:right="80" w:hanging="586"/>
        <w:spacing w:after="0" w:line="270" w:lineRule="auto"/>
        <w:tabs>
          <w:tab w:leader="none" w:pos="562"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color w:val="auto"/>
        </w:rPr>
        <w:t>Any notice or document so sent to the Option Holder shall be deemed to have been duly given notwithstanding that the Option Holder is then deceased (and whether or not the Company has notice of his death) except where the relevant Personal Representatives have supplied to the Company an address to which documents are to be sent.</w:t>
      </w:r>
    </w:p>
    <w:p>
      <w:pPr>
        <w:spacing w:after="0" w:line="162" w:lineRule="exact"/>
        <w:rPr>
          <w:sz w:val="20"/>
          <w:szCs w:val="20"/>
          <w:color w:val="auto"/>
        </w:rPr>
      </w:pPr>
    </w:p>
    <w:p>
      <w:pPr>
        <w:ind w:left="582" w:right="280" w:hanging="586"/>
        <w:spacing w:after="0" w:line="285" w:lineRule="auto"/>
        <w:tabs>
          <w:tab w:leader="none" w:pos="562"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6"/>
          <w:szCs w:val="16"/>
          <w:color w:val="auto"/>
        </w:rPr>
        <w:t>Any notice in writing or document to be submitted or given by the Option Holder to the Company in accordance or in connection with this Share Option Contract may be delivered, sent by post, facsimile transmission or Electronic Communication but shall not in any event be duly given unless:</w:t>
      </w:r>
    </w:p>
    <w:p>
      <w:pPr>
        <w:spacing w:after="0" w:line="150" w:lineRule="exact"/>
        <w:rPr>
          <w:sz w:val="20"/>
          <w:szCs w:val="20"/>
          <w:color w:val="auto"/>
        </w:rPr>
      </w:pPr>
    </w:p>
    <w:p>
      <w:pPr>
        <w:ind w:left="1162" w:right="140" w:hanging="586"/>
        <w:spacing w:after="0" w:line="285" w:lineRule="auto"/>
        <w:tabs>
          <w:tab w:leader="none" w:pos="1142" w:val="left"/>
        </w:tabs>
        <w:rPr>
          <w:sz w:val="20"/>
          <w:szCs w:val="20"/>
          <w:color w:val="auto"/>
        </w:rPr>
      </w:pPr>
      <w:r>
        <w:rPr>
          <w:rFonts w:ascii="Arial" w:cs="Arial" w:eastAsia="Arial" w:hAnsi="Arial"/>
          <w:sz w:val="16"/>
          <w:szCs w:val="16"/>
          <w:color w:val="auto"/>
        </w:rPr>
        <w:t>13.3.1</w:t>
        <w:tab/>
        <w:t>it is actually received (or, in the case of an Electronic Communication, opened) by the secretary of the Company or such other individual as may from time to lime be nominated by the Company and whose name and address has been notified to the Option Holder; or</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13.3.2</w:t>
      </w:r>
      <w:r>
        <w:rPr>
          <w:sz w:val="20"/>
          <w:szCs w:val="20"/>
          <w:color w:val="auto"/>
        </w:rPr>
        <w:tab/>
      </w:r>
      <w:r>
        <w:rPr>
          <w:rFonts w:ascii="Arial" w:cs="Arial" w:eastAsia="Arial" w:hAnsi="Arial"/>
          <w:sz w:val="15"/>
          <w:szCs w:val="15"/>
          <w:color w:val="auto"/>
        </w:rPr>
        <w:t>if given by Electronic Communication, it includes a digitally encrypted signature of the Option Holder.</w:t>
      </w:r>
    </w:p>
    <w:p>
      <w:pPr>
        <w:spacing w:after="0" w:line="207" w:lineRule="exact"/>
        <w:rPr>
          <w:sz w:val="20"/>
          <w:szCs w:val="20"/>
          <w:color w:val="auto"/>
        </w:rPr>
      </w:pPr>
    </w:p>
    <w:p>
      <w:pPr>
        <w:ind w:left="582" w:right="540" w:hanging="586"/>
        <w:spacing w:after="0" w:line="270" w:lineRule="auto"/>
        <w:tabs>
          <w:tab w:leader="none" w:pos="562"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For the purposes of this Share Option Contract, an Electronic Communication shall be treated as not having been duly made or received if it contains, or is accompanied by a warning or caution that it could contain or be subject to, a virus or other computer program which could alter, damage or interfere with any computer software or Electronic Communication.</w:t>
      </w:r>
    </w:p>
    <w:p>
      <w:pPr>
        <w:spacing w:after="0" w:line="158" w:lineRule="exact"/>
        <w:rPr>
          <w:sz w:val="20"/>
          <w:szCs w:val="20"/>
          <w:color w:val="auto"/>
        </w:rPr>
      </w:pPr>
    </w:p>
    <w:p>
      <w:pPr>
        <w:ind w:left="582" w:hanging="582"/>
        <w:spacing w:after="0"/>
        <w:tabs>
          <w:tab w:leader="none" w:pos="582" w:val="left"/>
        </w:tabs>
        <w:numPr>
          <w:ilvl w:val="0"/>
          <w:numId w:val="296"/>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JURISDICTION AND SERVICE OF PROCESS</w:t>
      </w:r>
    </w:p>
    <w:p>
      <w:pPr>
        <w:spacing w:after="0" w:line="211" w:lineRule="exact"/>
        <w:rPr>
          <w:rFonts w:ascii="Arial" w:cs="Arial" w:eastAsia="Arial" w:hAnsi="Arial"/>
          <w:sz w:val="16"/>
          <w:szCs w:val="16"/>
          <w:b w:val="1"/>
          <w:bCs w:val="1"/>
          <w:color w:val="auto"/>
        </w:rPr>
      </w:pPr>
    </w:p>
    <w:p>
      <w:pPr>
        <w:ind w:left="582" w:right="180"/>
        <w:spacing w:after="0" w:line="320" w:lineRule="auto"/>
        <w:rPr>
          <w:rFonts w:ascii="Arial" w:cs="Arial" w:eastAsia="Arial" w:hAnsi="Arial"/>
          <w:sz w:val="16"/>
          <w:szCs w:val="16"/>
          <w:b w:val="1"/>
          <w:bCs w:val="1"/>
          <w:color w:val="auto"/>
        </w:rPr>
      </w:pPr>
      <w:r>
        <w:rPr>
          <w:rFonts w:ascii="Arial" w:cs="Arial" w:eastAsia="Arial" w:hAnsi="Arial"/>
          <w:sz w:val="15"/>
          <w:szCs w:val="15"/>
          <w:color w:val="auto"/>
        </w:rPr>
        <w:t>This Share Option Contract shall be governed by, and construed in accordance with, English law and each party irrevocably agrees that the Courts of England shall have exclusive jurisdiction in relation to any claim, dispute or difference concerning this Share Option Contract and any matter arising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802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402" w:name="page403"/>
    <w:bookmarkEnd w:id="402"/>
    <w:p>
      <w:pPr>
        <w:spacing w:after="0"/>
        <w:rPr>
          <w:sz w:val="20"/>
          <w:szCs w:val="20"/>
          <w:color w:val="auto"/>
        </w:rPr>
      </w:pPr>
      <w:r>
        <w:rPr>
          <w:rFonts w:ascii="Arial" w:cs="Arial" w:eastAsia="Arial" w:hAnsi="Arial"/>
          <w:sz w:val="15"/>
          <w:szCs w:val="15"/>
          <w:b w:val="1"/>
          <w:bCs w:val="1"/>
          <w:color w:val="auto"/>
        </w:rPr>
        <w:t xml:space="preserve">EXECUTED AS A DEED </w:t>
      </w:r>
      <w:r>
        <w:rPr>
          <w:rFonts w:ascii="Arial" w:cs="Arial" w:eastAsia="Arial" w:hAnsi="Arial"/>
          <w:sz w:val="15"/>
          <w:szCs w:val="15"/>
          <w:color w:val="auto"/>
        </w:rPr>
        <w:t>by the parties on the date which first appears in this Share Option Contract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Executed as a deed 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Bicycle Therapeutics Limited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Acting by Kevin Lee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CEO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-115570</wp:posOffset>
            </wp:positionV>
            <wp:extent cx="362585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the presence of:</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15240</wp:posOffset>
            </wp:positionV>
            <wp:extent cx="362585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Address of witness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Occupation of witness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Executed as a deed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263525</wp:posOffset>
            </wp:positionV>
            <wp:extent cx="725932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In the presence of:</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15240</wp:posOffset>
            </wp:positionV>
            <wp:extent cx="362585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Name of witness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Address of witness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Occupation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802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219"/>
          </w:cols>
          <w:pgMar w:left="240" w:top="318" w:right="1440" w:bottom="1440" w:gutter="0" w:footer="0" w:header="0"/>
        </w:sectPr>
      </w:pPr>
    </w:p>
    <w:bookmarkStart w:id="403" w:name="page404"/>
    <w:bookmarkEnd w:id="403"/>
    <w:p>
      <w:pPr>
        <w:jc w:val="center"/>
        <w:spacing w:after="0"/>
        <w:rPr>
          <w:sz w:val="20"/>
          <w:szCs w:val="20"/>
          <w:color w:val="auto"/>
        </w:rPr>
      </w:pPr>
      <w:r>
        <w:rPr>
          <w:rFonts w:ascii="Arial" w:cs="Arial" w:eastAsia="Arial" w:hAnsi="Arial"/>
          <w:sz w:val="16"/>
          <w:szCs w:val="16"/>
          <w:b w:val="1"/>
          <w:bCs w:val="1"/>
          <w:color w:val="auto"/>
        </w:rPr>
        <w:t>SCHEDULE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EXERCISE OF EXERCISE OF SHARE OPTION</w:t>
      </w:r>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auto"/>
        </w:rPr>
        <w:t>TO:</w:t>
      </w:r>
      <w:r>
        <w:rPr>
          <w:sz w:val="20"/>
          <w:szCs w:val="20"/>
          <w:color w:val="auto"/>
        </w:rPr>
        <w:tab/>
      </w:r>
      <w:r>
        <w:rPr>
          <w:rFonts w:ascii="Arial" w:cs="Arial" w:eastAsia="Arial" w:hAnsi="Arial"/>
          <w:sz w:val="16"/>
          <w:szCs w:val="16"/>
          <w:b w:val="1"/>
          <w:bCs w:val="1"/>
          <w:color w:val="auto"/>
        </w:rPr>
        <w:t>BICYCLE THERAPEUTICS LIMITED</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Company Secretary Building 900</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Babraham Research Campus</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Babraham</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Cambridge</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CB22 3AT</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 the Option Holder, give notice under Clause 9.1 of the Share Option Contract between myself and the Company, dated [·] (the “</w:t>
      </w:r>
      <w:r>
        <w:rPr>
          <w:rFonts w:ascii="Arial" w:cs="Arial" w:eastAsia="Arial" w:hAnsi="Arial"/>
          <w:sz w:val="16"/>
          <w:szCs w:val="16"/>
          <w:b w:val="1"/>
          <w:bCs w:val="1"/>
          <w:color w:val="auto"/>
        </w:rPr>
        <w:t>Contract</w:t>
      </w:r>
      <w:r>
        <w:rPr>
          <w:rFonts w:ascii="Arial" w:cs="Arial" w:eastAsia="Arial" w:hAnsi="Arial"/>
          <w:sz w:val="16"/>
          <w:szCs w:val="16"/>
          <w:color w:val="auto"/>
        </w:rPr>
        <w:t>”), to exercise the Option granted in respect of [·] Ordinary Shares (the “</w:t>
      </w:r>
      <w:r>
        <w:rPr>
          <w:rFonts w:ascii="Arial" w:cs="Arial" w:eastAsia="Arial" w:hAnsi="Arial"/>
          <w:sz w:val="16"/>
          <w:szCs w:val="16"/>
          <w:b w:val="1"/>
          <w:bCs w:val="1"/>
          <w:color w:val="auto"/>
        </w:rPr>
        <w:t>Exercised Shares</w:t>
      </w:r>
      <w:r>
        <w:rPr>
          <w:rFonts w:ascii="Arial" w:cs="Arial" w:eastAsia="Arial" w:hAnsi="Arial"/>
          <w:sz w:val="16"/>
          <w:szCs w:val="16"/>
          <w:color w:val="auto"/>
        </w:rPr>
        <w:t>”), and I enclose a cheque for the Exercise Price of £[·].</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Capitalised terms used in this Notice of Exercise but not otherwise defined herein shall have the meanings given to them in the Contract.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Wording which may be included if exercise is effected under Clause 5 of the Contract: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[I have been notified under Clause 5 of the Contract that the Directors believe a Trade Sale is likely to occur (the “</w:t>
      </w:r>
      <w:r>
        <w:rPr>
          <w:rFonts w:ascii="Arial" w:cs="Arial" w:eastAsia="Arial" w:hAnsi="Arial"/>
          <w:sz w:val="15"/>
          <w:szCs w:val="15"/>
          <w:b w:val="1"/>
          <w:bCs w:val="1"/>
          <w:color w:val="auto"/>
        </w:rPr>
        <w:t>Relevant Trade Sale</w:t>
      </w:r>
      <w:r>
        <w:rPr>
          <w:rFonts w:ascii="Arial" w:cs="Arial" w:eastAsia="Arial" w:hAnsi="Arial"/>
          <w:sz w:val="15"/>
          <w:szCs w:val="15"/>
          <w:color w:val="auto"/>
        </w:rPr>
        <w:t>”). I agree and undertake as follows:</w:t>
      </w:r>
    </w:p>
    <w:p>
      <w:pPr>
        <w:spacing w:after="0" w:line="223" w:lineRule="exact"/>
        <w:rPr>
          <w:sz w:val="20"/>
          <w:szCs w:val="20"/>
          <w:color w:val="auto"/>
        </w:rPr>
      </w:pPr>
    </w:p>
    <w:p>
      <w:pPr>
        <w:ind w:left="580" w:hanging="230"/>
        <w:spacing w:after="0"/>
        <w:tabs>
          <w:tab w:leader="none" w:pos="58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 agree that such exercise is conditional on each of the following taking place:</w:t>
      </w:r>
    </w:p>
    <w:p>
      <w:pPr>
        <w:spacing w:after="0" w:line="207"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1.1</w:t>
      </w:r>
      <w:r>
        <w:rPr>
          <w:rFonts w:ascii="Arial" w:cs="Arial" w:eastAsia="Arial" w:hAnsi="Arial"/>
          <w:sz w:val="14"/>
          <w:szCs w:val="14"/>
          <w:color w:val="auto"/>
        </w:rPr>
        <w:t>my signing each of the documents referred to in, and doing each of the things which I undertake to do under, Clause 2 below.</w:t>
      </w:r>
    </w:p>
    <w:p>
      <w:pPr>
        <w:spacing w:after="0" w:line="207"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1.2</w:t>
      </w:r>
      <w:r>
        <w:rPr>
          <w:rFonts w:ascii="Arial" w:cs="Arial" w:eastAsia="Arial" w:hAnsi="Arial"/>
          <w:sz w:val="15"/>
          <w:szCs w:val="15"/>
          <w:color w:val="auto"/>
        </w:rPr>
        <w:t>any conditions of the Relevant Trade Sale being fulfilled or waived satisfactorily</w:t>
      </w:r>
    </w:p>
    <w:p>
      <w:pPr>
        <w:spacing w:after="0" w:line="207" w:lineRule="exact"/>
        <w:rPr>
          <w:rFonts w:ascii="Arial" w:cs="Arial" w:eastAsia="Arial" w:hAnsi="Arial"/>
          <w:sz w:val="16"/>
          <w:szCs w:val="16"/>
          <w:color w:val="auto"/>
        </w:rPr>
      </w:pPr>
    </w:p>
    <w:p>
      <w:pPr>
        <w:ind w:left="580" w:hanging="230"/>
        <w:spacing w:after="0"/>
        <w:tabs>
          <w:tab w:leader="none" w:pos="58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 undertake to the Company as follows:</w:t>
      </w:r>
    </w:p>
    <w:p>
      <w:pPr>
        <w:spacing w:after="0" w:line="207" w:lineRule="exact"/>
        <w:rPr>
          <w:rFonts w:ascii="Arial" w:cs="Arial" w:eastAsia="Arial" w:hAnsi="Arial"/>
          <w:sz w:val="16"/>
          <w:szCs w:val="16"/>
          <w:color w:val="auto"/>
        </w:rPr>
      </w:pPr>
    </w:p>
    <w:p>
      <w:pPr>
        <w:ind w:left="1160" w:right="120" w:hanging="587"/>
        <w:spacing w:after="0" w:line="360" w:lineRule="auto"/>
        <w:rPr>
          <w:rFonts w:ascii="Arial" w:cs="Arial" w:eastAsia="Arial" w:hAnsi="Arial"/>
          <w:sz w:val="16"/>
          <w:szCs w:val="16"/>
          <w:color w:val="auto"/>
        </w:rPr>
      </w:pPr>
      <w:r>
        <w:rPr>
          <w:rFonts w:ascii="Arial" w:cs="Arial" w:eastAsia="Arial" w:hAnsi="Arial"/>
          <w:sz w:val="16"/>
          <w:szCs w:val="16"/>
          <w:color w:val="auto"/>
        </w:rPr>
        <w:t>2.1</w:t>
      </w:r>
      <w:r>
        <w:rPr>
          <w:rFonts w:ascii="Arial" w:cs="Arial" w:eastAsia="Arial" w:hAnsi="Arial"/>
          <w:sz w:val="14"/>
          <w:szCs w:val="14"/>
          <w:color w:val="auto"/>
        </w:rPr>
        <w:t>If requested by Company, to sign prior to completion of the Relevant Trade Sale a power of attorney appointing any director of the Company to sign such documents on my behalf and agree to such things as may reasonably be necessary to complete the sale of my Option Shares under the Relevant Trade Sale;</w:t>
      </w:r>
    </w:p>
    <w:p>
      <w:pPr>
        <w:spacing w:after="0" w:line="103"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2.2</w:t>
      </w:r>
      <w:r>
        <w:rPr>
          <w:rFonts w:ascii="Arial" w:cs="Arial" w:eastAsia="Arial" w:hAnsi="Arial"/>
          <w:sz w:val="14"/>
          <w:szCs w:val="14"/>
          <w:color w:val="auto"/>
        </w:rPr>
        <w:t>To waive any right of pre-emption, class rights or restrictions on transfer in the event of a change of control of the Company.</w:t>
      </w:r>
    </w:p>
    <w:p>
      <w:pPr>
        <w:spacing w:after="0" w:line="207" w:lineRule="exact"/>
        <w:rPr>
          <w:rFonts w:ascii="Arial" w:cs="Arial" w:eastAsia="Arial" w:hAnsi="Arial"/>
          <w:sz w:val="16"/>
          <w:szCs w:val="16"/>
          <w:color w:val="auto"/>
        </w:rPr>
      </w:pPr>
    </w:p>
    <w:p>
      <w:pPr>
        <w:ind w:left="580" w:hanging="230"/>
        <w:spacing w:after="0" w:line="288" w:lineRule="auto"/>
        <w:tabs>
          <w:tab w:leader="none" w:pos="577" w:val="left"/>
        </w:tabs>
        <w:numPr>
          <w:ilvl w:val="0"/>
          <w:numId w:val="297"/>
        </w:numPr>
        <w:rPr>
          <w:rFonts w:ascii="Arial" w:cs="Arial" w:eastAsia="Arial" w:hAnsi="Arial"/>
          <w:sz w:val="15"/>
          <w:szCs w:val="15"/>
          <w:color w:val="auto"/>
        </w:rPr>
      </w:pPr>
      <w:r>
        <w:rPr>
          <w:rFonts w:ascii="Arial" w:cs="Arial" w:eastAsia="Arial" w:hAnsi="Arial"/>
          <w:sz w:val="15"/>
          <w:szCs w:val="15"/>
          <w:color w:val="auto"/>
        </w:rPr>
        <w:t>I authorise the Company to receive as my agent the proceeds of sale of my Option Shares (“Sale Proceeds”), to deduct from the Sale Proceeds (in accordance with my obligation to indemnify the Company or other company which is my employer for such amounts) such sum (if any) as is required to enable the Company or any other company which is my employer to pay the aggregate Exercise Price (to the extent not already paid by me) and any Option Tax Liability arising as a result of the exercise of my options and to pay or transfer to me the balance of the Sale Proceeds after those deductions.]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Wording which may be included if exercise is effected after completion of a Trade Sale: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have been notified that a Trade Sale has been completed on [date] (the “Relevant Trade Sale”). I agree and undertake as follows:</w:t>
      </w:r>
    </w:p>
    <w:p>
      <w:pPr>
        <w:spacing w:after="0" w:line="207" w:lineRule="exact"/>
        <w:rPr>
          <w:sz w:val="20"/>
          <w:szCs w:val="20"/>
          <w:color w:val="auto"/>
        </w:rPr>
      </w:pPr>
    </w:p>
    <w:p>
      <w:pPr>
        <w:ind w:left="580" w:right="340" w:hanging="230"/>
        <w:spacing w:after="0" w:line="285" w:lineRule="auto"/>
        <w:tabs>
          <w:tab w:leader="none" w:pos="577" w:val="left"/>
        </w:tabs>
        <w:numPr>
          <w:ilvl w:val="0"/>
          <w:numId w:val="298"/>
        </w:numPr>
        <w:rPr>
          <w:rFonts w:ascii="Arial" w:cs="Arial" w:eastAsia="Arial" w:hAnsi="Arial"/>
          <w:sz w:val="16"/>
          <w:szCs w:val="16"/>
          <w:color w:val="auto"/>
        </w:rPr>
      </w:pPr>
      <w:r>
        <w:rPr>
          <w:rFonts w:ascii="Arial" w:cs="Arial" w:eastAsia="Arial" w:hAnsi="Arial"/>
          <w:sz w:val="16"/>
          <w:szCs w:val="16"/>
          <w:color w:val="auto"/>
        </w:rPr>
        <w:t>I agree that such exercise is conditional on me signing each of the documents referred to in, and doing each of the things which I undertake to do under, Clause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162560</wp:posOffset>
            </wp:positionV>
            <wp:extent cx="72802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404" w:name="page405"/>
    <w:bookmarkEnd w:id="404"/>
    <w:p>
      <w:pPr>
        <w:ind w:left="286" w:hanging="286"/>
        <w:spacing w:after="0"/>
        <w:tabs>
          <w:tab w:leader="none" w:pos="28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I undertake to the Company as follows:</w:t>
      </w:r>
    </w:p>
    <w:p>
      <w:pPr>
        <w:spacing w:after="0" w:line="207" w:lineRule="exact"/>
        <w:rPr>
          <w:rFonts w:ascii="Arial" w:cs="Arial" w:eastAsia="Arial" w:hAnsi="Arial"/>
          <w:sz w:val="16"/>
          <w:szCs w:val="16"/>
          <w:color w:val="auto"/>
        </w:rPr>
      </w:pPr>
    </w:p>
    <w:p>
      <w:pPr>
        <w:ind w:left="886" w:right="60" w:hanging="587"/>
        <w:spacing w:after="0" w:line="285" w:lineRule="auto"/>
        <w:rPr>
          <w:rFonts w:ascii="Arial" w:cs="Arial" w:eastAsia="Arial" w:hAnsi="Arial"/>
          <w:sz w:val="16"/>
          <w:szCs w:val="16"/>
          <w:color w:val="auto"/>
        </w:rPr>
      </w:pPr>
      <w:r>
        <w:rPr>
          <w:rFonts w:ascii="Arial" w:cs="Arial" w:eastAsia="Arial" w:hAnsi="Arial"/>
          <w:sz w:val="16"/>
          <w:szCs w:val="16"/>
          <w:color w:val="auto"/>
        </w:rPr>
        <w:t>2.1if requested by the Company, to sign a power of attorney appointing any director of the Company to sign such documents on my behalf and agree such things as may reasonably be necessary to complete the sale of my Option Shares to the purchaser under the Relevant Trade Sale;</w:t>
      </w:r>
    </w:p>
    <w:p>
      <w:pPr>
        <w:spacing w:after="0" w:line="149" w:lineRule="exact"/>
        <w:rPr>
          <w:rFonts w:ascii="Arial" w:cs="Arial" w:eastAsia="Arial" w:hAnsi="Arial"/>
          <w:sz w:val="16"/>
          <w:szCs w:val="16"/>
          <w:color w:val="auto"/>
        </w:rPr>
      </w:pPr>
    </w:p>
    <w:p>
      <w:pPr>
        <w:ind w:left="286"/>
        <w:spacing w:after="0"/>
        <w:rPr>
          <w:rFonts w:ascii="Arial" w:cs="Arial" w:eastAsia="Arial" w:hAnsi="Arial"/>
          <w:sz w:val="16"/>
          <w:szCs w:val="16"/>
          <w:color w:val="auto"/>
        </w:rPr>
      </w:pPr>
      <w:r>
        <w:rPr>
          <w:rFonts w:ascii="Arial" w:cs="Arial" w:eastAsia="Arial" w:hAnsi="Arial"/>
          <w:sz w:val="16"/>
          <w:szCs w:val="16"/>
          <w:color w:val="auto"/>
        </w:rPr>
        <w:t>2.2</w:t>
      </w:r>
      <w:r>
        <w:rPr>
          <w:rFonts w:ascii="Arial" w:cs="Arial" w:eastAsia="Arial" w:hAnsi="Arial"/>
          <w:sz w:val="14"/>
          <w:szCs w:val="14"/>
          <w:color w:val="auto"/>
        </w:rPr>
        <w:t>To waive any right of pre-emption, class rights or restrictions on transfer in the event of a change of control of the Company.</w:t>
      </w:r>
    </w:p>
    <w:p>
      <w:pPr>
        <w:spacing w:after="0" w:line="203" w:lineRule="exact"/>
        <w:rPr>
          <w:rFonts w:ascii="Arial" w:cs="Arial" w:eastAsia="Arial" w:hAnsi="Arial"/>
          <w:sz w:val="16"/>
          <w:szCs w:val="16"/>
          <w:color w:val="auto"/>
        </w:rPr>
      </w:pPr>
    </w:p>
    <w:p>
      <w:pPr>
        <w:ind w:left="286" w:hanging="286"/>
        <w:spacing w:after="0" w:line="267" w:lineRule="auto"/>
        <w:tabs>
          <w:tab w:leader="none" w:pos="28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I authorise the Company to receive as my agent the proceeds of sale of my Option Shares (“</w:t>
      </w:r>
      <w:r>
        <w:rPr>
          <w:rFonts w:ascii="Arial" w:cs="Arial" w:eastAsia="Arial" w:hAnsi="Arial"/>
          <w:sz w:val="16"/>
          <w:szCs w:val="16"/>
          <w:b w:val="1"/>
          <w:bCs w:val="1"/>
          <w:color w:val="auto"/>
        </w:rPr>
        <w:t>Sale Proceeds</w:t>
      </w:r>
      <w:r>
        <w:rPr>
          <w:rFonts w:ascii="Arial" w:cs="Arial" w:eastAsia="Arial" w:hAnsi="Arial"/>
          <w:sz w:val="16"/>
          <w:szCs w:val="16"/>
          <w:color w:val="auto"/>
        </w:rPr>
        <w:t>”) and to deduct from the Sale Proceeds, (in accordance with my obligation to indemnify the Company or other company which is my employer for such amounts) such sum (if any) as is required to enable the Company or any other company which is my employer to pay the aggregate Exercise Price (to the extent not already paid by me) and any Option Tax Liability arising as a result of the exercise of my options and to pay or transfer to me the balance of the Sale Proceeds after those deductions.]</w:t>
      </w:r>
    </w:p>
    <w:p>
      <w:pPr>
        <w:spacing w:after="0" w:line="163" w:lineRule="exact"/>
        <w:rPr>
          <w:sz w:val="20"/>
          <w:szCs w:val="20"/>
          <w:color w:val="auto"/>
        </w:rPr>
      </w:pPr>
    </w:p>
    <w:p>
      <w:pPr>
        <w:ind w:left="6"/>
        <w:spacing w:after="0"/>
        <w:rPr>
          <w:sz w:val="20"/>
          <w:szCs w:val="20"/>
          <w:color w:val="auto"/>
        </w:rPr>
      </w:pPr>
      <w:r>
        <w:rPr>
          <w:rFonts w:ascii="Arial" w:cs="Arial" w:eastAsia="Arial" w:hAnsi="Arial"/>
          <w:sz w:val="16"/>
          <w:szCs w:val="16"/>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15240</wp:posOffset>
            </wp:positionV>
            <wp:extent cx="2779395"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779395" cy="7620"/>
                    </a:xfrm>
                    <a:prstGeom prst="rect">
                      <a:avLst/>
                    </a:prstGeom>
                    <a:noFill/>
                  </pic:spPr>
                </pic:pic>
              </a:graphicData>
            </a:graphic>
          </wp:anchor>
        </w:drawing>
      </w:r>
    </w:p>
    <w:p>
      <w:pPr>
        <w:spacing w:after="0" w:line="187"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Print name:</w:t>
      </w:r>
    </w:p>
    <w:p>
      <w:pPr>
        <w:spacing w:after="0" w:line="207"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15240</wp:posOffset>
            </wp:positionV>
            <wp:extent cx="2779395"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779395" cy="762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207010</wp:posOffset>
            </wp:positionV>
            <wp:extent cx="72802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206"/>
          </w:cols>
          <w:pgMar w:left="414" w:top="322" w:right="279" w:bottom="1440" w:gutter="0" w:footer="0" w:header="0"/>
        </w:sectPr>
      </w:pPr>
    </w:p>
    <w:bookmarkStart w:id="405" w:name="page406"/>
    <w:bookmarkEnd w:id="405"/>
    <w:p>
      <w:pPr>
        <w:jc w:val="right"/>
        <w:spacing w:after="0"/>
        <w:rPr>
          <w:sz w:val="20"/>
          <w:szCs w:val="20"/>
          <w:color w:val="auto"/>
        </w:rPr>
      </w:pPr>
      <w:r>
        <w:rPr>
          <w:rFonts w:ascii="Arial" w:cs="Arial" w:eastAsia="Arial" w:hAnsi="Arial"/>
          <w:sz w:val="16"/>
          <w:szCs w:val="16"/>
          <w:b w:val="1"/>
          <w:bCs w:val="1"/>
          <w:color w:val="auto"/>
        </w:rPr>
        <w:t>Exhibit 10.13</w:t>
      </w:r>
    </w:p>
    <w:p>
      <w:pPr>
        <w:spacing w:after="0" w:line="211"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DATE: 2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154940</wp:posOffset>
            </wp:positionV>
            <wp:extent cx="725932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UNDERLEASE OF GROUND AND FIRST FLOOR PREMISES BUILDING 900</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BABRAHAM RESEARCH CAMPUS BABRAHAM CAMBRIDGE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139700</wp:posOffset>
            </wp:positionV>
            <wp:extent cx="725932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396"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Between</w:t>
      </w:r>
    </w:p>
    <w:p>
      <w:pPr>
        <w:spacing w:after="0" w:line="207" w:lineRule="exact"/>
        <w:rPr>
          <w:sz w:val="20"/>
          <w:szCs w:val="20"/>
          <w:color w:val="auto"/>
        </w:rPr>
      </w:pPr>
    </w:p>
    <w:p>
      <w:pPr>
        <w:ind w:left="4440" w:right="4680" w:hanging="2781"/>
        <w:spacing w:after="0" w:line="510" w:lineRule="auto"/>
        <w:tabs>
          <w:tab w:leader="none" w:pos="2253"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IMPERIAL COLLEGE THINKSPACE LIMITED and</w:t>
      </w:r>
    </w:p>
    <w:p>
      <w:pPr>
        <w:ind w:left="4440" w:right="4420" w:hanging="2781"/>
        <w:spacing w:after="0" w:line="510" w:lineRule="auto"/>
        <w:tabs>
          <w:tab w:leader="none" w:pos="2253" w:val="left"/>
        </w:tabs>
        <w:numPr>
          <w:ilvl w:val="0"/>
          <w:numId w:val="300"/>
        </w:numPr>
        <w:rPr>
          <w:rFonts w:ascii="Arial" w:cs="Arial" w:eastAsia="Arial" w:hAnsi="Arial"/>
          <w:sz w:val="16"/>
          <w:szCs w:val="16"/>
          <w:color w:val="auto"/>
        </w:rPr>
      </w:pPr>
      <w:r>
        <w:rPr>
          <w:rFonts w:ascii="Arial" w:cs="Arial" w:eastAsia="Arial" w:hAnsi="Arial"/>
          <w:sz w:val="16"/>
          <w:szCs w:val="16"/>
          <w:color w:val="auto"/>
        </w:rPr>
        <w:t>CONVERGENCE PHARMACEUTICALS LIMITED and</w:t>
      </w:r>
    </w:p>
    <w:p>
      <w:pPr>
        <w:ind w:left="2260" w:hanging="601"/>
        <w:spacing w:after="0"/>
        <w:tabs>
          <w:tab w:leader="none" w:pos="226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BIOGEN IDEC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154940</wp:posOffset>
            </wp:positionV>
            <wp:extent cx="725932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CMS Cameron McKenna LLP</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Cannon Place</w:t>
      </w:r>
    </w:p>
    <w:p>
      <w:pPr>
        <w:spacing w:after="0" w:line="12"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78 Cannon Street</w:t>
      </w:r>
    </w:p>
    <w:p>
      <w:pPr>
        <w:spacing w:after="0" w:line="12"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London EC4A 6AF</w:t>
      </w:r>
    </w:p>
    <w:p>
      <w:pPr>
        <w:spacing w:after="0" w:line="12"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 +44 20 7367 3000</w:t>
      </w:r>
    </w:p>
    <w:p>
      <w:pPr>
        <w:spacing w:after="0" w:line="12"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F +44 20 7367 2000</w:t>
      </w:r>
    </w:p>
    <w:p>
      <w:pPr>
        <w:spacing w:after="0" w:line="12"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Reference: KTBR/MRH/101433.00238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191770</wp:posOffset>
            </wp:positionV>
            <wp:extent cx="72802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240"/>
          </w:cols>
          <w:pgMar w:left="1440" w:top="343" w:right="219" w:bottom="1440" w:gutter="0" w:footer="0" w:header="0"/>
        </w:sectPr>
      </w:pPr>
    </w:p>
    <w:bookmarkStart w:id="406" w:name="page407"/>
    <w:bookmarkEnd w:id="406"/>
    <w:tbl>
      <w:tblPr>
        <w:tblLayout w:type="fixed"/>
        <w:tblInd w:w="0" w:type="dxa"/>
        <w:tblCellMar>
          <w:top w:w="0" w:type="dxa"/>
          <w:left w:w="0" w:type="dxa"/>
          <w:bottom w:w="0" w:type="dxa"/>
          <w:right w:w="0" w:type="dxa"/>
        </w:tblCellMar>
      </w:tblPr>
      <w:tr>
        <w:trPr>
          <w:trHeight w:val="211"/>
        </w:trPr>
        <w:tc>
          <w:tcPr>
            <w:tcW w:w="780" w:type="dxa"/>
            <w:vAlign w:val="bottom"/>
          </w:tcPr>
          <w:p>
            <w:pPr>
              <w:spacing w:after="0"/>
              <w:rPr>
                <w:sz w:val="18"/>
                <w:szCs w:val="18"/>
                <w:color w:val="auto"/>
              </w:rPr>
            </w:pPr>
          </w:p>
        </w:tc>
        <w:tc>
          <w:tcPr>
            <w:tcW w:w="8460" w:type="dxa"/>
            <w:vAlign w:val="bottom"/>
          </w:tcPr>
          <w:p>
            <w:pPr>
              <w:ind w:left="4320"/>
              <w:spacing w:after="0"/>
              <w:rPr>
                <w:sz w:val="20"/>
                <w:szCs w:val="20"/>
                <w:color w:val="auto"/>
              </w:rPr>
            </w:pPr>
            <w:r>
              <w:rPr>
                <w:rFonts w:ascii="Arial" w:cs="Arial" w:eastAsia="Arial" w:hAnsi="Arial"/>
                <w:sz w:val="16"/>
                <w:szCs w:val="16"/>
                <w:b w:val="1"/>
                <w:bCs w:val="1"/>
                <w:color w:val="auto"/>
              </w:rPr>
              <w:t>Table of Contents</w:t>
            </w:r>
          </w:p>
        </w:tc>
        <w:tc>
          <w:tcPr>
            <w:tcW w:w="2220" w:type="dxa"/>
            <w:vAlign w:val="bottom"/>
          </w:tcPr>
          <w:p>
            <w:pPr>
              <w:spacing w:after="0"/>
              <w:rPr>
                <w:sz w:val="18"/>
                <w:szCs w:val="18"/>
                <w:color w:val="auto"/>
              </w:rPr>
            </w:pPr>
          </w:p>
        </w:tc>
      </w:tr>
      <w:tr>
        <w:trPr>
          <w:trHeight w:val="391"/>
        </w:trPr>
        <w:tc>
          <w:tcPr>
            <w:tcW w:w="9240" w:type="dxa"/>
            <w:vAlign w:val="bottom"/>
            <w:gridSpan w:val="2"/>
          </w:tcPr>
          <w:p>
            <w:pPr>
              <w:spacing w:after="0"/>
              <w:rPr>
                <w:sz w:val="20"/>
                <w:szCs w:val="20"/>
                <w:color w:val="auto"/>
              </w:rPr>
            </w:pPr>
            <w:r>
              <w:rPr>
                <w:rFonts w:ascii="Arial" w:cs="Arial" w:eastAsia="Arial" w:hAnsi="Arial"/>
                <w:sz w:val="16"/>
                <w:szCs w:val="16"/>
                <w:color w:val="auto"/>
              </w:rPr>
              <w:t>LAND REGISTRY PRESCRIBED CLAUSES</w:t>
            </w:r>
          </w:p>
        </w:tc>
        <w:tc>
          <w:tcPr>
            <w:tcW w:w="2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80"/>
        </w:trPr>
        <w:tc>
          <w:tcPr>
            <w:tcW w:w="780" w:type="dxa"/>
            <w:vAlign w:val="bottom"/>
          </w:tcPr>
          <w:p>
            <w:pPr>
              <w:spacing w:after="0"/>
              <w:rPr>
                <w:sz w:val="20"/>
                <w:szCs w:val="20"/>
                <w:color w:val="auto"/>
              </w:rPr>
            </w:pPr>
            <w:r>
              <w:rPr>
                <w:rFonts w:ascii="Arial" w:cs="Arial" w:eastAsia="Arial" w:hAnsi="Arial"/>
                <w:sz w:val="16"/>
                <w:szCs w:val="16"/>
                <w:color w:val="auto"/>
              </w:rPr>
              <w:t>1.</w:t>
            </w:r>
          </w:p>
        </w:tc>
        <w:tc>
          <w:tcPr>
            <w:tcW w:w="8460" w:type="dxa"/>
            <w:vAlign w:val="bottom"/>
          </w:tcPr>
          <w:p>
            <w:pPr>
              <w:ind w:left="80"/>
              <w:spacing w:after="0"/>
              <w:rPr>
                <w:sz w:val="20"/>
                <w:szCs w:val="20"/>
                <w:color w:val="auto"/>
              </w:rPr>
            </w:pPr>
            <w:r>
              <w:rPr>
                <w:rFonts w:ascii="Arial" w:cs="Arial" w:eastAsia="Arial" w:hAnsi="Arial"/>
                <w:sz w:val="16"/>
                <w:szCs w:val="16"/>
                <w:color w:val="auto"/>
              </w:rPr>
              <w:t>Definitions and interpretation</w:t>
            </w:r>
          </w:p>
        </w:tc>
        <w:tc>
          <w:tcPr>
            <w:tcW w:w="2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6"/>
        </w:trPr>
        <w:tc>
          <w:tcPr>
            <w:tcW w:w="780" w:type="dxa"/>
            <w:vAlign w:val="bottom"/>
          </w:tcPr>
          <w:p>
            <w:pPr>
              <w:spacing w:after="0"/>
              <w:rPr>
                <w:sz w:val="20"/>
                <w:szCs w:val="20"/>
                <w:color w:val="auto"/>
              </w:rPr>
            </w:pPr>
            <w:r>
              <w:rPr>
                <w:rFonts w:ascii="Arial" w:cs="Arial" w:eastAsia="Arial" w:hAnsi="Arial"/>
                <w:sz w:val="16"/>
                <w:szCs w:val="16"/>
                <w:color w:val="auto"/>
              </w:rPr>
              <w:t>3.</w:t>
            </w:r>
          </w:p>
        </w:tc>
        <w:tc>
          <w:tcPr>
            <w:tcW w:w="8460" w:type="dxa"/>
            <w:vAlign w:val="bottom"/>
          </w:tcPr>
          <w:p>
            <w:pPr>
              <w:ind w:left="80"/>
              <w:spacing w:after="0"/>
              <w:rPr>
                <w:sz w:val="20"/>
                <w:szCs w:val="20"/>
                <w:color w:val="auto"/>
              </w:rPr>
            </w:pPr>
            <w:r>
              <w:rPr>
                <w:rFonts w:ascii="Arial" w:cs="Arial" w:eastAsia="Arial" w:hAnsi="Arial"/>
                <w:sz w:val="16"/>
                <w:szCs w:val="16"/>
                <w:color w:val="auto"/>
              </w:rPr>
              <w:t>Tenant’s covenants</w:t>
            </w:r>
          </w:p>
        </w:tc>
        <w:tc>
          <w:tcPr>
            <w:tcW w:w="2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780" w:type="dxa"/>
            <w:vAlign w:val="bottom"/>
          </w:tcPr>
          <w:p>
            <w:pPr>
              <w:spacing w:after="0"/>
              <w:rPr>
                <w:sz w:val="20"/>
                <w:szCs w:val="20"/>
                <w:color w:val="auto"/>
              </w:rPr>
            </w:pPr>
            <w:r>
              <w:rPr>
                <w:rFonts w:ascii="Arial" w:cs="Arial" w:eastAsia="Arial" w:hAnsi="Arial"/>
                <w:sz w:val="16"/>
                <w:szCs w:val="16"/>
                <w:color w:val="auto"/>
              </w:rPr>
              <w:t>4.</w:t>
            </w:r>
          </w:p>
        </w:tc>
        <w:tc>
          <w:tcPr>
            <w:tcW w:w="8460" w:type="dxa"/>
            <w:vAlign w:val="bottom"/>
          </w:tcPr>
          <w:p>
            <w:pPr>
              <w:ind w:left="80"/>
              <w:spacing w:after="0"/>
              <w:rPr>
                <w:sz w:val="20"/>
                <w:szCs w:val="20"/>
                <w:color w:val="auto"/>
              </w:rPr>
            </w:pPr>
            <w:r>
              <w:rPr>
                <w:rFonts w:ascii="Arial" w:cs="Arial" w:eastAsia="Arial" w:hAnsi="Arial"/>
                <w:sz w:val="16"/>
                <w:szCs w:val="16"/>
                <w:color w:val="auto"/>
              </w:rPr>
              <w:t>Landlord’s covenants</w:t>
            </w:r>
          </w:p>
        </w:tc>
        <w:tc>
          <w:tcPr>
            <w:tcW w:w="2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780" w:type="dxa"/>
            <w:vAlign w:val="bottom"/>
          </w:tcPr>
          <w:p>
            <w:pPr>
              <w:spacing w:after="0"/>
              <w:rPr>
                <w:sz w:val="20"/>
                <w:szCs w:val="20"/>
                <w:color w:val="auto"/>
              </w:rPr>
            </w:pPr>
            <w:r>
              <w:rPr>
                <w:rFonts w:ascii="Arial" w:cs="Arial" w:eastAsia="Arial" w:hAnsi="Arial"/>
                <w:sz w:val="16"/>
                <w:szCs w:val="16"/>
                <w:color w:val="auto"/>
              </w:rPr>
              <w:t>5.</w:t>
            </w:r>
          </w:p>
        </w:tc>
        <w:tc>
          <w:tcPr>
            <w:tcW w:w="8460" w:type="dxa"/>
            <w:vAlign w:val="bottom"/>
          </w:tcPr>
          <w:p>
            <w:pPr>
              <w:ind w:left="80"/>
              <w:spacing w:after="0"/>
              <w:rPr>
                <w:sz w:val="20"/>
                <w:szCs w:val="20"/>
                <w:color w:val="auto"/>
              </w:rPr>
            </w:pPr>
            <w:r>
              <w:rPr>
                <w:rFonts w:ascii="Arial" w:cs="Arial" w:eastAsia="Arial" w:hAnsi="Arial"/>
                <w:sz w:val="16"/>
                <w:szCs w:val="16"/>
                <w:color w:val="auto"/>
              </w:rPr>
              <w:t>Provisos</w:t>
            </w:r>
          </w:p>
        </w:tc>
        <w:tc>
          <w:tcPr>
            <w:tcW w:w="2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780" w:type="dxa"/>
            <w:vAlign w:val="bottom"/>
          </w:tcPr>
          <w:p>
            <w:pPr>
              <w:spacing w:after="0"/>
              <w:rPr>
                <w:sz w:val="20"/>
                <w:szCs w:val="20"/>
                <w:color w:val="auto"/>
              </w:rPr>
            </w:pPr>
            <w:r>
              <w:rPr>
                <w:rFonts w:ascii="Arial" w:cs="Arial" w:eastAsia="Arial" w:hAnsi="Arial"/>
                <w:sz w:val="16"/>
                <w:szCs w:val="16"/>
                <w:color w:val="auto"/>
              </w:rPr>
              <w:t>6.</w:t>
            </w:r>
          </w:p>
        </w:tc>
        <w:tc>
          <w:tcPr>
            <w:tcW w:w="8460" w:type="dxa"/>
            <w:vAlign w:val="bottom"/>
          </w:tcPr>
          <w:p>
            <w:pPr>
              <w:ind w:left="80"/>
              <w:spacing w:after="0"/>
              <w:rPr>
                <w:sz w:val="20"/>
                <w:szCs w:val="20"/>
                <w:color w:val="auto"/>
              </w:rPr>
            </w:pPr>
            <w:r>
              <w:rPr>
                <w:rFonts w:ascii="Arial" w:cs="Arial" w:eastAsia="Arial" w:hAnsi="Arial"/>
                <w:sz w:val="16"/>
                <w:szCs w:val="16"/>
                <w:color w:val="auto"/>
              </w:rPr>
              <w:t>Surety covenants</w:t>
            </w:r>
          </w:p>
        </w:tc>
        <w:tc>
          <w:tcPr>
            <w:tcW w:w="2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780" w:type="dxa"/>
            <w:vAlign w:val="bottom"/>
          </w:tcPr>
          <w:p>
            <w:pPr>
              <w:spacing w:after="0"/>
              <w:rPr>
                <w:sz w:val="20"/>
                <w:szCs w:val="20"/>
                <w:color w:val="auto"/>
              </w:rPr>
            </w:pPr>
            <w:r>
              <w:rPr>
                <w:rFonts w:ascii="Arial" w:cs="Arial" w:eastAsia="Arial" w:hAnsi="Arial"/>
                <w:sz w:val="16"/>
                <w:szCs w:val="16"/>
                <w:color w:val="auto"/>
              </w:rPr>
              <w:t>7.</w:t>
            </w:r>
          </w:p>
        </w:tc>
        <w:tc>
          <w:tcPr>
            <w:tcW w:w="8460" w:type="dxa"/>
            <w:vAlign w:val="bottom"/>
          </w:tcPr>
          <w:p>
            <w:pPr>
              <w:ind w:left="80"/>
              <w:spacing w:after="0"/>
              <w:rPr>
                <w:sz w:val="20"/>
                <w:szCs w:val="20"/>
                <w:color w:val="auto"/>
              </w:rPr>
            </w:pPr>
            <w:r>
              <w:rPr>
                <w:rFonts w:ascii="Arial" w:cs="Arial" w:eastAsia="Arial" w:hAnsi="Arial"/>
                <w:sz w:val="16"/>
                <w:szCs w:val="16"/>
                <w:color w:val="auto"/>
              </w:rPr>
              <w:t>Exclusion of sections 24 - 28 of the 1954 Act</w:t>
            </w:r>
          </w:p>
        </w:tc>
        <w:tc>
          <w:tcPr>
            <w:tcW w:w="22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780" w:type="dxa"/>
            <w:vAlign w:val="bottom"/>
          </w:tcPr>
          <w:p>
            <w:pPr>
              <w:spacing w:after="0"/>
              <w:rPr>
                <w:sz w:val="20"/>
                <w:szCs w:val="20"/>
                <w:color w:val="auto"/>
              </w:rPr>
            </w:pPr>
            <w:r>
              <w:rPr>
                <w:rFonts w:ascii="Arial" w:cs="Arial" w:eastAsia="Arial" w:hAnsi="Arial"/>
                <w:sz w:val="16"/>
                <w:szCs w:val="16"/>
                <w:color w:val="auto"/>
              </w:rPr>
              <w:t>8.</w:t>
            </w:r>
          </w:p>
        </w:tc>
        <w:tc>
          <w:tcPr>
            <w:tcW w:w="8460" w:type="dxa"/>
            <w:vAlign w:val="bottom"/>
          </w:tcPr>
          <w:p>
            <w:pPr>
              <w:ind w:left="80"/>
              <w:spacing w:after="0"/>
              <w:rPr>
                <w:sz w:val="20"/>
                <w:szCs w:val="20"/>
                <w:color w:val="auto"/>
              </w:rPr>
            </w:pPr>
            <w:r>
              <w:rPr>
                <w:rFonts w:ascii="Arial" w:cs="Arial" w:eastAsia="Arial" w:hAnsi="Arial"/>
                <w:sz w:val="16"/>
                <w:szCs w:val="16"/>
                <w:color w:val="auto"/>
              </w:rPr>
              <w:t>Tenant’s option to renew</w:t>
            </w:r>
          </w:p>
        </w:tc>
        <w:tc>
          <w:tcPr>
            <w:tcW w:w="22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91"/>
        </w:trPr>
        <w:tc>
          <w:tcPr>
            <w:tcW w:w="780" w:type="dxa"/>
            <w:vAlign w:val="bottom"/>
          </w:tcPr>
          <w:p>
            <w:pPr>
              <w:spacing w:after="0"/>
              <w:rPr>
                <w:sz w:val="20"/>
                <w:szCs w:val="20"/>
                <w:color w:val="auto"/>
              </w:rPr>
            </w:pPr>
            <w:r>
              <w:rPr>
                <w:rFonts w:ascii="Arial" w:cs="Arial" w:eastAsia="Arial" w:hAnsi="Arial"/>
                <w:sz w:val="16"/>
                <w:szCs w:val="16"/>
                <w:color w:val="auto"/>
                <w:w w:val="94"/>
              </w:rPr>
              <w:t>Schedule 1</w:t>
            </w:r>
          </w:p>
        </w:tc>
        <w:tc>
          <w:tcPr>
            <w:tcW w:w="84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80"/>
        </w:trPr>
        <w:tc>
          <w:tcPr>
            <w:tcW w:w="780" w:type="dxa"/>
            <w:vAlign w:val="bottom"/>
          </w:tcPr>
          <w:p>
            <w:pPr>
              <w:spacing w:after="0"/>
              <w:rPr>
                <w:sz w:val="24"/>
                <w:szCs w:val="24"/>
                <w:color w:val="auto"/>
              </w:rPr>
            </w:pPr>
          </w:p>
        </w:tc>
        <w:tc>
          <w:tcPr>
            <w:tcW w:w="8460" w:type="dxa"/>
            <w:vAlign w:val="bottom"/>
          </w:tcPr>
          <w:p>
            <w:pPr>
              <w:ind w:left="80"/>
              <w:spacing w:after="0"/>
              <w:rPr>
                <w:sz w:val="20"/>
                <w:szCs w:val="20"/>
                <w:color w:val="auto"/>
              </w:rPr>
            </w:pPr>
            <w:r>
              <w:rPr>
                <w:rFonts w:ascii="Arial" w:cs="Arial" w:eastAsia="Arial" w:hAnsi="Arial"/>
                <w:sz w:val="16"/>
                <w:szCs w:val="16"/>
                <w:color w:val="auto"/>
              </w:rPr>
              <w:t>Part 1 The Premises</w:t>
            </w:r>
          </w:p>
        </w:tc>
        <w:tc>
          <w:tcPr>
            <w:tcW w:w="22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96"/>
        </w:trPr>
        <w:tc>
          <w:tcPr>
            <w:tcW w:w="780" w:type="dxa"/>
            <w:vAlign w:val="bottom"/>
          </w:tcPr>
          <w:p>
            <w:pPr>
              <w:spacing w:after="0"/>
              <w:rPr>
                <w:sz w:val="17"/>
                <w:szCs w:val="17"/>
                <w:color w:val="auto"/>
              </w:rPr>
            </w:pPr>
          </w:p>
        </w:tc>
        <w:tc>
          <w:tcPr>
            <w:tcW w:w="8460" w:type="dxa"/>
            <w:vAlign w:val="bottom"/>
          </w:tcPr>
          <w:p>
            <w:pPr>
              <w:ind w:left="80"/>
              <w:spacing w:after="0"/>
              <w:rPr>
                <w:sz w:val="20"/>
                <w:szCs w:val="20"/>
                <w:color w:val="auto"/>
              </w:rPr>
            </w:pPr>
            <w:r>
              <w:rPr>
                <w:rFonts w:ascii="Arial" w:cs="Arial" w:eastAsia="Arial" w:hAnsi="Arial"/>
                <w:sz w:val="16"/>
                <w:szCs w:val="16"/>
                <w:color w:val="auto"/>
              </w:rPr>
              <w:t>Part 2 Rights granted</w:t>
            </w:r>
          </w:p>
        </w:tc>
        <w:tc>
          <w:tcPr>
            <w:tcW w:w="22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7"/>
        </w:trPr>
        <w:tc>
          <w:tcPr>
            <w:tcW w:w="780" w:type="dxa"/>
            <w:vAlign w:val="bottom"/>
          </w:tcPr>
          <w:p>
            <w:pPr>
              <w:spacing w:after="0"/>
              <w:rPr>
                <w:sz w:val="18"/>
                <w:szCs w:val="18"/>
                <w:color w:val="auto"/>
              </w:rPr>
            </w:pPr>
          </w:p>
        </w:tc>
        <w:tc>
          <w:tcPr>
            <w:tcW w:w="8460" w:type="dxa"/>
            <w:vAlign w:val="bottom"/>
          </w:tcPr>
          <w:p>
            <w:pPr>
              <w:ind w:left="80"/>
              <w:spacing w:after="0"/>
              <w:rPr>
                <w:sz w:val="20"/>
                <w:szCs w:val="20"/>
                <w:color w:val="auto"/>
              </w:rPr>
            </w:pPr>
            <w:r>
              <w:rPr>
                <w:rFonts w:ascii="Arial" w:cs="Arial" w:eastAsia="Arial" w:hAnsi="Arial"/>
                <w:sz w:val="16"/>
                <w:szCs w:val="16"/>
                <w:color w:val="auto"/>
              </w:rPr>
              <w:t>Part 3 Rights excepted and reserved</w:t>
            </w:r>
          </w:p>
        </w:tc>
        <w:tc>
          <w:tcPr>
            <w:tcW w:w="2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91"/>
        </w:trPr>
        <w:tc>
          <w:tcPr>
            <w:tcW w:w="9240" w:type="dxa"/>
            <w:vAlign w:val="bottom"/>
            <w:gridSpan w:val="2"/>
          </w:tcPr>
          <w:p>
            <w:pPr>
              <w:spacing w:after="0"/>
              <w:rPr>
                <w:sz w:val="20"/>
                <w:szCs w:val="20"/>
                <w:color w:val="auto"/>
              </w:rPr>
            </w:pPr>
            <w:r>
              <w:rPr>
                <w:rFonts w:ascii="Arial" w:cs="Arial" w:eastAsia="Arial" w:hAnsi="Arial"/>
                <w:sz w:val="16"/>
                <w:szCs w:val="16"/>
                <w:color w:val="auto"/>
              </w:rPr>
              <w:t>Schedule 2 Tenant’s covenants</w:t>
            </w:r>
          </w:p>
        </w:tc>
        <w:tc>
          <w:tcPr>
            <w:tcW w:w="2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91"/>
        </w:trPr>
        <w:tc>
          <w:tcPr>
            <w:tcW w:w="9240" w:type="dxa"/>
            <w:vAlign w:val="bottom"/>
            <w:gridSpan w:val="2"/>
          </w:tcPr>
          <w:p>
            <w:pPr>
              <w:spacing w:after="0"/>
              <w:rPr>
                <w:sz w:val="20"/>
                <w:szCs w:val="20"/>
                <w:color w:val="auto"/>
              </w:rPr>
            </w:pPr>
            <w:r>
              <w:rPr>
                <w:rFonts w:ascii="Arial" w:cs="Arial" w:eastAsia="Arial" w:hAnsi="Arial"/>
                <w:sz w:val="16"/>
                <w:szCs w:val="16"/>
                <w:color w:val="auto"/>
              </w:rPr>
              <w:t>Schedule 3 Landlord’s covenants</w:t>
            </w:r>
          </w:p>
        </w:tc>
        <w:tc>
          <w:tcPr>
            <w:tcW w:w="22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91"/>
        </w:trPr>
        <w:tc>
          <w:tcPr>
            <w:tcW w:w="9240" w:type="dxa"/>
            <w:vAlign w:val="bottom"/>
            <w:gridSpan w:val="2"/>
          </w:tcPr>
          <w:p>
            <w:pPr>
              <w:spacing w:after="0"/>
              <w:rPr>
                <w:sz w:val="20"/>
                <w:szCs w:val="20"/>
                <w:color w:val="auto"/>
              </w:rPr>
            </w:pPr>
            <w:r>
              <w:rPr>
                <w:rFonts w:ascii="Arial" w:cs="Arial" w:eastAsia="Arial" w:hAnsi="Arial"/>
                <w:sz w:val="16"/>
                <w:szCs w:val="16"/>
                <w:color w:val="auto"/>
              </w:rPr>
              <w:t>Schedule 4 Provisos</w:t>
            </w:r>
          </w:p>
        </w:tc>
        <w:tc>
          <w:tcPr>
            <w:tcW w:w="22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91"/>
        </w:trPr>
        <w:tc>
          <w:tcPr>
            <w:tcW w:w="9240" w:type="dxa"/>
            <w:vAlign w:val="bottom"/>
            <w:gridSpan w:val="2"/>
          </w:tcPr>
          <w:p>
            <w:pPr>
              <w:spacing w:after="0"/>
              <w:rPr>
                <w:sz w:val="20"/>
                <w:szCs w:val="20"/>
                <w:color w:val="auto"/>
              </w:rPr>
            </w:pPr>
            <w:r>
              <w:rPr>
                <w:rFonts w:ascii="Arial" w:cs="Arial" w:eastAsia="Arial" w:hAnsi="Arial"/>
                <w:sz w:val="16"/>
                <w:szCs w:val="16"/>
                <w:color w:val="auto"/>
              </w:rPr>
              <w:t>Schedule 5 Insurance</w:t>
            </w:r>
          </w:p>
        </w:tc>
        <w:tc>
          <w:tcPr>
            <w:tcW w:w="22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91"/>
        </w:trPr>
        <w:tc>
          <w:tcPr>
            <w:tcW w:w="9240" w:type="dxa"/>
            <w:vAlign w:val="bottom"/>
            <w:gridSpan w:val="2"/>
          </w:tcPr>
          <w:p>
            <w:pPr>
              <w:spacing w:after="0"/>
              <w:rPr>
                <w:sz w:val="20"/>
                <w:szCs w:val="20"/>
                <w:color w:val="auto"/>
              </w:rPr>
            </w:pPr>
            <w:r>
              <w:rPr>
                <w:rFonts w:ascii="Arial" w:cs="Arial" w:eastAsia="Arial" w:hAnsi="Arial"/>
                <w:sz w:val="16"/>
                <w:szCs w:val="16"/>
                <w:color w:val="auto"/>
              </w:rPr>
              <w:t>Schedule 6 The matters and the documents (if any) containing incumbrances to which the Premises are subject</w:t>
            </w:r>
          </w:p>
        </w:tc>
        <w:tc>
          <w:tcPr>
            <w:tcW w:w="22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91"/>
        </w:trPr>
        <w:tc>
          <w:tcPr>
            <w:tcW w:w="9240" w:type="dxa"/>
            <w:vAlign w:val="bottom"/>
            <w:gridSpan w:val="2"/>
          </w:tcPr>
          <w:p>
            <w:pPr>
              <w:spacing w:after="0"/>
              <w:rPr>
                <w:sz w:val="20"/>
                <w:szCs w:val="20"/>
                <w:color w:val="auto"/>
              </w:rPr>
            </w:pPr>
            <w:r>
              <w:rPr>
                <w:rFonts w:ascii="Arial" w:cs="Arial" w:eastAsia="Arial" w:hAnsi="Arial"/>
                <w:sz w:val="16"/>
                <w:szCs w:val="16"/>
                <w:color w:val="auto"/>
              </w:rPr>
              <w:t>Schedule 7 Covenants by Surety</w:t>
            </w:r>
          </w:p>
        </w:tc>
        <w:tc>
          <w:tcPr>
            <w:tcW w:w="22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91"/>
        </w:trPr>
        <w:tc>
          <w:tcPr>
            <w:tcW w:w="9240" w:type="dxa"/>
            <w:vAlign w:val="bottom"/>
            <w:gridSpan w:val="2"/>
          </w:tcPr>
          <w:p>
            <w:pPr>
              <w:spacing w:after="0"/>
              <w:rPr>
                <w:sz w:val="20"/>
                <w:szCs w:val="20"/>
                <w:color w:val="auto"/>
              </w:rPr>
            </w:pPr>
            <w:r>
              <w:rPr>
                <w:rFonts w:ascii="Arial" w:cs="Arial" w:eastAsia="Arial" w:hAnsi="Arial"/>
                <w:sz w:val="16"/>
                <w:szCs w:val="16"/>
                <w:color w:val="auto"/>
              </w:rPr>
              <w:t>Schedule 8 Services and the Service Charge</w:t>
            </w:r>
          </w:p>
        </w:tc>
        <w:tc>
          <w:tcPr>
            <w:tcW w:w="22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80"/>
        </w:trPr>
        <w:tc>
          <w:tcPr>
            <w:tcW w:w="780" w:type="dxa"/>
            <w:vAlign w:val="bottom"/>
          </w:tcPr>
          <w:p>
            <w:pPr>
              <w:spacing w:after="0"/>
              <w:rPr>
                <w:sz w:val="24"/>
                <w:szCs w:val="24"/>
                <w:color w:val="auto"/>
              </w:rPr>
            </w:pPr>
          </w:p>
        </w:tc>
        <w:tc>
          <w:tcPr>
            <w:tcW w:w="8460" w:type="dxa"/>
            <w:vAlign w:val="bottom"/>
          </w:tcPr>
          <w:p>
            <w:pPr>
              <w:ind w:left="80"/>
              <w:spacing w:after="0"/>
              <w:rPr>
                <w:sz w:val="20"/>
                <w:szCs w:val="20"/>
                <w:color w:val="auto"/>
              </w:rPr>
            </w:pPr>
            <w:r>
              <w:rPr>
                <w:rFonts w:ascii="Arial" w:cs="Arial" w:eastAsia="Arial" w:hAnsi="Arial"/>
                <w:sz w:val="16"/>
                <w:szCs w:val="16"/>
                <w:color w:val="auto"/>
              </w:rPr>
              <w:t>Part 1 The Service Charge</w:t>
            </w:r>
          </w:p>
        </w:tc>
        <w:tc>
          <w:tcPr>
            <w:tcW w:w="22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96"/>
        </w:trPr>
        <w:tc>
          <w:tcPr>
            <w:tcW w:w="780" w:type="dxa"/>
            <w:vAlign w:val="bottom"/>
          </w:tcPr>
          <w:p>
            <w:pPr>
              <w:spacing w:after="0"/>
              <w:rPr>
                <w:sz w:val="17"/>
                <w:szCs w:val="17"/>
                <w:color w:val="auto"/>
              </w:rPr>
            </w:pPr>
          </w:p>
        </w:tc>
        <w:tc>
          <w:tcPr>
            <w:tcW w:w="8460" w:type="dxa"/>
            <w:vAlign w:val="bottom"/>
          </w:tcPr>
          <w:p>
            <w:pPr>
              <w:ind w:left="80"/>
              <w:spacing w:after="0"/>
              <w:rPr>
                <w:sz w:val="20"/>
                <w:szCs w:val="20"/>
                <w:color w:val="auto"/>
              </w:rPr>
            </w:pPr>
            <w:r>
              <w:rPr>
                <w:rFonts w:ascii="Arial" w:cs="Arial" w:eastAsia="Arial" w:hAnsi="Arial"/>
                <w:sz w:val="16"/>
                <w:szCs w:val="16"/>
                <w:color w:val="auto"/>
              </w:rPr>
              <w:t>Part 2 The Mandatory Services</w:t>
            </w:r>
          </w:p>
        </w:tc>
        <w:tc>
          <w:tcPr>
            <w:tcW w:w="22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07"/>
        </w:trPr>
        <w:tc>
          <w:tcPr>
            <w:tcW w:w="780" w:type="dxa"/>
            <w:vAlign w:val="bottom"/>
          </w:tcPr>
          <w:p>
            <w:pPr>
              <w:spacing w:after="0"/>
              <w:rPr>
                <w:sz w:val="18"/>
                <w:szCs w:val="18"/>
                <w:color w:val="auto"/>
              </w:rPr>
            </w:pPr>
          </w:p>
        </w:tc>
        <w:tc>
          <w:tcPr>
            <w:tcW w:w="8460" w:type="dxa"/>
            <w:vAlign w:val="bottom"/>
          </w:tcPr>
          <w:p>
            <w:pPr>
              <w:ind w:left="80"/>
              <w:spacing w:after="0"/>
              <w:rPr>
                <w:sz w:val="20"/>
                <w:szCs w:val="20"/>
                <w:color w:val="auto"/>
              </w:rPr>
            </w:pPr>
            <w:r>
              <w:rPr>
                <w:rFonts w:ascii="Arial" w:cs="Arial" w:eastAsia="Arial" w:hAnsi="Arial"/>
                <w:sz w:val="16"/>
                <w:szCs w:val="16"/>
                <w:color w:val="auto"/>
              </w:rPr>
              <w:t>Part 3 The Discretionary Services</w:t>
            </w:r>
          </w:p>
        </w:tc>
        <w:tc>
          <w:tcPr>
            <w:tcW w:w="22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91"/>
        </w:trPr>
        <w:tc>
          <w:tcPr>
            <w:tcW w:w="9240" w:type="dxa"/>
            <w:vAlign w:val="bottom"/>
            <w:gridSpan w:val="2"/>
          </w:tcPr>
          <w:p>
            <w:pPr>
              <w:spacing w:after="0"/>
              <w:rPr>
                <w:sz w:val="20"/>
                <w:szCs w:val="20"/>
                <w:color w:val="auto"/>
              </w:rPr>
            </w:pPr>
            <w:r>
              <w:rPr>
                <w:rFonts w:ascii="Arial" w:cs="Arial" w:eastAsia="Arial" w:hAnsi="Arial"/>
                <w:sz w:val="16"/>
                <w:szCs w:val="16"/>
                <w:color w:val="auto"/>
              </w:rPr>
              <w:t>Schedule 9 Provisions Referred to in Clause 8</w:t>
            </w:r>
          </w:p>
        </w:tc>
        <w:tc>
          <w:tcPr>
            <w:tcW w:w="22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15"/>
        </w:trPr>
        <w:tc>
          <w:tcPr>
            <w:tcW w:w="78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8" w:right="199" w:bottom="1440" w:gutter="0" w:footer="0" w:header="0"/>
        </w:sectPr>
      </w:pPr>
    </w:p>
    <w:bookmarkStart w:id="407" w:name="page408"/>
    <w:bookmarkEnd w:id="407"/>
    <w:tbl>
      <w:tblPr>
        <w:tblLayout w:type="fixed"/>
        <w:tblInd w:w="0" w:type="dxa"/>
        <w:tblCellMar>
          <w:top w:w="0" w:type="dxa"/>
          <w:left w:w="0" w:type="dxa"/>
          <w:bottom w:w="0" w:type="dxa"/>
          <w:right w:w="0" w:type="dxa"/>
        </w:tblCellMar>
      </w:tblPr>
      <w:tr>
        <w:trPr>
          <w:trHeight w:val="211"/>
        </w:trPr>
        <w:tc>
          <w:tcPr>
            <w:tcW w:w="3100" w:type="dxa"/>
            <w:vAlign w:val="bottom"/>
          </w:tcPr>
          <w:p>
            <w:pPr>
              <w:spacing w:after="0"/>
              <w:rPr>
                <w:sz w:val="18"/>
                <w:szCs w:val="18"/>
                <w:color w:val="auto"/>
              </w:rPr>
            </w:pPr>
          </w:p>
        </w:tc>
        <w:tc>
          <w:tcPr>
            <w:tcW w:w="8360" w:type="dxa"/>
            <w:vAlign w:val="bottom"/>
          </w:tcPr>
          <w:p>
            <w:pPr>
              <w:ind w:left="1000"/>
              <w:spacing w:after="0"/>
              <w:rPr>
                <w:sz w:val="20"/>
                <w:szCs w:val="20"/>
                <w:color w:val="auto"/>
              </w:rPr>
            </w:pPr>
            <w:r>
              <w:rPr>
                <w:rFonts w:ascii="Arial" w:cs="Arial" w:eastAsia="Arial" w:hAnsi="Arial"/>
                <w:sz w:val="16"/>
                <w:szCs w:val="16"/>
                <w:b w:val="1"/>
                <w:bCs w:val="1"/>
                <w:color w:val="auto"/>
              </w:rPr>
              <w:t>LAND REGISTRY PRESCRIBED CLAUSES</w:t>
            </w:r>
          </w:p>
        </w:tc>
      </w:tr>
      <w:tr>
        <w:trPr>
          <w:trHeight w:val="391"/>
        </w:trPr>
        <w:tc>
          <w:tcPr>
            <w:tcW w:w="3100" w:type="dxa"/>
            <w:vAlign w:val="bottom"/>
          </w:tcPr>
          <w:p>
            <w:pPr>
              <w:spacing w:after="0"/>
              <w:rPr>
                <w:sz w:val="20"/>
                <w:szCs w:val="20"/>
                <w:color w:val="auto"/>
              </w:rPr>
            </w:pPr>
            <w:r>
              <w:rPr>
                <w:rFonts w:ascii="Arial" w:cs="Arial" w:eastAsia="Arial" w:hAnsi="Arial"/>
                <w:sz w:val="16"/>
                <w:szCs w:val="16"/>
                <w:b w:val="1"/>
                <w:bCs w:val="1"/>
                <w:color w:val="auto"/>
              </w:rPr>
              <w:t>LR1. Date of lease</w:t>
            </w:r>
          </w:p>
        </w:tc>
        <w:tc>
          <w:tcPr>
            <w:tcW w:w="8360" w:type="dxa"/>
            <w:vAlign w:val="bottom"/>
          </w:tcPr>
          <w:p>
            <w:pPr>
              <w:ind w:left="900"/>
              <w:spacing w:after="0"/>
              <w:rPr>
                <w:sz w:val="20"/>
                <w:szCs w:val="20"/>
                <w:color w:val="auto"/>
              </w:rPr>
            </w:pPr>
            <w:r>
              <w:rPr>
                <w:rFonts w:ascii="Arial" w:cs="Arial" w:eastAsia="Arial" w:hAnsi="Arial"/>
                <w:sz w:val="16"/>
                <w:szCs w:val="16"/>
                <w:color w:val="auto"/>
              </w:rPr>
              <w:t>2 March 2017</w:t>
            </w:r>
          </w:p>
        </w:tc>
      </w:tr>
      <w:tr>
        <w:trPr>
          <w:trHeight w:val="380"/>
        </w:trPr>
        <w:tc>
          <w:tcPr>
            <w:tcW w:w="3100" w:type="dxa"/>
            <w:vAlign w:val="bottom"/>
          </w:tcPr>
          <w:p>
            <w:pPr>
              <w:spacing w:after="0"/>
              <w:rPr>
                <w:sz w:val="20"/>
                <w:szCs w:val="20"/>
                <w:color w:val="auto"/>
              </w:rPr>
            </w:pPr>
            <w:r>
              <w:rPr>
                <w:rFonts w:ascii="Arial" w:cs="Arial" w:eastAsia="Arial" w:hAnsi="Arial"/>
                <w:sz w:val="16"/>
                <w:szCs w:val="16"/>
                <w:b w:val="1"/>
                <w:bCs w:val="1"/>
                <w:color w:val="auto"/>
              </w:rPr>
              <w:t>LR2. Title number(s)</w:t>
            </w:r>
          </w:p>
        </w:tc>
        <w:tc>
          <w:tcPr>
            <w:tcW w:w="8360" w:type="dxa"/>
            <w:vAlign w:val="bottom"/>
          </w:tcPr>
          <w:p>
            <w:pPr>
              <w:ind w:left="900"/>
              <w:spacing w:after="0"/>
              <w:rPr>
                <w:sz w:val="20"/>
                <w:szCs w:val="20"/>
                <w:color w:val="auto"/>
              </w:rPr>
            </w:pPr>
            <w:r>
              <w:rPr>
                <w:rFonts w:ascii="Arial" w:cs="Arial" w:eastAsia="Arial" w:hAnsi="Arial"/>
                <w:sz w:val="16"/>
                <w:szCs w:val="16"/>
                <w:b w:val="1"/>
                <w:bCs w:val="1"/>
                <w:color w:val="auto"/>
              </w:rPr>
              <w:t>LR2.1 Landlord’s title number(s)</w:t>
            </w:r>
          </w:p>
        </w:tc>
      </w:tr>
      <w:tr>
        <w:trPr>
          <w:trHeight w:val="207"/>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6"/>
                <w:szCs w:val="16"/>
                <w:i w:val="1"/>
                <w:iCs w:val="1"/>
                <w:color w:val="auto"/>
              </w:rPr>
              <w:t>Title number(s) out of which this lease is granted. Leave blank if not registered.</w:t>
            </w:r>
          </w:p>
        </w:tc>
      </w:tr>
      <w:tr>
        <w:trPr>
          <w:trHeight w:val="391"/>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6"/>
                <w:szCs w:val="16"/>
                <w:color w:val="auto"/>
              </w:rPr>
              <w:t>CB406367</w:t>
            </w:r>
          </w:p>
        </w:tc>
      </w:tr>
      <w:tr>
        <w:trPr>
          <w:trHeight w:val="380"/>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6"/>
                <w:szCs w:val="16"/>
                <w:b w:val="1"/>
                <w:bCs w:val="1"/>
                <w:color w:val="auto"/>
              </w:rPr>
              <w:t>LR2.2 Other title numbers</w:t>
            </w:r>
          </w:p>
        </w:tc>
      </w:tr>
      <w:tr>
        <w:trPr>
          <w:trHeight w:val="196"/>
        </w:trPr>
        <w:tc>
          <w:tcPr>
            <w:tcW w:w="3100" w:type="dxa"/>
            <w:vAlign w:val="bottom"/>
          </w:tcPr>
          <w:p>
            <w:pPr>
              <w:spacing w:after="0"/>
              <w:rPr>
                <w:sz w:val="17"/>
                <w:szCs w:val="17"/>
                <w:color w:val="auto"/>
              </w:rPr>
            </w:pPr>
          </w:p>
        </w:tc>
        <w:tc>
          <w:tcPr>
            <w:tcW w:w="8360" w:type="dxa"/>
            <w:vAlign w:val="bottom"/>
          </w:tcPr>
          <w:p>
            <w:pPr>
              <w:ind w:left="900"/>
              <w:spacing w:after="0"/>
              <w:rPr>
                <w:sz w:val="20"/>
                <w:szCs w:val="20"/>
                <w:color w:val="auto"/>
              </w:rPr>
            </w:pPr>
            <w:r>
              <w:rPr>
                <w:rFonts w:ascii="Arial" w:cs="Arial" w:eastAsia="Arial" w:hAnsi="Arial"/>
                <w:sz w:val="16"/>
                <w:szCs w:val="16"/>
                <w:i w:val="1"/>
                <w:iCs w:val="1"/>
                <w:color w:val="auto"/>
                <w:w w:val="98"/>
              </w:rPr>
              <w:t>Existing title number(s) against which entries of matters referred to in LR9, LR10, LR11 and LRI3 are to be</w:t>
            </w:r>
          </w:p>
        </w:tc>
      </w:tr>
      <w:tr>
        <w:trPr>
          <w:trHeight w:val="207"/>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6"/>
                <w:szCs w:val="16"/>
                <w:i w:val="1"/>
                <w:iCs w:val="1"/>
                <w:color w:val="auto"/>
              </w:rPr>
              <w:t>made.</w:t>
            </w:r>
          </w:p>
        </w:tc>
      </w:tr>
      <w:tr>
        <w:trPr>
          <w:trHeight w:val="391"/>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6"/>
                <w:szCs w:val="16"/>
                <w:color w:val="auto"/>
              </w:rPr>
              <w:t>CB303470</w:t>
            </w:r>
          </w:p>
        </w:tc>
      </w:tr>
      <w:tr>
        <w:trPr>
          <w:trHeight w:val="391"/>
        </w:trPr>
        <w:tc>
          <w:tcPr>
            <w:tcW w:w="3100" w:type="dxa"/>
            <w:vAlign w:val="bottom"/>
          </w:tcPr>
          <w:p>
            <w:pPr>
              <w:spacing w:after="0"/>
              <w:rPr>
                <w:sz w:val="20"/>
                <w:szCs w:val="20"/>
                <w:color w:val="auto"/>
              </w:rPr>
            </w:pPr>
            <w:r>
              <w:rPr>
                <w:rFonts w:ascii="Arial" w:cs="Arial" w:eastAsia="Arial" w:hAnsi="Arial"/>
                <w:sz w:val="16"/>
                <w:szCs w:val="16"/>
                <w:b w:val="1"/>
                <w:bCs w:val="1"/>
                <w:color w:val="auto"/>
              </w:rPr>
              <w:t>LR3. Parties to this lease</w:t>
            </w:r>
          </w:p>
        </w:tc>
        <w:tc>
          <w:tcPr>
            <w:tcW w:w="8360" w:type="dxa"/>
            <w:vAlign w:val="bottom"/>
          </w:tcPr>
          <w:p>
            <w:pPr>
              <w:ind w:left="900"/>
              <w:spacing w:after="0"/>
              <w:rPr>
                <w:sz w:val="20"/>
                <w:szCs w:val="20"/>
                <w:color w:val="auto"/>
              </w:rPr>
            </w:pPr>
            <w:r>
              <w:rPr>
                <w:rFonts w:ascii="Arial" w:cs="Arial" w:eastAsia="Arial" w:hAnsi="Arial"/>
                <w:sz w:val="16"/>
                <w:szCs w:val="16"/>
                <w:b w:val="1"/>
                <w:bCs w:val="1"/>
                <w:color w:val="auto"/>
              </w:rPr>
              <w:t>Landlord</w:t>
            </w:r>
          </w:p>
        </w:tc>
      </w:tr>
      <w:tr>
        <w:trPr>
          <w:trHeight w:val="380"/>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6"/>
                <w:szCs w:val="16"/>
                <w:b w:val="1"/>
                <w:bCs w:val="1"/>
                <w:color w:val="auto"/>
              </w:rPr>
              <w:t xml:space="preserve">IMPERIAL COLLEGE THINKSPACE LIMITED </w:t>
            </w:r>
            <w:r>
              <w:rPr>
                <w:rFonts w:ascii="Arial" w:cs="Arial" w:eastAsia="Arial" w:hAnsi="Arial"/>
                <w:sz w:val="16"/>
                <w:szCs w:val="16"/>
                <w:color w:val="auto"/>
              </w:rPr>
              <w:t>having its registered office at Faculty Building, Level</w:t>
            </w:r>
          </w:p>
        </w:tc>
      </w:tr>
      <w:tr>
        <w:trPr>
          <w:trHeight w:val="207"/>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6"/>
                <w:szCs w:val="16"/>
                <w:color w:val="auto"/>
              </w:rPr>
              <w:t>1, Imperial College, London SW7 2AZ (company registration number 05272659)</w:t>
            </w:r>
          </w:p>
        </w:tc>
      </w:tr>
      <w:tr>
        <w:trPr>
          <w:trHeight w:val="391"/>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6"/>
                <w:szCs w:val="16"/>
                <w:b w:val="1"/>
                <w:bCs w:val="1"/>
                <w:color w:val="auto"/>
              </w:rPr>
              <w:t>Tenant</w:t>
            </w:r>
          </w:p>
        </w:tc>
      </w:tr>
      <w:tr>
        <w:trPr>
          <w:trHeight w:val="380"/>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6"/>
                <w:szCs w:val="16"/>
                <w:b w:val="1"/>
                <w:bCs w:val="1"/>
                <w:color w:val="auto"/>
              </w:rPr>
              <w:t xml:space="preserve">CONVERGENCE PHARMACEUTICALS LIMITED </w:t>
            </w:r>
            <w:r>
              <w:rPr>
                <w:rFonts w:ascii="Arial" w:cs="Arial" w:eastAsia="Arial" w:hAnsi="Arial"/>
                <w:sz w:val="16"/>
                <w:szCs w:val="16"/>
                <w:color w:val="auto"/>
              </w:rPr>
              <w:t>(a Biogen company) (registered number 09376285)</w:t>
            </w:r>
          </w:p>
        </w:tc>
      </w:tr>
      <w:tr>
        <w:trPr>
          <w:trHeight w:val="207"/>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6"/>
                <w:szCs w:val="16"/>
                <w:color w:val="auto"/>
              </w:rPr>
              <w:t>having its registered office at 70 Norden Road, Maidenhead, Berkshire, SL6 4AY</w:t>
            </w:r>
          </w:p>
        </w:tc>
      </w:tr>
      <w:tr>
        <w:trPr>
          <w:trHeight w:val="391"/>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6"/>
                <w:szCs w:val="16"/>
                <w:b w:val="1"/>
                <w:bCs w:val="1"/>
                <w:color w:val="auto"/>
              </w:rPr>
              <w:t>Other parties</w:t>
            </w:r>
          </w:p>
        </w:tc>
      </w:tr>
      <w:tr>
        <w:trPr>
          <w:trHeight w:val="391"/>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6"/>
                <w:szCs w:val="16"/>
                <w:b w:val="1"/>
                <w:bCs w:val="1"/>
                <w:color w:val="auto"/>
              </w:rPr>
              <w:t>Surety</w:t>
            </w:r>
          </w:p>
        </w:tc>
      </w:tr>
      <w:tr>
        <w:trPr>
          <w:trHeight w:val="380"/>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6"/>
                <w:szCs w:val="16"/>
                <w:b w:val="1"/>
                <w:bCs w:val="1"/>
                <w:color w:val="auto"/>
              </w:rPr>
              <w:t xml:space="preserve">BIOGEN IDEC LIMITED </w:t>
            </w:r>
            <w:r>
              <w:rPr>
                <w:rFonts w:ascii="Arial" w:cs="Arial" w:eastAsia="Arial" w:hAnsi="Arial"/>
                <w:sz w:val="16"/>
                <w:szCs w:val="16"/>
                <w:color w:val="auto"/>
              </w:rPr>
              <w:t>(registered number 01497267) having its registered office at Innovation House,</w:t>
            </w:r>
          </w:p>
        </w:tc>
      </w:tr>
      <w:tr>
        <w:trPr>
          <w:trHeight w:val="207"/>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6"/>
                <w:szCs w:val="16"/>
                <w:color w:val="auto"/>
              </w:rPr>
              <w:t>70 Norden Road, Maidenhead, Berkshire, SL6 4AY</w:t>
            </w:r>
          </w:p>
        </w:tc>
      </w:tr>
      <w:tr>
        <w:trPr>
          <w:trHeight w:val="376"/>
        </w:trPr>
        <w:tc>
          <w:tcPr>
            <w:tcW w:w="3100" w:type="dxa"/>
            <w:vAlign w:val="bottom"/>
          </w:tcPr>
          <w:p>
            <w:pPr>
              <w:spacing w:after="0"/>
              <w:rPr>
                <w:sz w:val="20"/>
                <w:szCs w:val="20"/>
                <w:color w:val="auto"/>
              </w:rPr>
            </w:pPr>
            <w:r>
              <w:rPr>
                <w:rFonts w:ascii="Arial" w:cs="Arial" w:eastAsia="Arial" w:hAnsi="Arial"/>
                <w:sz w:val="16"/>
                <w:szCs w:val="16"/>
                <w:b w:val="1"/>
                <w:bCs w:val="1"/>
                <w:color w:val="auto"/>
              </w:rPr>
              <w:t>LR4. Property</w:t>
            </w:r>
          </w:p>
        </w:tc>
        <w:tc>
          <w:tcPr>
            <w:tcW w:w="8360" w:type="dxa"/>
            <w:vAlign w:val="bottom"/>
          </w:tcPr>
          <w:p>
            <w:pPr>
              <w:ind w:left="900"/>
              <w:spacing w:after="0"/>
              <w:rPr>
                <w:sz w:val="20"/>
                <w:szCs w:val="20"/>
                <w:color w:val="auto"/>
              </w:rPr>
            </w:pPr>
            <w:r>
              <w:rPr>
                <w:rFonts w:ascii="Arial" w:cs="Arial" w:eastAsia="Arial" w:hAnsi="Arial"/>
                <w:sz w:val="16"/>
                <w:szCs w:val="16"/>
                <w:b w:val="1"/>
                <w:bCs w:val="1"/>
                <w:color w:val="auto"/>
                <w:w w:val="97"/>
              </w:rPr>
              <w:t>In the case of a conflict between this clause and the remainder of this lease then, for the purposes of</w:t>
            </w:r>
          </w:p>
        </w:tc>
      </w:tr>
      <w:tr>
        <w:trPr>
          <w:trHeight w:val="211"/>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6"/>
                <w:szCs w:val="16"/>
                <w:b w:val="1"/>
                <w:bCs w:val="1"/>
                <w:color w:val="auto"/>
              </w:rPr>
              <w:t>registration, this clause shall prevail.</w:t>
            </w:r>
          </w:p>
        </w:tc>
      </w:tr>
      <w:tr>
        <w:trPr>
          <w:trHeight w:val="391"/>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6"/>
                <w:szCs w:val="16"/>
                <w:color w:val="auto"/>
              </w:rPr>
              <w:t>The premises described in part 1 of schedule 1</w:t>
            </w:r>
          </w:p>
        </w:tc>
      </w:tr>
      <w:tr>
        <w:trPr>
          <w:trHeight w:val="380"/>
        </w:trPr>
        <w:tc>
          <w:tcPr>
            <w:tcW w:w="3100" w:type="dxa"/>
            <w:vAlign w:val="bottom"/>
          </w:tcPr>
          <w:p>
            <w:pPr>
              <w:spacing w:after="0"/>
              <w:rPr>
                <w:sz w:val="20"/>
                <w:szCs w:val="20"/>
                <w:color w:val="auto"/>
              </w:rPr>
            </w:pPr>
            <w:r>
              <w:rPr>
                <w:rFonts w:ascii="Arial" w:cs="Arial" w:eastAsia="Arial" w:hAnsi="Arial"/>
                <w:sz w:val="16"/>
                <w:szCs w:val="16"/>
                <w:b w:val="1"/>
                <w:bCs w:val="1"/>
                <w:color w:val="auto"/>
              </w:rPr>
              <w:t>LR5. Prescribed statements etc.</w:t>
            </w:r>
          </w:p>
        </w:tc>
        <w:tc>
          <w:tcPr>
            <w:tcW w:w="8360" w:type="dxa"/>
            <w:vAlign w:val="bottom"/>
          </w:tcPr>
          <w:p>
            <w:pPr>
              <w:ind w:left="900"/>
              <w:spacing w:after="0"/>
              <w:rPr>
                <w:sz w:val="20"/>
                <w:szCs w:val="20"/>
                <w:color w:val="auto"/>
              </w:rPr>
            </w:pPr>
            <w:r>
              <w:rPr>
                <w:rFonts w:ascii="Arial" w:cs="Arial" w:eastAsia="Arial" w:hAnsi="Arial"/>
                <w:sz w:val="16"/>
                <w:szCs w:val="16"/>
                <w:b w:val="1"/>
                <w:bCs w:val="1"/>
                <w:i w:val="1"/>
                <w:iCs w:val="1"/>
                <w:color w:val="auto"/>
                <w:w w:val="94"/>
              </w:rPr>
              <w:t>LR5.1 Statements prescribed under rules 179 (dispositions in favour of a charity), 180 (dispositions by a</w:t>
            </w:r>
          </w:p>
        </w:tc>
      </w:tr>
      <w:tr>
        <w:trPr>
          <w:trHeight w:val="196"/>
        </w:trPr>
        <w:tc>
          <w:tcPr>
            <w:tcW w:w="3100" w:type="dxa"/>
            <w:vAlign w:val="bottom"/>
          </w:tcPr>
          <w:p>
            <w:pPr>
              <w:spacing w:after="0"/>
              <w:rPr>
                <w:sz w:val="17"/>
                <w:szCs w:val="17"/>
                <w:color w:val="auto"/>
              </w:rPr>
            </w:pPr>
          </w:p>
        </w:tc>
        <w:tc>
          <w:tcPr>
            <w:tcW w:w="8360" w:type="dxa"/>
            <w:vAlign w:val="bottom"/>
          </w:tcPr>
          <w:p>
            <w:pPr>
              <w:ind w:left="900"/>
              <w:spacing w:after="0"/>
              <w:rPr>
                <w:sz w:val="20"/>
                <w:szCs w:val="20"/>
                <w:color w:val="auto"/>
              </w:rPr>
            </w:pPr>
            <w:r>
              <w:rPr>
                <w:rFonts w:ascii="Arial" w:cs="Arial" w:eastAsia="Arial" w:hAnsi="Arial"/>
                <w:sz w:val="16"/>
                <w:szCs w:val="16"/>
                <w:b w:val="1"/>
                <w:bCs w:val="1"/>
                <w:i w:val="1"/>
                <w:iCs w:val="1"/>
                <w:color w:val="auto"/>
                <w:w w:val="91"/>
              </w:rPr>
              <w:t>charity) or 196 (leases under the Leasehold Reform, Housing and Urban Development Act 1993) of the Land</w:t>
            </w:r>
          </w:p>
        </w:tc>
      </w:tr>
      <w:tr>
        <w:trPr>
          <w:trHeight w:val="207"/>
        </w:trPr>
        <w:tc>
          <w:tcPr>
            <w:tcW w:w="3100" w:type="dxa"/>
            <w:vAlign w:val="bottom"/>
          </w:tcPr>
          <w:p>
            <w:pPr>
              <w:spacing w:after="0"/>
              <w:rPr>
                <w:sz w:val="18"/>
                <w:szCs w:val="18"/>
                <w:color w:val="auto"/>
              </w:rPr>
            </w:pPr>
          </w:p>
        </w:tc>
        <w:tc>
          <w:tcPr>
            <w:tcW w:w="8360" w:type="dxa"/>
            <w:vAlign w:val="bottom"/>
          </w:tcPr>
          <w:p>
            <w:pPr>
              <w:ind w:left="900"/>
              <w:spacing w:after="0"/>
              <w:rPr>
                <w:sz w:val="20"/>
                <w:szCs w:val="20"/>
                <w:color w:val="auto"/>
              </w:rPr>
            </w:pPr>
            <w:r>
              <w:rPr>
                <w:rFonts w:ascii="Arial" w:cs="Arial" w:eastAsia="Arial" w:hAnsi="Arial"/>
                <w:sz w:val="16"/>
                <w:szCs w:val="16"/>
                <w:b w:val="1"/>
                <w:bCs w:val="1"/>
                <w:i w:val="1"/>
                <w:iCs w:val="1"/>
                <w:color w:val="auto"/>
              </w:rPr>
              <w:t>Registration Rules 2003.</w:t>
            </w:r>
          </w:p>
        </w:tc>
      </w:tr>
      <w:tr>
        <w:trPr>
          <w:trHeight w:val="391"/>
        </w:trPr>
        <w:tc>
          <w:tcPr>
            <w:tcW w:w="3100" w:type="dxa"/>
            <w:vAlign w:val="bottom"/>
          </w:tcPr>
          <w:p>
            <w:pPr>
              <w:spacing w:after="0"/>
              <w:rPr>
                <w:sz w:val="24"/>
                <w:szCs w:val="24"/>
                <w:color w:val="auto"/>
              </w:rPr>
            </w:pPr>
          </w:p>
        </w:tc>
        <w:tc>
          <w:tcPr>
            <w:tcW w:w="8360" w:type="dxa"/>
            <w:vAlign w:val="bottom"/>
          </w:tcPr>
          <w:p>
            <w:pPr>
              <w:ind w:left="900"/>
              <w:spacing w:after="0"/>
              <w:rPr>
                <w:sz w:val="20"/>
                <w:szCs w:val="20"/>
                <w:color w:val="auto"/>
              </w:rPr>
            </w:pPr>
            <w:r>
              <w:rPr>
                <w:rFonts w:ascii="Arial" w:cs="Arial" w:eastAsia="Arial" w:hAnsi="Arial"/>
                <w:sz w:val="16"/>
                <w:szCs w:val="16"/>
                <w:color w:val="auto"/>
              </w:rPr>
              <w:t>None</w:t>
            </w:r>
          </w:p>
        </w:tc>
      </w:tr>
      <w:tr>
        <w:trPr>
          <w:trHeight w:val="315"/>
        </w:trPr>
        <w:tc>
          <w:tcPr>
            <w:tcW w:w="3100" w:type="dxa"/>
            <w:vAlign w:val="bottom"/>
            <w:tcBorders>
              <w:bottom w:val="single" w:sz="8" w:color="808080"/>
            </w:tcBorders>
          </w:tcPr>
          <w:p>
            <w:pPr>
              <w:spacing w:after="0"/>
              <w:rPr>
                <w:sz w:val="24"/>
                <w:szCs w:val="24"/>
                <w:color w:val="auto"/>
              </w:rPr>
            </w:pPr>
          </w:p>
        </w:tc>
        <w:tc>
          <w:tcPr>
            <w:tcW w:w="8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408" w:name="page409"/>
    <w:bookmarkEnd w:id="408"/>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LR5.2 This lease is made under, or by reference to, provisions of:</w:t>
            </w:r>
          </w:p>
        </w:tc>
      </w:tr>
      <w:tr>
        <w:trPr>
          <w:trHeight w:val="391"/>
        </w:trPr>
        <w:tc>
          <w:tcPr>
            <w:tcW w:w="3840" w:type="dxa"/>
            <w:vAlign w:val="bottom"/>
          </w:tcPr>
          <w:p>
            <w:pPr>
              <w:spacing w:after="0"/>
              <w:rPr>
                <w:sz w:val="20"/>
                <w:szCs w:val="20"/>
                <w:color w:val="auto"/>
              </w:rPr>
            </w:pPr>
            <w:r>
              <w:rPr>
                <w:rFonts w:ascii="Arial" w:cs="Arial" w:eastAsia="Arial" w:hAnsi="Arial"/>
                <w:sz w:val="16"/>
                <w:szCs w:val="16"/>
                <w:b w:val="1"/>
                <w:bCs w:val="1"/>
                <w:color w:val="auto"/>
              </w:rPr>
              <w:t>LR6. Term for which the Property is leased</w:t>
            </w:r>
          </w:p>
        </w:tc>
        <w:tc>
          <w:tcPr>
            <w:tcW w:w="7620" w:type="dxa"/>
            <w:vAlign w:val="bottom"/>
          </w:tcPr>
          <w:p>
            <w:pPr>
              <w:ind w:left="160"/>
              <w:spacing w:after="0"/>
              <w:rPr>
                <w:sz w:val="20"/>
                <w:szCs w:val="20"/>
                <w:color w:val="auto"/>
              </w:rPr>
            </w:pPr>
            <w:r>
              <w:rPr>
                <w:rFonts w:ascii="Arial" w:cs="Arial" w:eastAsia="Arial" w:hAnsi="Arial"/>
                <w:sz w:val="16"/>
                <w:szCs w:val="16"/>
                <w:color w:val="auto"/>
              </w:rPr>
              <w:t>The term is as follows: 5 years from and including 12 December 2016</w:t>
            </w:r>
          </w:p>
        </w:tc>
      </w:tr>
      <w:tr>
        <w:trPr>
          <w:trHeight w:val="391"/>
        </w:trPr>
        <w:tc>
          <w:tcPr>
            <w:tcW w:w="3840" w:type="dxa"/>
            <w:vAlign w:val="bottom"/>
          </w:tcPr>
          <w:p>
            <w:pPr>
              <w:spacing w:after="0"/>
              <w:rPr>
                <w:sz w:val="20"/>
                <w:szCs w:val="20"/>
                <w:color w:val="auto"/>
              </w:rPr>
            </w:pPr>
            <w:r>
              <w:rPr>
                <w:rFonts w:ascii="Arial" w:cs="Arial" w:eastAsia="Arial" w:hAnsi="Arial"/>
                <w:sz w:val="16"/>
                <w:szCs w:val="16"/>
                <w:b w:val="1"/>
                <w:bCs w:val="1"/>
                <w:color w:val="auto"/>
              </w:rPr>
              <w:t>LR7. Premium</w:t>
            </w:r>
          </w:p>
        </w:tc>
        <w:tc>
          <w:tcPr>
            <w:tcW w:w="7620" w:type="dxa"/>
            <w:vAlign w:val="bottom"/>
          </w:tcPr>
          <w:p>
            <w:pPr>
              <w:ind w:left="160"/>
              <w:spacing w:after="0"/>
              <w:rPr>
                <w:sz w:val="20"/>
                <w:szCs w:val="20"/>
                <w:color w:val="auto"/>
              </w:rPr>
            </w:pPr>
            <w:r>
              <w:rPr>
                <w:rFonts w:ascii="Arial" w:cs="Arial" w:eastAsia="Arial" w:hAnsi="Arial"/>
                <w:sz w:val="16"/>
                <w:szCs w:val="16"/>
                <w:color w:val="auto"/>
              </w:rPr>
              <w:t>None</w:t>
            </w:r>
          </w:p>
        </w:tc>
      </w:tr>
      <w:tr>
        <w:trPr>
          <w:trHeight w:val="376"/>
        </w:trPr>
        <w:tc>
          <w:tcPr>
            <w:tcW w:w="3840" w:type="dxa"/>
            <w:vAlign w:val="bottom"/>
          </w:tcPr>
          <w:p>
            <w:pPr>
              <w:spacing w:after="0"/>
              <w:rPr>
                <w:sz w:val="20"/>
                <w:szCs w:val="20"/>
                <w:color w:val="auto"/>
              </w:rPr>
            </w:pPr>
            <w:r>
              <w:rPr>
                <w:rFonts w:ascii="Arial" w:cs="Arial" w:eastAsia="Arial" w:hAnsi="Arial"/>
                <w:sz w:val="16"/>
                <w:szCs w:val="16"/>
                <w:b w:val="1"/>
                <w:bCs w:val="1"/>
                <w:color w:val="auto"/>
                <w:w w:val="95"/>
              </w:rPr>
              <w:t>LR8. Prohibitions or restrictions on disposing of this</w:t>
            </w:r>
          </w:p>
        </w:tc>
        <w:tc>
          <w:tcPr>
            <w:tcW w:w="7620" w:type="dxa"/>
            <w:vAlign w:val="bottom"/>
          </w:tcPr>
          <w:p>
            <w:pPr>
              <w:ind w:left="160"/>
              <w:spacing w:after="0"/>
              <w:rPr>
                <w:sz w:val="20"/>
                <w:szCs w:val="20"/>
                <w:color w:val="auto"/>
              </w:rPr>
            </w:pPr>
            <w:r>
              <w:rPr>
                <w:rFonts w:ascii="Arial" w:cs="Arial" w:eastAsia="Arial" w:hAnsi="Arial"/>
                <w:sz w:val="16"/>
                <w:szCs w:val="16"/>
                <w:color w:val="auto"/>
              </w:rPr>
              <w:t>This lease contains a provision that prohibits or restricts dispositions.</w:t>
            </w:r>
          </w:p>
        </w:tc>
      </w:tr>
      <w:tr>
        <w:trPr>
          <w:trHeight w:val="211"/>
        </w:trPr>
        <w:tc>
          <w:tcPr>
            <w:tcW w:w="3840" w:type="dxa"/>
            <w:vAlign w:val="bottom"/>
          </w:tcPr>
          <w:p>
            <w:pPr>
              <w:spacing w:after="0"/>
              <w:rPr>
                <w:sz w:val="20"/>
                <w:szCs w:val="20"/>
                <w:color w:val="auto"/>
              </w:rPr>
            </w:pPr>
            <w:r>
              <w:rPr>
                <w:rFonts w:ascii="Arial" w:cs="Arial" w:eastAsia="Arial" w:hAnsi="Arial"/>
                <w:sz w:val="16"/>
                <w:szCs w:val="16"/>
                <w:b w:val="1"/>
                <w:bCs w:val="1"/>
                <w:color w:val="auto"/>
              </w:rPr>
              <w:t>lease</w:t>
            </w:r>
          </w:p>
        </w:tc>
        <w:tc>
          <w:tcPr>
            <w:tcW w:w="7620" w:type="dxa"/>
            <w:vAlign w:val="bottom"/>
          </w:tcPr>
          <w:p>
            <w:pPr>
              <w:spacing w:after="0"/>
              <w:rPr>
                <w:sz w:val="18"/>
                <w:szCs w:val="18"/>
                <w:color w:val="auto"/>
              </w:rPr>
            </w:pPr>
          </w:p>
        </w:tc>
      </w:tr>
      <w:tr>
        <w:trPr>
          <w:trHeight w:val="376"/>
        </w:trPr>
        <w:tc>
          <w:tcPr>
            <w:tcW w:w="3840" w:type="dxa"/>
            <w:vAlign w:val="bottom"/>
          </w:tcPr>
          <w:p>
            <w:pPr>
              <w:spacing w:after="0"/>
              <w:rPr>
                <w:sz w:val="20"/>
                <w:szCs w:val="20"/>
                <w:color w:val="auto"/>
              </w:rPr>
            </w:pPr>
            <w:r>
              <w:rPr>
                <w:rFonts w:ascii="Arial" w:cs="Arial" w:eastAsia="Arial" w:hAnsi="Arial"/>
                <w:sz w:val="16"/>
                <w:szCs w:val="16"/>
                <w:b w:val="1"/>
                <w:bCs w:val="1"/>
                <w:color w:val="auto"/>
              </w:rPr>
              <w:t>LR9. Rights of acquisition etc.</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w w:val="96"/>
              </w:rPr>
              <w:t>LR9.1 Tenant’s contractual rights to renew this lease, to acquire the reversion or another lease of the</w:t>
            </w:r>
          </w:p>
        </w:tc>
      </w:tr>
      <w:tr>
        <w:trPr>
          <w:trHeight w:val="211"/>
        </w:trPr>
        <w:tc>
          <w:tcPr>
            <w:tcW w:w="38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Property, or to acquire an interest in other land</w:t>
            </w:r>
          </w:p>
        </w:tc>
      </w:tr>
      <w:tr>
        <w:trPr>
          <w:trHeight w:val="391"/>
        </w:trPr>
        <w:tc>
          <w:tcPr>
            <w:tcW w:w="384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6"/>
                <w:szCs w:val="16"/>
                <w:color w:val="auto"/>
              </w:rPr>
              <w:t>None</w:t>
            </w:r>
          </w:p>
        </w:tc>
      </w:tr>
      <w:tr>
        <w:trPr>
          <w:trHeight w:val="391"/>
        </w:trPr>
        <w:tc>
          <w:tcPr>
            <w:tcW w:w="384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LR9.2 Tenant’s covenant to (or offer to) surrender this lease</w:t>
            </w:r>
          </w:p>
        </w:tc>
      </w:tr>
      <w:tr>
        <w:trPr>
          <w:trHeight w:val="391"/>
        </w:trPr>
        <w:tc>
          <w:tcPr>
            <w:tcW w:w="384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6"/>
                <w:szCs w:val="16"/>
                <w:color w:val="auto"/>
              </w:rPr>
              <w:t>None</w:t>
            </w:r>
          </w:p>
        </w:tc>
      </w:tr>
      <w:tr>
        <w:trPr>
          <w:trHeight w:val="391"/>
        </w:trPr>
        <w:tc>
          <w:tcPr>
            <w:tcW w:w="384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LR9.3 Landlord’s contractual rights to acquire this lease</w:t>
            </w:r>
          </w:p>
        </w:tc>
      </w:tr>
      <w:tr>
        <w:trPr>
          <w:trHeight w:val="391"/>
        </w:trPr>
        <w:tc>
          <w:tcPr>
            <w:tcW w:w="384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6"/>
                <w:szCs w:val="16"/>
                <w:color w:val="auto"/>
              </w:rPr>
              <w:t>None</w:t>
            </w:r>
          </w:p>
        </w:tc>
      </w:tr>
      <w:tr>
        <w:trPr>
          <w:trHeight w:val="376"/>
        </w:trPr>
        <w:tc>
          <w:tcPr>
            <w:tcW w:w="3840" w:type="dxa"/>
            <w:vAlign w:val="bottom"/>
          </w:tcPr>
          <w:p>
            <w:pPr>
              <w:spacing w:after="0"/>
              <w:rPr>
                <w:sz w:val="20"/>
                <w:szCs w:val="20"/>
                <w:color w:val="auto"/>
              </w:rPr>
            </w:pPr>
            <w:r>
              <w:rPr>
                <w:rFonts w:ascii="Arial" w:cs="Arial" w:eastAsia="Arial" w:hAnsi="Arial"/>
                <w:sz w:val="16"/>
                <w:szCs w:val="16"/>
                <w:b w:val="1"/>
                <w:bCs w:val="1"/>
                <w:color w:val="auto"/>
                <w:w w:val="93"/>
              </w:rPr>
              <w:t>LR10. Restrictive covenants given in this lease by the</w:t>
            </w:r>
          </w:p>
        </w:tc>
        <w:tc>
          <w:tcPr>
            <w:tcW w:w="7620" w:type="dxa"/>
            <w:vAlign w:val="bottom"/>
          </w:tcPr>
          <w:p>
            <w:pPr>
              <w:ind w:left="160"/>
              <w:spacing w:after="0"/>
              <w:rPr>
                <w:sz w:val="20"/>
                <w:szCs w:val="20"/>
                <w:color w:val="auto"/>
              </w:rPr>
            </w:pPr>
            <w:r>
              <w:rPr>
                <w:rFonts w:ascii="Arial" w:cs="Arial" w:eastAsia="Arial" w:hAnsi="Arial"/>
                <w:sz w:val="16"/>
                <w:szCs w:val="16"/>
                <w:color w:val="auto"/>
              </w:rPr>
              <w:t>None</w:t>
            </w:r>
          </w:p>
        </w:tc>
      </w:tr>
      <w:tr>
        <w:trPr>
          <w:trHeight w:val="211"/>
        </w:trPr>
        <w:tc>
          <w:tcPr>
            <w:tcW w:w="3840" w:type="dxa"/>
            <w:vAlign w:val="bottom"/>
          </w:tcPr>
          <w:p>
            <w:pPr>
              <w:spacing w:after="0"/>
              <w:rPr>
                <w:sz w:val="20"/>
                <w:szCs w:val="20"/>
                <w:color w:val="auto"/>
              </w:rPr>
            </w:pPr>
            <w:r>
              <w:rPr>
                <w:rFonts w:ascii="Arial" w:cs="Arial" w:eastAsia="Arial" w:hAnsi="Arial"/>
                <w:sz w:val="16"/>
                <w:szCs w:val="16"/>
                <w:b w:val="1"/>
                <w:bCs w:val="1"/>
                <w:color w:val="auto"/>
                <w:w w:val="98"/>
              </w:rPr>
              <w:t>Landlord in respect of land other than the Property</w:t>
            </w:r>
          </w:p>
        </w:tc>
        <w:tc>
          <w:tcPr>
            <w:tcW w:w="7620" w:type="dxa"/>
            <w:vAlign w:val="bottom"/>
          </w:tcPr>
          <w:p>
            <w:pPr>
              <w:spacing w:after="0"/>
              <w:rPr>
                <w:sz w:val="18"/>
                <w:szCs w:val="18"/>
                <w:color w:val="auto"/>
              </w:rPr>
            </w:pPr>
          </w:p>
        </w:tc>
      </w:tr>
      <w:tr>
        <w:trPr>
          <w:trHeight w:val="391"/>
        </w:trPr>
        <w:tc>
          <w:tcPr>
            <w:tcW w:w="3840" w:type="dxa"/>
            <w:vAlign w:val="bottom"/>
          </w:tcPr>
          <w:p>
            <w:pPr>
              <w:spacing w:after="0"/>
              <w:rPr>
                <w:sz w:val="20"/>
                <w:szCs w:val="20"/>
                <w:color w:val="auto"/>
              </w:rPr>
            </w:pPr>
            <w:r>
              <w:rPr>
                <w:rFonts w:ascii="Arial" w:cs="Arial" w:eastAsia="Arial" w:hAnsi="Arial"/>
                <w:sz w:val="16"/>
                <w:szCs w:val="16"/>
                <w:b w:val="1"/>
                <w:bCs w:val="1"/>
                <w:color w:val="auto"/>
              </w:rPr>
              <w:t>LR11. Easements</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LR11.1 Easements granted by this lease for the benefit of the Property</w:t>
            </w:r>
          </w:p>
        </w:tc>
      </w:tr>
      <w:tr>
        <w:trPr>
          <w:trHeight w:val="391"/>
        </w:trPr>
        <w:tc>
          <w:tcPr>
            <w:tcW w:w="384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6"/>
                <w:szCs w:val="16"/>
                <w:color w:val="auto"/>
              </w:rPr>
              <w:t>See part 2 of schedule 1</w:t>
            </w:r>
          </w:p>
        </w:tc>
      </w:tr>
      <w:tr>
        <w:trPr>
          <w:trHeight w:val="391"/>
        </w:trPr>
        <w:tc>
          <w:tcPr>
            <w:tcW w:w="384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w w:val="95"/>
              </w:rPr>
              <w:t>LR11.2 Easements granted or reserved by this lease over the Property for the benefit of other property</w:t>
            </w:r>
          </w:p>
        </w:tc>
      </w:tr>
      <w:tr>
        <w:trPr>
          <w:trHeight w:val="391"/>
        </w:trPr>
        <w:tc>
          <w:tcPr>
            <w:tcW w:w="384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6"/>
                <w:szCs w:val="16"/>
                <w:color w:val="auto"/>
              </w:rPr>
              <w:t>See part 3 of schedule 1</w:t>
            </w:r>
          </w:p>
        </w:tc>
      </w:tr>
      <w:tr>
        <w:trPr>
          <w:trHeight w:val="315"/>
        </w:trPr>
        <w:tc>
          <w:tcPr>
            <w:tcW w:w="3840" w:type="dxa"/>
            <w:vAlign w:val="bottom"/>
            <w:tcBorders>
              <w:bottom w:val="single" w:sz="8" w:color="808080"/>
            </w:tcBorders>
          </w:tcPr>
          <w:p>
            <w:pPr>
              <w:spacing w:after="0"/>
              <w:rPr>
                <w:sz w:val="24"/>
                <w:szCs w:val="24"/>
                <w:color w:val="auto"/>
              </w:rPr>
            </w:pPr>
          </w:p>
        </w:tc>
        <w:tc>
          <w:tcPr>
            <w:tcW w:w="7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23" w:right="199" w:bottom="1440" w:gutter="0" w:footer="0" w:header="0"/>
        </w:sectPr>
      </w:pPr>
    </w:p>
    <w:bookmarkStart w:id="409" w:name="page410"/>
    <w:bookmarkEnd w:id="409"/>
    <w:p>
      <w:pPr>
        <w:ind w:left="2"/>
        <w:spacing w:after="0"/>
        <w:rPr>
          <w:sz w:val="20"/>
          <w:szCs w:val="20"/>
          <w:color w:val="auto"/>
        </w:rPr>
      </w:pPr>
      <w:r>
        <w:rPr>
          <w:rFonts w:ascii="Arial" w:cs="Arial" w:eastAsia="Arial" w:hAnsi="Arial"/>
          <w:sz w:val="14"/>
          <w:szCs w:val="14"/>
          <w:b w:val="1"/>
          <w:bCs w:val="1"/>
          <w:color w:val="auto"/>
        </w:rPr>
        <w:t>LR12. Estate rentcharge burdening the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ectPr>
          <w:pgSz w:w="11900" w:h="16838" w:orient="portrait"/>
          <w:cols w:equalWidth="0" w:num="2">
            <w:col w:w="3382" w:space="620"/>
            <w:col w:w="7360"/>
          </w:cols>
          <w:pgMar w:left="238" w:top="318" w:right="299" w:bottom="1440" w:gutter="0" w:footer="0" w:header="0"/>
        </w:sectPr>
      </w:pPr>
    </w:p>
    <w:p>
      <w:pPr>
        <w:spacing w:after="0" w:line="15"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LR13. Application for standard form of restriction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ectPr>
          <w:pgSz w:w="11900" w:h="16838" w:orient="portrait"/>
          <w:cols w:equalWidth="0" w:num="2">
            <w:col w:w="3522" w:space="480"/>
            <w:col w:w="7360"/>
          </w:cols>
          <w:pgMar w:left="238" w:top="318" w:right="299" w:bottom="1440" w:gutter="0" w:footer="0" w:header="0"/>
          <w:type w:val="continuous"/>
        </w:sectPr>
      </w:pPr>
    </w:p>
    <w:p>
      <w:pPr>
        <w:spacing w:after="0" w:line="15" w:lineRule="exact"/>
        <w:rPr>
          <w:sz w:val="20"/>
          <w:szCs w:val="20"/>
          <w:color w:val="auto"/>
        </w:rPr>
      </w:pPr>
    </w:p>
    <w:p>
      <w:pPr>
        <w:ind w:left="2"/>
        <w:spacing w:after="0" w:line="290" w:lineRule="auto"/>
        <w:rPr>
          <w:sz w:val="20"/>
          <w:szCs w:val="20"/>
          <w:color w:val="auto"/>
        </w:rPr>
      </w:pPr>
      <w:r>
        <w:rPr>
          <w:rFonts w:ascii="Arial" w:cs="Arial" w:eastAsia="Arial" w:hAnsi="Arial"/>
          <w:sz w:val="16"/>
          <w:szCs w:val="16"/>
          <w:b w:val="1"/>
          <w:bCs w:val="1"/>
          <w:color w:val="auto"/>
        </w:rPr>
        <w:t>LR14. Declaration of trust where there is more than one person comprising the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330835</wp:posOffset>
            </wp:positionV>
            <wp:extent cx="72802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468" w:lineRule="exact"/>
        <w:rPr>
          <w:sz w:val="20"/>
          <w:szCs w:val="20"/>
          <w:color w:val="auto"/>
        </w:rPr>
      </w:pPr>
    </w:p>
    <w:p>
      <w:pPr>
        <w:sectPr>
          <w:pgSz w:w="11900" w:h="16838" w:orient="portrait"/>
          <w:cols w:equalWidth="0" w:num="2">
            <w:col w:w="3602" w:space="400"/>
            <w:col w:w="7360"/>
          </w:cols>
          <w:pgMar w:left="238" w:top="318" w:right="299" w:bottom="1440" w:gutter="0" w:footer="0" w:header="0"/>
          <w:type w:val="continuous"/>
        </w:sectPr>
      </w:pPr>
    </w:p>
    <w:p>
      <w:pPr>
        <w:spacing w:after="0" w:line="37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THIS UNDERLEASE </w:t>
      </w:r>
      <w:r>
        <w:rPr>
          <w:rFonts w:ascii="Arial" w:cs="Arial" w:eastAsia="Arial" w:hAnsi="Arial"/>
          <w:sz w:val="16"/>
          <w:szCs w:val="16"/>
          <w:color w:val="auto"/>
        </w:rPr>
        <w:t>dated and made between the parties as specified in the Land Registry Prescribed Clauses</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WITNESSES AS FOLLOWS:-</w:t>
      </w:r>
    </w:p>
    <w:p>
      <w:pPr>
        <w:spacing w:after="0" w:line="207" w:lineRule="exact"/>
        <w:rPr>
          <w:sz w:val="20"/>
          <w:szCs w:val="20"/>
          <w:color w:val="auto"/>
        </w:rPr>
      </w:pPr>
    </w:p>
    <w:p>
      <w:pPr>
        <w:ind w:left="582" w:hanging="582"/>
        <w:spacing w:after="0"/>
        <w:tabs>
          <w:tab w:leader="none" w:pos="582"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 and interpretation</w:t>
      </w:r>
    </w:p>
    <w:p>
      <w:pPr>
        <w:spacing w:after="0" w:line="211" w:lineRule="exact"/>
        <w:rPr>
          <w:sz w:val="20"/>
          <w:szCs w:val="20"/>
          <w:color w:val="auto"/>
        </w:rPr>
      </w:pPr>
    </w:p>
    <w:p>
      <w:pPr>
        <w:jc w:val="center"/>
        <w:ind w:right="6458"/>
        <w:spacing w:after="0"/>
        <w:rPr>
          <w:sz w:val="20"/>
          <w:szCs w:val="20"/>
          <w:color w:val="auto"/>
        </w:rPr>
      </w:pPr>
      <w:r>
        <w:rPr>
          <w:rFonts w:ascii="Arial" w:cs="Arial" w:eastAsia="Arial" w:hAnsi="Arial"/>
          <w:sz w:val="16"/>
          <w:szCs w:val="16"/>
          <w:color w:val="auto"/>
        </w:rPr>
        <w:t>In this Underlease unless the context otherwise requires:-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the words defined in this sub-clause have the following meanings:-</w:t>
      </w:r>
    </w:p>
    <w:p>
      <w:pPr>
        <w:spacing w:after="0" w:line="203"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“1954 Act”</w:t>
      </w:r>
      <w:r>
        <w:rPr>
          <w:rFonts w:ascii="Arial" w:cs="Arial" w:eastAsia="Arial" w:hAnsi="Arial"/>
          <w:sz w:val="16"/>
          <w:szCs w:val="16"/>
          <w:color w:val="auto"/>
        </w:rPr>
        <w:t>: the Landlord and Tenant Act 1954</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“1995 Act”</w:t>
      </w:r>
      <w:r>
        <w:rPr>
          <w:rFonts w:ascii="Arial" w:cs="Arial" w:eastAsia="Arial" w:hAnsi="Arial"/>
          <w:sz w:val="16"/>
          <w:szCs w:val="16"/>
          <w:color w:val="auto"/>
        </w:rPr>
        <w:t>: the Landlord and Tenant (Covenants) Act 1995</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“2003 Order”</w:t>
      </w:r>
      <w:r>
        <w:rPr>
          <w:rFonts w:ascii="Arial" w:cs="Arial" w:eastAsia="Arial" w:hAnsi="Arial"/>
          <w:sz w:val="16"/>
          <w:szCs w:val="16"/>
          <w:color w:val="auto"/>
        </w:rPr>
        <w:t>: the Regulatory Reform (Business Tenancies) (England and Wales) Order 2003</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“Asset Rating”</w:t>
      </w:r>
      <w:r>
        <w:rPr>
          <w:rFonts w:ascii="Arial" w:cs="Arial" w:eastAsia="Arial" w:hAnsi="Arial"/>
          <w:sz w:val="16"/>
          <w:szCs w:val="16"/>
          <w:color w:val="auto"/>
        </w:rPr>
        <w:t>: has the meaning given in the EPB Regulations</w:t>
      </w:r>
    </w:p>
    <w:p>
      <w:pPr>
        <w:spacing w:after="0" w:line="207" w:lineRule="exact"/>
        <w:rPr>
          <w:sz w:val="20"/>
          <w:szCs w:val="20"/>
          <w:color w:val="auto"/>
        </w:rPr>
      </w:pPr>
    </w:p>
    <w:p>
      <w:pPr>
        <w:ind w:left="582" w:right="340"/>
        <w:spacing w:after="0" w:line="290" w:lineRule="auto"/>
        <w:rPr>
          <w:sz w:val="20"/>
          <w:szCs w:val="20"/>
          <w:color w:val="auto"/>
        </w:rPr>
      </w:pPr>
      <w:r>
        <w:rPr>
          <w:rFonts w:ascii="Arial" w:cs="Arial" w:eastAsia="Arial" w:hAnsi="Arial"/>
          <w:sz w:val="16"/>
          <w:szCs w:val="16"/>
          <w:b w:val="1"/>
          <w:bCs w:val="1"/>
          <w:color w:val="auto"/>
        </w:rPr>
        <w:t>“Building”</w:t>
      </w:r>
      <w:r>
        <w:rPr>
          <w:rFonts w:ascii="Arial" w:cs="Arial" w:eastAsia="Arial" w:hAnsi="Arial"/>
          <w:sz w:val="16"/>
          <w:szCs w:val="16"/>
          <w:color w:val="auto"/>
        </w:rPr>
        <w:t>: the land and the building known as Building 900, Babraham Research Campus, Babraham Cambridge comprised in title number CB406367 shown</w:t>
      </w:r>
      <w:r>
        <w:rPr>
          <w:rFonts w:ascii="Arial" w:cs="Arial" w:eastAsia="Arial" w:hAnsi="Arial"/>
          <w:sz w:val="16"/>
          <w:szCs w:val="16"/>
          <w:b w:val="1"/>
          <w:bCs w:val="1"/>
          <w:color w:val="auto"/>
        </w:rPr>
        <w:t xml:space="preserve"> </w:t>
      </w:r>
      <w:r>
        <w:rPr>
          <w:rFonts w:ascii="Arial" w:cs="Arial" w:eastAsia="Arial" w:hAnsi="Arial"/>
          <w:sz w:val="16"/>
          <w:szCs w:val="16"/>
          <w:color w:val="auto"/>
        </w:rPr>
        <w:t>edged in red on Plan A</w:t>
      </w:r>
    </w:p>
    <w:p>
      <w:pPr>
        <w:spacing w:after="0" w:line="142"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“Common Media”</w:t>
      </w:r>
      <w:r>
        <w:rPr>
          <w:rFonts w:ascii="Arial" w:cs="Arial" w:eastAsia="Arial" w:hAnsi="Arial"/>
          <w:sz w:val="16"/>
          <w:szCs w:val="16"/>
          <w:color w:val="auto"/>
        </w:rPr>
        <w:t>: all Service Media serving the Premises and other parts of the Building</w:t>
      </w:r>
    </w:p>
    <w:p>
      <w:pPr>
        <w:spacing w:after="0" w:line="207" w:lineRule="exact"/>
        <w:rPr>
          <w:sz w:val="20"/>
          <w:szCs w:val="20"/>
          <w:color w:val="auto"/>
        </w:rPr>
      </w:pPr>
    </w:p>
    <w:p>
      <w:pPr>
        <w:ind w:left="582"/>
        <w:spacing w:after="0" w:line="326" w:lineRule="auto"/>
        <w:rPr>
          <w:sz w:val="20"/>
          <w:szCs w:val="20"/>
          <w:color w:val="auto"/>
        </w:rPr>
      </w:pPr>
      <w:r>
        <w:rPr>
          <w:rFonts w:ascii="Arial" w:cs="Arial" w:eastAsia="Arial" w:hAnsi="Arial"/>
          <w:sz w:val="15"/>
          <w:szCs w:val="15"/>
          <w:b w:val="1"/>
          <w:bCs w:val="1"/>
          <w:color w:val="auto"/>
        </w:rPr>
        <w:t>“Common Parts”</w:t>
      </w:r>
      <w:r>
        <w:rPr>
          <w:rFonts w:ascii="Arial" w:cs="Arial" w:eastAsia="Arial" w:hAnsi="Arial"/>
          <w:sz w:val="15"/>
          <w:szCs w:val="15"/>
          <w:color w:val="auto"/>
        </w:rPr>
        <w:t>: the car parking areas roads paths landscaped areas entrance halls reception areas lifts fire escapes staircases passages and landings and toilets and</w:t>
      </w:r>
      <w:r>
        <w:rPr>
          <w:rFonts w:ascii="Arial" w:cs="Arial" w:eastAsia="Arial" w:hAnsi="Arial"/>
          <w:sz w:val="15"/>
          <w:szCs w:val="15"/>
          <w:b w:val="1"/>
          <w:bCs w:val="1"/>
          <w:color w:val="auto"/>
        </w:rPr>
        <w:t xml:space="preserve"> </w:t>
      </w:r>
      <w:r>
        <w:rPr>
          <w:rFonts w:ascii="Arial" w:cs="Arial" w:eastAsia="Arial" w:hAnsi="Arial"/>
          <w:sz w:val="15"/>
          <w:szCs w:val="15"/>
          <w:color w:val="auto"/>
        </w:rPr>
        <w:t>showers of the Building and any other areas or amenities that are used or enjoyed in common by some or all of the tenants or occupiers of the Building</w:t>
      </w:r>
    </w:p>
    <w:p>
      <w:pPr>
        <w:spacing w:after="0" w:line="118" w:lineRule="exact"/>
        <w:rPr>
          <w:sz w:val="20"/>
          <w:szCs w:val="20"/>
          <w:color w:val="auto"/>
        </w:rPr>
      </w:pPr>
    </w:p>
    <w:p>
      <w:pPr>
        <w:ind w:left="582" w:right="260"/>
        <w:spacing w:after="0" w:line="290" w:lineRule="auto"/>
        <w:rPr>
          <w:sz w:val="20"/>
          <w:szCs w:val="20"/>
          <w:color w:val="auto"/>
        </w:rPr>
      </w:pPr>
      <w:r>
        <w:rPr>
          <w:rFonts w:ascii="Arial" w:cs="Arial" w:eastAsia="Arial" w:hAnsi="Arial"/>
          <w:sz w:val="16"/>
          <w:szCs w:val="16"/>
          <w:b w:val="1"/>
          <w:bCs w:val="1"/>
          <w:color w:val="auto"/>
        </w:rPr>
        <w:t>“CRC”</w:t>
      </w:r>
      <w:r>
        <w:rPr>
          <w:rFonts w:ascii="Arial" w:cs="Arial" w:eastAsia="Arial" w:hAnsi="Arial"/>
          <w:sz w:val="16"/>
          <w:szCs w:val="16"/>
          <w:color w:val="auto"/>
        </w:rPr>
        <w:t>: the Carbon Reduction Commitment Energy Efficiency Scheme as defined in section 3 of the CRC Energy Efficiency Scheme Order 2013 or any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scheme amending or replacing it</w:t>
      </w:r>
    </w:p>
    <w:p>
      <w:pPr>
        <w:spacing w:after="0" w:line="142"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“DEC”</w:t>
      </w:r>
      <w:r>
        <w:rPr>
          <w:rFonts w:ascii="Arial" w:cs="Arial" w:eastAsia="Arial" w:hAnsi="Arial"/>
          <w:sz w:val="16"/>
          <w:szCs w:val="16"/>
          <w:color w:val="auto"/>
        </w:rPr>
        <w:t>: a Display Energy Certificate and Advisory Report as defined in the EPB Regulations</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“EPB Regulations”</w:t>
      </w:r>
      <w:r>
        <w:rPr>
          <w:rFonts w:ascii="Arial" w:cs="Arial" w:eastAsia="Arial" w:hAnsi="Arial"/>
          <w:sz w:val="16"/>
          <w:szCs w:val="16"/>
          <w:color w:val="auto"/>
        </w:rPr>
        <w:t>: the Energy Performance of Buildings (Certificates and Inspections) (England and Wales) Regulations 2007</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“EPC”</w:t>
      </w:r>
      <w:r>
        <w:rPr>
          <w:rFonts w:ascii="Arial" w:cs="Arial" w:eastAsia="Arial" w:hAnsi="Arial"/>
          <w:sz w:val="16"/>
          <w:szCs w:val="16"/>
          <w:color w:val="auto"/>
        </w:rPr>
        <w:t>: an Energy Performance Certificate and Recommendation Report as defined in the EPB Regulations</w:t>
      </w:r>
    </w:p>
    <w:p>
      <w:pPr>
        <w:spacing w:after="0" w:line="207" w:lineRule="exact"/>
        <w:rPr>
          <w:sz w:val="20"/>
          <w:szCs w:val="20"/>
          <w:color w:val="auto"/>
        </w:rPr>
      </w:pPr>
    </w:p>
    <w:p>
      <w:pPr>
        <w:ind w:left="582" w:right="60"/>
        <w:spacing w:after="0" w:line="290" w:lineRule="auto"/>
        <w:rPr>
          <w:sz w:val="20"/>
          <w:szCs w:val="20"/>
          <w:color w:val="auto"/>
        </w:rPr>
      </w:pPr>
      <w:r>
        <w:rPr>
          <w:rFonts w:ascii="Arial" w:cs="Arial" w:eastAsia="Arial" w:hAnsi="Arial"/>
          <w:sz w:val="16"/>
          <w:szCs w:val="16"/>
          <w:b w:val="1"/>
          <w:bCs w:val="1"/>
          <w:color w:val="auto"/>
        </w:rPr>
        <w:t>“Estate Service Charge”</w:t>
      </w:r>
      <w:r>
        <w:rPr>
          <w:rFonts w:ascii="Arial" w:cs="Arial" w:eastAsia="Arial" w:hAnsi="Arial"/>
          <w:sz w:val="16"/>
          <w:szCs w:val="16"/>
          <w:color w:val="auto"/>
        </w:rPr>
        <w:t>: the fair proportion properly attributable to the Premises of the sums payable by the Landlord pursuant to paragraph 7 of schedule 2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Superior Lease as determined from time to time by the Landlord’s surveyor acting</w:t>
      </w:r>
    </w:p>
    <w:p>
      <w:pPr>
        <w:spacing w:after="0" w:line="146"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2"/>
          </w:cols>
          <w:pgMar w:left="238" w:top="318" w:right="299" w:bottom="1440" w:gutter="0" w:footer="0" w:header="0"/>
          <w:type w:val="continuous"/>
        </w:sectPr>
      </w:pPr>
    </w:p>
    <w:bookmarkStart w:id="410" w:name="page411"/>
    <w:bookmarkEnd w:id="410"/>
    <w:p>
      <w:pPr>
        <w:spacing w:after="0"/>
        <w:rPr>
          <w:sz w:val="20"/>
          <w:szCs w:val="20"/>
          <w:color w:val="auto"/>
        </w:rPr>
      </w:pPr>
      <w:r>
        <w:rPr>
          <w:rFonts w:ascii="Arial" w:cs="Arial" w:eastAsia="Arial" w:hAnsi="Arial"/>
          <w:sz w:val="15"/>
          <w:szCs w:val="15"/>
          <w:color w:val="auto"/>
        </w:rPr>
        <w:t>fairly and reasonably and to be based on the proportion that the net internal area of the Premises bears to the total net internal area of the Lettable Premises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“Ethos”</w:t>
      </w:r>
      <w:r>
        <w:rPr>
          <w:rFonts w:ascii="Arial" w:cs="Arial" w:eastAsia="Arial" w:hAnsi="Arial"/>
          <w:sz w:val="16"/>
          <w:szCs w:val="16"/>
          <w:color w:val="auto"/>
        </w:rPr>
        <w:t>: has the meaning ascribed to that expression in the Superior Lease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“Expiry of the Term”</w:t>
      </w:r>
      <w:r>
        <w:rPr>
          <w:rFonts w:ascii="Arial" w:cs="Arial" w:eastAsia="Arial" w:hAnsi="Arial"/>
          <w:sz w:val="16"/>
          <w:szCs w:val="16"/>
          <w:color w:val="auto"/>
        </w:rPr>
        <w:t>: the date of the expiration (but not of any sooner determination) of the Term.</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b w:val="1"/>
          <w:bCs w:val="1"/>
          <w:color w:val="auto"/>
        </w:rPr>
        <w:t>“Group Company”</w:t>
      </w:r>
      <w:r>
        <w:rPr>
          <w:rFonts w:ascii="Arial" w:cs="Arial" w:eastAsia="Arial" w:hAnsi="Arial"/>
          <w:sz w:val="16"/>
          <w:szCs w:val="16"/>
          <w:color w:val="auto"/>
        </w:rPr>
        <w:t>: a company which is a Subsidiary or Holding Company of the Tenant or any Subsidiary of such Holding Company from time to time (and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purpose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and </w:t>
      </w:r>
      <w:r>
        <w:rPr>
          <w:rFonts w:ascii="Arial" w:cs="Arial" w:eastAsia="Arial" w:hAnsi="Arial"/>
          <w:sz w:val="16"/>
          <w:szCs w:val="16"/>
          <w:b w:val="1"/>
          <w:bCs w:val="1"/>
          <w:color w:val="auto"/>
        </w:rPr>
        <w:t>“Holding Company”</w:t>
      </w:r>
      <w:r>
        <w:rPr>
          <w:rFonts w:ascii="Arial" w:cs="Arial" w:eastAsia="Arial" w:hAnsi="Arial"/>
          <w:sz w:val="16"/>
          <w:szCs w:val="16"/>
          <w:color w:val="auto"/>
        </w:rPr>
        <w:t xml:space="preserve"> have the meanings given in section 1159 and Schedule 6 of the Companies Act 2006) or a company in which a person has a controlling interest where the same person also holds a controlling interest in the Tenant and for this purpose a person has a controlling interest if (had that person been a company) the other company and the Tenant would each have been its Subsidiary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“Heating Systems”</w:t>
      </w:r>
      <w:r>
        <w:rPr>
          <w:rFonts w:ascii="Arial" w:cs="Arial" w:eastAsia="Arial" w:hAnsi="Arial"/>
          <w:sz w:val="16"/>
          <w:szCs w:val="16"/>
          <w:color w:val="auto"/>
        </w:rPr>
        <w:t>: the pipes ducting boilers and other installations for the provision in the Building of hot water heating and cooling and ventilation</w:t>
      </w:r>
    </w:p>
    <w:p>
      <w:pPr>
        <w:spacing w:after="0" w:line="207" w:lineRule="exact"/>
        <w:rPr>
          <w:sz w:val="20"/>
          <w:szCs w:val="20"/>
          <w:color w:val="auto"/>
        </w:rPr>
      </w:pPr>
    </w:p>
    <w:p>
      <w:pPr>
        <w:spacing w:after="0" w:line="290" w:lineRule="auto"/>
        <w:rPr>
          <w:sz w:val="20"/>
          <w:szCs w:val="20"/>
          <w:color w:val="auto"/>
        </w:rPr>
      </w:pPr>
      <w:r>
        <w:rPr>
          <w:rFonts w:ascii="Arial" w:cs="Arial" w:eastAsia="Arial" w:hAnsi="Arial"/>
          <w:sz w:val="15"/>
          <w:szCs w:val="15"/>
          <w:b w:val="1"/>
          <w:bCs w:val="1"/>
          <w:color w:val="auto"/>
        </w:rPr>
        <w:t>“Inherent Defect”</w:t>
      </w:r>
      <w:r>
        <w:rPr>
          <w:rFonts w:ascii="Arial" w:cs="Arial" w:eastAsia="Arial" w:hAnsi="Arial"/>
          <w:sz w:val="15"/>
          <w:szCs w:val="15"/>
          <w:color w:val="auto"/>
        </w:rPr>
        <w:t>: any defect in the structure of the Premises or the Building or the Service Media within the Building which is attributable to defective design,</w:t>
      </w:r>
      <w:r>
        <w:rPr>
          <w:rFonts w:ascii="Arial" w:cs="Arial" w:eastAsia="Arial" w:hAnsi="Arial"/>
          <w:sz w:val="15"/>
          <w:szCs w:val="15"/>
          <w:b w:val="1"/>
          <w:bCs w:val="1"/>
          <w:color w:val="auto"/>
        </w:rPr>
        <w:t xml:space="preserve"> </w:t>
      </w:r>
      <w:r>
        <w:rPr>
          <w:rFonts w:ascii="Arial" w:cs="Arial" w:eastAsia="Arial" w:hAnsi="Arial"/>
          <w:sz w:val="15"/>
          <w:szCs w:val="15"/>
          <w:color w:val="auto"/>
        </w:rPr>
        <w:t>workmanship or materials in its original construction the defective supervision of the construction of or the defective installation of anything in or on the Premises or the Building (as part of its original construction) or the defective preparation of the site on which the Premises or the Building are constructed and such defect existed but would not have been apparent on inspection of the Premises or the Building by an appropriate competent professional person at the date of this Lease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Service Charge”</w:t>
      </w:r>
      <w:r>
        <w:rPr>
          <w:rFonts w:ascii="Arial" w:cs="Arial" w:eastAsia="Arial" w:hAnsi="Arial"/>
          <w:sz w:val="16"/>
          <w:szCs w:val="16"/>
          <w:color w:val="auto"/>
        </w:rPr>
        <w:t>: seventy nine thousand three hundred and seven pounds and six pence (€79,307.06) per annum</w:t>
      </w:r>
    </w:p>
    <w:p>
      <w:pPr>
        <w:spacing w:after="0" w:line="207"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color w:val="auto"/>
        </w:rPr>
        <w:t>“Insurance Rent”</w:t>
      </w:r>
      <w:r>
        <w:rPr>
          <w:rFonts w:ascii="Arial" w:cs="Arial" w:eastAsia="Arial" w:hAnsi="Arial"/>
          <w:sz w:val="16"/>
          <w:szCs w:val="16"/>
          <w:color w:val="auto"/>
        </w:rPr>
        <w:t>: the yearly sum (and proportionately for any period less than a year) equal to the due proportion attributable to the Premises (which proportion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determined from time to time by the Landlord’s surveyor acting fairly and reasonably) of the gross amounts expended by the Landlord from time to time in insuring the Building against the Insured Risks pursuant to the Superior Lease together with insurance for not less than three years’ loss of rent and against liabilities of the Landlord in respect of property owner’s and third party risks and the cost of any insurance valuations of the Building carried out by or on behalf of the Landlord not more often than once in every year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“Insured Risks”</w:t>
      </w:r>
      <w:r>
        <w:rPr>
          <w:rFonts w:ascii="Arial" w:cs="Arial" w:eastAsia="Arial" w:hAnsi="Arial"/>
          <w:sz w:val="16"/>
          <w:szCs w:val="16"/>
          <w:color w:val="auto"/>
        </w:rPr>
        <w:t>: such risks as may be insured against by the Landlord from time to time under the provisions of the Superior Lease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“Insurers”</w:t>
      </w:r>
      <w:r>
        <w:rPr>
          <w:rFonts w:ascii="Arial" w:cs="Arial" w:eastAsia="Arial" w:hAnsi="Arial"/>
          <w:sz w:val="16"/>
          <w:szCs w:val="16"/>
          <w:color w:val="auto"/>
        </w:rPr>
        <w:t>: such reputable insurers as the Landlord may nominate from time to time</w:t>
      </w:r>
    </w:p>
    <w:p>
      <w:pPr>
        <w:spacing w:after="0" w:line="20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b w:val="1"/>
          <w:bCs w:val="1"/>
          <w:color w:val="auto"/>
        </w:rPr>
        <w:t>“Interest Rate”</w:t>
      </w:r>
      <w:r>
        <w:rPr>
          <w:rFonts w:ascii="Arial" w:cs="Arial" w:eastAsia="Arial" w:hAnsi="Arial"/>
          <w:sz w:val="16"/>
          <w:szCs w:val="16"/>
          <w:color w:val="auto"/>
        </w:rPr>
        <w:t>: whichever shall be the higher of 1% per annum and the percentage rate per annum equal to the base lending rate from time to time of Lloyds TSB</w:t>
      </w:r>
      <w:r>
        <w:rPr>
          <w:rFonts w:ascii="Arial" w:cs="Arial" w:eastAsia="Arial" w:hAnsi="Arial"/>
          <w:sz w:val="16"/>
          <w:szCs w:val="16"/>
          <w:b w:val="1"/>
          <w:bCs w:val="1"/>
          <w:color w:val="auto"/>
        </w:rPr>
        <w:t xml:space="preserve"> </w:t>
      </w:r>
      <w:r>
        <w:rPr>
          <w:rFonts w:ascii="Arial" w:cs="Arial" w:eastAsia="Arial" w:hAnsi="Arial"/>
          <w:sz w:val="16"/>
          <w:szCs w:val="16"/>
          <w:color w:val="auto"/>
        </w:rPr>
        <w:t>Bank plc (or another bank nominated from time to time by the Landlord) or (if base lending</w:t>
      </w:r>
    </w:p>
    <w:p>
      <w:pPr>
        <w:spacing w:after="0" w:line="146"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74930</wp:posOffset>
            </wp:positionV>
            <wp:extent cx="72802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800"/>
          </w:cols>
          <w:pgMar w:left="820" w:top="322" w:right="279" w:bottom="1440" w:gutter="0" w:footer="0" w:header="0"/>
        </w:sectPr>
      </w:pPr>
    </w:p>
    <w:bookmarkStart w:id="411" w:name="page412"/>
    <w:bookmarkEnd w:id="411"/>
    <w:p>
      <w:pPr>
        <w:spacing w:after="0"/>
        <w:rPr>
          <w:sz w:val="20"/>
          <w:szCs w:val="20"/>
          <w:color w:val="auto"/>
        </w:rPr>
      </w:pPr>
      <w:r>
        <w:rPr>
          <w:rFonts w:ascii="Arial" w:cs="Arial" w:eastAsia="Arial" w:hAnsi="Arial"/>
          <w:sz w:val="16"/>
          <w:szCs w:val="16"/>
          <w:color w:val="auto"/>
        </w:rPr>
        <w:t>rates cease to be published) such other equivalent rate of interest specified by the Landlord (acting reasonably)</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“Landlord”</w:t>
      </w:r>
      <w:r>
        <w:rPr>
          <w:rFonts w:ascii="Arial" w:cs="Arial" w:eastAsia="Arial" w:hAnsi="Arial"/>
          <w:sz w:val="15"/>
          <w:szCs w:val="15"/>
          <w:color w:val="auto"/>
        </w:rPr>
        <w:t>: the landlord referred to in clause LR3 and the person from time to time entitled to the reversion immediately expectant on the termination of the Term</w:t>
      </w:r>
    </w:p>
    <w:p>
      <w:pPr>
        <w:spacing w:after="0" w:line="219" w:lineRule="exact"/>
        <w:rPr>
          <w:sz w:val="20"/>
          <w:szCs w:val="20"/>
          <w:color w:val="auto"/>
        </w:rPr>
      </w:pPr>
    </w:p>
    <w:p>
      <w:pPr>
        <w:jc w:val="both"/>
        <w:ind w:right="60"/>
        <w:spacing w:after="0" w:line="290" w:lineRule="auto"/>
        <w:rPr>
          <w:sz w:val="20"/>
          <w:szCs w:val="20"/>
          <w:color w:val="auto"/>
        </w:rPr>
      </w:pPr>
      <w:r>
        <w:rPr>
          <w:rFonts w:ascii="Arial" w:cs="Arial" w:eastAsia="Arial" w:hAnsi="Arial"/>
          <w:sz w:val="16"/>
          <w:szCs w:val="16"/>
          <w:b w:val="1"/>
          <w:bCs w:val="1"/>
          <w:color w:val="auto"/>
        </w:rPr>
        <w:t>“Landlord’s Expenses”</w:t>
      </w:r>
      <w:r>
        <w:rPr>
          <w:rFonts w:ascii="Arial" w:cs="Arial" w:eastAsia="Arial" w:hAnsi="Arial"/>
          <w:sz w:val="16"/>
          <w:szCs w:val="16"/>
          <w:color w:val="auto"/>
        </w:rPr>
        <w:t>: reasonable and proper solicitors’ counsels’ surveyors’ and other consultants’ and professional fees and costs bailiffs’ fees and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incurred by the Landlord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“Lettable Premises”</w:t>
      </w:r>
      <w:r>
        <w:rPr>
          <w:rFonts w:ascii="Arial" w:cs="Arial" w:eastAsia="Arial" w:hAnsi="Arial"/>
          <w:sz w:val="16"/>
          <w:szCs w:val="16"/>
          <w:color w:val="auto"/>
        </w:rPr>
        <w:t>: accommodation within the Building from time to time let or occupied or intended for letting or occupation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Rating”</w:t>
      </w:r>
      <w:r>
        <w:rPr>
          <w:rFonts w:ascii="Arial" w:cs="Arial" w:eastAsia="Arial" w:hAnsi="Arial"/>
          <w:sz w:val="16"/>
          <w:szCs w:val="16"/>
          <w:color w:val="auto"/>
        </w:rPr>
        <w:t>: has the meaning given in the EPB Regulations</w:t>
      </w:r>
    </w:p>
    <w:p>
      <w:pPr>
        <w:spacing w:after="0" w:line="20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“Permitted Use”</w:t>
      </w:r>
      <w:r>
        <w:rPr>
          <w:rFonts w:ascii="Arial" w:cs="Arial" w:eastAsia="Arial" w:hAnsi="Arial"/>
          <w:sz w:val="16"/>
          <w:szCs w:val="16"/>
          <w:color w:val="auto"/>
        </w:rPr>
        <w:t>: laboratories with ancillary offices and meeting rooms for research and development activities for the purposes of scientific and/or medical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human health care or biotechnology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w:t>
      </w:r>
      <w:r>
        <w:rPr>
          <w:rFonts w:ascii="Arial" w:cs="Arial" w:eastAsia="Arial" w:hAnsi="Arial"/>
          <w:sz w:val="16"/>
          <w:szCs w:val="16"/>
          <w:color w:val="auto"/>
        </w:rPr>
        <w:t>: a plan attached to this deed and references to a lettered or numbered plan are to the plan so lettered or numbered</w:t>
      </w:r>
    </w:p>
    <w:p>
      <w:pPr>
        <w:spacing w:after="0" w:line="207" w:lineRule="exact"/>
        <w:rPr>
          <w:sz w:val="20"/>
          <w:szCs w:val="20"/>
          <w:color w:val="auto"/>
        </w:rPr>
      </w:pPr>
    </w:p>
    <w:p>
      <w:pPr>
        <w:jc w:val="both"/>
        <w:ind w:right="40"/>
        <w:spacing w:after="0" w:line="272" w:lineRule="auto"/>
        <w:rPr>
          <w:sz w:val="20"/>
          <w:szCs w:val="20"/>
          <w:color w:val="auto"/>
        </w:rPr>
      </w:pPr>
      <w:r>
        <w:rPr>
          <w:rFonts w:ascii="Arial" w:cs="Arial" w:eastAsia="Arial" w:hAnsi="Arial"/>
          <w:sz w:val="16"/>
          <w:szCs w:val="16"/>
          <w:b w:val="1"/>
          <w:bCs w:val="1"/>
          <w:color w:val="auto"/>
        </w:rPr>
        <w:t>“Planning Acts”</w:t>
      </w:r>
      <w:r>
        <w:rPr>
          <w:rFonts w:ascii="Arial" w:cs="Arial" w:eastAsia="Arial" w:hAnsi="Arial"/>
          <w:sz w:val="16"/>
          <w:szCs w:val="16"/>
          <w:color w:val="auto"/>
        </w:rPr>
        <w:t>: the Town and Country Planning Act 1990 the Planning (Listed Buildings and Conservation Areas) Act 1990 the Planning (Hazardous Substances)</w:t>
      </w:r>
      <w:r>
        <w:rPr>
          <w:rFonts w:ascii="Arial" w:cs="Arial" w:eastAsia="Arial" w:hAnsi="Arial"/>
          <w:sz w:val="16"/>
          <w:szCs w:val="16"/>
          <w:b w:val="1"/>
          <w:bCs w:val="1"/>
          <w:color w:val="auto"/>
        </w:rPr>
        <w:t xml:space="preserve"> </w:t>
      </w:r>
      <w:r>
        <w:rPr>
          <w:rFonts w:ascii="Arial" w:cs="Arial" w:eastAsia="Arial" w:hAnsi="Arial"/>
          <w:sz w:val="16"/>
          <w:szCs w:val="16"/>
          <w:color w:val="auto"/>
        </w:rPr>
        <w:t>Act 1990 the Planning (Consequential Provisions) Act 1990 the Planning and Compensation Act 1991 the Planning and Compulsory Purchase Act 2004 and all other statutes regulating the development design use and control of property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“Premises</w:t>
      </w:r>
      <w:r>
        <w:rPr>
          <w:rFonts w:ascii="Arial" w:cs="Arial" w:eastAsia="Arial" w:hAnsi="Arial"/>
          <w:sz w:val="16"/>
          <w:szCs w:val="16"/>
          <w:color w:val="auto"/>
        </w:rPr>
        <w:t>: the Property referred to in clause LR4</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 Days”</w:t>
      </w:r>
      <w:r>
        <w:rPr>
          <w:rFonts w:ascii="Arial" w:cs="Arial" w:eastAsia="Arial" w:hAnsi="Arial"/>
          <w:sz w:val="16"/>
          <w:szCs w:val="16"/>
          <w:color w:val="auto"/>
        </w:rPr>
        <w:t>: 25th March 24th June 29th September and 25th December in each year</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“Rent”</w:t>
      </w:r>
      <w:r>
        <w:rPr>
          <w:rFonts w:ascii="Arial" w:cs="Arial" w:eastAsia="Arial" w:hAnsi="Arial"/>
          <w:sz w:val="16"/>
          <w:szCs w:val="16"/>
          <w:color w:val="auto"/>
        </w:rPr>
        <w:t>: three hundred and forty nine thousand eight hundred and eighty four pounds and nine pence (€349,884.09) per annum</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“Rent Commencement Date”</w:t>
      </w:r>
      <w:r>
        <w:rPr>
          <w:rFonts w:ascii="Arial" w:cs="Arial" w:eastAsia="Arial" w:hAnsi="Arial"/>
          <w:sz w:val="16"/>
          <w:szCs w:val="16"/>
          <w:color w:val="auto"/>
        </w:rPr>
        <w:t>: 10 April 2017</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“Rents”</w:t>
      </w:r>
      <w:r>
        <w:rPr>
          <w:rFonts w:ascii="Arial" w:cs="Arial" w:eastAsia="Arial" w:hAnsi="Arial"/>
          <w:sz w:val="14"/>
          <w:szCs w:val="14"/>
          <w:color w:val="auto"/>
        </w:rPr>
        <w:t>: the Rent the Insurance Rent the Service Charge the Estate Service Charge and the other sums reserved by or payable by the Tenant under this Underlease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“Retained Premises”</w:t>
      </w:r>
      <w:r>
        <w:rPr>
          <w:rFonts w:ascii="Arial" w:cs="Arial" w:eastAsia="Arial" w:hAnsi="Arial"/>
          <w:sz w:val="16"/>
          <w:szCs w:val="16"/>
          <w:color w:val="auto"/>
        </w:rPr>
        <w:t>: the Building excluding the Premises and any other Lettable Premises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Charge”</w:t>
      </w:r>
      <w:r>
        <w:rPr>
          <w:rFonts w:ascii="Arial" w:cs="Arial" w:eastAsia="Arial" w:hAnsi="Arial"/>
          <w:sz w:val="16"/>
          <w:szCs w:val="16"/>
          <w:color w:val="auto"/>
        </w:rPr>
        <w:t>: has the meaning given to such expression in part 1 of schedule</w:t>
      </w:r>
      <w:r>
        <w:rPr>
          <w:rFonts w:ascii="Arial" w:cs="Arial" w:eastAsia="Arial" w:hAnsi="Arial"/>
          <w:sz w:val="16"/>
          <w:szCs w:val="16"/>
          <w:b w:val="1"/>
          <w:bCs w:val="1"/>
          <w:color w:val="auto"/>
        </w:rPr>
        <w:t xml:space="preserve"> 8</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Charge Commencement Date”</w:t>
      </w:r>
      <w:r>
        <w:rPr>
          <w:rFonts w:ascii="Arial" w:cs="Arial" w:eastAsia="Arial" w:hAnsi="Arial"/>
          <w:sz w:val="16"/>
          <w:szCs w:val="16"/>
          <w:color w:val="auto"/>
        </w:rPr>
        <w:t>: the first day of the Term</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Media”</w:t>
      </w:r>
      <w:r>
        <w:rPr>
          <w:rFonts w:ascii="Arial" w:cs="Arial" w:eastAsia="Arial" w:hAnsi="Arial"/>
          <w:sz w:val="16"/>
          <w:szCs w:val="16"/>
          <w:color w:val="auto"/>
        </w:rPr>
        <w:t>: all sewers drains pipes gullies gutters ducts mains channels wires cables conduits flues and other conducting media</w:t>
      </w:r>
    </w:p>
    <w:p>
      <w:pPr>
        <w:spacing w:after="0" w:line="211"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74930</wp:posOffset>
            </wp:positionV>
            <wp:extent cx="72802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840"/>
          </w:cols>
          <w:pgMar w:left="820" w:top="322" w:right="239" w:bottom="1440" w:gutter="0" w:footer="0" w:header="0"/>
        </w:sectPr>
      </w:pPr>
    </w:p>
    <w:bookmarkStart w:id="412" w:name="page413"/>
    <w:bookmarkEnd w:id="412"/>
    <w:p>
      <w:pPr>
        <w:ind w:left="580"/>
        <w:spacing w:after="0"/>
        <w:rPr>
          <w:sz w:val="20"/>
          <w:szCs w:val="20"/>
          <w:color w:val="auto"/>
        </w:rPr>
      </w:pPr>
      <w:r>
        <w:rPr>
          <w:rFonts w:ascii="Arial" w:cs="Arial" w:eastAsia="Arial" w:hAnsi="Arial"/>
          <w:sz w:val="16"/>
          <w:szCs w:val="16"/>
          <w:b w:val="1"/>
          <w:bCs w:val="1"/>
          <w:color w:val="auto"/>
        </w:rPr>
        <w:t>“Service Risers”</w:t>
      </w:r>
      <w:r>
        <w:rPr>
          <w:rFonts w:ascii="Arial" w:cs="Arial" w:eastAsia="Arial" w:hAnsi="Arial"/>
          <w:sz w:val="16"/>
          <w:szCs w:val="16"/>
          <w:color w:val="auto"/>
        </w:rPr>
        <w:t>: the service risers shown edged in yellow on Plans B and C</w:t>
      </w:r>
    </w:p>
    <w:p>
      <w:pPr>
        <w:spacing w:after="0" w:line="207" w:lineRule="exact"/>
        <w:rPr>
          <w:sz w:val="20"/>
          <w:szCs w:val="20"/>
          <w:color w:val="auto"/>
        </w:rPr>
      </w:pPr>
    </w:p>
    <w:p>
      <w:pPr>
        <w:ind w:left="580" w:right="60"/>
        <w:spacing w:after="0" w:line="326" w:lineRule="auto"/>
        <w:rPr>
          <w:sz w:val="20"/>
          <w:szCs w:val="20"/>
          <w:color w:val="auto"/>
        </w:rPr>
      </w:pPr>
      <w:r>
        <w:rPr>
          <w:rFonts w:ascii="Arial" w:cs="Arial" w:eastAsia="Arial" w:hAnsi="Arial"/>
          <w:sz w:val="15"/>
          <w:szCs w:val="15"/>
          <w:b w:val="1"/>
          <w:bCs w:val="1"/>
          <w:color w:val="auto"/>
        </w:rPr>
        <w:t>“Superior Lease”</w:t>
      </w:r>
      <w:r>
        <w:rPr>
          <w:rFonts w:ascii="Arial" w:cs="Arial" w:eastAsia="Arial" w:hAnsi="Arial"/>
          <w:sz w:val="15"/>
          <w:szCs w:val="15"/>
          <w:color w:val="auto"/>
        </w:rPr>
        <w:t>: a lease dated 12 August 2015 made between Biotechnology and Biological Sciences Research Council (1) Imperial Bioincubator Limited (2) and</w:t>
      </w:r>
      <w:r>
        <w:rPr>
          <w:rFonts w:ascii="Arial" w:cs="Arial" w:eastAsia="Arial" w:hAnsi="Arial"/>
          <w:sz w:val="15"/>
          <w:szCs w:val="15"/>
          <w:b w:val="1"/>
          <w:bCs w:val="1"/>
          <w:color w:val="auto"/>
        </w:rPr>
        <w:t xml:space="preserve"> </w:t>
      </w:r>
      <w:r>
        <w:rPr>
          <w:rFonts w:ascii="Arial" w:cs="Arial" w:eastAsia="Arial" w:hAnsi="Arial"/>
          <w:sz w:val="15"/>
          <w:szCs w:val="15"/>
          <w:color w:val="auto"/>
        </w:rPr>
        <w:t>Imperial College of Science Technology and Medicine (3) and any document which is supplemental to or collateral with or entered into pursuant to such lease</w:t>
      </w:r>
    </w:p>
    <w:p>
      <w:pPr>
        <w:spacing w:after="0" w:line="118" w:lineRule="exact"/>
        <w:rPr>
          <w:sz w:val="20"/>
          <w:szCs w:val="20"/>
          <w:color w:val="auto"/>
        </w:rPr>
      </w:pPr>
    </w:p>
    <w:p>
      <w:pPr>
        <w:ind w:left="580" w:right="180"/>
        <w:spacing w:after="0" w:line="290" w:lineRule="auto"/>
        <w:rPr>
          <w:sz w:val="20"/>
          <w:szCs w:val="20"/>
          <w:color w:val="auto"/>
        </w:rPr>
      </w:pPr>
      <w:r>
        <w:rPr>
          <w:rFonts w:ascii="Arial" w:cs="Arial" w:eastAsia="Arial" w:hAnsi="Arial"/>
          <w:sz w:val="16"/>
          <w:szCs w:val="16"/>
          <w:b w:val="1"/>
          <w:bCs w:val="1"/>
          <w:color w:val="auto"/>
        </w:rPr>
        <w:t>“Superior Lessor”</w:t>
      </w:r>
      <w:r>
        <w:rPr>
          <w:rFonts w:ascii="Arial" w:cs="Arial" w:eastAsia="Arial" w:hAnsi="Arial"/>
          <w:sz w:val="16"/>
          <w:szCs w:val="16"/>
          <w:color w:val="auto"/>
        </w:rPr>
        <w:t>: includes the person from time to time entitled to the reversion immediately or mediately expectant on the determination of the term granted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Superior Lease</w:t>
      </w:r>
    </w:p>
    <w:p>
      <w:pPr>
        <w:spacing w:after="0" w:line="142"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b w:val="1"/>
          <w:bCs w:val="1"/>
          <w:color w:val="auto"/>
        </w:rPr>
        <w:t>“Surety”</w:t>
      </w:r>
      <w:r>
        <w:rPr>
          <w:rFonts w:ascii="Arial" w:cs="Arial" w:eastAsia="Arial" w:hAnsi="Arial"/>
          <w:sz w:val="16"/>
          <w:szCs w:val="16"/>
          <w:color w:val="auto"/>
        </w:rPr>
        <w:t>: the surety referred to in clause LR3 or if none is referred to Surety means any surety or sureties of the Tenant’s obligations under this Underlease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and where the Surety is an individual includes the Surety’s personal representatives</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“Tenant”</w:t>
      </w:r>
      <w:r>
        <w:rPr>
          <w:rFonts w:ascii="Arial" w:cs="Arial" w:eastAsia="Arial" w:hAnsi="Arial"/>
          <w:sz w:val="16"/>
          <w:szCs w:val="16"/>
          <w:color w:val="auto"/>
        </w:rPr>
        <w:t>: the tenant referred to in clause LR3 or the person who is from time to time the tenant under this Lease</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“Term”</w:t>
      </w:r>
      <w:r>
        <w:rPr>
          <w:rFonts w:ascii="Arial" w:cs="Arial" w:eastAsia="Arial" w:hAnsi="Arial"/>
          <w:sz w:val="16"/>
          <w:szCs w:val="16"/>
          <w:color w:val="auto"/>
        </w:rPr>
        <w:t>: the term as set out in clause LR6</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“this Underlease”</w:t>
      </w:r>
      <w:r>
        <w:rPr>
          <w:rFonts w:ascii="Arial" w:cs="Arial" w:eastAsia="Arial" w:hAnsi="Arial"/>
          <w:sz w:val="15"/>
          <w:szCs w:val="15"/>
          <w:color w:val="auto"/>
        </w:rPr>
        <w:t>: this deed as varied from time to time and any document which is supplemental to or collateral with or entered into pursuant to this deed</w:t>
      </w:r>
    </w:p>
    <w:p>
      <w:pPr>
        <w:spacing w:after="0" w:line="219" w:lineRule="exact"/>
        <w:rPr>
          <w:sz w:val="20"/>
          <w:szCs w:val="20"/>
          <w:color w:val="auto"/>
        </w:rPr>
      </w:pPr>
    </w:p>
    <w:p>
      <w:pPr>
        <w:ind w:left="580" w:right="180"/>
        <w:spacing w:after="0" w:line="290" w:lineRule="auto"/>
        <w:rPr>
          <w:sz w:val="20"/>
          <w:szCs w:val="20"/>
          <w:color w:val="auto"/>
        </w:rPr>
      </w:pPr>
      <w:r>
        <w:rPr>
          <w:rFonts w:ascii="Arial" w:cs="Arial" w:eastAsia="Arial" w:hAnsi="Arial"/>
          <w:sz w:val="16"/>
          <w:szCs w:val="16"/>
          <w:b w:val="1"/>
          <w:bCs w:val="1"/>
          <w:color w:val="auto"/>
        </w:rPr>
        <w:t>“Toilets and Showers”</w:t>
      </w:r>
      <w:r>
        <w:rPr>
          <w:rFonts w:ascii="Arial" w:cs="Arial" w:eastAsia="Arial" w:hAnsi="Arial"/>
          <w:sz w:val="16"/>
          <w:szCs w:val="16"/>
          <w:color w:val="auto"/>
        </w:rPr>
        <w:t>: the toilets and showers on the ground and first floors of the Building forming part of the common areas shown coloured green and marked</w:t>
      </w:r>
      <w:r>
        <w:rPr>
          <w:rFonts w:ascii="Arial" w:cs="Arial" w:eastAsia="Arial" w:hAnsi="Arial"/>
          <w:sz w:val="16"/>
          <w:szCs w:val="16"/>
          <w:b w:val="1"/>
          <w:bCs w:val="1"/>
          <w:color w:val="auto"/>
        </w:rPr>
        <w:t xml:space="preserve"> </w:t>
      </w:r>
      <w:r>
        <w:rPr>
          <w:rFonts w:ascii="Arial" w:cs="Arial" w:eastAsia="Arial" w:hAnsi="Arial"/>
          <w:sz w:val="16"/>
          <w:szCs w:val="16"/>
          <w:color w:val="auto"/>
        </w:rPr>
        <w:t>“GIO2 Toilets and Showers” and “F102 Toilets and Showers” on Plans B and C respectively</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“Unit B External Store”</w:t>
      </w:r>
      <w:r>
        <w:rPr>
          <w:rFonts w:ascii="Arial" w:cs="Arial" w:eastAsia="Arial" w:hAnsi="Arial"/>
          <w:sz w:val="15"/>
          <w:szCs w:val="15"/>
          <w:color w:val="auto"/>
        </w:rPr>
        <w:t>: the external store shown edged and shaded blue on Plan B and marked “BSO1 Bin Store”, “BSO2 General Store” and “BS03 Gas Store”</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“Value Added Tax”</w:t>
      </w:r>
      <w:r>
        <w:rPr>
          <w:rFonts w:ascii="Arial" w:cs="Arial" w:eastAsia="Arial" w:hAnsi="Arial"/>
          <w:sz w:val="16"/>
          <w:szCs w:val="16"/>
          <w:color w:val="auto"/>
        </w:rPr>
        <w:t>: value added tax and any tax or duty of a similar nature</w:t>
      </w:r>
    </w:p>
    <w:p>
      <w:pPr>
        <w:spacing w:after="0" w:line="207" w:lineRule="exact"/>
        <w:rPr>
          <w:sz w:val="20"/>
          <w:szCs w:val="20"/>
          <w:color w:val="auto"/>
        </w:rPr>
      </w:pPr>
    </w:p>
    <w:p>
      <w:pPr>
        <w:ind w:left="580" w:right="140"/>
        <w:spacing w:after="0" w:line="290" w:lineRule="auto"/>
        <w:rPr>
          <w:sz w:val="20"/>
          <w:szCs w:val="20"/>
          <w:color w:val="auto"/>
        </w:rPr>
      </w:pPr>
      <w:r>
        <w:rPr>
          <w:rFonts w:ascii="Arial" w:cs="Arial" w:eastAsia="Arial" w:hAnsi="Arial"/>
          <w:sz w:val="16"/>
          <w:szCs w:val="16"/>
          <w:b w:val="1"/>
          <w:bCs w:val="1"/>
          <w:color w:val="auto"/>
        </w:rPr>
        <w:t>“Wireless Data Services”</w:t>
      </w:r>
      <w:r>
        <w:rPr>
          <w:rFonts w:ascii="Arial" w:cs="Arial" w:eastAsia="Arial" w:hAnsi="Arial"/>
          <w:sz w:val="16"/>
          <w:szCs w:val="16"/>
          <w:color w:val="auto"/>
        </w:rPr>
        <w:t>: equipment or systems providing or related to wireless data voice or video connectivity or wireless services permitting or offering access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internet or any wireless network mobile network or telecommunications system which involves a wireless or mobile device</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any covenant given by more than one person will be joint and several</w:t>
      </w:r>
    </w:p>
    <w:p>
      <w:pPr>
        <w:spacing w:after="0" w:line="203" w:lineRule="exact"/>
        <w:rPr>
          <w:sz w:val="20"/>
          <w:szCs w:val="20"/>
          <w:color w:val="auto"/>
        </w:rPr>
      </w:pPr>
    </w:p>
    <w:p>
      <w:pPr>
        <w:ind w:left="580" w:right="80" w:hanging="586"/>
        <w:spacing w:after="0" w:line="290" w:lineRule="auto"/>
        <w:tabs>
          <w:tab w:leader="none" w:pos="56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 xml:space="preserve">where there are two or more persons at any time included in the expressions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and/or </w:t>
      </w:r>
      <w:r>
        <w:rPr>
          <w:rFonts w:ascii="Arial" w:cs="Arial" w:eastAsia="Arial" w:hAnsi="Arial"/>
          <w:sz w:val="16"/>
          <w:szCs w:val="16"/>
          <w:b w:val="1"/>
          <w:bCs w:val="1"/>
          <w:color w:val="auto"/>
        </w:rPr>
        <w:t>“Tenant”</w:t>
      </w:r>
      <w:r>
        <w:rPr>
          <w:rFonts w:ascii="Arial" w:cs="Arial" w:eastAsia="Arial" w:hAnsi="Arial"/>
          <w:sz w:val="16"/>
          <w:szCs w:val="16"/>
          <w:color w:val="auto"/>
        </w:rPr>
        <w:t xml:space="preserve"> and/or </w:t>
      </w:r>
      <w:r>
        <w:rPr>
          <w:rFonts w:ascii="Arial" w:cs="Arial" w:eastAsia="Arial" w:hAnsi="Arial"/>
          <w:sz w:val="16"/>
          <w:szCs w:val="16"/>
          <w:b w:val="1"/>
          <w:bCs w:val="1"/>
          <w:color w:val="auto"/>
        </w:rPr>
        <w:t>“Surety”</w:t>
      </w:r>
      <w:r>
        <w:rPr>
          <w:rFonts w:ascii="Arial" w:cs="Arial" w:eastAsia="Arial" w:hAnsi="Arial"/>
          <w:sz w:val="16"/>
          <w:szCs w:val="16"/>
          <w:color w:val="auto"/>
        </w:rPr>
        <w:t xml:space="preserve"> references to the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and/or the </w:t>
      </w:r>
      <w:r>
        <w:rPr>
          <w:rFonts w:ascii="Arial" w:cs="Arial" w:eastAsia="Arial" w:hAnsi="Arial"/>
          <w:sz w:val="16"/>
          <w:szCs w:val="16"/>
          <w:b w:val="1"/>
          <w:bCs w:val="1"/>
          <w:color w:val="auto"/>
        </w:rPr>
        <w:t xml:space="preserve">“Tenant” </w:t>
      </w:r>
      <w:r>
        <w:rPr>
          <w:rFonts w:ascii="Arial" w:cs="Arial" w:eastAsia="Arial" w:hAnsi="Arial"/>
          <w:sz w:val="16"/>
          <w:szCs w:val="16"/>
          <w:color w:val="auto"/>
        </w:rPr>
        <w:t>and/or the</w:t>
      </w:r>
      <w:r>
        <w:rPr>
          <w:rFonts w:ascii="Arial" w:cs="Arial" w:eastAsia="Arial" w:hAnsi="Arial"/>
          <w:sz w:val="16"/>
          <w:szCs w:val="16"/>
          <w:b w:val="1"/>
          <w:bCs w:val="1"/>
          <w:color w:val="auto"/>
        </w:rPr>
        <w:t xml:space="preserve"> “Surety” </w:t>
      </w:r>
      <w:r>
        <w:rPr>
          <w:rFonts w:ascii="Arial" w:cs="Arial" w:eastAsia="Arial" w:hAnsi="Arial"/>
          <w:sz w:val="16"/>
          <w:szCs w:val="16"/>
          <w:color w:val="auto"/>
        </w:rPr>
        <w:t>will include all or any one of them</w:t>
      </w:r>
    </w:p>
    <w:p>
      <w:pPr>
        <w:spacing w:after="0" w:line="146" w:lineRule="exact"/>
        <w:rPr>
          <w:sz w:val="20"/>
          <w:szCs w:val="20"/>
          <w:color w:val="auto"/>
        </w:rPr>
      </w:pPr>
    </w:p>
    <w:p>
      <w:pPr>
        <w:ind w:left="580" w:right="20" w:hanging="586"/>
        <w:spacing w:after="0" w:line="265" w:lineRule="auto"/>
        <w:tabs>
          <w:tab w:leader="none" w:pos="56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references to any statute statutory provision directive of the Council of the European Union (whether issued jointly with any other person or under any other name) or other legislation include a reference to that statute statutory provision directive or legislation as amended extended re-enacted consolidated or replaced from time to time (whether before or after the date of this Underlease) and include any order regulation instrument or other subordinate legislation made under the relevant statute statutory provision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413" w:name="page414"/>
    <w:bookmarkEnd w:id="413"/>
    <w:p>
      <w:pPr>
        <w:ind w:left="582"/>
        <w:spacing w:after="0"/>
        <w:rPr>
          <w:sz w:val="20"/>
          <w:szCs w:val="20"/>
          <w:color w:val="auto"/>
        </w:rPr>
      </w:pPr>
      <w:r>
        <w:rPr>
          <w:rFonts w:ascii="Arial" w:cs="Arial" w:eastAsia="Arial" w:hAnsi="Arial"/>
          <w:sz w:val="16"/>
          <w:szCs w:val="16"/>
          <w:color w:val="auto"/>
        </w:rPr>
        <w:t>directive or legislation (except in the case of any reference to the Town and Country Planning (Use Classes) Order 1987)</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4"/>
          <w:szCs w:val="14"/>
          <w:color w:val="auto"/>
        </w:rPr>
        <w:t>every obligation of any party to this Underlease not to do an act or thing includes an obligation not to allow it to be done</w:t>
      </w:r>
    </w:p>
    <w:p>
      <w:pPr>
        <w:spacing w:after="0" w:line="207" w:lineRule="exact"/>
        <w:rPr>
          <w:sz w:val="20"/>
          <w:szCs w:val="20"/>
          <w:color w:val="auto"/>
        </w:rPr>
      </w:pPr>
    </w:p>
    <w:p>
      <w:pPr>
        <w:ind w:left="582" w:right="80" w:hanging="586"/>
        <w:spacing w:after="0" w:line="320" w:lineRule="auto"/>
        <w:tabs>
          <w:tab w:leader="none" w:pos="562"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5"/>
          <w:szCs w:val="15"/>
          <w:color w:val="auto"/>
        </w:rPr>
        <w:t>where there is an obligation to obtain the consent or approval of the Landlord under this Underlease such consent or approval must be in writing and such obligation includes where necessary an obligation to obtain the consent or approval in writing of the Superior Lessor and/or any chargee from time to time</w:t>
      </w:r>
    </w:p>
    <w:p>
      <w:pPr>
        <w:spacing w:after="0" w:line="12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4"/>
          <w:szCs w:val="14"/>
          <w:color w:val="auto"/>
        </w:rPr>
        <w:t>any reference to consent or approval not being unreasonably withheld also means it must not be unreasonably delayed</w:t>
      </w:r>
    </w:p>
    <w:p>
      <w:pPr>
        <w:spacing w:after="0" w:line="207" w:lineRule="exact"/>
        <w:rPr>
          <w:sz w:val="20"/>
          <w:szCs w:val="20"/>
          <w:color w:val="auto"/>
        </w:rPr>
      </w:pPr>
    </w:p>
    <w:p>
      <w:pPr>
        <w:ind w:left="582" w:right="100" w:hanging="586"/>
        <w:spacing w:after="0" w:line="285" w:lineRule="auto"/>
        <w:tabs>
          <w:tab w:leader="none" w:pos="562"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any consent or approval must be obtained before the act or event to which it applies is carried out or done and will be effective only if in the form the party giving it properly requires</w:t>
      </w:r>
    </w:p>
    <w:p>
      <w:pPr>
        <w:spacing w:after="0" w:line="150" w:lineRule="exact"/>
        <w:rPr>
          <w:sz w:val="20"/>
          <w:szCs w:val="20"/>
          <w:color w:val="auto"/>
        </w:rPr>
      </w:pPr>
    </w:p>
    <w:p>
      <w:pPr>
        <w:ind w:left="582" w:right="160" w:hanging="586"/>
        <w:spacing w:after="0" w:line="285" w:lineRule="auto"/>
        <w:tabs>
          <w:tab w:leader="none" w:pos="562" w:val="left"/>
        </w:tabs>
        <w:rPr>
          <w:sz w:val="20"/>
          <w:szCs w:val="20"/>
          <w:color w:val="auto"/>
        </w:rPr>
      </w:pPr>
      <w:r>
        <w:rPr>
          <w:rFonts w:ascii="Arial" w:cs="Arial" w:eastAsia="Arial" w:hAnsi="Arial"/>
          <w:sz w:val="16"/>
          <w:szCs w:val="16"/>
          <w:color w:val="auto"/>
        </w:rPr>
        <w:t>1.9</w:t>
      </w:r>
      <w:r>
        <w:rPr>
          <w:sz w:val="20"/>
          <w:szCs w:val="20"/>
          <w:color w:val="auto"/>
        </w:rPr>
        <w:tab/>
      </w:r>
      <w:r>
        <w:rPr>
          <w:rFonts w:ascii="Arial" w:cs="Arial" w:eastAsia="Arial" w:hAnsi="Arial"/>
          <w:sz w:val="16"/>
          <w:szCs w:val="16"/>
          <w:color w:val="auto"/>
        </w:rPr>
        <w:t>where the Landlord has a right to enter the Premises such right will also be exercisable by the Landlord’s agents any chargee or superior landlord from time to time and all persons authorised by them with or without workmen and equipment</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1.10</w:t>
      </w:r>
      <w:r>
        <w:rPr>
          <w:sz w:val="20"/>
          <w:szCs w:val="20"/>
          <w:color w:val="auto"/>
        </w:rPr>
        <w:tab/>
      </w:r>
      <w:r>
        <w:rPr>
          <w:rFonts w:ascii="Arial" w:cs="Arial" w:eastAsia="Arial" w:hAnsi="Arial"/>
          <w:sz w:val="14"/>
          <w:szCs w:val="14"/>
          <w:color w:val="auto"/>
        </w:rPr>
        <w:t>any reference to the end of the Term means the expiration or earlier termination of this Underlease for whatever reason</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4"/>
          <w:szCs w:val="14"/>
          <w:color w:val="auto"/>
        </w:rPr>
        <w:t>words denoting persons include firms companies and corporations and vice versa</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color w:val="auto"/>
        </w:rPr>
        <w:t>the singular includes the plural and vice versa and one gender includes any other</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4"/>
          <w:szCs w:val="14"/>
          <w:color w:val="auto"/>
        </w:rPr>
        <w:t>any reference to the Landlord’s surveyor includes any surveyor employed by the Landlord or by any company associated with the Landlord</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4"/>
          <w:szCs w:val="14"/>
          <w:color w:val="auto"/>
        </w:rPr>
        <w:t>references to clauses paragraphs and schedules are to clauses and paragraphs of and schedules to this deed</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4"/>
          <w:szCs w:val="14"/>
          <w:color w:val="auto"/>
        </w:rPr>
        <w:t>the headings to clauses paragraphs and schedules do not affect the construction of this Underlease</w:t>
      </w:r>
    </w:p>
    <w:p>
      <w:pPr>
        <w:spacing w:after="0" w:line="203"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4"/>
          <w:szCs w:val="14"/>
          <w:color w:val="auto"/>
        </w:rPr>
        <w:t xml:space="preserve">the words </w:t>
      </w:r>
      <w:r>
        <w:rPr>
          <w:rFonts w:ascii="Arial" w:cs="Arial" w:eastAsia="Arial" w:hAnsi="Arial"/>
          <w:sz w:val="14"/>
          <w:szCs w:val="14"/>
          <w:b w:val="1"/>
          <w:bCs w:val="1"/>
          <w:color w:val="auto"/>
        </w:rPr>
        <w:t>“include” “includes”</w:t>
      </w:r>
      <w:r>
        <w:rPr>
          <w:rFonts w:ascii="Arial" w:cs="Arial" w:eastAsia="Arial" w:hAnsi="Arial"/>
          <w:sz w:val="14"/>
          <w:szCs w:val="14"/>
          <w:color w:val="auto"/>
        </w:rPr>
        <w:t xml:space="preserve"> and </w:t>
      </w:r>
      <w:r>
        <w:rPr>
          <w:rFonts w:ascii="Arial" w:cs="Arial" w:eastAsia="Arial" w:hAnsi="Arial"/>
          <w:sz w:val="14"/>
          <w:szCs w:val="14"/>
          <w:b w:val="1"/>
          <w:bCs w:val="1"/>
          <w:color w:val="auto"/>
        </w:rPr>
        <w:t>“including”</w:t>
      </w:r>
      <w:r>
        <w:rPr>
          <w:rFonts w:ascii="Arial" w:cs="Arial" w:eastAsia="Arial" w:hAnsi="Arial"/>
          <w:sz w:val="14"/>
          <w:szCs w:val="14"/>
          <w:color w:val="auto"/>
        </w:rPr>
        <w:t xml:space="preserve"> are deemed to be followed by the words </w:t>
      </w:r>
      <w:r>
        <w:rPr>
          <w:rFonts w:ascii="Arial" w:cs="Arial" w:eastAsia="Arial" w:hAnsi="Arial"/>
          <w:sz w:val="14"/>
          <w:szCs w:val="14"/>
          <w:b w:val="1"/>
          <w:bCs w:val="1"/>
          <w:color w:val="auto"/>
        </w:rPr>
        <w:t>“without limitation”</w:t>
      </w:r>
    </w:p>
    <w:p>
      <w:pPr>
        <w:spacing w:after="0" w:line="211"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6"/>
          <w:szCs w:val="16"/>
          <w:color w:val="auto"/>
        </w:rPr>
        <w:t>references to any act or omission of the Tenant extend to any act or omission of any sub-tenant or licensee of the Tenant or any person at the Premises or the Building with the consent of the Tenant any sub-tenant or any licensee</w:t>
      </w:r>
    </w:p>
    <w:p>
      <w:pPr>
        <w:spacing w:after="0" w:line="146" w:lineRule="exact"/>
        <w:rPr>
          <w:sz w:val="20"/>
          <w:szCs w:val="20"/>
          <w:color w:val="auto"/>
        </w:rPr>
      </w:pPr>
    </w:p>
    <w:p>
      <w:pPr>
        <w:ind w:left="582" w:hanging="582"/>
        <w:spacing w:after="0"/>
        <w:tabs>
          <w:tab w:leader="none" w:pos="582"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color w:val="auto"/>
        </w:rPr>
        <w:t>Demise and reddendum</w:t>
      </w:r>
    </w:p>
    <w:p>
      <w:pPr>
        <w:spacing w:after="0" w:line="211" w:lineRule="exact"/>
        <w:rPr>
          <w:rFonts w:ascii="Arial" w:cs="Arial" w:eastAsia="Arial" w:hAnsi="Arial"/>
          <w:sz w:val="16"/>
          <w:szCs w:val="16"/>
          <w:b w:val="1"/>
          <w:bCs w:val="1"/>
          <w:color w:val="auto"/>
        </w:rPr>
      </w:pPr>
    </w:p>
    <w:p>
      <w:pPr>
        <w:ind w:left="582" w:right="100"/>
        <w:spacing w:after="0" w:line="270" w:lineRule="auto"/>
        <w:rPr>
          <w:rFonts w:ascii="Arial" w:cs="Arial" w:eastAsia="Arial" w:hAnsi="Arial"/>
          <w:sz w:val="16"/>
          <w:szCs w:val="16"/>
          <w:b w:val="1"/>
          <w:bCs w:val="1"/>
          <w:color w:val="auto"/>
        </w:rPr>
      </w:pPr>
      <w:r>
        <w:rPr>
          <w:rFonts w:ascii="Arial" w:cs="Arial" w:eastAsia="Arial" w:hAnsi="Arial"/>
          <w:sz w:val="16"/>
          <w:szCs w:val="16"/>
          <w:color w:val="auto"/>
        </w:rPr>
        <w:t xml:space="preserve">The Landlord demises the Premises to the Tenant with full title guarantee </w:t>
      </w:r>
      <w:r>
        <w:rPr>
          <w:rFonts w:ascii="Arial" w:cs="Arial" w:eastAsia="Arial" w:hAnsi="Arial"/>
          <w:sz w:val="15"/>
          <w:szCs w:val="15"/>
          <w:u w:val="single" w:color="auto"/>
          <w:color w:val="auto"/>
        </w:rPr>
        <w:t>TOGETHER WITH</w:t>
      </w:r>
      <w:r>
        <w:rPr>
          <w:rFonts w:ascii="Arial" w:cs="Arial" w:eastAsia="Arial" w:hAnsi="Arial"/>
          <w:sz w:val="16"/>
          <w:szCs w:val="16"/>
          <w:color w:val="auto"/>
        </w:rPr>
        <w:t xml:space="preserve"> (in common with all other persons from time to time entitled to them) the rights mentioned in part 2 of schedule 1 </w:t>
      </w:r>
      <w:r>
        <w:rPr>
          <w:rFonts w:ascii="Arial" w:cs="Arial" w:eastAsia="Arial" w:hAnsi="Arial"/>
          <w:sz w:val="16"/>
          <w:szCs w:val="16"/>
          <w:u w:val="single" w:color="auto"/>
          <w:color w:val="auto"/>
        </w:rPr>
        <w:t>EXCEPT AND RESERVING</w:t>
      </w:r>
      <w:r>
        <w:rPr>
          <w:rFonts w:ascii="Arial" w:cs="Arial" w:eastAsia="Arial" w:hAnsi="Arial"/>
          <w:sz w:val="16"/>
          <w:szCs w:val="16"/>
          <w:color w:val="auto"/>
        </w:rPr>
        <w:t xml:space="preserve"> to the Landlord and all other persons from time to time entitled to them the rights mentioned</w:t>
      </w:r>
    </w:p>
    <w:p>
      <w:pPr>
        <w:spacing w:after="0" w:line="162"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2"/>
          </w:cols>
          <w:pgMar w:left="238" w:top="323" w:right="279" w:bottom="1440" w:gutter="0" w:footer="0" w:header="0"/>
        </w:sectPr>
      </w:pPr>
    </w:p>
    <w:bookmarkStart w:id="414" w:name="page415"/>
    <w:bookmarkEnd w:id="414"/>
    <w:p>
      <w:pPr>
        <w:ind w:left="582"/>
        <w:spacing w:after="0" w:line="270" w:lineRule="auto"/>
        <w:rPr>
          <w:sz w:val="20"/>
          <w:szCs w:val="20"/>
          <w:color w:val="auto"/>
        </w:rPr>
      </w:pPr>
      <w:r>
        <w:rPr>
          <w:rFonts w:ascii="Arial" w:cs="Arial" w:eastAsia="Arial" w:hAnsi="Arial"/>
          <w:sz w:val="16"/>
          <w:szCs w:val="16"/>
          <w:color w:val="auto"/>
        </w:rPr>
        <w:t xml:space="preserve">in part 3 of schedule 1 </w:t>
      </w:r>
      <w:r>
        <w:rPr>
          <w:rFonts w:ascii="Arial" w:cs="Arial" w:eastAsia="Arial" w:hAnsi="Arial"/>
          <w:sz w:val="15"/>
          <w:szCs w:val="15"/>
          <w:u w:val="single" w:color="auto"/>
          <w:color w:val="auto"/>
        </w:rPr>
        <w:t>TO HOLD</w:t>
      </w:r>
      <w:r>
        <w:rPr>
          <w:rFonts w:ascii="Arial" w:cs="Arial" w:eastAsia="Arial" w:hAnsi="Arial"/>
          <w:sz w:val="16"/>
          <w:szCs w:val="16"/>
          <w:color w:val="auto"/>
        </w:rPr>
        <w:t xml:space="preserve"> for the Term </w:t>
      </w:r>
      <w:r>
        <w:rPr>
          <w:rFonts w:ascii="Arial" w:cs="Arial" w:eastAsia="Arial" w:hAnsi="Arial"/>
          <w:sz w:val="16"/>
          <w:szCs w:val="16"/>
          <w:u w:val="single" w:color="auto"/>
          <w:color w:val="auto"/>
        </w:rPr>
        <w:t>SUBJECT</w:t>
      </w:r>
      <w:r>
        <w:rPr>
          <w:rFonts w:ascii="Arial" w:cs="Arial" w:eastAsia="Arial" w:hAnsi="Arial"/>
          <w:sz w:val="16"/>
          <w:szCs w:val="16"/>
          <w:color w:val="auto"/>
        </w:rPr>
        <w:t xml:space="preserve"> to and with the benefit of the provisions contained or referred to in any documents specified and the matters referred to in schedule 6 and any easements rights and privileges enjoyed by any other land or person which affect the Premises </w:t>
      </w:r>
      <w:r>
        <w:rPr>
          <w:rFonts w:ascii="Arial" w:cs="Arial" w:eastAsia="Arial" w:hAnsi="Arial"/>
          <w:sz w:val="16"/>
          <w:szCs w:val="16"/>
          <w:u w:val="single" w:color="auto"/>
          <w:color w:val="auto"/>
        </w:rPr>
        <w:t>YIELDING AND PAYING</w:t>
      </w:r>
      <w:r>
        <w:rPr>
          <w:rFonts w:ascii="Arial" w:cs="Arial" w:eastAsia="Arial" w:hAnsi="Arial"/>
          <w:sz w:val="16"/>
          <w:szCs w:val="16"/>
          <w:color w:val="auto"/>
        </w:rPr>
        <w:t xml:space="preserve"> for them:-</w:t>
      </w:r>
    </w:p>
    <w:p>
      <w:pPr>
        <w:spacing w:after="0" w:line="162" w:lineRule="exact"/>
        <w:rPr>
          <w:sz w:val="20"/>
          <w:szCs w:val="20"/>
          <w:color w:val="auto"/>
        </w:rPr>
      </w:pPr>
    </w:p>
    <w:p>
      <w:pPr>
        <w:ind w:left="582" w:right="180" w:hanging="586"/>
        <w:spacing w:after="0" w:line="270" w:lineRule="auto"/>
        <w:tabs>
          <w:tab w:leader="none" w:pos="562"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the Rent by equal quarterly payments in advance on the Quarter Days and proportionately for any period less than a year the first payment (being the proportion for the period from and including the Rent Commencement Date to and including the day before the next following Quarter Day) to be made on the Rent Commencement Date and</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as additional rents:-</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2.2.1</w:t>
      </w:r>
      <w:r>
        <w:rPr>
          <w:sz w:val="20"/>
          <w:szCs w:val="20"/>
          <w:color w:val="auto"/>
        </w:rPr>
        <w:tab/>
      </w:r>
      <w:r>
        <w:rPr>
          <w:rFonts w:ascii="Arial" w:cs="Arial" w:eastAsia="Arial" w:hAnsi="Arial"/>
          <w:sz w:val="14"/>
          <w:szCs w:val="14"/>
          <w:color w:val="auto"/>
        </w:rPr>
        <w:t>within 14 days of written demand the Insurance Rent</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4"/>
          <w:szCs w:val="14"/>
          <w:color w:val="auto"/>
        </w:rPr>
        <w:t>the Service Charge in accordance with Schedule 9</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2.2.3</w:t>
      </w:r>
      <w:r>
        <w:rPr>
          <w:sz w:val="20"/>
          <w:szCs w:val="20"/>
          <w:color w:val="auto"/>
        </w:rPr>
        <w:tab/>
      </w:r>
      <w:r>
        <w:rPr>
          <w:rFonts w:ascii="Arial" w:cs="Arial" w:eastAsia="Arial" w:hAnsi="Arial"/>
          <w:sz w:val="14"/>
          <w:szCs w:val="14"/>
          <w:color w:val="auto"/>
        </w:rPr>
        <w:t>within 14 days of written demand (with appropriate evidence) the Estate Service Charge</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2.2.4</w:t>
      </w:r>
      <w:r>
        <w:rPr>
          <w:sz w:val="20"/>
          <w:szCs w:val="20"/>
          <w:color w:val="auto"/>
        </w:rPr>
        <w:tab/>
      </w:r>
      <w:r>
        <w:rPr>
          <w:rFonts w:ascii="Arial" w:cs="Arial" w:eastAsia="Arial" w:hAnsi="Arial"/>
          <w:sz w:val="14"/>
          <w:szCs w:val="14"/>
          <w:color w:val="auto"/>
        </w:rPr>
        <w:t>any Value Added Tax from time to time payable by the Tenant under this Underlease and</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2.2.5</w:t>
      </w:r>
      <w:r>
        <w:rPr>
          <w:sz w:val="20"/>
          <w:szCs w:val="20"/>
          <w:color w:val="auto"/>
        </w:rPr>
        <w:tab/>
      </w:r>
      <w:r>
        <w:rPr>
          <w:rFonts w:ascii="Arial" w:cs="Arial" w:eastAsia="Arial" w:hAnsi="Arial"/>
          <w:sz w:val="14"/>
          <w:szCs w:val="14"/>
          <w:color w:val="auto"/>
        </w:rPr>
        <w:t>within 14 days of written demand all other sums payable or repayable by the Tenant to the Landlord under this Underlease</w:t>
      </w:r>
    </w:p>
    <w:p>
      <w:pPr>
        <w:spacing w:after="0" w:line="203" w:lineRule="exact"/>
        <w:rPr>
          <w:sz w:val="20"/>
          <w:szCs w:val="20"/>
          <w:color w:val="auto"/>
        </w:rPr>
      </w:pPr>
    </w:p>
    <w:p>
      <w:pPr>
        <w:ind w:left="582" w:hanging="582"/>
        <w:spacing w:after="0"/>
        <w:tabs>
          <w:tab w:leader="none" w:pos="582"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Tenant’s covenants</w:t>
      </w:r>
    </w:p>
    <w:p>
      <w:pPr>
        <w:spacing w:after="0" w:line="211" w:lineRule="exact"/>
        <w:rPr>
          <w:rFonts w:ascii="Arial" w:cs="Arial" w:eastAsia="Arial" w:hAnsi="Arial"/>
          <w:sz w:val="16"/>
          <w:szCs w:val="16"/>
          <w:b w:val="1"/>
          <w:bCs w:val="1"/>
          <w:color w:val="auto"/>
        </w:rPr>
      </w:pPr>
    </w:p>
    <w:p>
      <w:pPr>
        <w:ind w:left="582" w:right="72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 xml:space="preserve">The Tenant </w:t>
      </w:r>
      <w:r>
        <w:rPr>
          <w:rFonts w:ascii="Arial" w:cs="Arial" w:eastAsia="Arial" w:hAnsi="Arial"/>
          <w:sz w:val="15"/>
          <w:szCs w:val="15"/>
          <w:u w:val="single" w:color="auto"/>
          <w:color w:val="auto"/>
        </w:rPr>
        <w:t>COVENANTS</w:t>
      </w:r>
      <w:r>
        <w:rPr>
          <w:rFonts w:ascii="Arial" w:cs="Arial" w:eastAsia="Arial" w:hAnsi="Arial"/>
          <w:sz w:val="16"/>
          <w:szCs w:val="16"/>
          <w:color w:val="auto"/>
        </w:rPr>
        <w:t xml:space="preserve"> with the Landlord to observe and perform the obligations of the Tenant contained in schedule 2 (Tenant’s covenants) schedule 5 (Insurance) and schedule 8 (Services and the Service Charge) or otherwise arising under this Underlease</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Landlord’s covenants</w:t>
      </w:r>
    </w:p>
    <w:p>
      <w:pPr>
        <w:spacing w:after="0" w:line="211" w:lineRule="exact"/>
        <w:rPr>
          <w:rFonts w:ascii="Arial" w:cs="Arial" w:eastAsia="Arial" w:hAnsi="Arial"/>
          <w:sz w:val="16"/>
          <w:szCs w:val="16"/>
          <w:b w:val="1"/>
          <w:bCs w:val="1"/>
          <w:color w:val="auto"/>
        </w:rPr>
      </w:pPr>
    </w:p>
    <w:p>
      <w:pPr>
        <w:ind w:left="582" w:right="42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 xml:space="preserve">The Landlord </w:t>
      </w:r>
      <w:r>
        <w:rPr>
          <w:rFonts w:ascii="Arial" w:cs="Arial" w:eastAsia="Arial" w:hAnsi="Arial"/>
          <w:sz w:val="15"/>
          <w:szCs w:val="15"/>
          <w:u w:val="single" w:color="auto"/>
          <w:color w:val="auto"/>
        </w:rPr>
        <w:t>COVENANTS</w:t>
      </w:r>
      <w:r>
        <w:rPr>
          <w:rFonts w:ascii="Arial" w:cs="Arial" w:eastAsia="Arial" w:hAnsi="Arial"/>
          <w:sz w:val="16"/>
          <w:szCs w:val="16"/>
          <w:color w:val="auto"/>
        </w:rPr>
        <w:t xml:space="preserve"> with the Tenant to observe and perform the obligations of the Landlord contained in schedule 3 (Landlord’s covenants) schedule 5 (Insurance) and schedule 8 (Services and the Service Charge) or otherwise arising under this Underlease</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Provisos</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u w:val="single" w:color="auto"/>
          <w:color w:val="auto"/>
        </w:rPr>
        <w:t>PROVIDED ALWAYS</w:t>
      </w:r>
      <w:r>
        <w:rPr>
          <w:rFonts w:ascii="Arial" w:cs="Arial" w:eastAsia="Arial" w:hAnsi="Arial"/>
          <w:sz w:val="16"/>
          <w:szCs w:val="16"/>
          <w:color w:val="auto"/>
        </w:rPr>
        <w:t xml:space="preserve"> and it is agreed and declared as set out in schedule 4 (Provisos)</w:t>
      </w:r>
    </w:p>
    <w:p>
      <w:pPr>
        <w:spacing w:after="0" w:line="203" w:lineRule="exact"/>
        <w:rPr>
          <w:rFonts w:ascii="Arial" w:cs="Arial" w:eastAsia="Arial" w:hAnsi="Arial"/>
          <w:sz w:val="16"/>
          <w:szCs w:val="16"/>
          <w:b w:val="1"/>
          <w:bCs w:val="1"/>
          <w:color w:val="auto"/>
        </w:rPr>
      </w:pPr>
    </w:p>
    <w:p>
      <w:pPr>
        <w:ind w:left="582" w:hanging="582"/>
        <w:spacing w:after="0"/>
        <w:tabs>
          <w:tab w:leader="none" w:pos="582"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Surety covenants</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 xml:space="preserve">The Surety </w:t>
      </w:r>
      <w:r>
        <w:rPr>
          <w:rFonts w:ascii="Arial" w:cs="Arial" w:eastAsia="Arial" w:hAnsi="Arial"/>
          <w:sz w:val="15"/>
          <w:szCs w:val="15"/>
          <w:u w:val="single" w:color="auto"/>
          <w:color w:val="auto"/>
        </w:rPr>
        <w:t>COVENANTS</w:t>
      </w:r>
      <w:r>
        <w:rPr>
          <w:rFonts w:ascii="Arial" w:cs="Arial" w:eastAsia="Arial" w:hAnsi="Arial"/>
          <w:sz w:val="16"/>
          <w:szCs w:val="16"/>
          <w:color w:val="auto"/>
        </w:rPr>
        <w:t xml:space="preserve"> with the Landlord in the terms set out in schedule 7 (Covenants by Surety)</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15" w:name="page416"/>
    <w:bookmarkEnd w:id="415"/>
    <w:p>
      <w:pPr>
        <w:ind w:left="582" w:hanging="582"/>
        <w:spacing w:after="0"/>
        <w:tabs>
          <w:tab w:leader="none" w:pos="582" w:val="left"/>
        </w:tabs>
        <w:numPr>
          <w:ilvl w:val="0"/>
          <w:numId w:val="304"/>
        </w:numPr>
        <w:rPr>
          <w:rFonts w:ascii="Arial" w:cs="Arial" w:eastAsia="Arial" w:hAnsi="Arial"/>
          <w:sz w:val="16"/>
          <w:szCs w:val="16"/>
          <w:b w:val="1"/>
          <w:bCs w:val="1"/>
          <w:color w:val="auto"/>
        </w:rPr>
      </w:pPr>
      <w:r>
        <w:rPr>
          <w:rFonts w:ascii="Arial" w:cs="Arial" w:eastAsia="Arial" w:hAnsi="Arial"/>
          <w:sz w:val="16"/>
          <w:szCs w:val="16"/>
          <w:b w:val="1"/>
          <w:bCs w:val="1"/>
          <w:color w:val="auto"/>
        </w:rPr>
        <w:t>Exclusion of sections 24 - 28 of the 1954 Act</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4"/>
          <w:szCs w:val="14"/>
          <w:color w:val="auto"/>
        </w:rPr>
        <w:t>The Tenant confirms that before it became contractually bound to enter into the tenancy created by this deed:-</w:t>
      </w:r>
    </w:p>
    <w:p>
      <w:pPr>
        <w:spacing w:after="0" w:line="203"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7.1.1</w:t>
      </w:r>
      <w:r>
        <w:rPr>
          <w:sz w:val="20"/>
          <w:szCs w:val="20"/>
          <w:color w:val="auto"/>
        </w:rPr>
        <w:tab/>
      </w:r>
      <w:r>
        <w:rPr>
          <w:rFonts w:ascii="Arial" w:cs="Arial" w:eastAsia="Arial" w:hAnsi="Arial"/>
          <w:sz w:val="14"/>
          <w:szCs w:val="14"/>
          <w:color w:val="auto"/>
        </w:rPr>
        <w:t xml:space="preserve">the Landlord served a notice dated 8 June 2016 (the </w:t>
      </w:r>
      <w:r>
        <w:rPr>
          <w:rFonts w:ascii="Arial" w:cs="Arial" w:eastAsia="Arial" w:hAnsi="Arial"/>
          <w:sz w:val="14"/>
          <w:szCs w:val="14"/>
          <w:b w:val="1"/>
          <w:bCs w:val="1"/>
          <w:color w:val="auto"/>
        </w:rPr>
        <w:t>“Notice”</w:t>
      </w:r>
      <w:r>
        <w:rPr>
          <w:rFonts w:ascii="Arial" w:cs="Arial" w:eastAsia="Arial" w:hAnsi="Arial"/>
          <w:sz w:val="14"/>
          <w:szCs w:val="14"/>
          <w:color w:val="auto"/>
        </w:rPr>
        <w:t>) on the Tenant in accordance with section 38A(3)(a) of the 1954 Act</w:t>
      </w:r>
    </w:p>
    <w:p>
      <w:pPr>
        <w:spacing w:after="0" w:line="207" w:lineRule="exact"/>
        <w:rPr>
          <w:sz w:val="20"/>
          <w:szCs w:val="20"/>
          <w:color w:val="auto"/>
        </w:rPr>
      </w:pPr>
    </w:p>
    <w:p>
      <w:pPr>
        <w:ind w:left="1162" w:right="120" w:hanging="586"/>
        <w:spacing w:after="0" w:line="290" w:lineRule="auto"/>
        <w:tabs>
          <w:tab w:leader="none" w:pos="1142" w:val="left"/>
        </w:tabs>
        <w:rPr>
          <w:sz w:val="20"/>
          <w:szCs w:val="20"/>
          <w:color w:val="auto"/>
        </w:rPr>
      </w:pPr>
      <w:r>
        <w:rPr>
          <w:rFonts w:ascii="Arial" w:cs="Arial" w:eastAsia="Arial" w:hAnsi="Arial"/>
          <w:sz w:val="16"/>
          <w:szCs w:val="16"/>
          <w:color w:val="auto"/>
        </w:rPr>
        <w:t>7.1.2</w:t>
        <w:tab/>
        <w:t xml:space="preserve">the Tenant (or a person duly authorised by the Tenant) made a statutory declaration dated 9 June 2016 (the </w:t>
      </w:r>
      <w:r>
        <w:rPr>
          <w:rFonts w:ascii="Arial" w:cs="Arial" w:eastAsia="Arial" w:hAnsi="Arial"/>
          <w:sz w:val="16"/>
          <w:szCs w:val="16"/>
          <w:b w:val="1"/>
          <w:bCs w:val="1"/>
          <w:color w:val="auto"/>
        </w:rPr>
        <w:t>“Declaration”</w:t>
      </w:r>
      <w:r>
        <w:rPr>
          <w:rFonts w:ascii="Arial" w:cs="Arial" w:eastAsia="Arial" w:hAnsi="Arial"/>
          <w:sz w:val="16"/>
          <w:szCs w:val="16"/>
          <w:color w:val="auto"/>
        </w:rPr>
        <w:t>) confirming receipt of the Notice in accordance with schedule 2 to the 2003 Order</w:t>
      </w:r>
    </w:p>
    <w:p>
      <w:pPr>
        <w:spacing w:after="0" w:line="146" w:lineRule="exact"/>
        <w:rPr>
          <w:sz w:val="20"/>
          <w:szCs w:val="20"/>
          <w:color w:val="auto"/>
        </w:rPr>
      </w:pPr>
    </w:p>
    <w:p>
      <w:pPr>
        <w:ind w:left="582" w:right="500" w:hanging="586"/>
        <w:spacing w:after="0" w:line="285" w:lineRule="auto"/>
        <w:tabs>
          <w:tab w:leader="none" w:pos="562"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The Tenant further confirms that where the Declaration was made by a person other than the Tenant that person was duly authorised by the Tenant to make the Declaration on the Tenant’s behalf</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color w:val="auto"/>
        </w:rPr>
        <w:t>The parties agree that sections 24 to 28 (inclusive) of the 1954 Act will not apply to the tenancy created by this deed</w:t>
      </w:r>
    </w:p>
    <w:p>
      <w:pPr>
        <w:spacing w:after="0" w:line="203" w:lineRule="exact"/>
        <w:rPr>
          <w:sz w:val="20"/>
          <w:szCs w:val="20"/>
          <w:color w:val="auto"/>
        </w:rPr>
      </w:pPr>
    </w:p>
    <w:p>
      <w:pPr>
        <w:ind w:left="582" w:hanging="582"/>
        <w:spacing w:after="0"/>
        <w:tabs>
          <w:tab w:leader="none" w:pos="582" w:val="left"/>
        </w:tabs>
        <w:numPr>
          <w:ilvl w:val="0"/>
          <w:numId w:val="305"/>
        </w:numPr>
        <w:rPr>
          <w:rFonts w:ascii="Arial" w:cs="Arial" w:eastAsia="Arial" w:hAnsi="Arial"/>
          <w:sz w:val="16"/>
          <w:szCs w:val="16"/>
          <w:b w:val="1"/>
          <w:bCs w:val="1"/>
          <w:color w:val="auto"/>
        </w:rPr>
      </w:pPr>
      <w:r>
        <w:rPr>
          <w:rFonts w:ascii="Arial" w:cs="Arial" w:eastAsia="Arial" w:hAnsi="Arial"/>
          <w:sz w:val="16"/>
          <w:szCs w:val="16"/>
          <w:b w:val="1"/>
          <w:bCs w:val="1"/>
          <w:color w:val="auto"/>
        </w:rPr>
        <w:t>Tenant’s option to renew</w:t>
      </w:r>
    </w:p>
    <w:p>
      <w:pPr>
        <w:spacing w:after="0" w:line="211" w:lineRule="exact"/>
        <w:rPr>
          <w:sz w:val="20"/>
          <w:szCs w:val="20"/>
          <w:color w:val="auto"/>
        </w:rPr>
      </w:pPr>
    </w:p>
    <w:p>
      <w:pPr>
        <w:ind w:left="582" w:right="20" w:hanging="586"/>
        <w:spacing w:after="0"/>
        <w:tabs>
          <w:tab w:leader="none" w:pos="562"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color w:val="auto"/>
        </w:rPr>
        <w:t>If the Tenant wishes to enter into a further lease of the Premises for a term of five years commencing on and including the 12</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December 2021 upon the same terms and conditions as this Lease (including the exclusion of sections 24 to 28 (inclusive) of the 1954 Act in accordance with section 38A of the 1954 Act) except as varied by the provisions of Schedule 9 (the </w:t>
      </w:r>
      <w:r>
        <w:rPr>
          <w:rFonts w:ascii="Arial" w:cs="Arial" w:eastAsia="Arial" w:hAnsi="Arial"/>
          <w:sz w:val="16"/>
          <w:szCs w:val="16"/>
          <w:b w:val="1"/>
          <w:bCs w:val="1"/>
          <w:color w:val="auto"/>
        </w:rPr>
        <w:t>“Further Lease”</w:t>
      </w:r>
      <w:r>
        <w:rPr>
          <w:rFonts w:ascii="Arial" w:cs="Arial" w:eastAsia="Arial" w:hAnsi="Arial"/>
          <w:sz w:val="16"/>
          <w:szCs w:val="16"/>
          <w:color w:val="auto"/>
        </w:rPr>
        <w:t xml:space="preserve">) the Tenant must first serve written notice on the Landlord indicating such intention (the </w:t>
      </w:r>
      <w:r>
        <w:rPr>
          <w:rFonts w:ascii="Arial" w:cs="Arial" w:eastAsia="Arial" w:hAnsi="Arial"/>
          <w:sz w:val="16"/>
          <w:szCs w:val="16"/>
          <w:b w:val="1"/>
          <w:bCs w:val="1"/>
          <w:color w:val="auto"/>
        </w:rPr>
        <w:t>“Intention</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not more than twelve nor less than eight months before the Expiry of the Term</w:t>
      </w:r>
    </w:p>
    <w:p>
      <w:pPr>
        <w:spacing w:after="0" w:line="185"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6"/>
          <w:szCs w:val="16"/>
          <w:color w:val="auto"/>
        </w:rPr>
        <w:t>Within twenty eight days of receipt of the Intention Notice the Landlord will serve notice on the Tenant in relation to the tenancy to be granted by the Further Lease in accordance with section 38A(3)(a) of the 1954 Act</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4"/>
          <w:szCs w:val="14"/>
          <w:color w:val="auto"/>
        </w:rPr>
        <w:t>When:-</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8.3.1</w:t>
      </w:r>
      <w:r>
        <w:rPr>
          <w:sz w:val="20"/>
          <w:szCs w:val="20"/>
          <w:color w:val="auto"/>
        </w:rPr>
        <w:tab/>
      </w:r>
      <w:r>
        <w:rPr>
          <w:rFonts w:ascii="Arial" w:cs="Arial" w:eastAsia="Arial" w:hAnsi="Arial"/>
          <w:sz w:val="14"/>
          <w:szCs w:val="14"/>
          <w:color w:val="auto"/>
        </w:rPr>
        <w:t>the Landlord has served notice on the Tenant in accordance with clause 8.2 and</w:t>
      </w:r>
    </w:p>
    <w:p>
      <w:pPr>
        <w:spacing w:after="0" w:line="207" w:lineRule="exact"/>
        <w:rPr>
          <w:sz w:val="20"/>
          <w:szCs w:val="20"/>
          <w:color w:val="auto"/>
        </w:rPr>
      </w:pPr>
    </w:p>
    <w:p>
      <w:pPr>
        <w:jc w:val="both"/>
        <w:ind w:left="1162" w:right="180" w:hanging="586"/>
        <w:spacing w:after="0" w:line="270" w:lineRule="auto"/>
        <w:tabs>
          <w:tab w:leader="none" w:pos="1142" w:val="left"/>
        </w:tabs>
        <w:rPr>
          <w:sz w:val="20"/>
          <w:szCs w:val="20"/>
          <w:color w:val="auto"/>
        </w:rPr>
      </w:pPr>
      <w:r>
        <w:rPr>
          <w:rFonts w:ascii="Arial" w:cs="Arial" w:eastAsia="Arial" w:hAnsi="Arial"/>
          <w:sz w:val="16"/>
          <w:szCs w:val="16"/>
          <w:color w:val="auto"/>
        </w:rPr>
        <w:t>8.3.2</w:t>
        <w:tab/>
        <w:t>the Tenant has made the appropriate declaration or statutory declaration confirming receipt of such notice in accordance with schedule 2 to the 2003 Order (as required to give effect to the agreement by the Landlord and the Tenant to exclude the provisions of sections 24 to 28 (inclusive) of the 1954 Act to be contained in the Further Lease in accordance with the provisions of section 38A of the 1954 Act)</w:t>
      </w:r>
    </w:p>
    <w:p>
      <w:pPr>
        <w:spacing w:after="0" w:line="158" w:lineRule="exact"/>
        <w:rPr>
          <w:sz w:val="20"/>
          <w:szCs w:val="20"/>
          <w:color w:val="auto"/>
        </w:rPr>
      </w:pPr>
    </w:p>
    <w:p>
      <w:pPr>
        <w:ind w:left="582"/>
        <w:spacing w:after="0" w:line="267" w:lineRule="auto"/>
        <w:rPr>
          <w:sz w:val="20"/>
          <w:szCs w:val="20"/>
          <w:color w:val="auto"/>
        </w:rPr>
      </w:pPr>
      <w:r>
        <w:rPr>
          <w:rFonts w:ascii="Arial" w:cs="Arial" w:eastAsia="Arial" w:hAnsi="Arial"/>
          <w:sz w:val="16"/>
          <w:szCs w:val="16"/>
          <w:color w:val="auto"/>
        </w:rPr>
        <w:t xml:space="preserve">then the Tenant may elect to take the Further Lease by written notice to that effect (the </w:t>
      </w:r>
      <w:r>
        <w:rPr>
          <w:rFonts w:ascii="Arial" w:cs="Arial" w:eastAsia="Arial" w:hAnsi="Arial"/>
          <w:sz w:val="16"/>
          <w:szCs w:val="16"/>
          <w:b w:val="1"/>
          <w:bCs w:val="1"/>
          <w:color w:val="auto"/>
        </w:rPr>
        <w:t>“Option Notice”</w:t>
      </w:r>
      <w:r>
        <w:rPr>
          <w:rFonts w:ascii="Arial" w:cs="Arial" w:eastAsia="Arial" w:hAnsi="Arial"/>
          <w:sz w:val="16"/>
          <w:szCs w:val="16"/>
          <w:color w:val="auto"/>
        </w:rPr>
        <w:t xml:space="preserve">) to the Landlord not less than six months before the Expiry of the Term </w:t>
      </w:r>
      <w:r>
        <w:rPr>
          <w:rFonts w:ascii="Arial" w:cs="Arial" w:eastAsia="Arial" w:hAnsi="Arial"/>
          <w:sz w:val="16"/>
          <w:szCs w:val="16"/>
          <w:u w:val="single" w:color="auto"/>
          <w:color w:val="auto"/>
        </w:rPr>
        <w:t>PROVIDED ALWAYS</w:t>
      </w:r>
      <w:r>
        <w:rPr>
          <w:rFonts w:ascii="Arial" w:cs="Arial" w:eastAsia="Arial" w:hAnsi="Arial"/>
          <w:sz w:val="16"/>
          <w:szCs w:val="16"/>
          <w:color w:val="auto"/>
        </w:rPr>
        <w:t xml:space="preserve"> that if having served an Intention Notice the Tenant does not serve the Option Notice for any reason the Tenant will pay to the Landlord on demand on an indemnity basis all costs and expenses (including all Landlord’s Expenses) incurred by the Landlord in relation to the Intention Notice and the performance of its obligations under this clause 8</w:t>
      </w:r>
    </w:p>
    <w:p>
      <w:pPr>
        <w:spacing w:after="0" w:line="16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416" w:name="page417"/>
    <w:bookmarkEnd w:id="416"/>
    <w:p>
      <w:pPr>
        <w:spacing w:after="0"/>
        <w:tabs>
          <w:tab w:leader="none" w:pos="56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4"/>
          <w:szCs w:val="14"/>
          <w:color w:val="auto"/>
        </w:rPr>
        <w:t>the Landlord and the Tenant agree to use all reasonable endeavours to procure the satisfaction of the conditions contained in clauses 8.2 and 8.3</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4"/>
          <w:szCs w:val="14"/>
          <w:color w:val="auto"/>
        </w:rPr>
        <w:t>Subject always to the provisions of clause 8.6 the Option Notice will not be binding on the Landlord unless it:-</w:t>
      </w:r>
    </w:p>
    <w:p>
      <w:pPr>
        <w:spacing w:after="0" w:line="207" w:lineRule="exact"/>
        <w:rPr>
          <w:sz w:val="20"/>
          <w:szCs w:val="20"/>
          <w:color w:val="auto"/>
        </w:rPr>
      </w:pPr>
    </w:p>
    <w:p>
      <w:pPr>
        <w:ind w:left="1160" w:right="380" w:hanging="586"/>
        <w:spacing w:after="0" w:line="285" w:lineRule="auto"/>
        <w:tabs>
          <w:tab w:leader="none" w:pos="1140" w:val="left"/>
        </w:tabs>
        <w:rPr>
          <w:sz w:val="20"/>
          <w:szCs w:val="20"/>
          <w:color w:val="auto"/>
        </w:rPr>
      </w:pPr>
      <w:r>
        <w:rPr>
          <w:rFonts w:ascii="Arial" w:cs="Arial" w:eastAsia="Arial" w:hAnsi="Arial"/>
          <w:sz w:val="16"/>
          <w:szCs w:val="16"/>
          <w:color w:val="auto"/>
        </w:rPr>
        <w:t>8.5.1</w:t>
        <w:tab/>
        <w:t>recites the agreement of the Landlord and the Tenant that sections 24 to 28 (inclusive) of the 1954 Act will not apply to the tenancy to be created by the Further Lease and</w:t>
      </w:r>
    </w:p>
    <w:p>
      <w:pPr>
        <w:spacing w:after="0" w:line="150"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color w:val="auto"/>
        </w:rPr>
        <w:t>8.5.2</w:t>
      </w:r>
      <w:r>
        <w:rPr>
          <w:sz w:val="20"/>
          <w:szCs w:val="20"/>
          <w:color w:val="auto"/>
        </w:rPr>
        <w:tab/>
      </w:r>
      <w:r>
        <w:rPr>
          <w:rFonts w:ascii="Arial" w:cs="Arial" w:eastAsia="Arial" w:hAnsi="Arial"/>
          <w:sz w:val="14"/>
          <w:szCs w:val="14"/>
          <w:color w:val="auto"/>
        </w:rPr>
        <w:t>contains confirmation by the Tenant that before the date of the Option Notice:-</w:t>
      </w:r>
    </w:p>
    <w:p>
      <w:pPr>
        <w:spacing w:after="0" w:line="203" w:lineRule="exact"/>
        <w:rPr>
          <w:sz w:val="20"/>
          <w:szCs w:val="20"/>
          <w:color w:val="auto"/>
        </w:rPr>
      </w:pPr>
    </w:p>
    <w:p>
      <w:pPr>
        <w:ind w:left="1760" w:hanging="588"/>
        <w:spacing w:after="0"/>
        <w:tabs>
          <w:tab w:leader="none" w:pos="17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the Landlord served a notice (the </w:t>
      </w:r>
      <w:r>
        <w:rPr>
          <w:rFonts w:ascii="Arial" w:cs="Arial" w:eastAsia="Arial" w:hAnsi="Arial"/>
          <w:sz w:val="16"/>
          <w:szCs w:val="16"/>
          <w:b w:val="1"/>
          <w:bCs w:val="1"/>
          <w:color w:val="auto"/>
        </w:rPr>
        <w:t>“Notice”)</w:t>
      </w:r>
      <w:r>
        <w:rPr>
          <w:rFonts w:ascii="Arial" w:cs="Arial" w:eastAsia="Arial" w:hAnsi="Arial"/>
          <w:sz w:val="16"/>
          <w:szCs w:val="16"/>
          <w:color w:val="auto"/>
        </w:rPr>
        <w:t xml:space="preserve"> on the Tenant in accordance with section 38A(3)(a) of the 1954 Act</w:t>
      </w:r>
    </w:p>
    <w:p>
      <w:pPr>
        <w:spacing w:after="0" w:line="207" w:lineRule="exact"/>
        <w:rPr>
          <w:rFonts w:ascii="Arial" w:cs="Arial" w:eastAsia="Arial" w:hAnsi="Arial"/>
          <w:sz w:val="16"/>
          <w:szCs w:val="16"/>
          <w:color w:val="auto"/>
        </w:rPr>
      </w:pPr>
    </w:p>
    <w:p>
      <w:pPr>
        <w:ind w:left="1760" w:right="260" w:hanging="588"/>
        <w:spacing w:after="0" w:line="290" w:lineRule="auto"/>
        <w:tabs>
          <w:tab w:leader="none" w:pos="176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the Tenant (or a person duly authorised by the Tenant) made a declaration or statutory declaration (the </w:t>
      </w:r>
      <w:r>
        <w:rPr>
          <w:rFonts w:ascii="Arial" w:cs="Arial" w:eastAsia="Arial" w:hAnsi="Arial"/>
          <w:sz w:val="16"/>
          <w:szCs w:val="16"/>
          <w:b w:val="1"/>
          <w:bCs w:val="1"/>
          <w:color w:val="auto"/>
        </w:rPr>
        <w:t>“Declaration”)</w:t>
      </w:r>
      <w:r>
        <w:rPr>
          <w:rFonts w:ascii="Arial" w:cs="Arial" w:eastAsia="Arial" w:hAnsi="Arial"/>
          <w:sz w:val="16"/>
          <w:szCs w:val="16"/>
          <w:color w:val="auto"/>
        </w:rPr>
        <w:t xml:space="preserve"> confirming receipt of the Notice in accordance with schedule 2 to the 2003 Order and</w:t>
      </w:r>
    </w:p>
    <w:p>
      <w:pPr>
        <w:spacing w:after="0" w:line="146" w:lineRule="exact"/>
        <w:rPr>
          <w:rFonts w:ascii="Arial" w:cs="Arial" w:eastAsia="Arial" w:hAnsi="Arial"/>
          <w:sz w:val="16"/>
          <w:szCs w:val="16"/>
          <w:color w:val="auto"/>
        </w:rPr>
      </w:pPr>
    </w:p>
    <w:p>
      <w:pPr>
        <w:ind w:left="1760" w:right="200" w:hanging="588"/>
        <w:spacing w:after="0" w:line="285" w:lineRule="auto"/>
        <w:tabs>
          <w:tab w:leader="none" w:pos="1769"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that where the Declaration was made by a person other than the Tenant that person was duly authorised by the Tenant to make the Declaration on the Tenant’s behalf</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8.6</w:t>
      </w:r>
      <w:r>
        <w:rPr>
          <w:sz w:val="20"/>
          <w:szCs w:val="20"/>
          <w:color w:val="auto"/>
        </w:rPr>
        <w:tab/>
      </w:r>
      <w:r>
        <w:rPr>
          <w:rFonts w:ascii="Arial" w:cs="Arial" w:eastAsia="Arial" w:hAnsi="Arial"/>
          <w:sz w:val="15"/>
          <w:szCs w:val="15"/>
          <w:u w:val="single" w:color="auto"/>
          <w:color w:val="auto"/>
        </w:rPr>
        <w:t>PROVIDED</w:t>
      </w:r>
      <w:r>
        <w:rPr>
          <w:rFonts w:ascii="Arial" w:cs="Arial" w:eastAsia="Arial" w:hAnsi="Arial"/>
          <w:sz w:val="15"/>
          <w:szCs w:val="15"/>
          <w:color w:val="auto"/>
        </w:rPr>
        <w:t>:-</w:t>
      </w:r>
    </w:p>
    <w:p>
      <w:pPr>
        <w:spacing w:after="0" w:line="20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color w:val="auto"/>
        </w:rPr>
        <w:t>8.6.1</w:t>
      </w:r>
      <w:r>
        <w:rPr>
          <w:sz w:val="20"/>
          <w:szCs w:val="20"/>
          <w:color w:val="auto"/>
        </w:rPr>
        <w:tab/>
      </w:r>
      <w:r>
        <w:rPr>
          <w:rFonts w:ascii="Arial" w:cs="Arial" w:eastAsia="Arial" w:hAnsi="Arial"/>
          <w:sz w:val="14"/>
          <w:szCs w:val="14"/>
          <w:color w:val="auto"/>
        </w:rPr>
        <w:t>the Option Notice has been validly served in accordance with the provisions of clause 8.3 and complies in all respects with the provisions of clause 8.5</w:t>
      </w:r>
    </w:p>
    <w:p>
      <w:pPr>
        <w:spacing w:after="0" w:line="207" w:lineRule="exact"/>
        <w:rPr>
          <w:sz w:val="20"/>
          <w:szCs w:val="20"/>
          <w:color w:val="auto"/>
        </w:rPr>
      </w:pPr>
    </w:p>
    <w:p>
      <w:pPr>
        <w:ind w:left="1160" w:right="120" w:hanging="586"/>
        <w:spacing w:after="0" w:line="285" w:lineRule="auto"/>
        <w:tabs>
          <w:tab w:leader="none" w:pos="1140" w:val="left"/>
        </w:tabs>
        <w:rPr>
          <w:sz w:val="20"/>
          <w:szCs w:val="20"/>
          <w:color w:val="auto"/>
        </w:rPr>
      </w:pPr>
      <w:r>
        <w:rPr>
          <w:rFonts w:ascii="Arial" w:cs="Arial" w:eastAsia="Arial" w:hAnsi="Arial"/>
          <w:sz w:val="16"/>
          <w:szCs w:val="16"/>
          <w:color w:val="auto"/>
        </w:rPr>
        <w:t>8.6.2</w:t>
        <w:tab/>
        <w:t>the Tenant has paid all costs and expenses (including all Landlord’s Expenses) incurred by the Landlord in relation to the grant of the Further Lease and the performance of its obligations under this clause 8 and</w:t>
      </w:r>
    </w:p>
    <w:p>
      <w:pPr>
        <w:spacing w:after="0" w:line="150" w:lineRule="exact"/>
        <w:rPr>
          <w:sz w:val="20"/>
          <w:szCs w:val="20"/>
          <w:color w:val="auto"/>
        </w:rPr>
      </w:pPr>
    </w:p>
    <w:p>
      <w:pPr>
        <w:ind w:left="1160" w:right="20" w:hanging="586"/>
        <w:spacing w:after="0" w:line="285" w:lineRule="auto"/>
        <w:tabs>
          <w:tab w:leader="none" w:pos="1140" w:val="left"/>
        </w:tabs>
        <w:rPr>
          <w:sz w:val="20"/>
          <w:szCs w:val="20"/>
          <w:color w:val="auto"/>
        </w:rPr>
      </w:pPr>
      <w:r>
        <w:rPr>
          <w:rFonts w:ascii="Arial" w:cs="Arial" w:eastAsia="Arial" w:hAnsi="Arial"/>
          <w:sz w:val="16"/>
          <w:szCs w:val="16"/>
          <w:color w:val="auto"/>
        </w:rPr>
        <w:t>8.6.3</w:t>
        <w:tab/>
        <w:t>any surety of the Tenant’s obligations under this Lease joins in the Further Lease to covenant with the Landlord in the terms contained in schedule 7 (mutatis mutandis)</w:t>
      </w:r>
    </w:p>
    <w:p>
      <w:pPr>
        <w:spacing w:after="0" w:line="150" w:lineRule="exact"/>
        <w:rPr>
          <w:sz w:val="20"/>
          <w:szCs w:val="20"/>
          <w:color w:val="auto"/>
        </w:rPr>
      </w:pPr>
    </w:p>
    <w:p>
      <w:pPr>
        <w:ind w:left="580"/>
        <w:spacing w:after="0" w:line="261" w:lineRule="auto"/>
        <w:rPr>
          <w:sz w:val="20"/>
          <w:szCs w:val="20"/>
          <w:color w:val="auto"/>
        </w:rPr>
      </w:pPr>
      <w:r>
        <w:rPr>
          <w:rFonts w:ascii="Arial" w:cs="Arial" w:eastAsia="Arial" w:hAnsi="Arial"/>
          <w:sz w:val="16"/>
          <w:szCs w:val="16"/>
          <w:color w:val="auto"/>
        </w:rPr>
        <w:t xml:space="preserve">the Landlord will grant and the Tenant will take the Further Lease of the Premises on or (if earlier) not more than one month before the Expiry of the Term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w:t>
      </w:r>
      <w:r>
        <w:rPr>
          <w:rFonts w:ascii="Arial" w:cs="Arial" w:eastAsia="Arial" w:hAnsi="Arial"/>
          <w:sz w:val="16"/>
          <w:szCs w:val="16"/>
          <w:color w:val="auto"/>
        </w:rPr>
        <w:t>that where either the Tenant and/or any surety of the Tenant’s obligations under the Further Lease are incorporated under the laws of any</w:t>
      </w:r>
      <w:r>
        <w:rPr>
          <w:rFonts w:ascii="Arial" w:cs="Arial" w:eastAsia="Arial" w:hAnsi="Arial"/>
          <w:sz w:val="15"/>
          <w:szCs w:val="15"/>
          <w:color w:val="auto"/>
        </w:rPr>
        <w:t xml:space="preserve"> </w:t>
      </w:r>
      <w:r>
        <w:rPr>
          <w:rFonts w:ascii="Arial" w:cs="Arial" w:eastAsia="Arial" w:hAnsi="Arial"/>
          <w:sz w:val="16"/>
          <w:szCs w:val="16"/>
          <w:color w:val="auto"/>
        </w:rPr>
        <w:t>jurisdiction other than England and Wales they have also in each case provided immediately prior to such grant a legal opinion (addressed to and in a form reasonably acceptable to the Landlord on the advice of the Landlord’s solicitors and dated not more than 14 days prior to such grant) prepared by legal advisers duly qualified to practice in the relevant jurisdiction confirming (i) the validity of the execution of the Further Lease by the Tenant and/or any such surety and (ii) the enforceability of the Further Lease under the laws of the relevant jurisdiction</w:t>
      </w:r>
    </w:p>
    <w:p>
      <w:pPr>
        <w:spacing w:after="0" w:line="169" w:lineRule="exact"/>
        <w:rPr>
          <w:sz w:val="20"/>
          <w:szCs w:val="20"/>
          <w:color w:val="auto"/>
        </w:rPr>
      </w:pPr>
    </w:p>
    <w:p>
      <w:pPr>
        <w:ind w:left="580" w:right="100" w:hanging="586"/>
        <w:spacing w:after="0" w:line="320" w:lineRule="auto"/>
        <w:tabs>
          <w:tab w:leader="none" w:pos="560" w:val="left"/>
        </w:tabs>
        <w:rPr>
          <w:sz w:val="20"/>
          <w:szCs w:val="20"/>
          <w:color w:val="auto"/>
        </w:rPr>
      </w:pPr>
      <w:r>
        <w:rPr>
          <w:rFonts w:ascii="Arial" w:cs="Arial" w:eastAsia="Arial" w:hAnsi="Arial"/>
          <w:sz w:val="16"/>
          <w:szCs w:val="16"/>
          <w:color w:val="auto"/>
        </w:rPr>
        <w:t>8.7</w:t>
      </w:r>
      <w:r>
        <w:rPr>
          <w:sz w:val="20"/>
          <w:szCs w:val="20"/>
          <w:color w:val="auto"/>
        </w:rPr>
        <w:tab/>
      </w:r>
      <w:r>
        <w:rPr>
          <w:rFonts w:ascii="Arial" w:cs="Arial" w:eastAsia="Arial" w:hAnsi="Arial"/>
          <w:sz w:val="15"/>
          <w:szCs w:val="15"/>
          <w:color w:val="auto"/>
        </w:rPr>
        <w:t>At any time after the Expiry of the Term a party who is ready able and willing to complete the grant of the Further Lease may serve on the other a notice to complete the grant of the Further Lease in accordance with this clause 8 (</w:t>
      </w:r>
      <w:r>
        <w:rPr>
          <w:rFonts w:ascii="Arial" w:cs="Arial" w:eastAsia="Arial" w:hAnsi="Arial"/>
          <w:sz w:val="15"/>
          <w:szCs w:val="15"/>
          <w:b w:val="1"/>
          <w:bCs w:val="1"/>
          <w:color w:val="auto"/>
        </w:rPr>
        <w:t>“Completion Notice”</w:t>
      </w:r>
      <w:r>
        <w:rPr>
          <w:rFonts w:ascii="Arial" w:cs="Arial" w:eastAsia="Arial" w:hAnsi="Arial"/>
          <w:sz w:val="15"/>
          <w:szCs w:val="15"/>
          <w:color w:val="auto"/>
        </w:rPr>
        <w:t>) and in connection with the service of any Completion Notice: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417" w:name="page418"/>
    <w:bookmarkEnd w:id="417"/>
    <w:p>
      <w:pPr>
        <w:ind w:left="582"/>
        <w:spacing w:after="0"/>
        <w:tabs>
          <w:tab w:leader="none" w:pos="1142" w:val="left"/>
        </w:tabs>
        <w:rPr>
          <w:sz w:val="20"/>
          <w:szCs w:val="20"/>
          <w:color w:val="auto"/>
        </w:rPr>
      </w:pPr>
      <w:r>
        <w:rPr>
          <w:rFonts w:ascii="Arial" w:cs="Arial" w:eastAsia="Arial" w:hAnsi="Arial"/>
          <w:sz w:val="16"/>
          <w:szCs w:val="16"/>
          <w:color w:val="auto"/>
        </w:rPr>
        <w:t>8.7.1</w:t>
      </w:r>
      <w:r>
        <w:rPr>
          <w:sz w:val="20"/>
          <w:szCs w:val="20"/>
          <w:color w:val="auto"/>
        </w:rPr>
        <w:tab/>
      </w:r>
      <w:r>
        <w:rPr>
          <w:rFonts w:ascii="Arial" w:cs="Arial" w:eastAsia="Arial" w:hAnsi="Arial"/>
          <w:sz w:val="15"/>
          <w:szCs w:val="15"/>
          <w:color w:val="auto"/>
        </w:rPr>
        <w:t>a party is ready able and willing to complete if it could be but for the default of the other party</w:t>
      </w:r>
    </w:p>
    <w:p>
      <w:pPr>
        <w:spacing w:after="0" w:line="207" w:lineRule="exact"/>
        <w:rPr>
          <w:sz w:val="20"/>
          <w:szCs w:val="20"/>
          <w:color w:val="auto"/>
        </w:rPr>
      </w:pPr>
    </w:p>
    <w:p>
      <w:pPr>
        <w:ind w:left="1162" w:right="60" w:hanging="586"/>
        <w:spacing w:after="0" w:line="285" w:lineRule="auto"/>
        <w:tabs>
          <w:tab w:leader="none" w:pos="1142" w:val="left"/>
        </w:tabs>
        <w:rPr>
          <w:sz w:val="20"/>
          <w:szCs w:val="20"/>
          <w:color w:val="auto"/>
        </w:rPr>
      </w:pPr>
      <w:r>
        <w:rPr>
          <w:rFonts w:ascii="Arial" w:cs="Arial" w:eastAsia="Arial" w:hAnsi="Arial"/>
          <w:sz w:val="16"/>
          <w:szCs w:val="16"/>
          <w:color w:val="auto"/>
        </w:rPr>
        <w:t>8.7.2</w:t>
        <w:tab/>
        <w:t>the parties are to complete the grant of the Further Lease within fourteen days of serving a Completion Notice (excluding the date on which the Completion Notice is served) as to which time shall be of the essence</w:t>
      </w:r>
    </w:p>
    <w:p>
      <w:pPr>
        <w:spacing w:after="0" w:line="150" w:lineRule="exact"/>
        <w:rPr>
          <w:sz w:val="20"/>
          <w:szCs w:val="20"/>
          <w:color w:val="auto"/>
        </w:rPr>
      </w:pPr>
    </w:p>
    <w:p>
      <w:pPr>
        <w:ind w:left="1162" w:right="140" w:hanging="586"/>
        <w:spacing w:after="0" w:line="285" w:lineRule="auto"/>
        <w:tabs>
          <w:tab w:leader="none" w:pos="1142" w:val="left"/>
        </w:tabs>
        <w:rPr>
          <w:sz w:val="20"/>
          <w:szCs w:val="20"/>
          <w:color w:val="auto"/>
        </w:rPr>
      </w:pPr>
      <w:r>
        <w:rPr>
          <w:rFonts w:ascii="Arial" w:cs="Arial" w:eastAsia="Arial" w:hAnsi="Arial"/>
          <w:sz w:val="16"/>
          <w:szCs w:val="16"/>
          <w:color w:val="auto"/>
        </w:rPr>
        <w:t>8.7.3</w:t>
        <w:tab/>
        <w:t>if either party receives but fails to complete the grant of the Lease in accordance with a Completion Notice that has been validly served under this clause 8 this option will be terminated but without prejudice to any other right or remedy of either party against the other</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4"/>
          <w:szCs w:val="14"/>
          <w:color w:val="auto"/>
        </w:rPr>
        <w:t>This option will be of no effect unless registered at HM Land Registry as appropriate within three months from the date of this Lease</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IN WITNESS</w:t>
      </w:r>
      <w:r>
        <w:rPr>
          <w:rFonts w:ascii="Arial" w:cs="Arial" w:eastAsia="Arial" w:hAnsi="Arial"/>
          <w:sz w:val="16"/>
          <w:szCs w:val="16"/>
          <w:color w:val="auto"/>
        </w:rPr>
        <w:t xml:space="preserve"> of which the parties have executed this Underlease as a deed and have delivered it upon dating it</w:t>
      </w:r>
    </w:p>
    <w:p>
      <w:pPr>
        <w:spacing w:after="0" w:line="207"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color w:val="auto"/>
        </w:rPr>
        <w:t>Schedule 1</w:t>
      </w:r>
    </w:p>
    <w:p>
      <w:pPr>
        <w:spacing w:after="0" w:line="207"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color w:val="auto"/>
        </w:rPr>
        <w:t>Part 1</w:t>
      </w:r>
    </w:p>
    <w:p>
      <w:pPr>
        <w:spacing w:after="0" w:line="207"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color w:val="auto"/>
        </w:rPr>
        <w:t>The Premises</w:t>
      </w:r>
    </w:p>
    <w:p>
      <w:pPr>
        <w:spacing w:after="0" w:line="211" w:lineRule="exact"/>
        <w:rPr>
          <w:sz w:val="20"/>
          <w:szCs w:val="20"/>
          <w:color w:val="auto"/>
        </w:rPr>
      </w:pPr>
    </w:p>
    <w:p>
      <w:pPr>
        <w:ind w:left="582" w:right="100" w:hanging="582"/>
        <w:spacing w:after="0" w:line="285" w:lineRule="auto"/>
        <w:tabs>
          <w:tab w:leader="none" w:pos="58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premises shown edged and shaded in blue on Plans B and C comprising parts of the ground and first floors of the Building but excluding the Service Risers and the Unit B External Store</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Premises include all additions alterations and improvements to them and also include: -</w:t>
      </w:r>
    </w:p>
    <w:p>
      <w:pPr>
        <w:spacing w:after="0" w:line="207" w:lineRule="exact"/>
        <w:rPr>
          <w:sz w:val="20"/>
          <w:szCs w:val="20"/>
          <w:color w:val="auto"/>
        </w:rPr>
      </w:pPr>
    </w:p>
    <w:p>
      <w:pPr>
        <w:ind w:left="582" w:right="380" w:hanging="586"/>
        <w:spacing w:after="0" w:line="285" w:lineRule="auto"/>
        <w:tabs>
          <w:tab w:leader="none" w:pos="562"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the plaster and decorative finishes applied to the interior of the external walls of the Building and to any structural or load-bearing walls and columns within the Premises but no other part of any such walls and columns</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the whole of any non-structural or non-load-bearing walls and columns within the Premises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the inner half severed medially of any non-structural or non-load-bearing walls dividing the Premises from other parts of the Building</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color w:val="auto"/>
        </w:rPr>
        <w:t>the doors door furniture and door frames of or within the Premises</w:t>
      </w:r>
    </w:p>
    <w:p>
      <w:pPr>
        <w:spacing w:after="0" w:line="207"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6"/>
          <w:szCs w:val="16"/>
          <w:color w:val="auto"/>
        </w:rPr>
        <w:t>the windows and window frames of or within the Premises but not any windows window frames or any forms of glazing which are in or comprise part of the external walls of the Building</w:t>
      </w:r>
    </w:p>
    <w:p>
      <w:pPr>
        <w:spacing w:after="0" w:line="150" w:lineRule="exact"/>
        <w:rPr>
          <w:sz w:val="20"/>
          <w:szCs w:val="20"/>
          <w:color w:val="auto"/>
        </w:rPr>
      </w:pPr>
    </w:p>
    <w:p>
      <w:pPr>
        <w:ind w:left="582" w:right="460" w:hanging="586"/>
        <w:spacing w:after="0" w:line="285" w:lineRule="auto"/>
        <w:tabs>
          <w:tab w:leader="none" w:pos="562"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6"/>
          <w:szCs w:val="16"/>
          <w:color w:val="auto"/>
        </w:rPr>
        <w:t>all Service Media (other than the Heating Systems) vested in the Landlord which exclusively serve the Premises up to the point where they connect to those of statutory undertakers or to those which are Common Media</w:t>
      </w:r>
    </w:p>
    <w:p>
      <w:pPr>
        <w:spacing w:after="0" w:line="146"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color w:val="auto"/>
        </w:rPr>
        <w:t>Part 2</w:t>
      </w:r>
    </w:p>
    <w:p>
      <w:pPr>
        <w:spacing w:after="0" w:line="207"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color w:val="auto"/>
        </w:rPr>
        <w:t>Rights granted</w:t>
      </w:r>
    </w:p>
    <w:p>
      <w:pPr>
        <w:spacing w:after="0" w:line="211" w:lineRule="exact"/>
        <w:rPr>
          <w:sz w:val="20"/>
          <w:szCs w:val="20"/>
          <w:color w:val="auto"/>
        </w:rPr>
      </w:pPr>
    </w:p>
    <w:p>
      <w:pPr>
        <w:ind w:left="582" w:right="180" w:hanging="582"/>
        <w:spacing w:after="0" w:line="285" w:lineRule="auto"/>
        <w:tabs>
          <w:tab w:leader="none" w:pos="58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 right to the free and uninterrupted passage and running of all services from and to the Premises through all Common Media including (without limitation via the Services Risers)</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 right (subject to paragraph 28 of schedule 2) to use the Common Parts for the purposes properly applicable to them</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 right to park private motor cars in the car parking areas forming part of the Common Parts on a first-come first-served basis</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 right to use the Toilets and Showers</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 right to use the bicycle racks in the bicycle storage area shown edged in green on Plan D and forming part of the Building</w:t>
      </w:r>
    </w:p>
    <w:p>
      <w:pPr>
        <w:spacing w:after="0" w:line="207"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2"/>
          </w:cols>
          <w:pgMar w:left="238" w:top="322" w:right="279" w:bottom="1440" w:gutter="0" w:footer="0" w:header="0"/>
        </w:sectPr>
      </w:pPr>
    </w:p>
    <w:bookmarkStart w:id="418" w:name="page419"/>
    <w:bookmarkEnd w:id="418"/>
    <w:p>
      <w:pPr>
        <w:ind w:left="582" w:hanging="582"/>
        <w:spacing w:after="0"/>
        <w:tabs>
          <w:tab w:leader="none" w:pos="582" w:val="left"/>
        </w:tabs>
        <w:numPr>
          <w:ilvl w:val="0"/>
          <w:numId w:val="309"/>
        </w:numPr>
        <w:rPr>
          <w:rFonts w:ascii="Arial" w:cs="Arial" w:eastAsia="Arial" w:hAnsi="Arial"/>
          <w:sz w:val="16"/>
          <w:szCs w:val="16"/>
          <w:color w:val="auto"/>
        </w:rPr>
      </w:pPr>
      <w:r>
        <w:rPr>
          <w:rFonts w:ascii="Arial" w:cs="Arial" w:eastAsia="Arial" w:hAnsi="Arial"/>
          <w:sz w:val="16"/>
          <w:szCs w:val="16"/>
          <w:color w:val="auto"/>
        </w:rPr>
        <w:t>A right to enter (at reasonable times and after giving reasonable written notice):-</w:t>
      </w:r>
    </w:p>
    <w:p>
      <w:pPr>
        <w:spacing w:after="0" w:line="207" w:lineRule="exact"/>
        <w:rPr>
          <w:sz w:val="20"/>
          <w:szCs w:val="20"/>
          <w:color w:val="auto"/>
        </w:rPr>
      </w:pPr>
    </w:p>
    <w:p>
      <w:pPr>
        <w:ind w:left="582" w:right="60" w:hanging="586"/>
        <w:spacing w:after="0" w:line="261" w:lineRule="auto"/>
        <w:tabs>
          <w:tab w:leader="none" w:pos="562"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such other parts of the Building as may reasonably be necessary for the purpose of carrying out any cleaning of or repairs (here including installing in positions previously approved by the Landlord (acting reasonably) or replacing where necessary) to any Service Media forming part of the Premises or any air conditioning or other equipment installed by the Tenant under the terms of this Lease and the lift to be installed by the Tenant in the Common Parts or otherwise complying with the Tenant’s obligations under this Underlease the Tenant doing as little damage as possible and making good all physical damage caused to the Building to the reasonable satisfaction of the Landlord and complying with the reasonable requirements of and causing the minimum of inconvenience to the occupiers of such other parts of the Building</w:t>
      </w:r>
    </w:p>
    <w:p>
      <w:pPr>
        <w:spacing w:after="0" w:line="169" w:lineRule="exact"/>
        <w:rPr>
          <w:sz w:val="20"/>
          <w:szCs w:val="20"/>
          <w:color w:val="auto"/>
        </w:rPr>
      </w:pPr>
    </w:p>
    <w:p>
      <w:pPr>
        <w:jc w:val="both"/>
        <w:ind w:left="582" w:hanging="586"/>
        <w:spacing w:after="0" w:line="296" w:lineRule="auto"/>
        <w:tabs>
          <w:tab w:leader="none" w:pos="562"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5"/>
          <w:szCs w:val="15"/>
          <w:color w:val="auto"/>
        </w:rPr>
        <w:t>such other parts of the Building as may be reasonably necessary for the purposes of carrying out repairs or permitted alterations where not otherwise practicable to the Premises the Tenant doing as little damage as possible and making good all physical damage caused to the Building to the reasonable satisfaction of the Landlord and complying with the reasonable requirements of and causing the minimum of inconvenience to the occupiers of such other parts of the Building</w:t>
      </w:r>
    </w:p>
    <w:p>
      <w:pPr>
        <w:spacing w:after="0" w:line="144" w:lineRule="exact"/>
        <w:rPr>
          <w:sz w:val="20"/>
          <w:szCs w:val="20"/>
          <w:color w:val="auto"/>
        </w:rPr>
      </w:pPr>
    </w:p>
    <w:p>
      <w:pPr>
        <w:ind w:left="582" w:right="280" w:hanging="586"/>
        <w:spacing w:after="0" w:line="270" w:lineRule="auto"/>
        <w:tabs>
          <w:tab w:leader="none" w:pos="562"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color w:val="auto"/>
        </w:rPr>
        <w:t>such parts of the Common Parts as may reasonably be necessary to carry out any assessment or inspection necessary to prepare an EPC the Tenant doing as little damage as possible and making good all physical damage caused to the Common Parts to the reasonable satisfaction of the Landlord and causing the minimum of inconvenience to the other occupiers of the Building</w:t>
      </w:r>
    </w:p>
    <w:p>
      <w:pPr>
        <w:spacing w:after="0" w:line="162" w:lineRule="exact"/>
        <w:rPr>
          <w:sz w:val="20"/>
          <w:szCs w:val="20"/>
          <w:color w:val="auto"/>
        </w:rPr>
      </w:pPr>
    </w:p>
    <w:p>
      <w:pPr>
        <w:ind w:left="582" w:hanging="582"/>
        <w:spacing w:after="0"/>
        <w:tabs>
          <w:tab w:leader="none" w:pos="58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 right of support and shelter for the Premises from other parts of the Building</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 right to erect in such part of the entrance hall of the Building as the Landlord may nominate a sign indicating the name and business of the Tenant</w:t>
      </w:r>
    </w:p>
    <w:p>
      <w:pPr>
        <w:spacing w:after="0" w:line="207" w:lineRule="exact"/>
        <w:rPr>
          <w:rFonts w:ascii="Arial" w:cs="Arial" w:eastAsia="Arial" w:hAnsi="Arial"/>
          <w:sz w:val="16"/>
          <w:szCs w:val="16"/>
          <w:color w:val="auto"/>
        </w:rPr>
      </w:pPr>
    </w:p>
    <w:p>
      <w:pPr>
        <w:ind w:left="582" w:right="180" w:hanging="582"/>
        <w:spacing w:after="0" w:line="285" w:lineRule="auto"/>
        <w:tabs>
          <w:tab w:leader="none" w:pos="58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 right to include the Tenant’s name on directional signage at the entrance to Babraham Research Campus and on directional signage within the Campus where the same has been erected by the Landlord with the consent of the Superior Landlord pursuant to the Superior Lease</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 right to use reception services at the reception in the main entrance to the Building where the same are made available to all occupiers of the Building</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rights specified in clause 3.2 of the Superior Lease</w:t>
      </w:r>
    </w:p>
    <w:p>
      <w:pPr>
        <w:spacing w:after="0" w:line="207" w:lineRule="exact"/>
        <w:rPr>
          <w:rFonts w:ascii="Arial" w:cs="Arial" w:eastAsia="Arial" w:hAnsi="Arial"/>
          <w:sz w:val="16"/>
          <w:szCs w:val="16"/>
          <w:color w:val="auto"/>
        </w:rPr>
      </w:pPr>
    </w:p>
    <w:p>
      <w:pPr>
        <w:ind w:left="582" w:right="60" w:hanging="582"/>
        <w:spacing w:after="0" w:line="285" w:lineRule="auto"/>
        <w:tabs>
          <w:tab w:leader="none" w:pos="57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exclusive right to use the Unit B External Store for the storage of hazardous waste and other materials subject to compliance with the reasonable requirements of the Landlord notified to the Tenant from time to time</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Part 3</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Rights excepted and reserved</w:t>
      </w:r>
    </w:p>
    <w:p>
      <w:pPr>
        <w:spacing w:after="0" w:line="211" w:lineRule="exact"/>
        <w:rPr>
          <w:sz w:val="20"/>
          <w:szCs w:val="20"/>
          <w:color w:val="auto"/>
        </w:rPr>
      </w:pPr>
    </w:p>
    <w:p>
      <w:pPr>
        <w:ind w:left="582" w:right="360" w:hanging="582"/>
        <w:spacing w:after="0" w:line="360" w:lineRule="auto"/>
        <w:tabs>
          <w:tab w:leader="none" w:pos="582" w:val="left"/>
        </w:tabs>
        <w:numPr>
          <w:ilvl w:val="0"/>
          <w:numId w:val="311"/>
        </w:numPr>
        <w:rPr>
          <w:rFonts w:ascii="Arial" w:cs="Arial" w:eastAsia="Arial" w:hAnsi="Arial"/>
          <w:sz w:val="14"/>
          <w:szCs w:val="14"/>
          <w:color w:val="auto"/>
        </w:rPr>
      </w:pPr>
      <w:r>
        <w:rPr>
          <w:rFonts w:ascii="Arial" w:cs="Arial" w:eastAsia="Arial" w:hAnsi="Arial"/>
          <w:sz w:val="14"/>
          <w:szCs w:val="14"/>
          <w:color w:val="auto"/>
        </w:rPr>
        <w:t>A right to enter the Premises on giving to the Tenant not less than 48 hours prior written notice (except in an emergency) to inspect the state and condition of the Premises to determine whether the Tenant is complying with its obligations in this Underlease and to take any action to remedy any breach of such obligations</w:t>
      </w:r>
    </w:p>
    <w:p>
      <w:pPr>
        <w:spacing w:after="0" w:line="10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19" w:name="page420"/>
    <w:bookmarkEnd w:id="419"/>
    <w:p>
      <w:pPr>
        <w:ind w:left="582" w:right="20" w:hanging="582"/>
        <w:spacing w:after="0" w:line="265" w:lineRule="auto"/>
        <w:tabs>
          <w:tab w:leader="none" w:pos="582"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 right to enter the Premises on giving to the Tenant not less than 48 hours prior written notice (except in an emergency) and at reasonable times (the persons exercising such right causing as little damage as possible and complying with the reasonable requirements of and causing the minimum of inconvenience to the occupiers of the Premises and making good any physical damage caused to the Premises by the exercise of such right to the reasonable satisfaction of the Tenant) for the following purposes:-</w:t>
      </w:r>
    </w:p>
    <w:p>
      <w:pPr>
        <w:spacing w:after="0" w:line="166" w:lineRule="exact"/>
        <w:rPr>
          <w:sz w:val="20"/>
          <w:szCs w:val="20"/>
          <w:color w:val="auto"/>
        </w:rPr>
      </w:pPr>
    </w:p>
    <w:p>
      <w:pPr>
        <w:ind w:left="582" w:right="120" w:hanging="586"/>
        <w:spacing w:after="0" w:line="320" w:lineRule="auto"/>
        <w:tabs>
          <w:tab w:leader="none" w:pos="562"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5"/>
          <w:szCs w:val="15"/>
          <w:color w:val="auto"/>
        </w:rPr>
        <w:t>to erect and retain scaffolding outside the Building bordering onto the Premises for constructing altering repairing or cleaning any other land in which the Landlord may from time to time have any interest notwithstanding any temporary restriction of the use and enjoyment of the Premises by the Tenant</w:t>
      </w:r>
    </w:p>
    <w:p>
      <w:pPr>
        <w:spacing w:after="0" w:line="12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to erect and retain masts satellite dishes and antennae on the external walls and the roof of any building forming part of the Premises</w:t>
      </w:r>
    </w:p>
    <w:p>
      <w:pPr>
        <w:spacing w:after="0" w:line="207"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color w:val="auto"/>
        </w:rPr>
        <w:t>to inspect maintain clean repair alter test renew or replace any other land buildings premises or Service Media and to lay and make connections to any Service Media within but not exclusively serving the Premises</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color w:val="auto"/>
        </w:rPr>
        <w:t>to carry out any assessment or inspection necessary to prepare an EPC</w:t>
      </w:r>
    </w:p>
    <w:p>
      <w:pPr>
        <w:spacing w:after="0" w:line="207" w:lineRule="exact"/>
        <w:rPr>
          <w:sz w:val="20"/>
          <w:szCs w:val="20"/>
          <w:color w:val="auto"/>
        </w:rPr>
      </w:pPr>
    </w:p>
    <w:p>
      <w:pPr>
        <w:ind w:left="582" w:right="80" w:hanging="586"/>
        <w:spacing w:after="0" w:line="285" w:lineRule="auto"/>
        <w:tabs>
          <w:tab w:leader="none" w:pos="562"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to comply with any of the covenants on the part of the Landlord or the conditions contained in or preventing a forfeiture of the Superior Lease (notwithstanding that the obligation to comply with such covenants and conditions is imposed on the Tenant by this Underlease)</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4"/>
          <w:szCs w:val="14"/>
          <w:color w:val="auto"/>
        </w:rPr>
        <w:t>to gain access to the Service Risers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4"/>
          <w:szCs w:val="14"/>
          <w:color w:val="auto"/>
        </w:rPr>
        <w:t>for any other proper purpose mentioned in this Underlease or for any other reasonable or proper purpose connected with the Landlord’s interest in the Building</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 the Landlord shall comply with paragraph 5 of schedule 3 in exercising the rights of entry reserved by paragraphs 1 and 2 above</w:t>
      </w:r>
    </w:p>
    <w:p>
      <w:pPr>
        <w:spacing w:after="0" w:line="207" w:lineRule="exact"/>
        <w:rPr>
          <w:sz w:val="20"/>
          <w:szCs w:val="20"/>
          <w:color w:val="auto"/>
        </w:rPr>
      </w:pPr>
    </w:p>
    <w:p>
      <w:pPr>
        <w:ind w:left="582" w:hanging="582"/>
        <w:spacing w:after="0" w:line="285" w:lineRule="auto"/>
        <w:tabs>
          <w:tab w:leader="none" w:pos="58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 right to the free and uninterrupted passage and running of all services from and to all other parts of the Building and all other buildings and land through and along all Service Media from time to time within the Premises but which do not exclusively serve the Premises</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All rights of light or air now subsisting or which might (but for this exception) be acquired over any other land</w:t>
      </w:r>
    </w:p>
    <w:p>
      <w:pPr>
        <w:spacing w:after="0" w:line="207" w:lineRule="exact"/>
        <w:rPr>
          <w:rFonts w:ascii="Arial" w:cs="Arial" w:eastAsia="Arial" w:hAnsi="Arial"/>
          <w:sz w:val="16"/>
          <w:szCs w:val="16"/>
          <w:color w:val="auto"/>
        </w:rPr>
      </w:pPr>
    </w:p>
    <w:p>
      <w:pPr>
        <w:ind w:left="582" w:right="160" w:hanging="582"/>
        <w:spacing w:after="0" w:line="270" w:lineRule="auto"/>
        <w:tabs>
          <w:tab w:leader="none" w:pos="58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A right to build upon and to maintain repair replace and renew any other part or parts of the Building and any adjoining land or buildings of the Landlord in such manner as the Landlord may think fit without compensation to the Tenant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reasonable means of access to the Premises are available at all times and that the Tenant’s use and enjoyment of the Premises are not materially adversely affected</w:t>
      </w:r>
    </w:p>
    <w:p>
      <w:pPr>
        <w:spacing w:after="0" w:line="161" w:lineRule="exact"/>
        <w:rPr>
          <w:rFonts w:ascii="Arial" w:cs="Arial" w:eastAsia="Arial" w:hAnsi="Arial"/>
          <w:sz w:val="16"/>
          <w:szCs w:val="16"/>
          <w:color w:val="auto"/>
        </w:rPr>
      </w:pPr>
    </w:p>
    <w:p>
      <w:pPr>
        <w:ind w:left="582" w:hanging="582"/>
        <w:spacing w:after="0"/>
        <w:tabs>
          <w:tab w:leader="none" w:pos="58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 right of support and shelter from the Premises for the remainder of the Building</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rights reserved by clauses 4.1 and 4.2 of the Superior Lease</w:t>
      </w:r>
    </w:p>
    <w:p>
      <w:pPr>
        <w:spacing w:after="0" w:line="207"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2"/>
          </w:cols>
          <w:pgMar w:left="238" w:top="322" w:right="299" w:bottom="1440" w:gutter="0" w:footer="0" w:header="0"/>
        </w:sectPr>
      </w:pPr>
    </w:p>
    <w:bookmarkStart w:id="420" w:name="page421"/>
    <w:bookmarkEnd w:id="420"/>
    <w:p>
      <w:pPr>
        <w:jc w:val="center"/>
        <w:ind w:right="-41"/>
        <w:spacing w:after="0"/>
        <w:rPr>
          <w:sz w:val="20"/>
          <w:szCs w:val="20"/>
          <w:color w:val="auto"/>
        </w:rPr>
      </w:pPr>
      <w:r>
        <w:rPr>
          <w:rFonts w:ascii="Arial" w:cs="Arial" w:eastAsia="Arial" w:hAnsi="Arial"/>
          <w:sz w:val="16"/>
          <w:szCs w:val="16"/>
          <w:b w:val="1"/>
          <w:bCs w:val="1"/>
          <w:color w:val="auto"/>
        </w:rPr>
        <w:t>Schedule 2</w:t>
      </w:r>
    </w:p>
    <w:p>
      <w:pPr>
        <w:spacing w:after="0" w:line="207"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auto"/>
        </w:rPr>
        <w:t>Tenant’s covenants</w:t>
      </w:r>
    </w:p>
    <w:p>
      <w:pPr>
        <w:spacing w:after="0" w:line="207" w:lineRule="exact"/>
        <w:rPr>
          <w:sz w:val="20"/>
          <w:szCs w:val="20"/>
          <w:color w:val="auto"/>
        </w:rPr>
      </w:pPr>
    </w:p>
    <w:p>
      <w:pPr>
        <w:ind w:left="582" w:hanging="582"/>
        <w:spacing w:after="0"/>
        <w:tabs>
          <w:tab w:leader="none" w:pos="582" w:val="left"/>
        </w:tabs>
        <w:numPr>
          <w:ilvl w:val="0"/>
          <w:numId w:val="314"/>
        </w:numPr>
        <w:rPr>
          <w:rFonts w:ascii="Arial" w:cs="Arial" w:eastAsia="Arial" w:hAnsi="Arial"/>
          <w:sz w:val="16"/>
          <w:szCs w:val="16"/>
          <w:b w:val="1"/>
          <w:bCs w:val="1"/>
          <w:color w:val="auto"/>
        </w:rPr>
      </w:pPr>
      <w:r>
        <w:rPr>
          <w:rFonts w:ascii="Arial" w:cs="Arial" w:eastAsia="Arial" w:hAnsi="Arial"/>
          <w:sz w:val="16"/>
          <w:szCs w:val="16"/>
          <w:b w:val="1"/>
          <w:bCs w:val="1"/>
          <w:color w:val="auto"/>
        </w:rPr>
        <w:t>Pay Rents and interest</w:t>
      </w:r>
    </w:p>
    <w:p>
      <w:pPr>
        <w:spacing w:after="0" w:line="211" w:lineRule="exact"/>
        <w:rPr>
          <w:sz w:val="20"/>
          <w:szCs w:val="20"/>
          <w:color w:val="auto"/>
        </w:rPr>
      </w:pPr>
    </w:p>
    <w:p>
      <w:pPr>
        <w:ind w:left="582" w:right="460" w:hanging="586"/>
        <w:spacing w:after="0" w:line="285" w:lineRule="auto"/>
        <w:tabs>
          <w:tab w:leader="none" w:pos="562"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To pay the Rents without deduction counterclaim or set off (whether in each case legal or equitable) at the stated times in cleared funds (and if the Landlord so requires by banker’s standing order or automated credit)</w:t>
      </w:r>
    </w:p>
    <w:p>
      <w:pPr>
        <w:spacing w:after="0" w:line="150" w:lineRule="exact"/>
        <w:rPr>
          <w:sz w:val="20"/>
          <w:szCs w:val="20"/>
          <w:color w:val="auto"/>
        </w:rPr>
      </w:pPr>
    </w:p>
    <w:p>
      <w:pPr>
        <w:jc w:val="both"/>
        <w:ind w:left="582" w:right="120" w:hanging="586"/>
        <w:spacing w:after="0" w:line="270" w:lineRule="auto"/>
        <w:tabs>
          <w:tab w:leader="none" w:pos="562"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Without prejudice to any other right remedy or power of the Landlord if any of the Rents are not paid on the due dates to pay on demand to the Landlord interest on them at three per cent per annum above the Interest Rate (before and after any judgement) from the date when they became due until payment calculated on a daily basis</w:t>
      </w:r>
    </w:p>
    <w:p>
      <w:pPr>
        <w:spacing w:after="0" w:line="158" w:lineRule="exact"/>
        <w:rPr>
          <w:sz w:val="20"/>
          <w:szCs w:val="20"/>
          <w:color w:val="auto"/>
        </w:rPr>
      </w:pPr>
    </w:p>
    <w:p>
      <w:pPr>
        <w:ind w:left="582" w:hanging="582"/>
        <w:spacing w:after="0"/>
        <w:tabs>
          <w:tab w:leader="none" w:pos="582" w:val="left"/>
        </w:tabs>
        <w:numPr>
          <w:ilvl w:val="0"/>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t>Pay taxes outgoings and for utility services</w:t>
      </w:r>
    </w:p>
    <w:p>
      <w:pPr>
        <w:spacing w:after="0" w:line="211" w:lineRule="exact"/>
        <w:rPr>
          <w:sz w:val="20"/>
          <w:szCs w:val="20"/>
          <w:color w:val="auto"/>
        </w:rPr>
      </w:pPr>
    </w:p>
    <w:p>
      <w:pPr>
        <w:ind w:left="582" w:hanging="586"/>
        <w:spacing w:after="0" w:line="261" w:lineRule="auto"/>
        <w:tabs>
          <w:tab w:leader="none" w:pos="562"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To pay all rates taxes charges and other sums or outgoings (whether or not of a capital or non-recurring nature) which are payable or may be charged or assessed on the Premises or on the owner or occupier of them (excluding any payable by the Landlord in respect of the receipt of Rents or relating to any dealing with the reversion to this Underlease) and in the absence of direct assessment to pay to the Landlord a fair proportion of them (to be determined by the Landlord acting reasonably) and to the extent that the Landlord may be liable to make payments and/or incurs costs in complying with CRC in respect of the Building then subject to the Landlord providing to the Tenant details of the costs incurred and the proposed apportionment of such costs a fair proportion of the same (to be determined by the Landlord acting reasonably)</w:t>
      </w:r>
    </w:p>
    <w:p>
      <w:pPr>
        <w:spacing w:after="0" w:line="169" w:lineRule="exact"/>
        <w:rPr>
          <w:sz w:val="20"/>
          <w:szCs w:val="20"/>
          <w:color w:val="auto"/>
        </w:rPr>
      </w:pPr>
    </w:p>
    <w:p>
      <w:pPr>
        <w:jc w:val="both"/>
        <w:ind w:left="582" w:right="80" w:hanging="586"/>
        <w:spacing w:after="0" w:line="270" w:lineRule="auto"/>
        <w:tabs>
          <w:tab w:leader="none" w:pos="562"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To pay the suppliers for and indemnify the Landlord against all charges for gas water drainage electricity telephone and any other services to the Premises which are separately metered and to pay all equipment rents and in the absence of direct assessment to pay a fair proportion of them (to be determined by the Landlord acting reasonably)</w:t>
      </w:r>
    </w:p>
    <w:p>
      <w:pPr>
        <w:spacing w:after="0" w:line="158" w:lineRule="exact"/>
        <w:rPr>
          <w:sz w:val="20"/>
          <w:szCs w:val="20"/>
          <w:color w:val="auto"/>
        </w:rPr>
      </w:pPr>
    </w:p>
    <w:p>
      <w:pPr>
        <w:ind w:left="582" w:hanging="582"/>
        <w:spacing w:after="0"/>
        <w:tabs>
          <w:tab w:leader="none" w:pos="582"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Repair</w:t>
      </w:r>
    </w:p>
    <w:p>
      <w:pPr>
        <w:spacing w:after="0" w:line="211" w:lineRule="exact"/>
        <w:rPr>
          <w:rFonts w:ascii="Arial" w:cs="Arial" w:eastAsia="Arial" w:hAnsi="Arial"/>
          <w:sz w:val="16"/>
          <w:szCs w:val="16"/>
          <w:b w:val="1"/>
          <w:bCs w:val="1"/>
          <w:color w:val="auto"/>
        </w:rPr>
      </w:pPr>
    </w:p>
    <w:p>
      <w:pPr>
        <w:ind w:left="582" w:right="4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To keep the Premises in good and substantial repair and condition (damage by any Insured Risk excepted save to the extent that the insurance money is irrecoverable by reason of the act or default of the Tenant) and these obligations include the following:-</w:t>
      </w:r>
    </w:p>
    <w:p>
      <w:pPr>
        <w:spacing w:after="0" w:line="150" w:lineRule="exact"/>
        <w:rPr>
          <w:sz w:val="20"/>
          <w:szCs w:val="20"/>
          <w:color w:val="auto"/>
        </w:rPr>
      </w:pPr>
    </w:p>
    <w:p>
      <w:pPr>
        <w:ind w:left="582" w:right="160" w:hanging="586"/>
        <w:spacing w:after="0" w:line="285" w:lineRule="auto"/>
        <w:tabs>
          <w:tab w:leader="none" w:pos="562"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where necessary and also in the six months before the end of the Term to decorate the Premises (in the six months before the end of the Term in such colours as the Landlord may reasonably require)</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color w:val="auto"/>
        </w:rPr>
        <w:t>to keep the Premises clean and tidy and to clean the inside of the windows regularly</w:t>
      </w:r>
    </w:p>
    <w:p>
      <w:pPr>
        <w:spacing w:after="0" w:line="207"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2"/>
          </w:cols>
          <w:pgMar w:left="238" w:top="318" w:right="279" w:bottom="1440" w:gutter="0" w:footer="0" w:header="0"/>
        </w:sectPr>
      </w:pPr>
    </w:p>
    <w:bookmarkStart w:id="421" w:name="page422"/>
    <w:bookmarkEnd w:id="421"/>
    <w:p>
      <w:pPr>
        <w:ind w:left="582" w:right="80" w:hanging="586"/>
        <w:spacing w:after="0" w:line="285" w:lineRule="auto"/>
        <w:tabs>
          <w:tab w:leader="none" w:pos="562"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to maintain regularly and when necessary repair or replace all gas electrical hydraulic and other mechanical installations and equipment (if any) forming part of and exclusively serving the Premises to the reasonable satisfaction of the Landlord</w:t>
      </w:r>
    </w:p>
    <w:p>
      <w:pPr>
        <w:spacing w:after="0" w:line="150" w:lineRule="exact"/>
        <w:rPr>
          <w:sz w:val="20"/>
          <w:szCs w:val="20"/>
          <w:color w:val="auto"/>
        </w:rPr>
      </w:pPr>
    </w:p>
    <w:p>
      <w:pPr>
        <w:ind w:left="582" w:right="460" w:hanging="586"/>
        <w:spacing w:after="0" w:line="320" w:lineRule="auto"/>
        <w:tabs>
          <w:tab w:leader="none" w:pos="562"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5"/>
          <w:szCs w:val="15"/>
          <w:color w:val="auto"/>
        </w:rPr>
        <w:t>to carry out all works of repair decoration and maintenance and other treatment of the Premises in a proper and workmanlike manner in accordance with good practice current at the time and with good quality suitable and sufficient materials and to the reasonable satisfaction of the Landlord.</w:t>
      </w:r>
    </w:p>
    <w:p>
      <w:pPr>
        <w:spacing w:after="0" w:line="123" w:lineRule="exact"/>
        <w:rPr>
          <w:sz w:val="20"/>
          <w:szCs w:val="20"/>
          <w:color w:val="auto"/>
        </w:rPr>
      </w:pPr>
    </w:p>
    <w:p>
      <w:pPr>
        <w:ind w:left="582" w:hanging="582"/>
        <w:spacing w:after="0"/>
        <w:tabs>
          <w:tab w:leader="none" w:pos="582" w:val="left"/>
        </w:tabs>
        <w:numPr>
          <w:ilvl w:val="0"/>
          <w:numId w:val="317"/>
        </w:numPr>
        <w:rPr>
          <w:rFonts w:ascii="Arial" w:cs="Arial" w:eastAsia="Arial" w:hAnsi="Arial"/>
          <w:sz w:val="16"/>
          <w:szCs w:val="16"/>
          <w:b w:val="1"/>
          <w:bCs w:val="1"/>
          <w:color w:val="auto"/>
        </w:rPr>
      </w:pPr>
      <w:r>
        <w:rPr>
          <w:rFonts w:ascii="Arial" w:cs="Arial" w:eastAsia="Arial" w:hAnsi="Arial"/>
          <w:sz w:val="16"/>
          <w:szCs w:val="16"/>
          <w:b w:val="1"/>
          <w:bCs w:val="1"/>
          <w:color w:val="auto"/>
        </w:rPr>
        <w:t>Permit entry</w:t>
      </w:r>
    </w:p>
    <w:p>
      <w:pPr>
        <w:spacing w:after="0" w:line="211" w:lineRule="exact"/>
        <w:rPr>
          <w:rFonts w:ascii="Arial" w:cs="Arial" w:eastAsia="Arial" w:hAnsi="Arial"/>
          <w:sz w:val="16"/>
          <w:szCs w:val="16"/>
          <w:b w:val="1"/>
          <w:bCs w:val="1"/>
          <w:color w:val="auto"/>
        </w:rPr>
      </w:pPr>
    </w:p>
    <w:p>
      <w:pPr>
        <w:ind w:left="582" w:right="22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To permit the Landlord at all reasonable times on giving reasonable notice (except in case of emergency) to enter the Premises to exercise the rights excepted and reserved in this Underlease</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317"/>
        </w:numPr>
        <w:rPr>
          <w:rFonts w:ascii="Arial" w:cs="Arial" w:eastAsia="Arial" w:hAnsi="Arial"/>
          <w:sz w:val="16"/>
          <w:szCs w:val="16"/>
          <w:b w:val="1"/>
          <w:bCs w:val="1"/>
          <w:color w:val="auto"/>
        </w:rPr>
      </w:pPr>
      <w:r>
        <w:rPr>
          <w:rFonts w:ascii="Arial" w:cs="Arial" w:eastAsia="Arial" w:hAnsi="Arial"/>
          <w:sz w:val="16"/>
          <w:szCs w:val="16"/>
          <w:b w:val="1"/>
          <w:bCs w:val="1"/>
          <w:color w:val="auto"/>
        </w:rPr>
        <w:t>Comply with notices to repair</w:t>
      </w:r>
    </w:p>
    <w:p>
      <w:pPr>
        <w:spacing w:after="0" w:line="211" w:lineRule="exact"/>
        <w:rPr>
          <w:sz w:val="20"/>
          <w:szCs w:val="20"/>
          <w:color w:val="auto"/>
        </w:rPr>
      </w:pPr>
    </w:p>
    <w:p>
      <w:pPr>
        <w:ind w:left="582" w:right="260" w:hanging="586"/>
        <w:spacing w:after="0" w:line="285" w:lineRule="auto"/>
        <w:tabs>
          <w:tab w:leader="none" w:pos="562"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To commence and complete all works for which the Tenant is liable under this Underlease as quickly as possible after service of a written notice by the Landlord requiring such works</w:t>
      </w:r>
    </w:p>
    <w:p>
      <w:pPr>
        <w:spacing w:after="0" w:line="150" w:lineRule="exact"/>
        <w:rPr>
          <w:sz w:val="20"/>
          <w:szCs w:val="20"/>
          <w:color w:val="auto"/>
        </w:rPr>
      </w:pPr>
    </w:p>
    <w:p>
      <w:pPr>
        <w:ind w:left="582" w:right="20" w:hanging="586"/>
        <w:spacing w:after="0" w:line="265" w:lineRule="auto"/>
        <w:tabs>
          <w:tab w:leader="none" w:pos="562"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If the Tenant does not commence such works within two months of service of such notice (or sooner if required) or does not complete them within a reasonable time (having regard to the obligation of the Tenant to complete them as quickly as possible) the Landlord may (without prejudice to the right of re-entry contained in this Underlease) enter the Premises to carry out such works the cost of which (including all Landlord’s Expenses in connection with them) is to be repaid by the Tenant and recoverable by the Landlord as a debt on demand</w:t>
      </w:r>
    </w:p>
    <w:p>
      <w:pPr>
        <w:spacing w:after="0" w:line="162" w:lineRule="exact"/>
        <w:rPr>
          <w:sz w:val="20"/>
          <w:szCs w:val="20"/>
          <w:color w:val="auto"/>
        </w:rPr>
      </w:pPr>
    </w:p>
    <w:p>
      <w:pPr>
        <w:ind w:left="582" w:hanging="582"/>
        <w:spacing w:after="0"/>
        <w:tabs>
          <w:tab w:leader="none" w:pos="582" w:val="left"/>
        </w:tabs>
        <w:numPr>
          <w:ilvl w:val="0"/>
          <w:numId w:val="318"/>
        </w:numPr>
        <w:rPr>
          <w:rFonts w:ascii="Arial" w:cs="Arial" w:eastAsia="Arial" w:hAnsi="Arial"/>
          <w:sz w:val="16"/>
          <w:szCs w:val="16"/>
          <w:b w:val="1"/>
          <w:bCs w:val="1"/>
          <w:color w:val="auto"/>
        </w:rPr>
      </w:pPr>
      <w:r>
        <w:rPr>
          <w:rFonts w:ascii="Arial" w:cs="Arial" w:eastAsia="Arial" w:hAnsi="Arial"/>
          <w:sz w:val="16"/>
          <w:szCs w:val="16"/>
          <w:b w:val="1"/>
          <w:bCs w:val="1"/>
          <w:color w:val="auto"/>
        </w:rPr>
        <w:t>Defects</w:t>
      </w:r>
    </w:p>
    <w:p>
      <w:pPr>
        <w:spacing w:after="0" w:line="211" w:lineRule="exact"/>
        <w:rPr>
          <w:rFonts w:ascii="Arial" w:cs="Arial" w:eastAsia="Arial" w:hAnsi="Arial"/>
          <w:sz w:val="16"/>
          <w:szCs w:val="16"/>
          <w:b w:val="1"/>
          <w:bCs w:val="1"/>
          <w:color w:val="auto"/>
        </w:rPr>
      </w:pPr>
    </w:p>
    <w:p>
      <w:pPr>
        <w:ind w:left="582" w:right="6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To give immediate written notice to the Landlord on becoming aware of any defects in the Premises which may give rise to a liability or duty on the Landlord under common law or statute</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318"/>
        </w:numPr>
        <w:rPr>
          <w:rFonts w:ascii="Arial" w:cs="Arial" w:eastAsia="Arial" w:hAnsi="Arial"/>
          <w:sz w:val="16"/>
          <w:szCs w:val="16"/>
          <w:b w:val="1"/>
          <w:bCs w:val="1"/>
          <w:color w:val="auto"/>
        </w:rPr>
      </w:pPr>
      <w:r>
        <w:rPr>
          <w:rFonts w:ascii="Arial" w:cs="Arial" w:eastAsia="Arial" w:hAnsi="Arial"/>
          <w:sz w:val="16"/>
          <w:szCs w:val="16"/>
          <w:b w:val="1"/>
          <w:bCs w:val="1"/>
          <w:color w:val="auto"/>
        </w:rPr>
        <w:t>Yielding up</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5"/>
          <w:szCs w:val="15"/>
          <w:color w:val="auto"/>
        </w:rPr>
        <w:t>Immediately prior to the end of the Term:-</w:t>
      </w:r>
    </w:p>
    <w:p>
      <w:pPr>
        <w:spacing w:after="0" w:line="207" w:lineRule="exact"/>
        <w:rPr>
          <w:sz w:val="20"/>
          <w:szCs w:val="20"/>
          <w:color w:val="auto"/>
        </w:rPr>
      </w:pPr>
    </w:p>
    <w:p>
      <w:pPr>
        <w:jc w:val="both"/>
        <w:ind w:left="1162" w:right="180" w:hanging="586"/>
        <w:spacing w:after="0" w:line="270" w:lineRule="auto"/>
        <w:tabs>
          <w:tab w:leader="none" w:pos="1142" w:val="left"/>
        </w:tabs>
        <w:rPr>
          <w:sz w:val="20"/>
          <w:szCs w:val="20"/>
          <w:color w:val="auto"/>
        </w:rPr>
      </w:pPr>
      <w:r>
        <w:rPr>
          <w:rFonts w:ascii="Arial" w:cs="Arial" w:eastAsia="Arial" w:hAnsi="Arial"/>
          <w:sz w:val="16"/>
          <w:szCs w:val="16"/>
          <w:color w:val="auto"/>
        </w:rPr>
        <w:t>7.1.1</w:t>
        <w:tab/>
        <w:t>to remove every sign or notice which the Landlord requires to be removed and (unless and to the extent that the Landlord agrees otherwise) to remove all tenant’s fixtures and fittings furniture and effects from the Premises making good to the reasonable satisfaction of the Landlord all damage caused to the Building by such removal</w:t>
      </w:r>
    </w:p>
    <w:p>
      <w:pPr>
        <w:spacing w:after="0" w:line="162" w:lineRule="exact"/>
        <w:rPr>
          <w:sz w:val="20"/>
          <w:szCs w:val="20"/>
          <w:color w:val="auto"/>
        </w:rPr>
      </w:pPr>
    </w:p>
    <w:p>
      <w:pPr>
        <w:ind w:left="1162" w:hanging="586"/>
        <w:spacing w:after="0" w:line="285" w:lineRule="auto"/>
        <w:tabs>
          <w:tab w:leader="none" w:pos="1142" w:val="left"/>
        </w:tabs>
        <w:rPr>
          <w:sz w:val="20"/>
          <w:szCs w:val="20"/>
          <w:color w:val="auto"/>
        </w:rPr>
      </w:pPr>
      <w:r>
        <w:rPr>
          <w:rFonts w:ascii="Arial" w:cs="Arial" w:eastAsia="Arial" w:hAnsi="Arial"/>
          <w:sz w:val="16"/>
          <w:szCs w:val="16"/>
          <w:color w:val="auto"/>
        </w:rPr>
        <w:t>7.1.2</w:t>
        <w:tab/>
        <w:t>(unless and to the extent that the Landlord agrees otherwise) to reinstate and restore the Premises to the same state and condition as they were in prior to the carrying out of any works to the Premises by the Tenant</w:t>
      </w:r>
    </w:p>
    <w:p>
      <w:pPr>
        <w:spacing w:after="0" w:line="150" w:lineRule="exact"/>
        <w:rPr>
          <w:sz w:val="20"/>
          <w:szCs w:val="20"/>
          <w:color w:val="auto"/>
        </w:rPr>
      </w:pPr>
    </w:p>
    <w:p>
      <w:pPr>
        <w:jc w:val="center"/>
        <w:ind w:right="-10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42"/>
          </w:cols>
          <w:pgMar w:left="238" w:top="322" w:right="319" w:bottom="1440" w:gutter="0" w:footer="0" w:header="0"/>
        </w:sectPr>
      </w:pPr>
    </w:p>
    <w:bookmarkStart w:id="422" w:name="page423"/>
    <w:bookmarkEnd w:id="422"/>
    <w:p>
      <w:pPr>
        <w:ind w:left="582"/>
        <w:spacing w:after="0"/>
        <w:tabs>
          <w:tab w:leader="none" w:pos="1142" w:val="left"/>
        </w:tabs>
        <w:rPr>
          <w:sz w:val="20"/>
          <w:szCs w:val="20"/>
          <w:color w:val="auto"/>
        </w:rPr>
      </w:pPr>
      <w:r>
        <w:rPr>
          <w:rFonts w:ascii="Arial" w:cs="Arial" w:eastAsia="Arial" w:hAnsi="Arial"/>
          <w:sz w:val="16"/>
          <w:szCs w:val="16"/>
          <w:color w:val="auto"/>
        </w:rPr>
        <w:t>7.1.3</w:t>
      </w:r>
      <w:r>
        <w:rPr>
          <w:sz w:val="20"/>
          <w:szCs w:val="20"/>
          <w:color w:val="auto"/>
        </w:rPr>
        <w:tab/>
      </w:r>
      <w:r>
        <w:rPr>
          <w:rFonts w:ascii="Arial" w:cs="Arial" w:eastAsia="Arial" w:hAnsi="Arial"/>
          <w:sz w:val="14"/>
          <w:szCs w:val="14"/>
          <w:color w:val="auto"/>
        </w:rPr>
        <w:t>so far as applicable to hand over to the Landlord (or if requested to provide copies of) any:-</w:t>
      </w:r>
    </w:p>
    <w:p>
      <w:pPr>
        <w:spacing w:after="0" w:line="207" w:lineRule="exact"/>
        <w:rPr>
          <w:sz w:val="20"/>
          <w:szCs w:val="20"/>
          <w:color w:val="auto"/>
        </w:rPr>
      </w:pPr>
    </w:p>
    <w:p>
      <w:pPr>
        <w:ind w:left="1762" w:right="160" w:hanging="588"/>
        <w:spacing w:after="0" w:line="285" w:lineRule="auto"/>
        <w:tabs>
          <w:tab w:leader="none" w:pos="1759" w:val="left"/>
        </w:tabs>
        <w:numPr>
          <w:ilvl w:val="0"/>
          <w:numId w:val="319"/>
        </w:numPr>
        <w:rPr>
          <w:rFonts w:ascii="Arial" w:cs="Arial" w:eastAsia="Arial" w:hAnsi="Arial"/>
          <w:sz w:val="16"/>
          <w:szCs w:val="16"/>
          <w:color w:val="auto"/>
        </w:rPr>
      </w:pPr>
      <w:r>
        <w:rPr>
          <w:rFonts w:ascii="Arial" w:cs="Arial" w:eastAsia="Arial" w:hAnsi="Arial"/>
          <w:sz w:val="16"/>
          <w:szCs w:val="16"/>
          <w:color w:val="auto"/>
        </w:rPr>
        <w:t>files registers or management plans (including any relating to asbestos) required to be maintained under health and safety legislation in relation to the Premises</w:t>
      </w:r>
    </w:p>
    <w:p>
      <w:pPr>
        <w:spacing w:after="0" w:line="149" w:lineRule="exact"/>
        <w:rPr>
          <w:rFonts w:ascii="Arial" w:cs="Arial" w:eastAsia="Arial" w:hAnsi="Arial"/>
          <w:sz w:val="16"/>
          <w:szCs w:val="16"/>
          <w:color w:val="auto"/>
        </w:rPr>
      </w:pPr>
    </w:p>
    <w:p>
      <w:pPr>
        <w:ind w:left="1762" w:hanging="588"/>
        <w:spacing w:after="0"/>
        <w:tabs>
          <w:tab w:leader="none" w:pos="176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EPC for the Premises together with details of the reference number of such EPC (if not apparent from the copy)</w:t>
      </w:r>
    </w:p>
    <w:p>
      <w:pPr>
        <w:spacing w:after="0" w:line="207" w:lineRule="exact"/>
        <w:rPr>
          <w:rFonts w:ascii="Arial" w:cs="Arial" w:eastAsia="Arial" w:hAnsi="Arial"/>
          <w:sz w:val="16"/>
          <w:szCs w:val="16"/>
          <w:color w:val="auto"/>
        </w:rPr>
      </w:pPr>
    </w:p>
    <w:p>
      <w:pPr>
        <w:ind w:left="1762" w:right="260" w:hanging="588"/>
        <w:spacing w:after="0" w:line="285" w:lineRule="auto"/>
        <w:tabs>
          <w:tab w:leader="none" w:pos="177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air-conditioning inspection report relating to any air-conditioning system serving the Premises and obtained by the Tenant as the relevant person under the EPB Regulations</w:t>
      </w:r>
    </w:p>
    <w:p>
      <w:pPr>
        <w:spacing w:after="0" w:line="149" w:lineRule="exact"/>
        <w:rPr>
          <w:rFonts w:ascii="Arial" w:cs="Arial" w:eastAsia="Arial" w:hAnsi="Arial"/>
          <w:sz w:val="16"/>
          <w:szCs w:val="16"/>
          <w:color w:val="auto"/>
        </w:rPr>
      </w:pPr>
    </w:p>
    <w:p>
      <w:pPr>
        <w:ind w:left="1762" w:right="200" w:hanging="588"/>
        <w:spacing w:after="0" w:line="320" w:lineRule="auto"/>
        <w:tabs>
          <w:tab w:leader="none" w:pos="1769" w:val="left"/>
        </w:tabs>
        <w:numPr>
          <w:ilvl w:val="0"/>
          <w:numId w:val="319"/>
        </w:numPr>
        <w:rPr>
          <w:rFonts w:ascii="Arial" w:cs="Arial" w:eastAsia="Arial" w:hAnsi="Arial"/>
          <w:sz w:val="15"/>
          <w:szCs w:val="15"/>
          <w:color w:val="auto"/>
        </w:rPr>
      </w:pPr>
      <w:r>
        <w:rPr>
          <w:rFonts w:ascii="Arial" w:cs="Arial" w:eastAsia="Arial" w:hAnsi="Arial"/>
          <w:sz w:val="15"/>
          <w:szCs w:val="15"/>
          <w:color w:val="auto"/>
        </w:rPr>
        <w:t>records in relation to the Premises (including any underlet part of the Premises) made for the purposes of complying with the Regulatory Reform (Fire Safety) Order 2005 including any records of findings following a fire risk assessment of the Premises (or any underlet part)</w:t>
      </w:r>
    </w:p>
    <w:p>
      <w:pPr>
        <w:spacing w:after="0" w:line="12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4"/>
          <w:szCs w:val="14"/>
          <w:color w:val="auto"/>
        </w:rPr>
        <w:t>At the end of the Term quietly to yield up the Premises to the Landlord in such repair and condition as complies with the Tenant’s obligations under this Underlease</w:t>
      </w:r>
    </w:p>
    <w:p>
      <w:pPr>
        <w:spacing w:after="0" w:line="203" w:lineRule="exact"/>
        <w:rPr>
          <w:sz w:val="20"/>
          <w:szCs w:val="20"/>
          <w:color w:val="auto"/>
        </w:rPr>
      </w:pPr>
    </w:p>
    <w:p>
      <w:pPr>
        <w:ind w:left="582" w:hanging="582"/>
        <w:spacing w:after="0"/>
        <w:tabs>
          <w:tab w:leader="none" w:pos="582"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t>Refuse and deleterious substances</w:t>
      </w:r>
    </w:p>
    <w:p>
      <w:pPr>
        <w:spacing w:after="0" w:line="211" w:lineRule="exact"/>
        <w:rPr>
          <w:sz w:val="20"/>
          <w:szCs w:val="20"/>
          <w:color w:val="auto"/>
        </w:rPr>
      </w:pPr>
    </w:p>
    <w:p>
      <w:pPr>
        <w:ind w:left="582" w:hanging="586"/>
        <w:spacing w:after="0" w:line="360" w:lineRule="auto"/>
        <w:tabs>
          <w:tab w:leader="none" w:pos="562" w:val="left"/>
        </w:tabs>
        <w:rPr>
          <w:sz w:val="20"/>
          <w:szCs w:val="20"/>
          <w:color w:val="auto"/>
        </w:rPr>
      </w:pPr>
      <w:r>
        <w:rPr>
          <w:rFonts w:ascii="Arial" w:cs="Arial" w:eastAsia="Arial" w:hAnsi="Arial"/>
          <w:sz w:val="16"/>
          <w:szCs w:val="16"/>
          <w:color w:val="auto"/>
        </w:rPr>
        <w:t>8.9</w:t>
      </w:r>
      <w:r>
        <w:rPr>
          <w:sz w:val="20"/>
          <w:szCs w:val="20"/>
          <w:color w:val="auto"/>
        </w:rPr>
        <w:tab/>
      </w:r>
      <w:r>
        <w:rPr>
          <w:rFonts w:ascii="Arial" w:cs="Arial" w:eastAsia="Arial" w:hAnsi="Arial"/>
          <w:sz w:val="14"/>
          <w:szCs w:val="14"/>
          <w:color w:val="auto"/>
        </w:rPr>
        <w:t>Not to burn any rubbish on the Premises or the Common Parts and not to deposit any rubbish on the Premises or the Common Parts other than in proper containers (as to those in the Common Parts being as provided by the Landlord) and to ensure that rubbish or refuse containers on the Premises are regularly emptied</w:t>
      </w:r>
    </w:p>
    <w:p>
      <w:pPr>
        <w:spacing w:after="0" w:line="104" w:lineRule="exact"/>
        <w:rPr>
          <w:sz w:val="20"/>
          <w:szCs w:val="20"/>
          <w:color w:val="auto"/>
        </w:rPr>
      </w:pPr>
    </w:p>
    <w:p>
      <w:pPr>
        <w:ind w:left="582" w:right="160" w:hanging="586"/>
        <w:spacing w:after="0" w:line="288" w:lineRule="auto"/>
        <w:tabs>
          <w:tab w:leader="none" w:pos="562" w:val="left"/>
        </w:tabs>
        <w:rPr>
          <w:sz w:val="20"/>
          <w:szCs w:val="20"/>
          <w:color w:val="auto"/>
        </w:rPr>
      </w:pPr>
      <w:r>
        <w:rPr>
          <w:rFonts w:ascii="Arial" w:cs="Arial" w:eastAsia="Arial" w:hAnsi="Arial"/>
          <w:sz w:val="16"/>
          <w:szCs w:val="16"/>
          <w:color w:val="auto"/>
        </w:rPr>
        <w:t>8.10</w:t>
      </w:r>
      <w:r>
        <w:rPr>
          <w:sz w:val="20"/>
          <w:szCs w:val="20"/>
          <w:color w:val="auto"/>
        </w:rPr>
        <w:tab/>
      </w:r>
      <w:r>
        <w:rPr>
          <w:rFonts w:ascii="Arial" w:cs="Arial" w:eastAsia="Arial" w:hAnsi="Arial"/>
          <w:sz w:val="15"/>
          <w:szCs w:val="15"/>
          <w:color w:val="auto"/>
        </w:rPr>
        <w:t>Not to permit any substance which is or might become of a dangerous hazardous polluting or contaminative nature or which might in any way materially adversely affect or damage the Building any Service Media other land or water or the environment or cause significant harm to human health to be in on or under or to escape from the Premises and if the Tenant becomes aware of any such substance in on under or escaping from the Premises to give immediate written notice of it to the Landlord and to remove or remediate it in compliance with the requirements of the Landlord or any competent authority PROVIDED THAT:</w:t>
      </w:r>
    </w:p>
    <w:p>
      <w:pPr>
        <w:spacing w:after="0" w:line="150" w:lineRule="exact"/>
        <w:rPr>
          <w:sz w:val="20"/>
          <w:szCs w:val="20"/>
          <w:color w:val="auto"/>
        </w:rPr>
      </w:pPr>
    </w:p>
    <w:p>
      <w:pPr>
        <w:jc w:val="center"/>
        <w:ind w:right="58"/>
        <w:spacing w:after="0" w:line="320" w:lineRule="auto"/>
        <w:rPr>
          <w:sz w:val="20"/>
          <w:szCs w:val="20"/>
          <w:color w:val="auto"/>
        </w:rPr>
      </w:pPr>
      <w:r>
        <w:rPr>
          <w:rFonts w:ascii="Arial" w:cs="Arial" w:eastAsia="Arial" w:hAnsi="Arial"/>
          <w:sz w:val="15"/>
          <w:szCs w:val="15"/>
          <w:color w:val="auto"/>
        </w:rPr>
        <w:t>8.10.1  the Tenant may keep or use such materials as are necessary for its laboratory operations in accordance with appropriate laboratory health and safety procedures all applicable statutory requirements and in accordance with the regulations of the Campus (as defined in the Superior Lease);</w:t>
      </w:r>
    </w:p>
    <w:p>
      <w:pPr>
        <w:spacing w:after="0" w:line="127" w:lineRule="exact"/>
        <w:rPr>
          <w:sz w:val="20"/>
          <w:szCs w:val="20"/>
          <w:color w:val="auto"/>
        </w:rPr>
      </w:pPr>
    </w:p>
    <w:p>
      <w:pPr>
        <w:ind w:left="1162" w:right="40" w:hanging="586"/>
        <w:spacing w:after="0" w:line="270" w:lineRule="auto"/>
        <w:tabs>
          <w:tab w:leader="none" w:pos="1142" w:val="left"/>
        </w:tabs>
        <w:rPr>
          <w:sz w:val="20"/>
          <w:szCs w:val="20"/>
          <w:color w:val="auto"/>
        </w:rPr>
      </w:pPr>
      <w:r>
        <w:rPr>
          <w:rFonts w:ascii="Arial" w:cs="Arial" w:eastAsia="Arial" w:hAnsi="Arial"/>
          <w:sz w:val="16"/>
          <w:szCs w:val="16"/>
          <w:color w:val="auto"/>
        </w:rPr>
        <w:t>8.10.2</w:t>
        <w:tab/>
        <w:t>the use of the Premises as laboratories for research and development activities in accordance with relevant regulations and any requisite regulations consents or licence and in accordance with the requirements of the insurers of the Building notified in writing to the Tenant shall not in itself constitute a breach of this covenant.</w:t>
      </w:r>
    </w:p>
    <w:p>
      <w:pPr>
        <w:spacing w:after="0" w:line="1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423" w:name="page424"/>
    <w:bookmarkEnd w:id="423"/>
    <w:p>
      <w:pPr>
        <w:ind w:left="582" w:hanging="582"/>
        <w:spacing w:after="0"/>
        <w:tabs>
          <w:tab w:leader="none" w:pos="582" w:val="left"/>
        </w:tabs>
        <w:numPr>
          <w:ilvl w:val="0"/>
          <w:numId w:val="321"/>
        </w:numPr>
        <w:rPr>
          <w:rFonts w:ascii="Arial" w:cs="Arial" w:eastAsia="Arial" w:hAnsi="Arial"/>
          <w:sz w:val="16"/>
          <w:szCs w:val="16"/>
          <w:b w:val="1"/>
          <w:bCs w:val="1"/>
          <w:color w:val="auto"/>
        </w:rPr>
      </w:pPr>
      <w:r>
        <w:rPr>
          <w:rFonts w:ascii="Arial" w:cs="Arial" w:eastAsia="Arial" w:hAnsi="Arial"/>
          <w:sz w:val="16"/>
          <w:szCs w:val="16"/>
          <w:b w:val="1"/>
          <w:bCs w:val="1"/>
          <w:color w:val="auto"/>
        </w:rPr>
        <w:t>Overloading and damage</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Not to overload the Premises nor damage overload or obstruct any Service Media or the Retained Premises</w:t>
      </w:r>
    </w:p>
    <w:p>
      <w:pPr>
        <w:spacing w:after="0" w:line="203" w:lineRule="exact"/>
        <w:rPr>
          <w:rFonts w:ascii="Arial" w:cs="Arial" w:eastAsia="Arial" w:hAnsi="Arial"/>
          <w:sz w:val="16"/>
          <w:szCs w:val="16"/>
          <w:b w:val="1"/>
          <w:bCs w:val="1"/>
          <w:color w:val="auto"/>
        </w:rPr>
      </w:pPr>
    </w:p>
    <w:p>
      <w:pPr>
        <w:ind w:left="582" w:hanging="582"/>
        <w:spacing w:after="0"/>
        <w:tabs>
          <w:tab w:leader="none" w:pos="582" w:val="left"/>
        </w:tabs>
        <w:numPr>
          <w:ilvl w:val="0"/>
          <w:numId w:val="321"/>
        </w:numPr>
        <w:rPr>
          <w:rFonts w:ascii="Arial" w:cs="Arial" w:eastAsia="Arial" w:hAnsi="Arial"/>
          <w:sz w:val="16"/>
          <w:szCs w:val="16"/>
          <w:b w:val="1"/>
          <w:bCs w:val="1"/>
          <w:color w:val="auto"/>
        </w:rPr>
      </w:pPr>
      <w:r>
        <w:rPr>
          <w:rFonts w:ascii="Arial" w:cs="Arial" w:eastAsia="Arial" w:hAnsi="Arial"/>
          <w:sz w:val="16"/>
          <w:szCs w:val="16"/>
          <w:b w:val="1"/>
          <w:bCs w:val="1"/>
          <w:color w:val="auto"/>
        </w:rPr>
        <w:t>Fire precautions</w:t>
      </w:r>
    </w:p>
    <w:p>
      <w:pPr>
        <w:spacing w:after="0" w:line="211" w:lineRule="exact"/>
        <w:rPr>
          <w:sz w:val="20"/>
          <w:szCs w:val="20"/>
          <w:color w:val="auto"/>
        </w:rPr>
      </w:pPr>
    </w:p>
    <w:p>
      <w:pPr>
        <w:jc w:val="center"/>
        <w:ind w:right="118"/>
        <w:spacing w:after="0"/>
        <w:tabs>
          <w:tab w:leader="none" w:pos="2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color w:val="auto"/>
        </w:rPr>
        <w:t>To comply with all requirements from time to time of any competent authority in relation to fire precautions and means of escape affecting the Premises and to keep</w:t>
      </w:r>
    </w:p>
    <w:p>
      <w:pPr>
        <w:spacing w:after="0" w:line="23" w:lineRule="exact"/>
        <w:rPr>
          <w:sz w:val="20"/>
          <w:szCs w:val="20"/>
          <w:color w:val="auto"/>
        </w:rPr>
      </w:pPr>
    </w:p>
    <w:p>
      <w:pPr>
        <w:ind w:left="582" w:right="740"/>
        <w:spacing w:after="0" w:line="270" w:lineRule="auto"/>
        <w:rPr>
          <w:sz w:val="20"/>
          <w:szCs w:val="20"/>
          <w:color w:val="auto"/>
        </w:rPr>
      </w:pPr>
      <w:r>
        <w:rPr>
          <w:rFonts w:ascii="Arial" w:cs="Arial" w:eastAsia="Arial" w:hAnsi="Arial"/>
          <w:sz w:val="16"/>
          <w:szCs w:val="16"/>
          <w:color w:val="auto"/>
        </w:rPr>
        <w:t>sufficient firefighting and extinguishing apparatus and fire alarm and smoke detection apparatus in and about the Premises open to inspection and properly maintained and not to obstruct the access to or means of working them nor any means of escape from the Premises</w:t>
      </w:r>
    </w:p>
    <w:p>
      <w:pPr>
        <w:spacing w:after="0" w:line="161" w:lineRule="exact"/>
        <w:rPr>
          <w:sz w:val="20"/>
          <w:szCs w:val="20"/>
          <w:color w:val="auto"/>
        </w:rPr>
      </w:pPr>
    </w:p>
    <w:p>
      <w:pPr>
        <w:jc w:val="center"/>
        <w:ind w:right="118"/>
        <w:spacing w:after="0"/>
        <w:tabs>
          <w:tab w:leader="none" w:pos="28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4"/>
          <w:szCs w:val="14"/>
          <w:color w:val="auto"/>
        </w:rPr>
        <w:t>Whenever requested by the Landlord to provide copies of or make available for inspection any records in relation to the Premises (including any underlet part of the</w:t>
      </w:r>
    </w:p>
    <w:p>
      <w:pPr>
        <w:spacing w:after="0" w:line="23" w:lineRule="exact"/>
        <w:rPr>
          <w:sz w:val="20"/>
          <w:szCs w:val="20"/>
          <w:color w:val="auto"/>
        </w:rPr>
      </w:pPr>
    </w:p>
    <w:p>
      <w:pPr>
        <w:ind w:left="582" w:right="700"/>
        <w:spacing w:after="0" w:line="270" w:lineRule="auto"/>
        <w:rPr>
          <w:sz w:val="20"/>
          <w:szCs w:val="20"/>
          <w:color w:val="auto"/>
        </w:rPr>
      </w:pPr>
      <w:r>
        <w:rPr>
          <w:rFonts w:ascii="Arial" w:cs="Arial" w:eastAsia="Arial" w:hAnsi="Arial"/>
          <w:sz w:val="16"/>
          <w:szCs w:val="16"/>
          <w:color w:val="auto"/>
        </w:rPr>
        <w:t>Premises) made for the purposes of complying with the Regulatory Reform (Fire Safety) Order 2005 including any records of findings following a fire risk assessment of the Premises (or any underlet part)</w:t>
      </w:r>
    </w:p>
    <w:p>
      <w:pPr>
        <w:spacing w:after="0" w:line="157" w:lineRule="exact"/>
        <w:rPr>
          <w:sz w:val="20"/>
          <w:szCs w:val="20"/>
          <w:color w:val="auto"/>
        </w:rPr>
      </w:pPr>
    </w:p>
    <w:p>
      <w:pPr>
        <w:ind w:left="582" w:hanging="582"/>
        <w:spacing w:after="0"/>
        <w:tabs>
          <w:tab w:leader="none" w:pos="582" w:val="left"/>
        </w:tabs>
        <w:numPr>
          <w:ilvl w:val="0"/>
          <w:numId w:val="322"/>
        </w:numPr>
        <w:rPr>
          <w:rFonts w:ascii="Arial" w:cs="Arial" w:eastAsia="Arial" w:hAnsi="Arial"/>
          <w:sz w:val="16"/>
          <w:szCs w:val="16"/>
          <w:b w:val="1"/>
          <w:bCs w:val="1"/>
          <w:color w:val="auto"/>
        </w:rPr>
      </w:pPr>
      <w:r>
        <w:rPr>
          <w:rFonts w:ascii="Arial" w:cs="Arial" w:eastAsia="Arial" w:hAnsi="Arial"/>
          <w:sz w:val="16"/>
          <w:szCs w:val="16"/>
          <w:b w:val="1"/>
          <w:bCs w:val="1"/>
          <w:color w:val="auto"/>
        </w:rPr>
        <w:t>Prohibited use and nuisance</w:t>
      </w:r>
    </w:p>
    <w:p>
      <w:pPr>
        <w:spacing w:after="0" w:line="211"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color w:val="auto"/>
        </w:rPr>
        <w:t>Not to use the Premises for any noisy offensive dangerous illegal or immoral purpose nor for residential or sleeping purposes nor for gambling or betting PROVIDED THAT the use of the Premises as laboratories for research and development activities shall not in itself be a breach of this covenant</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color w:val="auto"/>
        </w:rPr>
        <w:t>Not to hold on the Premises any political meeting or public show or spectacle or any sale by auction</w:t>
      </w:r>
    </w:p>
    <w:p>
      <w:pPr>
        <w:spacing w:after="0" w:line="207" w:lineRule="exact"/>
        <w:rPr>
          <w:sz w:val="20"/>
          <w:szCs w:val="20"/>
          <w:color w:val="auto"/>
        </w:rPr>
      </w:pPr>
    </w:p>
    <w:p>
      <w:pPr>
        <w:ind w:left="582" w:right="100" w:hanging="586"/>
        <w:spacing w:after="0" w:line="326" w:lineRule="auto"/>
        <w:tabs>
          <w:tab w:leader="none" w:pos="562"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4"/>
          <w:szCs w:val="14"/>
          <w:color w:val="auto"/>
        </w:rPr>
        <w:t>Not to do anything on the Premises or on any part of the Common Parts or any land or building over which any right granted by this Underlease is exercised which may cause a legal nuisance damage or disturbance or obstruction to the Landlord or any occupier of any other part of the Building or any owner or occupier of other land PROVIDED THAT the use of the Premises for as laboratories for research and development activities shall not in itself be a breach of this covenant</w:t>
      </w:r>
    </w:p>
    <w:p>
      <w:pPr>
        <w:spacing w:after="0" w:line="12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4"/>
          <w:szCs w:val="14"/>
          <w:color w:val="auto"/>
        </w:rPr>
        <w:t>Not to use the Premises as a government or government agency claims office where members of the public may call without appointment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4"/>
          <w:szCs w:val="14"/>
          <w:color w:val="auto"/>
        </w:rPr>
        <w:t>Not to permit the Premises to be occupied or used by any person entitled to sovereign diplomatic or similar immunity</w:t>
      </w:r>
    </w:p>
    <w:p>
      <w:pPr>
        <w:spacing w:after="0" w:line="203" w:lineRule="exact"/>
        <w:rPr>
          <w:sz w:val="20"/>
          <w:szCs w:val="20"/>
          <w:color w:val="auto"/>
        </w:rPr>
      </w:pPr>
    </w:p>
    <w:p>
      <w:pPr>
        <w:ind w:left="582" w:hanging="582"/>
        <w:spacing w:after="0"/>
        <w:tabs>
          <w:tab w:leader="none" w:pos="582" w:val="left"/>
        </w:tabs>
        <w:numPr>
          <w:ilvl w:val="0"/>
          <w:numId w:val="323"/>
        </w:numPr>
        <w:rPr>
          <w:rFonts w:ascii="Arial" w:cs="Arial" w:eastAsia="Arial" w:hAnsi="Arial"/>
          <w:sz w:val="16"/>
          <w:szCs w:val="16"/>
          <w:b w:val="1"/>
          <w:bCs w:val="1"/>
          <w:color w:val="auto"/>
        </w:rPr>
      </w:pPr>
      <w:r>
        <w:rPr>
          <w:rFonts w:ascii="Arial" w:cs="Arial" w:eastAsia="Arial" w:hAnsi="Arial"/>
          <w:sz w:val="16"/>
          <w:szCs w:val="16"/>
          <w:b w:val="1"/>
          <w:bCs w:val="1"/>
          <w:color w:val="auto"/>
        </w:rPr>
        <w:t>Permitted Use</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Not to use the Premises otherwise than for the Permitted Use</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18" w:right="259" w:bottom="1440" w:gutter="0" w:footer="0" w:header="0"/>
        </w:sectPr>
      </w:pPr>
    </w:p>
    <w:bookmarkStart w:id="424" w:name="page425"/>
    <w:bookmarkEnd w:id="424"/>
    <w:p>
      <w:pPr>
        <w:ind w:left="582" w:hanging="582"/>
        <w:spacing w:after="0"/>
        <w:tabs>
          <w:tab w:leader="none" w:pos="582" w:val="left"/>
        </w:tabs>
        <w:numPr>
          <w:ilvl w:val="0"/>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t>Alterations</w:t>
      </w:r>
    </w:p>
    <w:p>
      <w:pPr>
        <w:spacing w:after="0" w:line="211" w:lineRule="exact"/>
        <w:rPr>
          <w:sz w:val="20"/>
          <w:szCs w:val="20"/>
          <w:color w:val="auto"/>
        </w:rPr>
      </w:pPr>
    </w:p>
    <w:p>
      <w:pPr>
        <w:ind w:left="582" w:right="1220" w:hanging="586"/>
        <w:spacing w:after="0" w:line="285" w:lineRule="auto"/>
        <w:tabs>
          <w:tab w:leader="none" w:pos="562"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6"/>
          <w:szCs w:val="16"/>
          <w:color w:val="auto"/>
        </w:rPr>
        <w:t>Not (except as may be authorised under paragraphs 13.2 and 14 of this schedule) to make any alteration or addition to the Premises nor to erect any telecommunications mast at the Premises</w:t>
      </w:r>
    </w:p>
    <w:p>
      <w:pPr>
        <w:spacing w:after="0" w:line="150" w:lineRule="exact"/>
        <w:rPr>
          <w:sz w:val="20"/>
          <w:szCs w:val="20"/>
          <w:color w:val="auto"/>
        </w:rPr>
      </w:pPr>
    </w:p>
    <w:p>
      <w:pPr>
        <w:ind w:left="582" w:right="340" w:hanging="586"/>
        <w:spacing w:after="0" w:line="285" w:lineRule="auto"/>
        <w:tabs>
          <w:tab w:leader="none" w:pos="562"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color w:val="auto"/>
        </w:rPr>
        <w:t>Not without the prior written consent of the Landlord (such consent not to be unreasonably withheld and to be given by deed unless the requirement for a deed is expressly waived by the Landlord in writing):-</w:t>
      </w:r>
    </w:p>
    <w:p>
      <w:pPr>
        <w:spacing w:after="0" w:line="150" w:lineRule="exact"/>
        <w:rPr>
          <w:sz w:val="20"/>
          <w:szCs w:val="20"/>
          <w:color w:val="auto"/>
        </w:rPr>
      </w:pPr>
    </w:p>
    <w:p>
      <w:pPr>
        <w:ind w:left="1162" w:hanging="586"/>
        <w:spacing w:after="0" w:line="270" w:lineRule="auto"/>
        <w:tabs>
          <w:tab w:leader="none" w:pos="1142" w:val="left"/>
        </w:tabs>
        <w:rPr>
          <w:sz w:val="20"/>
          <w:szCs w:val="20"/>
          <w:color w:val="auto"/>
        </w:rPr>
      </w:pPr>
      <w:r>
        <w:rPr>
          <w:rFonts w:ascii="Arial" w:cs="Arial" w:eastAsia="Arial" w:hAnsi="Arial"/>
          <w:sz w:val="16"/>
          <w:szCs w:val="16"/>
          <w:color w:val="auto"/>
        </w:rPr>
        <w:t>13.2.1</w:t>
        <w:tab/>
        <w:t>to make any internal non-structural alteration or addition to the Premises except that no such consent will be required for the Tenant to install alter or remove non-structural demountable non-combustible office partitioning which does not adversely affect any firefighting lighting heating cooling ventilating or air conditioning equipment or system serving the Retained Premises</w:t>
      </w:r>
    </w:p>
    <w:p>
      <w:pPr>
        <w:spacing w:after="0" w:line="162"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13.2.2</w:t>
      </w:r>
      <w:r>
        <w:rPr>
          <w:sz w:val="20"/>
          <w:szCs w:val="20"/>
          <w:color w:val="auto"/>
        </w:rPr>
        <w:tab/>
      </w:r>
      <w:r>
        <w:rPr>
          <w:rFonts w:ascii="Arial" w:cs="Arial" w:eastAsia="Arial" w:hAnsi="Arial"/>
          <w:sz w:val="14"/>
          <w:szCs w:val="14"/>
          <w:color w:val="auto"/>
        </w:rPr>
        <w:t>to erect on the exterior of the Premises any pole mast aerial dish security equipment or similar apparatus</w:t>
      </w:r>
    </w:p>
    <w:p>
      <w:pPr>
        <w:spacing w:after="0" w:line="207" w:lineRule="exact"/>
        <w:rPr>
          <w:sz w:val="20"/>
          <w:szCs w:val="20"/>
          <w:color w:val="auto"/>
        </w:rPr>
      </w:pPr>
    </w:p>
    <w:p>
      <w:pPr>
        <w:ind w:left="1162" w:right="300" w:hanging="586"/>
        <w:spacing w:after="0" w:line="285" w:lineRule="auto"/>
        <w:tabs>
          <w:tab w:leader="none" w:pos="1142" w:val="left"/>
        </w:tabs>
        <w:rPr>
          <w:sz w:val="20"/>
          <w:szCs w:val="20"/>
          <w:color w:val="auto"/>
        </w:rPr>
      </w:pPr>
      <w:r>
        <w:rPr>
          <w:rFonts w:ascii="Arial" w:cs="Arial" w:eastAsia="Arial" w:hAnsi="Arial"/>
          <w:sz w:val="16"/>
          <w:szCs w:val="16"/>
          <w:color w:val="auto"/>
        </w:rPr>
        <w:t>13.2.3</w:t>
        <w:tab/>
        <w:t>to make any alteration or addition to the Premises which in the Landlord’s reasonable opinion materially adversely affects the energy efficiency or Asset Rating or (where applicable) the Operational Rating of the Premises or the Building</w:t>
      </w:r>
    </w:p>
    <w:p>
      <w:pPr>
        <w:spacing w:after="0" w:line="150" w:lineRule="exact"/>
        <w:rPr>
          <w:sz w:val="20"/>
          <w:szCs w:val="20"/>
          <w:color w:val="auto"/>
        </w:rPr>
      </w:pPr>
    </w:p>
    <w:p>
      <w:pPr>
        <w:ind w:left="582" w:right="340"/>
        <w:spacing w:after="0" w:line="270" w:lineRule="auto"/>
        <w:rPr>
          <w:sz w:val="20"/>
          <w:szCs w:val="20"/>
          <w:color w:val="auto"/>
        </w:rPr>
      </w:pPr>
      <w:r>
        <w:rPr>
          <w:rFonts w:ascii="Arial" w:cs="Arial" w:eastAsia="Arial" w:hAnsi="Arial"/>
          <w:sz w:val="16"/>
          <w:szCs w:val="16"/>
          <w:u w:val="single" w:color="auto"/>
          <w:color w:val="auto"/>
        </w:rPr>
        <w:t>PROVIDED ALWAYS THAT</w:t>
      </w:r>
      <w:r>
        <w:rPr>
          <w:rFonts w:ascii="Arial" w:cs="Arial" w:eastAsia="Arial" w:hAnsi="Arial"/>
          <w:sz w:val="16"/>
          <w:szCs w:val="16"/>
          <w:color w:val="auto"/>
        </w:rPr>
        <w:t xml:space="preserve"> before giving consent under this paragraph the Landlord may require the submission by the Tenant to the Landlord of sufficient information to enable the Landlord to assess the impact of the proposed alteration on the energy efficiency or Asset Rating or (where applicable) the Operational Rating of the Premises or the Building</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4"/>
          <w:szCs w:val="14"/>
          <w:color w:val="auto"/>
        </w:rPr>
        <w:t>Not to impede access to any Service Media</w:t>
      </w:r>
    </w:p>
    <w:p>
      <w:pPr>
        <w:spacing w:after="0" w:line="207" w:lineRule="exact"/>
        <w:rPr>
          <w:sz w:val="20"/>
          <w:szCs w:val="20"/>
          <w:color w:val="auto"/>
        </w:rPr>
      </w:pPr>
    </w:p>
    <w:p>
      <w:pPr>
        <w:jc w:val="both"/>
        <w:ind w:left="582" w:right="60" w:hanging="586"/>
        <w:spacing w:after="0" w:line="270" w:lineRule="auto"/>
        <w:tabs>
          <w:tab w:leader="none" w:pos="562"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To supply to the Landlord all plans and specifications necessary to identify any proposed works whether or not requiring the consent of the Landlord and to carry out such works only in accordance with such plans and specifications in a good and workmanlike manner and (if the Landlord’s consent is required but not otherwise) to the reasonable satisfaction of the Landlord</w:t>
      </w:r>
    </w:p>
    <w:p>
      <w:pPr>
        <w:spacing w:after="0" w:line="162" w:lineRule="exact"/>
        <w:rPr>
          <w:sz w:val="20"/>
          <w:szCs w:val="20"/>
          <w:color w:val="auto"/>
        </w:rPr>
      </w:pPr>
    </w:p>
    <w:p>
      <w:pPr>
        <w:ind w:left="582" w:right="300" w:hanging="586"/>
        <w:spacing w:after="0" w:line="285" w:lineRule="auto"/>
        <w:tabs>
          <w:tab w:leader="none" w:pos="562"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6"/>
          <w:szCs w:val="16"/>
          <w:color w:val="auto"/>
        </w:rPr>
        <w:t>After commencing any alterations (whether or not they require the consent of the Landlord) to complete them within such period as the Landlord may reasonably require and in any event before the end of the Term</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4"/>
          <w:szCs w:val="14"/>
          <w:color w:val="auto"/>
        </w:rPr>
        <w:t>To pay to the Landlord on demand the cost of any works to the Heating Systems that may be required as a result of any alterations carried out by the Tenant</w:t>
      </w:r>
    </w:p>
    <w:p>
      <w:pPr>
        <w:spacing w:after="0" w:line="207" w:lineRule="exact"/>
        <w:rPr>
          <w:sz w:val="20"/>
          <w:szCs w:val="20"/>
          <w:color w:val="auto"/>
        </w:rPr>
      </w:pPr>
    </w:p>
    <w:p>
      <w:pPr>
        <w:ind w:left="582" w:right="160" w:hanging="586"/>
        <w:spacing w:after="0" w:line="285" w:lineRule="auto"/>
        <w:tabs>
          <w:tab w:leader="none" w:pos="562" w:val="left"/>
        </w:tabs>
        <w:rPr>
          <w:sz w:val="20"/>
          <w:szCs w:val="20"/>
          <w:color w:val="auto"/>
        </w:rPr>
      </w:pPr>
      <w:r>
        <w:rPr>
          <w:rFonts w:ascii="Arial" w:cs="Arial" w:eastAsia="Arial" w:hAnsi="Arial"/>
          <w:sz w:val="16"/>
          <w:szCs w:val="16"/>
          <w:color w:val="auto"/>
        </w:rPr>
        <w:t>13.7</w:t>
      </w:r>
      <w:r>
        <w:rPr>
          <w:sz w:val="20"/>
          <w:szCs w:val="20"/>
          <w:color w:val="auto"/>
        </w:rPr>
        <w:tab/>
      </w:r>
      <w:r>
        <w:rPr>
          <w:rFonts w:ascii="Arial" w:cs="Arial" w:eastAsia="Arial" w:hAnsi="Arial"/>
          <w:sz w:val="16"/>
          <w:szCs w:val="16"/>
          <w:color w:val="auto"/>
        </w:rPr>
        <w:t>On completion of any alterations and if required by the EPB Regulations to obtain a valid EPC for the Premises and deliver a copy to the Landlord within 7 days of its receipt together with details of the reference number of such EPC (if not apparent from the copy)</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18" w:right="259" w:bottom="1440" w:gutter="0" w:footer="0" w:header="0"/>
        </w:sectPr>
      </w:pPr>
    </w:p>
    <w:bookmarkStart w:id="425" w:name="page426"/>
    <w:bookmarkEnd w:id="425"/>
    <w:p>
      <w:pPr>
        <w:ind w:left="582" w:right="80" w:hanging="586"/>
        <w:spacing w:after="0" w:line="270" w:lineRule="auto"/>
        <w:tabs>
          <w:tab w:leader="none" w:pos="562" w:val="left"/>
        </w:tabs>
        <w:rPr>
          <w:sz w:val="20"/>
          <w:szCs w:val="20"/>
          <w:color w:val="auto"/>
        </w:rPr>
      </w:pPr>
      <w:r>
        <w:rPr>
          <w:rFonts w:ascii="Arial" w:cs="Arial" w:eastAsia="Arial" w:hAnsi="Arial"/>
          <w:sz w:val="16"/>
          <w:szCs w:val="16"/>
          <w:color w:val="auto"/>
        </w:rPr>
        <w:t>13.8</w:t>
      </w:r>
      <w:r>
        <w:rPr>
          <w:sz w:val="20"/>
          <w:szCs w:val="20"/>
          <w:color w:val="auto"/>
        </w:rPr>
        <w:tab/>
      </w:r>
      <w:r>
        <w:rPr>
          <w:rFonts w:ascii="Arial" w:cs="Arial" w:eastAsia="Arial" w:hAnsi="Arial"/>
          <w:sz w:val="16"/>
          <w:szCs w:val="16"/>
          <w:color w:val="auto"/>
        </w:rPr>
        <w:t>If the Tenant fails to observe the covenants contained in this paragraph the Landlord may enter the Premises and reinstate or remove any unauthorised alterations additions equipment or systems and make good all damage caused by such reinstatement or removal and the cost of such work (including Landlord’s Expenses) is to be repaid by the Tenant and recoverable by the Landlord as a debt on demand</w:t>
      </w:r>
    </w:p>
    <w:p>
      <w:pPr>
        <w:spacing w:after="0" w:line="158" w:lineRule="exact"/>
        <w:rPr>
          <w:sz w:val="20"/>
          <w:szCs w:val="20"/>
          <w:color w:val="auto"/>
        </w:rPr>
      </w:pPr>
    </w:p>
    <w:p>
      <w:pPr>
        <w:ind w:left="582" w:hanging="582"/>
        <w:spacing w:after="0"/>
        <w:tabs>
          <w:tab w:leader="none" w:pos="582" w:val="left"/>
        </w:tabs>
        <w:numPr>
          <w:ilvl w:val="0"/>
          <w:numId w:val="325"/>
        </w:numPr>
        <w:rPr>
          <w:rFonts w:ascii="Arial" w:cs="Arial" w:eastAsia="Arial" w:hAnsi="Arial"/>
          <w:sz w:val="16"/>
          <w:szCs w:val="16"/>
          <w:b w:val="1"/>
          <w:bCs w:val="1"/>
          <w:color w:val="auto"/>
        </w:rPr>
      </w:pPr>
      <w:r>
        <w:rPr>
          <w:rFonts w:ascii="Arial" w:cs="Arial" w:eastAsia="Arial" w:hAnsi="Arial"/>
          <w:sz w:val="16"/>
          <w:szCs w:val="16"/>
          <w:b w:val="1"/>
          <w:bCs w:val="1"/>
          <w:color w:val="auto"/>
        </w:rPr>
        <w:t>Signs and advertisements</w:t>
      </w:r>
    </w:p>
    <w:p>
      <w:pPr>
        <w:spacing w:after="0" w:line="211" w:lineRule="exact"/>
        <w:rPr>
          <w:rFonts w:ascii="Arial" w:cs="Arial" w:eastAsia="Arial" w:hAnsi="Arial"/>
          <w:sz w:val="16"/>
          <w:szCs w:val="16"/>
          <w:b w:val="1"/>
          <w:bCs w:val="1"/>
          <w:color w:val="auto"/>
        </w:rPr>
      </w:pPr>
    </w:p>
    <w:p>
      <w:pPr>
        <w:ind w:left="582" w:right="34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Not to exhibit any form of flag sign advertising or notification material which is visible from the exterior of the Premises without the prior written consent of the Landlord (such consent not to be unreasonably withheld)</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325"/>
        </w:numPr>
        <w:rPr>
          <w:rFonts w:ascii="Arial" w:cs="Arial" w:eastAsia="Arial" w:hAnsi="Arial"/>
          <w:sz w:val="16"/>
          <w:szCs w:val="16"/>
          <w:b w:val="1"/>
          <w:bCs w:val="1"/>
          <w:color w:val="auto"/>
        </w:rPr>
      </w:pPr>
      <w:r>
        <w:rPr>
          <w:rFonts w:ascii="Arial" w:cs="Arial" w:eastAsia="Arial" w:hAnsi="Arial"/>
          <w:sz w:val="16"/>
          <w:szCs w:val="16"/>
          <w:b w:val="1"/>
          <w:bCs w:val="1"/>
          <w:color w:val="auto"/>
        </w:rPr>
        <w:t>Easements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15.1</w:t>
      </w:r>
      <w:r>
        <w:rPr>
          <w:sz w:val="20"/>
          <w:szCs w:val="20"/>
          <w:color w:val="auto"/>
        </w:rPr>
        <w:tab/>
      </w:r>
      <w:r>
        <w:rPr>
          <w:rFonts w:ascii="Arial" w:cs="Arial" w:eastAsia="Arial" w:hAnsi="Arial"/>
          <w:sz w:val="14"/>
          <w:szCs w:val="14"/>
          <w:color w:val="auto"/>
        </w:rPr>
        <w:t>Not to obstruct any window or light or abandon any easement from time to time enjoyed by the Premises</w:t>
      </w:r>
    </w:p>
    <w:p>
      <w:pPr>
        <w:spacing w:after="0" w:line="207" w:lineRule="exact"/>
        <w:rPr>
          <w:sz w:val="20"/>
          <w:szCs w:val="20"/>
          <w:color w:val="auto"/>
        </w:rPr>
      </w:pPr>
    </w:p>
    <w:p>
      <w:pPr>
        <w:ind w:left="582" w:hanging="586"/>
        <w:spacing w:after="0" w:line="270" w:lineRule="auto"/>
        <w:tabs>
          <w:tab w:leader="none" w:pos="562"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6"/>
          <w:szCs w:val="16"/>
          <w:color w:val="auto"/>
        </w:rPr>
        <w:t>Upon becoming aware to give immediate written notice to the Landlord of any encroachment on or circumstance which might result in the acquisition of any easement or other right over the Premises and at the Landlord’s entire cost to take or join in such proceedings or take such other steps as the Landlord may reasonably require to prevent any such acquisition</w:t>
      </w:r>
    </w:p>
    <w:p>
      <w:pPr>
        <w:spacing w:after="0" w:line="158" w:lineRule="exact"/>
        <w:rPr>
          <w:sz w:val="20"/>
          <w:szCs w:val="20"/>
          <w:color w:val="auto"/>
        </w:rPr>
      </w:pPr>
    </w:p>
    <w:p>
      <w:pPr>
        <w:ind w:left="582" w:hanging="582"/>
        <w:spacing w:after="0"/>
        <w:tabs>
          <w:tab w:leader="none" w:pos="582" w:val="left"/>
        </w:tabs>
        <w:numPr>
          <w:ilvl w:val="0"/>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Alienation</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16.1</w:t>
      </w:r>
      <w:r>
        <w:rPr>
          <w:sz w:val="20"/>
          <w:szCs w:val="20"/>
          <w:color w:val="auto"/>
        </w:rPr>
        <w:tab/>
      </w:r>
      <w:r>
        <w:rPr>
          <w:rFonts w:ascii="Arial" w:cs="Arial" w:eastAsia="Arial" w:hAnsi="Arial"/>
          <w:sz w:val="15"/>
          <w:szCs w:val="15"/>
          <w:color w:val="auto"/>
        </w:rPr>
        <w:t>Not to:-</w:t>
      </w:r>
    </w:p>
    <w:p>
      <w:pPr>
        <w:spacing w:after="0" w:line="207" w:lineRule="exact"/>
        <w:rPr>
          <w:sz w:val="20"/>
          <w:szCs w:val="20"/>
          <w:color w:val="auto"/>
        </w:rPr>
      </w:pPr>
    </w:p>
    <w:p>
      <w:pPr>
        <w:ind w:left="1162" w:right="260" w:hanging="586"/>
        <w:spacing w:after="0" w:line="285" w:lineRule="auto"/>
        <w:tabs>
          <w:tab w:leader="none" w:pos="1142" w:val="left"/>
        </w:tabs>
        <w:rPr>
          <w:sz w:val="20"/>
          <w:szCs w:val="20"/>
          <w:color w:val="auto"/>
        </w:rPr>
      </w:pPr>
      <w:r>
        <w:rPr>
          <w:rFonts w:ascii="Arial" w:cs="Arial" w:eastAsia="Arial" w:hAnsi="Arial"/>
          <w:sz w:val="16"/>
          <w:szCs w:val="16"/>
          <w:color w:val="auto"/>
        </w:rPr>
        <w:t>16.1.1</w:t>
        <w:tab/>
        <w:t>part with or share possession or occupation of the whole or any part of the Premises except as may be permitted in accordance with the provisions of this paragraph 16</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16.1.2</w:t>
      </w:r>
      <w:r>
        <w:rPr>
          <w:sz w:val="20"/>
          <w:szCs w:val="20"/>
          <w:color w:val="auto"/>
        </w:rPr>
        <w:tab/>
      </w:r>
      <w:r>
        <w:rPr>
          <w:rFonts w:ascii="Arial" w:cs="Arial" w:eastAsia="Arial" w:hAnsi="Arial"/>
          <w:sz w:val="14"/>
          <w:szCs w:val="14"/>
          <w:color w:val="auto"/>
        </w:rPr>
        <w:t>hold the whole or any part of the Premises on trust for another</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16.1.3</w:t>
      </w:r>
      <w:r>
        <w:rPr>
          <w:sz w:val="20"/>
          <w:szCs w:val="20"/>
          <w:color w:val="auto"/>
        </w:rPr>
        <w:tab/>
      </w:r>
      <w:r>
        <w:rPr>
          <w:rFonts w:ascii="Arial" w:cs="Arial" w:eastAsia="Arial" w:hAnsi="Arial"/>
          <w:sz w:val="14"/>
          <w:szCs w:val="14"/>
          <w:color w:val="auto"/>
        </w:rPr>
        <w:t>assign sub-underlet or charge any part of the Premises as distinct from the whole</w:t>
      </w:r>
    </w:p>
    <w:p>
      <w:pPr>
        <w:spacing w:after="0" w:line="207" w:lineRule="exact"/>
        <w:rPr>
          <w:sz w:val="20"/>
          <w:szCs w:val="20"/>
          <w:color w:val="auto"/>
        </w:rPr>
      </w:pPr>
    </w:p>
    <w:p>
      <w:pPr>
        <w:ind w:left="1162" w:right="60" w:hanging="586"/>
        <w:spacing w:after="0" w:line="285" w:lineRule="auto"/>
        <w:tabs>
          <w:tab w:leader="none" w:pos="1142" w:val="left"/>
        </w:tabs>
        <w:rPr>
          <w:sz w:val="20"/>
          <w:szCs w:val="20"/>
          <w:color w:val="auto"/>
        </w:rPr>
      </w:pPr>
      <w:r>
        <w:rPr>
          <w:rFonts w:ascii="Arial" w:cs="Arial" w:eastAsia="Arial" w:hAnsi="Arial"/>
          <w:sz w:val="16"/>
          <w:szCs w:val="16"/>
          <w:color w:val="auto"/>
        </w:rPr>
        <w:t>16.1.4</w:t>
        <w:tab/>
        <w:t>charge the whole of the Premises without the prior written consent given by deed of the Landlord (such consent not to be unreasonably withheld or delayed) save in respect of a floating charge to a bona fide financial institution in which case no consent is required</w:t>
      </w:r>
    </w:p>
    <w:p>
      <w:pPr>
        <w:spacing w:after="0" w:line="150" w:lineRule="exact"/>
        <w:rPr>
          <w:sz w:val="20"/>
          <w:szCs w:val="20"/>
          <w:color w:val="auto"/>
        </w:rPr>
      </w:pPr>
    </w:p>
    <w:p>
      <w:pPr>
        <w:ind w:left="1162" w:right="80" w:hanging="586"/>
        <w:spacing w:after="0" w:line="285" w:lineRule="auto"/>
        <w:tabs>
          <w:tab w:leader="none" w:pos="1142" w:val="left"/>
        </w:tabs>
        <w:rPr>
          <w:sz w:val="20"/>
          <w:szCs w:val="20"/>
          <w:color w:val="auto"/>
        </w:rPr>
      </w:pPr>
      <w:r>
        <w:rPr>
          <w:rFonts w:ascii="Arial" w:cs="Arial" w:eastAsia="Arial" w:hAnsi="Arial"/>
          <w:sz w:val="16"/>
          <w:szCs w:val="16"/>
          <w:color w:val="auto"/>
        </w:rPr>
        <w:t>16.1.5</w:t>
        <w:tab/>
        <w:t xml:space="preserve">assign the whole of the Premises without the prior written consent given by deed of the Landlord (such consent not to be unreasonably withheld or delayed)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Landlord will be entitled (for the purposes of section 19(1A) of the Landlord and Tenant Act 1927):-</w:t>
      </w:r>
    </w:p>
    <w:p>
      <w:pPr>
        <w:spacing w:after="0" w:line="150" w:lineRule="exact"/>
        <w:rPr>
          <w:sz w:val="20"/>
          <w:szCs w:val="20"/>
          <w:color w:val="auto"/>
        </w:rPr>
      </w:pPr>
    </w:p>
    <w:p>
      <w:pPr>
        <w:ind w:left="1762" w:hanging="588"/>
        <w:spacing w:after="0"/>
        <w:tabs>
          <w:tab w:leader="none" w:pos="1762"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in addition to any other reasonable ground to withhold its consent in any of the circumstances set out in paragraph 16.3</w:t>
      </w:r>
    </w:p>
    <w:p>
      <w:pPr>
        <w:spacing w:after="0" w:line="207" w:lineRule="exact"/>
        <w:rPr>
          <w:rFonts w:ascii="Arial" w:cs="Arial" w:eastAsia="Arial" w:hAnsi="Arial"/>
          <w:sz w:val="16"/>
          <w:szCs w:val="16"/>
          <w:color w:val="auto"/>
        </w:rPr>
      </w:pPr>
    </w:p>
    <w:p>
      <w:pPr>
        <w:ind w:left="5642" w:right="940" w:hanging="4468"/>
        <w:spacing w:after="0" w:line="540" w:lineRule="auto"/>
        <w:tabs>
          <w:tab w:leader="none" w:pos="177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in addition to any other reasonable condition to impose all or any of the matters set out in paragraph 16.4 as a condition of its consent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280275" cy="279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426" w:name="page427"/>
    <w:bookmarkEnd w:id="426"/>
    <w:p>
      <w:pPr>
        <w:ind w:left="580" w:right="140" w:hanging="586"/>
        <w:spacing w:after="0" w:line="320" w:lineRule="auto"/>
        <w:tabs>
          <w:tab w:leader="none" w:pos="560" w:val="left"/>
        </w:tabs>
        <w:rPr>
          <w:sz w:val="20"/>
          <w:szCs w:val="20"/>
          <w:color w:val="auto"/>
        </w:rPr>
      </w:pPr>
      <w:r>
        <w:rPr>
          <w:rFonts w:ascii="Arial" w:cs="Arial" w:eastAsia="Arial" w:hAnsi="Arial"/>
          <w:sz w:val="16"/>
          <w:szCs w:val="16"/>
          <w:color w:val="auto"/>
        </w:rPr>
        <w:t>16.2</w:t>
      </w:r>
      <w:r>
        <w:rPr>
          <w:sz w:val="20"/>
          <w:szCs w:val="20"/>
          <w:color w:val="auto"/>
        </w:rPr>
        <w:tab/>
      </w:r>
      <w:r>
        <w:rPr>
          <w:rFonts w:ascii="Arial" w:cs="Arial" w:eastAsia="Arial" w:hAnsi="Arial"/>
          <w:sz w:val="15"/>
          <w:szCs w:val="15"/>
          <w:color w:val="auto"/>
        </w:rPr>
        <w:t>The Landlord may abandon any of the circumstances set out in paragraph 16.3 and/or any of the conditions set out in paragraph 16.4 by giving written notice to that effect to the Tenant and from such time any circumstance or condition specified in the notice will be deemed to be deleted and of no further effect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16.3</w:t>
      </w:r>
      <w:r>
        <w:rPr>
          <w:sz w:val="20"/>
          <w:szCs w:val="20"/>
          <w:color w:val="auto"/>
        </w:rPr>
        <w:tab/>
      </w:r>
      <w:r>
        <w:rPr>
          <w:rFonts w:ascii="Arial" w:cs="Arial" w:eastAsia="Arial" w:hAnsi="Arial"/>
          <w:sz w:val="14"/>
          <w:szCs w:val="14"/>
          <w:color w:val="auto"/>
        </w:rPr>
        <w:t>The circumstances referred to in paragraph 16.1.5(a) are as follows:-</w:t>
      </w:r>
    </w:p>
    <w:p>
      <w:pPr>
        <w:spacing w:after="0" w:line="207" w:lineRule="exact"/>
        <w:rPr>
          <w:sz w:val="20"/>
          <w:szCs w:val="20"/>
          <w:color w:val="auto"/>
        </w:rPr>
      </w:pPr>
    </w:p>
    <w:p>
      <w:pPr>
        <w:ind w:left="1160" w:hanging="586"/>
        <w:spacing w:after="0" w:line="265" w:lineRule="auto"/>
        <w:tabs>
          <w:tab w:leader="none" w:pos="1140" w:val="left"/>
        </w:tabs>
        <w:rPr>
          <w:sz w:val="20"/>
          <w:szCs w:val="20"/>
          <w:color w:val="auto"/>
        </w:rPr>
      </w:pPr>
      <w:r>
        <w:rPr>
          <w:rFonts w:ascii="Arial" w:cs="Arial" w:eastAsia="Arial" w:hAnsi="Arial"/>
          <w:sz w:val="16"/>
          <w:szCs w:val="16"/>
          <w:color w:val="auto"/>
        </w:rPr>
        <w:t>16.3.1</w:t>
        <w:tab/>
        <w:t>Where the proposed assignee is a Group Company or where the proposed assignee is an associated company of the Tenant (within the meaning of section 449 of the Corporation Tax Act 2010) and the Landlord reasonably considers that the proposed assignee is of materially lesser financial standing (as reported in their respective last three years profit and loss accounts and balance sheets) than the Tenant (aggregated with any surety or sureties for the Tenant ) measured at:-</w:t>
      </w:r>
    </w:p>
    <w:p>
      <w:pPr>
        <w:spacing w:after="0" w:line="166" w:lineRule="exact"/>
        <w:rPr>
          <w:sz w:val="20"/>
          <w:szCs w:val="20"/>
          <w:color w:val="auto"/>
        </w:rPr>
      </w:pPr>
    </w:p>
    <w:p>
      <w:pPr>
        <w:ind w:left="1760" w:hanging="588"/>
        <w:spacing w:after="0"/>
        <w:tabs>
          <w:tab w:leader="none" w:pos="176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either the date of this Underlease or at the date of the last permitted assignment (whichever is applicable) or</w:t>
      </w:r>
    </w:p>
    <w:p>
      <w:pPr>
        <w:spacing w:after="0" w:line="207" w:lineRule="exact"/>
        <w:rPr>
          <w:rFonts w:ascii="Arial" w:cs="Arial" w:eastAsia="Arial" w:hAnsi="Arial"/>
          <w:sz w:val="16"/>
          <w:szCs w:val="16"/>
          <w:color w:val="auto"/>
        </w:rPr>
      </w:pPr>
    </w:p>
    <w:p>
      <w:pPr>
        <w:ind w:left="1760" w:hanging="588"/>
        <w:spacing w:after="0" w:line="285" w:lineRule="auto"/>
        <w:tabs>
          <w:tab w:leader="none" w:pos="1766" w:val="left"/>
        </w:tabs>
        <w:numPr>
          <w:ilvl w:val="0"/>
          <w:numId w:val="328"/>
        </w:numPr>
        <w:rPr>
          <w:rFonts w:ascii="Arial" w:cs="Arial" w:eastAsia="Arial" w:hAnsi="Arial"/>
          <w:sz w:val="16"/>
          <w:szCs w:val="16"/>
          <w:color w:val="auto"/>
        </w:rPr>
      </w:pPr>
      <w:r>
        <w:rPr>
          <w:rFonts w:ascii="Arial" w:cs="Arial" w:eastAsia="Arial" w:hAnsi="Arial"/>
          <w:sz w:val="16"/>
          <w:szCs w:val="16"/>
          <w:color w:val="auto"/>
        </w:rPr>
        <w:t>(if the financial standing of the Tenant aggregated with any surety as referred to above is then greater) the date of the application to the Landlord for consent to the proposed assignment</w:t>
      </w:r>
    </w:p>
    <w:p>
      <w:pPr>
        <w:spacing w:after="0" w:line="150" w:lineRule="exact"/>
        <w:rPr>
          <w:sz w:val="20"/>
          <w:szCs w:val="20"/>
          <w:color w:val="auto"/>
        </w:rPr>
      </w:pPr>
    </w:p>
    <w:p>
      <w:pPr>
        <w:ind w:left="1180" w:right="40"/>
        <w:spacing w:after="0" w:line="285" w:lineRule="auto"/>
        <w:rPr>
          <w:sz w:val="20"/>
          <w:szCs w:val="20"/>
          <w:color w:val="auto"/>
        </w:rPr>
      </w:pPr>
      <w:r>
        <w:rPr>
          <w:rFonts w:ascii="Arial" w:cs="Arial" w:eastAsia="Arial" w:hAnsi="Arial"/>
          <w:sz w:val="16"/>
          <w:szCs w:val="16"/>
          <w:color w:val="auto"/>
        </w:rPr>
        <w:t>and the proposed assignee does not provide additional financial security reasonably satisfactory to the Landlord to account for the said material difference in financial standing</w:t>
      </w:r>
    </w:p>
    <w:p>
      <w:pPr>
        <w:spacing w:after="0" w:line="150"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color w:val="auto"/>
        </w:rPr>
        <w:t>16.3.2</w:t>
      </w:r>
      <w:r>
        <w:rPr>
          <w:sz w:val="20"/>
          <w:szCs w:val="20"/>
          <w:color w:val="auto"/>
        </w:rPr>
        <w:tab/>
      </w:r>
      <w:r>
        <w:rPr>
          <w:rFonts w:ascii="Arial" w:cs="Arial" w:eastAsia="Arial" w:hAnsi="Arial"/>
          <w:sz w:val="14"/>
          <w:szCs w:val="14"/>
          <w:color w:val="auto"/>
        </w:rPr>
        <w:t>Where the proposed assignee is the Surety</w:t>
      </w:r>
    </w:p>
    <w:p>
      <w:pPr>
        <w:spacing w:after="0" w:line="20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color w:val="auto"/>
        </w:rPr>
        <w:t>16.3.3</w:t>
      </w:r>
      <w:r>
        <w:rPr>
          <w:sz w:val="20"/>
          <w:szCs w:val="20"/>
          <w:color w:val="auto"/>
        </w:rPr>
        <w:tab/>
      </w:r>
      <w:r>
        <w:rPr>
          <w:rFonts w:ascii="Arial" w:cs="Arial" w:eastAsia="Arial" w:hAnsi="Arial"/>
          <w:sz w:val="14"/>
          <w:szCs w:val="14"/>
          <w:color w:val="auto"/>
        </w:rPr>
        <w:t>where the proposed assignee’s surety is a surety under this Lease</w:t>
      </w:r>
    </w:p>
    <w:p>
      <w:pPr>
        <w:spacing w:after="0" w:line="207" w:lineRule="exact"/>
        <w:rPr>
          <w:sz w:val="20"/>
          <w:szCs w:val="20"/>
          <w:color w:val="auto"/>
        </w:rPr>
      </w:pPr>
    </w:p>
    <w:p>
      <w:pPr>
        <w:ind w:left="1160" w:right="560" w:hanging="586"/>
        <w:spacing w:after="0" w:line="285" w:lineRule="auto"/>
        <w:tabs>
          <w:tab w:leader="none" w:pos="1140" w:val="left"/>
        </w:tabs>
        <w:rPr>
          <w:sz w:val="20"/>
          <w:szCs w:val="20"/>
          <w:color w:val="auto"/>
        </w:rPr>
      </w:pPr>
      <w:r>
        <w:rPr>
          <w:rFonts w:ascii="Arial" w:cs="Arial" w:eastAsia="Arial" w:hAnsi="Arial"/>
          <w:sz w:val="16"/>
          <w:szCs w:val="16"/>
          <w:color w:val="auto"/>
        </w:rPr>
        <w:t>16.3.4</w:t>
        <w:tab/>
        <w:t>where the proposed assignee’s surety or guarantor is a party who remains liable under the tenant covenants under this Lease immediately prior to the assignment (but not a party giving the guarantees under paragraphs 16.3.1 and/or 16.3.2 of this schedule)</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16.4</w:t>
      </w:r>
      <w:r>
        <w:rPr>
          <w:sz w:val="20"/>
          <w:szCs w:val="20"/>
          <w:color w:val="auto"/>
        </w:rPr>
        <w:tab/>
      </w:r>
      <w:r>
        <w:rPr>
          <w:rFonts w:ascii="Arial" w:cs="Arial" w:eastAsia="Arial" w:hAnsi="Arial"/>
          <w:sz w:val="14"/>
          <w:szCs w:val="14"/>
          <w:color w:val="auto"/>
        </w:rPr>
        <w:t>The conditions referred to in paragraph 16.1.5(b) are as follows:-</w:t>
      </w:r>
    </w:p>
    <w:p>
      <w:pPr>
        <w:spacing w:after="0" w:line="207" w:lineRule="exact"/>
        <w:rPr>
          <w:sz w:val="20"/>
          <w:szCs w:val="20"/>
          <w:color w:val="auto"/>
        </w:rPr>
      </w:pPr>
    </w:p>
    <w:p>
      <w:pPr>
        <w:jc w:val="both"/>
        <w:ind w:left="1160" w:right="100" w:hanging="586"/>
        <w:spacing w:after="0" w:line="270" w:lineRule="auto"/>
        <w:tabs>
          <w:tab w:leader="none" w:pos="1140" w:val="left"/>
        </w:tabs>
        <w:rPr>
          <w:sz w:val="20"/>
          <w:szCs w:val="20"/>
          <w:color w:val="auto"/>
        </w:rPr>
      </w:pPr>
      <w:r>
        <w:rPr>
          <w:rFonts w:ascii="Arial" w:cs="Arial" w:eastAsia="Arial" w:hAnsi="Arial"/>
          <w:sz w:val="16"/>
          <w:szCs w:val="16"/>
          <w:color w:val="auto"/>
        </w:rPr>
        <w:t>16.4.1</w:t>
        <w:tab/>
        <w:t>That where reasonable the Tenant enters into an authorised guarantee agreement (as defined in section 16 of the 1995 Act) containing (inter alia) provisions in substantially the same terms as those set out in schedule 7 subject to such amendments as the Landlord may reasonably require or as may be required to keep the agreement within the definition</w:t>
      </w:r>
    </w:p>
    <w:p>
      <w:pPr>
        <w:spacing w:after="0" w:line="162" w:lineRule="exact"/>
        <w:rPr>
          <w:sz w:val="20"/>
          <w:szCs w:val="20"/>
          <w:color w:val="auto"/>
        </w:rPr>
      </w:pPr>
    </w:p>
    <w:p>
      <w:pPr>
        <w:ind w:left="1160" w:hanging="586"/>
        <w:spacing w:after="0" w:line="270" w:lineRule="auto"/>
        <w:tabs>
          <w:tab w:leader="none" w:pos="1140" w:val="left"/>
        </w:tabs>
        <w:rPr>
          <w:sz w:val="20"/>
          <w:szCs w:val="20"/>
          <w:color w:val="auto"/>
        </w:rPr>
      </w:pPr>
      <w:r>
        <w:rPr>
          <w:rFonts w:ascii="Arial" w:cs="Arial" w:eastAsia="Arial" w:hAnsi="Arial"/>
          <w:sz w:val="16"/>
          <w:szCs w:val="16"/>
          <w:color w:val="auto"/>
        </w:rPr>
        <w:t>16.4.2</w:t>
        <w:tab/>
        <w:t>That the surety (if any) (surety here meaning only the surety for the assigning tenant) is made a party to any authorised guarantee agreement entered into by the Tenant under paragraph 16.4.1 to guarantee the performance of the obligations of the Tenant under such authorised guarantee agreement on such terms as the Landlord may reasonably require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color w:val="auto"/>
        </w:rPr>
        <w:t>16.4.3</w:t>
      </w:r>
      <w:r>
        <w:rPr>
          <w:sz w:val="20"/>
          <w:szCs w:val="20"/>
          <w:color w:val="auto"/>
        </w:rPr>
        <w:tab/>
      </w:r>
      <w:r>
        <w:rPr>
          <w:rFonts w:ascii="Arial" w:cs="Arial" w:eastAsia="Arial" w:hAnsi="Arial"/>
          <w:sz w:val="14"/>
          <w:szCs w:val="14"/>
          <w:color w:val="auto"/>
        </w:rPr>
        <w:t>That all Rents due prior to the date of the assignment are paid to the Landlord by such date</w:t>
      </w:r>
    </w:p>
    <w:p>
      <w:pPr>
        <w:spacing w:after="0" w:line="207" w:lineRule="exact"/>
        <w:rPr>
          <w:sz w:val="20"/>
          <w:szCs w:val="20"/>
          <w:color w:val="auto"/>
        </w:rPr>
      </w:pPr>
    </w:p>
    <w:p>
      <w:pPr>
        <w:ind w:left="1160" w:right="120" w:hanging="586"/>
        <w:spacing w:after="0" w:line="285" w:lineRule="auto"/>
        <w:tabs>
          <w:tab w:leader="none" w:pos="1140" w:val="left"/>
        </w:tabs>
        <w:rPr>
          <w:sz w:val="20"/>
          <w:szCs w:val="20"/>
          <w:color w:val="auto"/>
        </w:rPr>
      </w:pPr>
      <w:r>
        <w:rPr>
          <w:rFonts w:ascii="Arial" w:cs="Arial" w:eastAsia="Arial" w:hAnsi="Arial"/>
          <w:sz w:val="16"/>
          <w:szCs w:val="16"/>
          <w:color w:val="auto"/>
        </w:rPr>
        <w:t>16.4.4</w:t>
        <w:tab/>
        <w:t>That the proposed assignee provides a surety or sureties reasonably acceptable to the Landlord (if so reasonably required by the Landlord) to covenant with the Landlord in the terms contained in schedule 7 (mutatis mutandis)</w:t>
      </w:r>
    </w:p>
    <w:p>
      <w:pPr>
        <w:spacing w:after="0" w:line="150" w:lineRule="exact"/>
        <w:rPr>
          <w:sz w:val="20"/>
          <w:szCs w:val="20"/>
          <w:color w:val="auto"/>
        </w:rPr>
      </w:pPr>
    </w:p>
    <w:p>
      <w:pPr>
        <w:ind w:left="580" w:right="60" w:hanging="586"/>
        <w:spacing w:after="0" w:line="285" w:lineRule="auto"/>
        <w:tabs>
          <w:tab w:leader="none" w:pos="560" w:val="left"/>
        </w:tabs>
        <w:rPr>
          <w:sz w:val="20"/>
          <w:szCs w:val="20"/>
          <w:color w:val="auto"/>
        </w:rPr>
      </w:pPr>
      <w:r>
        <w:rPr>
          <w:rFonts w:ascii="Arial" w:cs="Arial" w:eastAsia="Arial" w:hAnsi="Arial"/>
          <w:sz w:val="16"/>
          <w:szCs w:val="16"/>
          <w:color w:val="auto"/>
        </w:rPr>
        <w:t>16.5</w:t>
      </w:r>
      <w:r>
        <w:rPr>
          <w:sz w:val="20"/>
          <w:szCs w:val="20"/>
          <w:color w:val="auto"/>
        </w:rPr>
        <w:tab/>
      </w:r>
      <w:r>
        <w:rPr>
          <w:rFonts w:ascii="Arial" w:cs="Arial" w:eastAsia="Arial" w:hAnsi="Arial"/>
          <w:sz w:val="16"/>
          <w:szCs w:val="16"/>
          <w:color w:val="auto"/>
        </w:rPr>
        <w:t>Not to sub-underlet the whole of the Premises without the prior consent given by deed of the Landlord (such consent not to be unreasonably withheld or delayed) nor without procuring that:-</w:t>
      </w:r>
    </w:p>
    <w:p>
      <w:pPr>
        <w:spacing w:after="0" w:line="150"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color w:val="auto"/>
        </w:rPr>
        <w:t>16.5.1</w:t>
      </w:r>
      <w:r>
        <w:rPr>
          <w:sz w:val="20"/>
          <w:szCs w:val="20"/>
          <w:color w:val="auto"/>
        </w:rPr>
        <w:tab/>
      </w:r>
      <w:r>
        <w:rPr>
          <w:rFonts w:ascii="Arial" w:cs="Arial" w:eastAsia="Arial" w:hAnsi="Arial"/>
          <w:sz w:val="14"/>
          <w:szCs w:val="14"/>
          <w:color w:val="auto"/>
        </w:rPr>
        <w:t>prior to the grant of any sub-underlease the sub-undertenant will execute a deed containing direct covenants with the Landlord</w:t>
      </w:r>
    </w:p>
    <w:p>
      <w:pPr>
        <w:spacing w:after="0" w:line="207" w:lineRule="exact"/>
        <w:rPr>
          <w:sz w:val="20"/>
          <w:szCs w:val="20"/>
          <w:color w:val="auto"/>
        </w:rPr>
      </w:pPr>
    </w:p>
    <w:p>
      <w:pPr>
        <w:ind w:left="1760" w:right="140" w:hanging="588"/>
        <w:spacing w:after="0" w:line="285" w:lineRule="auto"/>
        <w:tabs>
          <w:tab w:leader="none" w:pos="175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to perform and observe the obligations of the sub-undertenant in the sub-underlease and the obligations of the Tenant under this Underlease (other than the obligation to pay the Rents) and</w:t>
      </w:r>
    </w:p>
    <w:p>
      <w:pPr>
        <w:spacing w:after="0" w:line="149" w:lineRule="exact"/>
        <w:rPr>
          <w:rFonts w:ascii="Arial" w:cs="Arial" w:eastAsia="Arial" w:hAnsi="Arial"/>
          <w:sz w:val="16"/>
          <w:szCs w:val="16"/>
          <w:color w:val="auto"/>
        </w:rPr>
      </w:pPr>
    </w:p>
    <w:p>
      <w:pPr>
        <w:ind w:left="1760" w:right="80" w:hanging="588"/>
        <w:spacing w:after="0" w:line="308" w:lineRule="auto"/>
        <w:tabs>
          <w:tab w:leader="none" w:pos="1766" w:val="left"/>
        </w:tabs>
        <w:numPr>
          <w:ilvl w:val="0"/>
          <w:numId w:val="329"/>
        </w:numPr>
        <w:rPr>
          <w:rFonts w:ascii="Arial" w:cs="Arial" w:eastAsia="Arial" w:hAnsi="Arial"/>
          <w:sz w:val="14"/>
          <w:szCs w:val="14"/>
          <w:color w:val="auto"/>
        </w:rPr>
      </w:pPr>
      <w:r>
        <w:rPr>
          <w:rFonts w:ascii="Arial" w:cs="Arial" w:eastAsia="Arial" w:hAnsi="Arial"/>
          <w:sz w:val="14"/>
          <w:szCs w:val="14"/>
          <w:color w:val="auto"/>
        </w:rPr>
        <w:t>(if the liability of the Tenant is disclaimed by or on behalf of the Tenant and if so required by the Landlord by written notice to the sub-undertenant within four months after such disclaimer) to take from the Landlord and execute and deliver to the Landlord a counterpart of a new underlease of the Premises or the premises sub-underlet as the case may be for the residue of the term of the sub-underlease unexpired at the date of such disclaimer at the same rents as are reserved from time to time by and subject to substantially the same covenants and provisions as are contained in the relevant sub-underlease and the sub-undertenant will on demand pay the Landlord’s Expenses in connection with such new underlease</w:t>
      </w:r>
    </w:p>
    <w:p>
      <w:pPr>
        <w:spacing w:after="0" w:line="141" w:lineRule="exact"/>
        <w:rPr>
          <w:sz w:val="20"/>
          <w:szCs w:val="20"/>
          <w:color w:val="auto"/>
        </w:rPr>
      </w:pPr>
    </w:p>
    <w:p>
      <w:pPr>
        <w:ind w:left="1160" w:right="520" w:hanging="586"/>
        <w:spacing w:after="0" w:line="320" w:lineRule="auto"/>
        <w:tabs>
          <w:tab w:leader="none" w:pos="1140" w:val="left"/>
        </w:tabs>
        <w:rPr>
          <w:sz w:val="20"/>
          <w:szCs w:val="20"/>
          <w:color w:val="auto"/>
        </w:rPr>
      </w:pPr>
      <w:r>
        <w:rPr>
          <w:rFonts w:ascii="Arial" w:cs="Arial" w:eastAsia="Arial" w:hAnsi="Arial"/>
          <w:sz w:val="16"/>
          <w:szCs w:val="16"/>
          <w:color w:val="auto"/>
        </w:rPr>
        <w:t>16.5.2</w:t>
      </w:r>
      <w:r>
        <w:rPr>
          <w:sz w:val="20"/>
          <w:szCs w:val="20"/>
          <w:color w:val="auto"/>
        </w:rPr>
        <w:tab/>
      </w:r>
      <w:r>
        <w:rPr>
          <w:rFonts w:ascii="Arial" w:cs="Arial" w:eastAsia="Arial" w:hAnsi="Arial"/>
          <w:sz w:val="15"/>
          <w:szCs w:val="15"/>
          <w:color w:val="auto"/>
        </w:rPr>
        <w:t>any sub-undertenant will (if the Landlord reasonably requires) provide a surety or sureties reasonably acceptable to the Landlord to guarantee the due performance by the sub-undertenant of its obligations in the sub-underlease in substantially the terms contained in schedule 7</w:t>
      </w:r>
    </w:p>
    <w:p>
      <w:pPr>
        <w:spacing w:after="0" w:line="12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color w:val="auto"/>
        </w:rPr>
        <w:t>16.5.3</w:t>
      </w:r>
      <w:r>
        <w:rPr>
          <w:sz w:val="20"/>
          <w:szCs w:val="20"/>
          <w:color w:val="auto"/>
        </w:rPr>
        <w:tab/>
      </w:r>
      <w:r>
        <w:rPr>
          <w:rFonts w:ascii="Arial" w:cs="Arial" w:eastAsia="Arial" w:hAnsi="Arial"/>
          <w:sz w:val="14"/>
          <w:szCs w:val="14"/>
          <w:color w:val="auto"/>
        </w:rPr>
        <w:t>each sub-underlease will be at a rent which will:-</w:t>
      </w:r>
    </w:p>
    <w:p>
      <w:pPr>
        <w:spacing w:after="0" w:line="207" w:lineRule="exact"/>
        <w:rPr>
          <w:sz w:val="20"/>
          <w:szCs w:val="20"/>
          <w:color w:val="auto"/>
        </w:rPr>
      </w:pPr>
    </w:p>
    <w:p>
      <w:pPr>
        <w:ind w:left="1760" w:right="60" w:hanging="588"/>
        <w:spacing w:after="0" w:line="285" w:lineRule="auto"/>
        <w:tabs>
          <w:tab w:leader="none" w:pos="1757" w:val="left"/>
        </w:tabs>
        <w:numPr>
          <w:ilvl w:val="0"/>
          <w:numId w:val="330"/>
        </w:numPr>
        <w:rPr>
          <w:rFonts w:ascii="Arial" w:cs="Arial" w:eastAsia="Arial" w:hAnsi="Arial"/>
          <w:sz w:val="16"/>
          <w:szCs w:val="16"/>
          <w:color w:val="auto"/>
        </w:rPr>
      </w:pPr>
      <w:r>
        <w:rPr>
          <w:rFonts w:ascii="Arial" w:cs="Arial" w:eastAsia="Arial" w:hAnsi="Arial"/>
          <w:sz w:val="16"/>
          <w:szCs w:val="16"/>
          <w:color w:val="auto"/>
        </w:rPr>
        <w:t>be not less than the open market rental value (without taking or giving a fine or premium or other valuable consideration) reasonably obtainable for the Premises at the time such sub-underlease is granted</w:t>
      </w:r>
    </w:p>
    <w:p>
      <w:pPr>
        <w:spacing w:after="0" w:line="149" w:lineRule="exact"/>
        <w:rPr>
          <w:rFonts w:ascii="Arial" w:cs="Arial" w:eastAsia="Arial" w:hAnsi="Arial"/>
          <w:sz w:val="16"/>
          <w:szCs w:val="16"/>
          <w:color w:val="auto"/>
        </w:rPr>
      </w:pPr>
    </w:p>
    <w:p>
      <w:pPr>
        <w:ind w:left="1760" w:hanging="588"/>
        <w:spacing w:after="0"/>
        <w:tabs>
          <w:tab w:leader="none" w:pos="176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not be commuted or be payable more than one quarter in advance</w:t>
      </w:r>
    </w:p>
    <w:p>
      <w:pPr>
        <w:spacing w:after="0" w:line="20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color w:val="auto"/>
        </w:rPr>
        <w:t>16.5.4</w:t>
      </w:r>
      <w:r>
        <w:rPr>
          <w:sz w:val="20"/>
          <w:szCs w:val="20"/>
          <w:color w:val="auto"/>
        </w:rPr>
        <w:tab/>
      </w:r>
      <w:r>
        <w:rPr>
          <w:rFonts w:ascii="Arial" w:cs="Arial" w:eastAsia="Arial" w:hAnsi="Arial"/>
          <w:sz w:val="14"/>
          <w:szCs w:val="14"/>
          <w:color w:val="auto"/>
        </w:rPr>
        <w:t>each sub-underlease will contain covenants by the sub-undertenant:-</w:t>
      </w:r>
    </w:p>
    <w:p>
      <w:pPr>
        <w:spacing w:after="0" w:line="207" w:lineRule="exact"/>
        <w:rPr>
          <w:sz w:val="20"/>
          <w:szCs w:val="20"/>
          <w:color w:val="auto"/>
        </w:rPr>
      </w:pPr>
    </w:p>
    <w:p>
      <w:pPr>
        <w:ind w:left="5640" w:right="2660" w:hanging="4468"/>
        <w:spacing w:after="0" w:line="540" w:lineRule="auto"/>
        <w:tabs>
          <w:tab w:leader="none" w:pos="1763" w:val="left"/>
        </w:tabs>
        <w:numPr>
          <w:ilvl w:val="0"/>
          <w:numId w:val="331"/>
        </w:numPr>
        <w:rPr>
          <w:rFonts w:ascii="Arial" w:cs="Arial" w:eastAsia="Arial" w:hAnsi="Arial"/>
          <w:sz w:val="16"/>
          <w:szCs w:val="16"/>
          <w:color w:val="auto"/>
        </w:rPr>
      </w:pPr>
      <w:r>
        <w:rPr>
          <w:rFonts w:ascii="Arial" w:cs="Arial" w:eastAsia="Arial" w:hAnsi="Arial"/>
          <w:sz w:val="16"/>
          <w:szCs w:val="16"/>
          <w:color w:val="auto"/>
        </w:rPr>
        <w:t>not to assign further sub-underlet or charge any part of the premises sub-underlet as distinct from the whole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802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427" w:name="page428"/>
    <w:bookmarkEnd w:id="427"/>
    <w:p>
      <w:pPr>
        <w:ind w:left="1762" w:right="20" w:hanging="588"/>
        <w:spacing w:after="0" w:line="285" w:lineRule="auto"/>
        <w:tabs>
          <w:tab w:leader="none" w:pos="1769" w:val="left"/>
        </w:tabs>
        <w:numPr>
          <w:ilvl w:val="0"/>
          <w:numId w:val="332"/>
        </w:numPr>
        <w:rPr>
          <w:rFonts w:ascii="Arial" w:cs="Arial" w:eastAsia="Arial" w:hAnsi="Arial"/>
          <w:sz w:val="16"/>
          <w:szCs w:val="16"/>
          <w:color w:val="auto"/>
        </w:rPr>
      </w:pPr>
      <w:r>
        <w:rPr>
          <w:rFonts w:ascii="Arial" w:cs="Arial" w:eastAsia="Arial" w:hAnsi="Arial"/>
          <w:sz w:val="16"/>
          <w:szCs w:val="16"/>
          <w:color w:val="auto"/>
        </w:rPr>
        <w:t>not to part with possession or share the occupation of the whole or any part of the premises sub-underlet save by way of an assignment of the whole of them</w:t>
      </w:r>
    </w:p>
    <w:p>
      <w:pPr>
        <w:spacing w:after="0" w:line="149" w:lineRule="exact"/>
        <w:rPr>
          <w:rFonts w:ascii="Arial" w:cs="Arial" w:eastAsia="Arial" w:hAnsi="Arial"/>
          <w:sz w:val="16"/>
          <w:szCs w:val="16"/>
          <w:color w:val="auto"/>
        </w:rPr>
      </w:pPr>
    </w:p>
    <w:p>
      <w:pPr>
        <w:ind w:left="1762" w:right="80" w:hanging="588"/>
        <w:spacing w:after="0" w:line="285" w:lineRule="auto"/>
        <w:tabs>
          <w:tab w:leader="none" w:pos="1772" w:val="left"/>
        </w:tabs>
        <w:numPr>
          <w:ilvl w:val="0"/>
          <w:numId w:val="332"/>
        </w:numPr>
        <w:rPr>
          <w:rFonts w:ascii="Arial" w:cs="Arial" w:eastAsia="Arial" w:hAnsi="Arial"/>
          <w:sz w:val="16"/>
          <w:szCs w:val="16"/>
          <w:color w:val="auto"/>
        </w:rPr>
      </w:pPr>
      <w:r>
        <w:rPr>
          <w:rFonts w:ascii="Arial" w:cs="Arial" w:eastAsia="Arial" w:hAnsi="Arial"/>
          <w:sz w:val="16"/>
          <w:szCs w:val="16"/>
          <w:color w:val="auto"/>
        </w:rPr>
        <w:t>not to assign or charge the whole of the premises sub-underlet without obtaining the prior consent given by deed of the Landlord (such consent not to be unreasonably withheld or delayed)</w:t>
      </w:r>
    </w:p>
    <w:p>
      <w:pPr>
        <w:spacing w:after="0" w:line="149" w:lineRule="exact"/>
        <w:rPr>
          <w:rFonts w:ascii="Arial" w:cs="Arial" w:eastAsia="Arial" w:hAnsi="Arial"/>
          <w:sz w:val="16"/>
          <w:szCs w:val="16"/>
          <w:color w:val="auto"/>
        </w:rPr>
      </w:pPr>
    </w:p>
    <w:p>
      <w:pPr>
        <w:ind w:left="1762" w:right="300" w:hanging="588"/>
        <w:spacing w:after="0" w:line="285" w:lineRule="auto"/>
        <w:tabs>
          <w:tab w:leader="none" w:pos="1769" w:val="left"/>
        </w:tabs>
        <w:numPr>
          <w:ilvl w:val="0"/>
          <w:numId w:val="332"/>
        </w:numPr>
        <w:rPr>
          <w:rFonts w:ascii="Arial" w:cs="Arial" w:eastAsia="Arial" w:hAnsi="Arial"/>
          <w:sz w:val="16"/>
          <w:szCs w:val="16"/>
          <w:color w:val="auto"/>
        </w:rPr>
      </w:pPr>
      <w:r>
        <w:rPr>
          <w:rFonts w:ascii="Arial" w:cs="Arial" w:eastAsia="Arial" w:hAnsi="Arial"/>
          <w:sz w:val="16"/>
          <w:szCs w:val="16"/>
          <w:color w:val="auto"/>
        </w:rPr>
        <w:t>not to assign the whole of the premises sub-underlet without the assignee executing a deed containing direct covenants with the Landlord in the same terms as those set out in paragraph 16.5.1</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16.5.5</w:t>
      </w:r>
      <w:r>
        <w:rPr>
          <w:sz w:val="20"/>
          <w:szCs w:val="20"/>
          <w:color w:val="auto"/>
        </w:rPr>
        <w:tab/>
      </w:r>
      <w:r>
        <w:rPr>
          <w:rFonts w:ascii="Arial" w:cs="Arial" w:eastAsia="Arial" w:hAnsi="Arial"/>
          <w:sz w:val="14"/>
          <w:szCs w:val="14"/>
          <w:color w:val="auto"/>
        </w:rPr>
        <w:t>each sub-underlease will otherwise be on terms corresponding with this Underlease (except the obligation to pay the Rents)</w:t>
      </w:r>
    </w:p>
    <w:p>
      <w:pPr>
        <w:spacing w:after="0" w:line="207" w:lineRule="exact"/>
        <w:rPr>
          <w:sz w:val="20"/>
          <w:szCs w:val="20"/>
          <w:color w:val="auto"/>
        </w:rPr>
      </w:pPr>
    </w:p>
    <w:p>
      <w:pPr>
        <w:ind w:left="1162" w:right="20" w:hanging="586"/>
        <w:spacing w:after="0" w:line="285" w:lineRule="auto"/>
        <w:tabs>
          <w:tab w:leader="none" w:pos="1142" w:val="left"/>
        </w:tabs>
        <w:rPr>
          <w:sz w:val="20"/>
          <w:szCs w:val="20"/>
          <w:color w:val="auto"/>
        </w:rPr>
      </w:pPr>
      <w:r>
        <w:rPr>
          <w:rFonts w:ascii="Arial" w:cs="Arial" w:eastAsia="Arial" w:hAnsi="Arial"/>
          <w:sz w:val="16"/>
          <w:szCs w:val="16"/>
          <w:color w:val="auto"/>
        </w:rPr>
        <w:t>16.5.6</w:t>
        <w:tab/>
        <w:t>each sub-underlease contains an agreement validly excluding in relation to itself the provisions of sections 24 to 28 (inclusive) of the 1954 Act in accordance with section 38A of the 1954 Act</w:t>
      </w:r>
    </w:p>
    <w:p>
      <w:pPr>
        <w:spacing w:after="0" w:line="150"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16.6</w:t>
      </w:r>
      <w:r>
        <w:rPr>
          <w:sz w:val="20"/>
          <w:szCs w:val="20"/>
          <w:color w:val="auto"/>
        </w:rPr>
        <w:tab/>
      </w:r>
      <w:r>
        <w:rPr>
          <w:rFonts w:ascii="Arial" w:cs="Arial" w:eastAsia="Arial" w:hAnsi="Arial"/>
          <w:sz w:val="16"/>
          <w:szCs w:val="16"/>
          <w:color w:val="auto"/>
        </w:rPr>
        <w:t>Not without the prior written consent of the Landlord (such consent not to be unreasonably withheld) to vary or waive the terms or to accept any surrender of any sub-underlease and to take all steps necessary to enforce such terms</w:t>
      </w:r>
    </w:p>
    <w:p>
      <w:pPr>
        <w:spacing w:after="0" w:line="150" w:lineRule="exact"/>
        <w:rPr>
          <w:sz w:val="20"/>
          <w:szCs w:val="20"/>
          <w:color w:val="auto"/>
        </w:rPr>
      </w:pPr>
    </w:p>
    <w:p>
      <w:pPr>
        <w:ind w:left="582" w:right="520" w:hanging="586"/>
        <w:spacing w:after="0" w:line="285" w:lineRule="auto"/>
        <w:tabs>
          <w:tab w:leader="none" w:pos="562" w:val="left"/>
        </w:tabs>
        <w:rPr>
          <w:sz w:val="20"/>
          <w:szCs w:val="20"/>
          <w:color w:val="auto"/>
        </w:rPr>
      </w:pPr>
      <w:r>
        <w:rPr>
          <w:rFonts w:ascii="Arial" w:cs="Arial" w:eastAsia="Arial" w:hAnsi="Arial"/>
          <w:sz w:val="16"/>
          <w:szCs w:val="16"/>
          <w:color w:val="auto"/>
        </w:rPr>
        <w:t>16.7</w:t>
      </w:r>
      <w:r>
        <w:rPr>
          <w:sz w:val="20"/>
          <w:szCs w:val="20"/>
          <w:color w:val="auto"/>
        </w:rPr>
        <w:tab/>
      </w:r>
      <w:r>
        <w:rPr>
          <w:rFonts w:ascii="Arial" w:cs="Arial" w:eastAsia="Arial" w:hAnsi="Arial"/>
          <w:sz w:val="16"/>
          <w:szCs w:val="16"/>
          <w:color w:val="auto"/>
        </w:rPr>
        <w:t>Nothing contained in this paragraph will prevent the Tenant from sharing occupation of the Premises with any Group Company if the following conditions are fulfilled:-</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16.7.1</w:t>
      </w:r>
      <w:r>
        <w:rPr>
          <w:sz w:val="20"/>
          <w:szCs w:val="20"/>
          <w:color w:val="auto"/>
        </w:rPr>
        <w:tab/>
      </w:r>
      <w:r>
        <w:rPr>
          <w:rFonts w:ascii="Arial" w:cs="Arial" w:eastAsia="Arial" w:hAnsi="Arial"/>
          <w:sz w:val="14"/>
          <w:szCs w:val="14"/>
          <w:color w:val="auto"/>
        </w:rPr>
        <w:t>Prior written notice is given to the Landlord of the intended occupation by the Group Company</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16.7.2</w:t>
      </w:r>
      <w:r>
        <w:rPr>
          <w:sz w:val="20"/>
          <w:szCs w:val="20"/>
          <w:color w:val="auto"/>
        </w:rPr>
        <w:tab/>
      </w:r>
      <w:r>
        <w:rPr>
          <w:rFonts w:ascii="Arial" w:cs="Arial" w:eastAsia="Arial" w:hAnsi="Arial"/>
          <w:sz w:val="14"/>
          <w:szCs w:val="14"/>
          <w:color w:val="auto"/>
        </w:rPr>
        <w:t>No tenancy is created between the Tenant and the Group Company</w:t>
      </w:r>
    </w:p>
    <w:p>
      <w:pPr>
        <w:spacing w:after="0" w:line="207" w:lineRule="exact"/>
        <w:rPr>
          <w:sz w:val="20"/>
          <w:szCs w:val="20"/>
          <w:color w:val="auto"/>
        </w:rPr>
      </w:pPr>
    </w:p>
    <w:p>
      <w:pPr>
        <w:ind w:left="1162" w:right="20" w:hanging="586"/>
        <w:spacing w:after="0" w:line="285" w:lineRule="auto"/>
        <w:tabs>
          <w:tab w:leader="none" w:pos="1142" w:val="left"/>
        </w:tabs>
        <w:rPr>
          <w:sz w:val="20"/>
          <w:szCs w:val="20"/>
          <w:color w:val="auto"/>
        </w:rPr>
      </w:pPr>
      <w:r>
        <w:rPr>
          <w:rFonts w:ascii="Arial" w:cs="Arial" w:eastAsia="Arial" w:hAnsi="Arial"/>
          <w:sz w:val="16"/>
          <w:szCs w:val="16"/>
          <w:color w:val="auto"/>
        </w:rPr>
        <w:t>16.7.3</w:t>
        <w:tab/>
        <w:t>The right of the Group Company to share occupation of the Premises will determine upon either the Tenant or the Group Company ceasing to be members of the same group (within the definition of Group Company contained in clause 1.1)</w:t>
      </w:r>
    </w:p>
    <w:p>
      <w:pPr>
        <w:spacing w:after="0" w:line="146" w:lineRule="exact"/>
        <w:rPr>
          <w:sz w:val="20"/>
          <w:szCs w:val="20"/>
          <w:color w:val="auto"/>
        </w:rPr>
      </w:pPr>
    </w:p>
    <w:p>
      <w:pPr>
        <w:ind w:left="582" w:hanging="582"/>
        <w:spacing w:after="0"/>
        <w:tabs>
          <w:tab w:leader="none" w:pos="582"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Register Underlease and devolutions</w:t>
      </w:r>
    </w:p>
    <w:p>
      <w:pPr>
        <w:spacing w:after="0" w:line="211" w:lineRule="exact"/>
        <w:rPr>
          <w:sz w:val="20"/>
          <w:szCs w:val="20"/>
          <w:color w:val="auto"/>
        </w:rPr>
      </w:pPr>
    </w:p>
    <w:p>
      <w:pPr>
        <w:ind w:left="582" w:right="80" w:hanging="586"/>
        <w:spacing w:after="0" w:line="285" w:lineRule="auto"/>
        <w:tabs>
          <w:tab w:leader="none" w:pos="562"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6"/>
          <w:szCs w:val="16"/>
          <w:color w:val="auto"/>
        </w:rPr>
        <w:t>Within one month of the creation or disposition of any interest in or charge over the Premises to give written notice of it to the Landlord and produce a certified copy of any relevant document and to pay a reasonable registration fee not exceeding £50.00 plus VAT if demanded</w:t>
      </w:r>
    </w:p>
    <w:p>
      <w:pPr>
        <w:spacing w:after="0" w:line="146" w:lineRule="exact"/>
        <w:rPr>
          <w:sz w:val="20"/>
          <w:szCs w:val="20"/>
          <w:color w:val="auto"/>
        </w:rPr>
      </w:pPr>
    </w:p>
    <w:p>
      <w:pPr>
        <w:ind w:left="582" w:hanging="582"/>
        <w:spacing w:after="0"/>
        <w:tabs>
          <w:tab w:leader="none" w:pos="582"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Information about the Premises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18.1</w:t>
      </w:r>
      <w:r>
        <w:rPr>
          <w:sz w:val="20"/>
          <w:szCs w:val="20"/>
          <w:color w:val="auto"/>
        </w:rPr>
        <w:tab/>
      </w:r>
      <w:r>
        <w:rPr>
          <w:rFonts w:ascii="Arial" w:cs="Arial" w:eastAsia="Arial" w:hAnsi="Arial"/>
          <w:sz w:val="14"/>
          <w:szCs w:val="14"/>
          <w:color w:val="auto"/>
        </w:rPr>
        <w:t>From time to time on demand to provide the Landlord with full particulars of all interests in the Premises</w:t>
      </w:r>
    </w:p>
    <w:p>
      <w:pPr>
        <w:spacing w:after="0" w:line="207" w:lineRule="exact"/>
        <w:rPr>
          <w:sz w:val="20"/>
          <w:szCs w:val="20"/>
          <w:color w:val="auto"/>
        </w:rPr>
      </w:pPr>
    </w:p>
    <w:p>
      <w:pPr>
        <w:jc w:val="center"/>
        <w:ind w:right="298"/>
        <w:spacing w:after="0"/>
        <w:tabs>
          <w:tab w:leader="none" w:pos="280" w:val="left"/>
        </w:tabs>
        <w:rPr>
          <w:sz w:val="20"/>
          <w:szCs w:val="20"/>
          <w:color w:val="auto"/>
        </w:rPr>
      </w:pPr>
      <w:r>
        <w:rPr>
          <w:rFonts w:ascii="Arial" w:cs="Arial" w:eastAsia="Arial" w:hAnsi="Arial"/>
          <w:sz w:val="16"/>
          <w:szCs w:val="16"/>
          <w:color w:val="auto"/>
        </w:rPr>
        <w:t>18.2</w:t>
      </w:r>
      <w:r>
        <w:rPr>
          <w:sz w:val="20"/>
          <w:szCs w:val="20"/>
          <w:color w:val="auto"/>
        </w:rPr>
        <w:tab/>
      </w:r>
      <w:r>
        <w:rPr>
          <w:rFonts w:ascii="Arial" w:cs="Arial" w:eastAsia="Arial" w:hAnsi="Arial"/>
          <w:sz w:val="14"/>
          <w:szCs w:val="14"/>
          <w:color w:val="auto"/>
        </w:rPr>
        <w:t>To disclose such information as the Landlord may from time to time require in relation to any application or request made or particulars produced to the Landlord</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428" w:name="page429"/>
    <w:bookmarkEnd w:id="428"/>
    <w:p>
      <w:pPr>
        <w:ind w:left="582" w:right="400" w:hanging="586"/>
        <w:spacing w:after="0" w:line="285" w:lineRule="auto"/>
        <w:tabs>
          <w:tab w:leader="none" w:pos="562" w:val="left"/>
        </w:tabs>
        <w:rPr>
          <w:sz w:val="20"/>
          <w:szCs w:val="20"/>
          <w:color w:val="auto"/>
        </w:rPr>
      </w:pPr>
      <w:r>
        <w:rPr>
          <w:rFonts w:ascii="Arial" w:cs="Arial" w:eastAsia="Arial" w:hAnsi="Arial"/>
          <w:sz w:val="16"/>
          <w:szCs w:val="16"/>
          <w:color w:val="auto"/>
        </w:rPr>
        <w:t>18.3</w:t>
      </w:r>
      <w:r>
        <w:rPr>
          <w:sz w:val="20"/>
          <w:szCs w:val="20"/>
          <w:color w:val="auto"/>
        </w:rPr>
        <w:tab/>
      </w:r>
      <w:r>
        <w:rPr>
          <w:rFonts w:ascii="Arial" w:cs="Arial" w:eastAsia="Arial" w:hAnsi="Arial"/>
          <w:sz w:val="16"/>
          <w:szCs w:val="16"/>
          <w:color w:val="auto"/>
        </w:rPr>
        <w:t>If so requested by the Landlord to provide the Landlord with a copy of any air-conditioning inspection report relating to any air-conditioning system serving the Premises and obtained by the Tenant as the relevant person under the EPB Regulations</w:t>
      </w:r>
    </w:p>
    <w:p>
      <w:pPr>
        <w:spacing w:after="0" w:line="146" w:lineRule="exact"/>
        <w:rPr>
          <w:sz w:val="20"/>
          <w:szCs w:val="20"/>
          <w:color w:val="auto"/>
        </w:rPr>
      </w:pPr>
    </w:p>
    <w:p>
      <w:pPr>
        <w:ind w:left="582" w:hanging="582"/>
        <w:spacing w:after="0"/>
        <w:tabs>
          <w:tab w:leader="none" w:pos="582"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Landlord’s costs</w:t>
      </w:r>
    </w:p>
    <w:p>
      <w:pPr>
        <w:spacing w:after="0" w:line="211" w:lineRule="exact"/>
        <w:rPr>
          <w:sz w:val="20"/>
          <w:szCs w:val="20"/>
          <w:color w:val="auto"/>
        </w:rPr>
      </w:pPr>
    </w:p>
    <w:p>
      <w:pPr>
        <w:ind w:left="582" w:right="500"/>
        <w:spacing w:after="0" w:line="285" w:lineRule="auto"/>
        <w:rPr>
          <w:sz w:val="20"/>
          <w:szCs w:val="20"/>
          <w:color w:val="auto"/>
        </w:rPr>
      </w:pPr>
      <w:r>
        <w:rPr>
          <w:rFonts w:ascii="Arial" w:cs="Arial" w:eastAsia="Arial" w:hAnsi="Arial"/>
          <w:sz w:val="16"/>
          <w:szCs w:val="16"/>
          <w:color w:val="auto"/>
        </w:rPr>
        <w:t>To pay to the Landlord on an indemnity basis all costs claims demands and expenses (including all Landlord’s Expenses) properly incurred by the Landlord in contemplation of or in relation to or as a result of:-</w:t>
      </w:r>
    </w:p>
    <w:p>
      <w:pPr>
        <w:spacing w:after="0" w:line="150" w:lineRule="exact"/>
        <w:rPr>
          <w:sz w:val="20"/>
          <w:szCs w:val="20"/>
          <w:color w:val="auto"/>
        </w:rPr>
      </w:pPr>
    </w:p>
    <w:p>
      <w:pPr>
        <w:ind w:left="582" w:right="40" w:hanging="586"/>
        <w:spacing w:after="0" w:line="285" w:lineRule="auto"/>
        <w:tabs>
          <w:tab w:leader="none" w:pos="562" w:val="left"/>
        </w:tabs>
        <w:rPr>
          <w:sz w:val="20"/>
          <w:szCs w:val="20"/>
          <w:color w:val="auto"/>
        </w:rPr>
      </w:pPr>
      <w:r>
        <w:rPr>
          <w:rFonts w:ascii="Arial" w:cs="Arial" w:eastAsia="Arial" w:hAnsi="Arial"/>
          <w:sz w:val="16"/>
          <w:szCs w:val="16"/>
          <w:color w:val="auto"/>
        </w:rPr>
        <w:t>19.1</w:t>
      </w:r>
      <w:r>
        <w:rPr>
          <w:sz w:val="20"/>
          <w:szCs w:val="20"/>
          <w:color w:val="auto"/>
        </w:rPr>
        <w:tab/>
      </w:r>
      <w:r>
        <w:rPr>
          <w:rFonts w:ascii="Arial" w:cs="Arial" w:eastAsia="Arial" w:hAnsi="Arial"/>
          <w:sz w:val="16"/>
          <w:szCs w:val="16"/>
          <w:color w:val="auto"/>
        </w:rPr>
        <w:t>any notice under sections 146 or 147 of the Law of Property Act 1925 and/or any proceedings pursuant to such notice (even if forfeiture is avoided otherwise than by relief granted by the court)</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19.2</w:t>
      </w:r>
      <w:r>
        <w:rPr>
          <w:sz w:val="20"/>
          <w:szCs w:val="20"/>
          <w:color w:val="auto"/>
        </w:rPr>
        <w:tab/>
      </w:r>
      <w:r>
        <w:rPr>
          <w:rFonts w:ascii="Arial" w:cs="Arial" w:eastAsia="Arial" w:hAnsi="Arial"/>
          <w:sz w:val="14"/>
          <w:szCs w:val="14"/>
          <w:color w:val="auto"/>
        </w:rPr>
        <w:t>the preparation and service of any schedule of dilapidations during or within four months after the end of the Term</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19.3</w:t>
      </w:r>
      <w:r>
        <w:rPr>
          <w:sz w:val="20"/>
          <w:szCs w:val="20"/>
          <w:color w:val="auto"/>
        </w:rPr>
        <w:tab/>
      </w:r>
      <w:r>
        <w:rPr>
          <w:rFonts w:ascii="Arial" w:cs="Arial" w:eastAsia="Arial" w:hAnsi="Arial"/>
          <w:sz w:val="14"/>
          <w:szCs w:val="14"/>
          <w:color w:val="auto"/>
        </w:rPr>
        <w:t>any breach of any obligation of the Tenant under this Underlease</w:t>
      </w:r>
    </w:p>
    <w:p>
      <w:pPr>
        <w:spacing w:after="0" w:line="207" w:lineRule="exact"/>
        <w:rPr>
          <w:sz w:val="20"/>
          <w:szCs w:val="20"/>
          <w:color w:val="auto"/>
        </w:rPr>
      </w:pPr>
    </w:p>
    <w:p>
      <w:pPr>
        <w:ind w:left="582" w:right="460" w:hanging="586"/>
        <w:spacing w:after="0" w:line="285" w:lineRule="auto"/>
        <w:tabs>
          <w:tab w:leader="none" w:pos="562" w:val="left"/>
        </w:tabs>
        <w:rPr>
          <w:sz w:val="20"/>
          <w:szCs w:val="20"/>
          <w:color w:val="auto"/>
        </w:rPr>
      </w:pPr>
      <w:r>
        <w:rPr>
          <w:rFonts w:ascii="Arial" w:cs="Arial" w:eastAsia="Arial" w:hAnsi="Arial"/>
          <w:sz w:val="16"/>
          <w:szCs w:val="16"/>
          <w:color w:val="auto"/>
        </w:rPr>
        <w:t>19.4</w:t>
      </w:r>
      <w:r>
        <w:rPr>
          <w:sz w:val="20"/>
          <w:szCs w:val="20"/>
          <w:color w:val="auto"/>
        </w:rPr>
        <w:tab/>
      </w:r>
      <w:r>
        <w:rPr>
          <w:rFonts w:ascii="Arial" w:cs="Arial" w:eastAsia="Arial" w:hAnsi="Arial"/>
          <w:sz w:val="16"/>
          <w:szCs w:val="16"/>
          <w:color w:val="auto"/>
        </w:rPr>
        <w:t>any application for consent under this Underlease (except where consent is determined to have been unlawfully withheld) provided that any such costs must be reasonable</w:t>
      </w:r>
    </w:p>
    <w:p>
      <w:pPr>
        <w:spacing w:after="0" w:line="150" w:lineRule="exact"/>
        <w:rPr>
          <w:sz w:val="20"/>
          <w:szCs w:val="20"/>
          <w:color w:val="auto"/>
        </w:rPr>
      </w:pPr>
    </w:p>
    <w:p>
      <w:pPr>
        <w:ind w:left="582" w:right="60" w:hanging="586"/>
        <w:spacing w:after="0" w:line="285" w:lineRule="auto"/>
        <w:tabs>
          <w:tab w:leader="none" w:pos="562" w:val="left"/>
        </w:tabs>
        <w:rPr>
          <w:sz w:val="20"/>
          <w:szCs w:val="20"/>
          <w:color w:val="auto"/>
        </w:rPr>
      </w:pPr>
      <w:r>
        <w:rPr>
          <w:rFonts w:ascii="Arial" w:cs="Arial" w:eastAsia="Arial" w:hAnsi="Arial"/>
          <w:sz w:val="16"/>
          <w:szCs w:val="16"/>
          <w:color w:val="auto"/>
        </w:rPr>
        <w:t>19.5</w:t>
      </w:r>
      <w:r>
        <w:rPr>
          <w:sz w:val="20"/>
          <w:szCs w:val="20"/>
          <w:color w:val="auto"/>
        </w:rPr>
        <w:tab/>
      </w:r>
      <w:r>
        <w:rPr>
          <w:rFonts w:ascii="Arial" w:cs="Arial" w:eastAsia="Arial" w:hAnsi="Arial"/>
          <w:sz w:val="16"/>
          <w:szCs w:val="16"/>
          <w:color w:val="auto"/>
        </w:rPr>
        <w:t>the provision of any information or assistance requested by the Tenant in connection with the supply or preparation of an EPC or DEC for the Premises provided that any such costs must be reasonable</w:t>
      </w:r>
    </w:p>
    <w:p>
      <w:pPr>
        <w:spacing w:after="0" w:line="146" w:lineRule="exact"/>
        <w:rPr>
          <w:sz w:val="20"/>
          <w:szCs w:val="20"/>
          <w:color w:val="auto"/>
        </w:rPr>
      </w:pPr>
    </w:p>
    <w:p>
      <w:pPr>
        <w:ind w:left="582" w:hanging="582"/>
        <w:spacing w:after="0"/>
        <w:tabs>
          <w:tab w:leader="none" w:pos="582"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color w:val="auto"/>
        </w:rPr>
        <w:t>Statutory requirements</w:t>
      </w:r>
    </w:p>
    <w:p>
      <w:pPr>
        <w:spacing w:after="0" w:line="211" w:lineRule="exact"/>
        <w:rPr>
          <w:sz w:val="20"/>
          <w:szCs w:val="20"/>
          <w:color w:val="auto"/>
        </w:rPr>
      </w:pPr>
    </w:p>
    <w:p>
      <w:pPr>
        <w:ind w:left="582" w:right="160" w:hanging="586"/>
        <w:spacing w:after="0" w:line="285" w:lineRule="auto"/>
        <w:tabs>
          <w:tab w:leader="none" w:pos="562" w:val="left"/>
        </w:tabs>
        <w:rPr>
          <w:sz w:val="20"/>
          <w:szCs w:val="20"/>
          <w:color w:val="auto"/>
        </w:rPr>
      </w:pPr>
      <w:r>
        <w:rPr>
          <w:rFonts w:ascii="Arial" w:cs="Arial" w:eastAsia="Arial" w:hAnsi="Arial"/>
          <w:sz w:val="16"/>
          <w:szCs w:val="16"/>
          <w:color w:val="auto"/>
        </w:rPr>
        <w:t>20.1</w:t>
      </w:r>
      <w:r>
        <w:rPr>
          <w:sz w:val="20"/>
          <w:szCs w:val="20"/>
          <w:color w:val="auto"/>
        </w:rPr>
        <w:tab/>
      </w:r>
      <w:r>
        <w:rPr>
          <w:rFonts w:ascii="Arial" w:cs="Arial" w:eastAsia="Arial" w:hAnsi="Arial"/>
          <w:sz w:val="16"/>
          <w:szCs w:val="16"/>
          <w:color w:val="auto"/>
        </w:rPr>
        <w:t>At its own expense to comply with statute common law and all relevant codes of practice in relation to the Premises (whether or not such requirements are imposed upon the owner occupier or any other person)</w:t>
      </w:r>
    </w:p>
    <w:p>
      <w:pPr>
        <w:spacing w:after="0" w:line="150" w:lineRule="exact"/>
        <w:rPr>
          <w:sz w:val="20"/>
          <w:szCs w:val="20"/>
          <w:color w:val="auto"/>
        </w:rPr>
      </w:pPr>
    </w:p>
    <w:p>
      <w:pPr>
        <w:ind w:left="582" w:right="40" w:hanging="586"/>
        <w:spacing w:after="0" w:line="285" w:lineRule="auto"/>
        <w:tabs>
          <w:tab w:leader="none" w:pos="562" w:val="left"/>
        </w:tabs>
        <w:rPr>
          <w:sz w:val="20"/>
          <w:szCs w:val="20"/>
          <w:color w:val="auto"/>
        </w:rPr>
      </w:pPr>
      <w:r>
        <w:rPr>
          <w:rFonts w:ascii="Arial" w:cs="Arial" w:eastAsia="Arial" w:hAnsi="Arial"/>
          <w:sz w:val="16"/>
          <w:szCs w:val="16"/>
          <w:color w:val="auto"/>
        </w:rPr>
        <w:t>20.2</w:t>
      </w:r>
      <w:r>
        <w:rPr>
          <w:sz w:val="20"/>
          <w:szCs w:val="20"/>
          <w:color w:val="auto"/>
        </w:rPr>
        <w:tab/>
      </w:r>
      <w:r>
        <w:rPr>
          <w:rFonts w:ascii="Arial" w:cs="Arial" w:eastAsia="Arial" w:hAnsi="Arial"/>
          <w:sz w:val="16"/>
          <w:szCs w:val="16"/>
          <w:color w:val="auto"/>
        </w:rPr>
        <w:t>To pay to the Landlord a due and fair proportion (to be determined by the Landlord acting reasonably) of all Landlord’s Expenses in relation to compliance with such requirements or notices where they relate both to the Premises and to other land</w:t>
      </w:r>
    </w:p>
    <w:p>
      <w:pPr>
        <w:spacing w:after="0" w:line="146" w:lineRule="exact"/>
        <w:rPr>
          <w:sz w:val="20"/>
          <w:szCs w:val="20"/>
          <w:color w:val="auto"/>
        </w:rPr>
      </w:pPr>
    </w:p>
    <w:p>
      <w:pPr>
        <w:ind w:left="582" w:hanging="582"/>
        <w:spacing w:after="0"/>
        <w:tabs>
          <w:tab w:leader="none" w:pos="582"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Planning</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color w:val="auto"/>
        </w:rPr>
        <w:t>To comply in all respects with the Planning Acts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4"/>
          <w:szCs w:val="14"/>
          <w:color w:val="auto"/>
        </w:rPr>
        <w:t>Not to make any application under the Planning Acts without the prior written consent of the Landlord (such consent not to be unreasonably withheld)</w:t>
      </w:r>
    </w:p>
    <w:p>
      <w:pPr>
        <w:spacing w:after="0" w:line="207"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6"/>
          <w:szCs w:val="16"/>
          <w:color w:val="auto"/>
        </w:rPr>
        <w:t>To supply the Landlord with a copy of such application and copies of any plans and drawings submitted in connection with it and to keep the Landlord fully informed of the progress of any such application and its result</w:t>
      </w:r>
    </w:p>
    <w:p>
      <w:pPr>
        <w:spacing w:after="0" w:line="150"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6"/>
          <w:szCs w:val="16"/>
          <w:color w:val="auto"/>
        </w:rPr>
        <w:t>Not to initiate any development permitted as a result of any application under the Planning Acts without the prior written consent of the Landlord (such consent not to be unreasonably withheld)</w:t>
      </w:r>
    </w:p>
    <w:p>
      <w:pPr>
        <w:spacing w:after="0" w:line="1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3" w:right="259" w:bottom="1440" w:gutter="0" w:footer="0" w:header="0"/>
        </w:sectPr>
      </w:pPr>
    </w:p>
    <w:bookmarkStart w:id="429" w:name="page430"/>
    <w:bookmarkEnd w:id="429"/>
    <w:p>
      <w:pPr>
        <w:ind w:left="2"/>
        <w:spacing w:after="0"/>
        <w:tabs>
          <w:tab w:leader="none" w:pos="562" w:val="left"/>
        </w:tabs>
        <w:rPr>
          <w:sz w:val="20"/>
          <w:szCs w:val="20"/>
          <w:color w:val="auto"/>
        </w:rPr>
      </w:pPr>
      <w:r>
        <w:rPr>
          <w:rFonts w:ascii="Arial" w:cs="Arial" w:eastAsia="Arial" w:hAnsi="Arial"/>
          <w:sz w:val="16"/>
          <w:szCs w:val="16"/>
          <w:color w:val="auto"/>
        </w:rPr>
        <w:t>21.5</w:t>
      </w:r>
      <w:r>
        <w:rPr>
          <w:sz w:val="20"/>
          <w:szCs w:val="20"/>
          <w:color w:val="auto"/>
        </w:rPr>
        <w:tab/>
      </w:r>
      <w:r>
        <w:rPr>
          <w:rFonts w:ascii="Arial" w:cs="Arial" w:eastAsia="Arial" w:hAnsi="Arial"/>
          <w:sz w:val="14"/>
          <w:szCs w:val="14"/>
          <w:color w:val="auto"/>
        </w:rPr>
        <w:t>Not to enter into any agreement or obligation or serve any purchase notice under the Planning Acts without the prior written consent of the Landlord</w:t>
      </w:r>
    </w:p>
    <w:p>
      <w:pPr>
        <w:spacing w:after="0" w:line="203" w:lineRule="exact"/>
        <w:rPr>
          <w:sz w:val="20"/>
          <w:szCs w:val="20"/>
          <w:color w:val="auto"/>
        </w:rPr>
      </w:pPr>
    </w:p>
    <w:p>
      <w:pPr>
        <w:ind w:left="582" w:hanging="582"/>
        <w:spacing w:after="0"/>
        <w:tabs>
          <w:tab w:leader="none" w:pos="582"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t>Energy Performance Certificates</w:t>
      </w:r>
    </w:p>
    <w:p>
      <w:pPr>
        <w:spacing w:after="0" w:line="211" w:lineRule="exact"/>
        <w:rPr>
          <w:sz w:val="20"/>
          <w:szCs w:val="20"/>
          <w:color w:val="auto"/>
        </w:rPr>
      </w:pPr>
    </w:p>
    <w:p>
      <w:pPr>
        <w:ind w:left="582" w:right="240" w:hanging="586"/>
        <w:spacing w:after="0" w:line="285" w:lineRule="auto"/>
        <w:tabs>
          <w:tab w:leader="none" w:pos="562" w:val="left"/>
        </w:tabs>
        <w:rPr>
          <w:sz w:val="20"/>
          <w:szCs w:val="20"/>
          <w:color w:val="auto"/>
        </w:rPr>
      </w:pPr>
      <w:r>
        <w:rPr>
          <w:rFonts w:ascii="Arial" w:cs="Arial" w:eastAsia="Arial" w:hAnsi="Arial"/>
          <w:sz w:val="16"/>
          <w:szCs w:val="16"/>
          <w:color w:val="auto"/>
        </w:rPr>
        <w:t>22.1</w:t>
      </w:r>
      <w:r>
        <w:rPr>
          <w:sz w:val="20"/>
          <w:szCs w:val="20"/>
          <w:color w:val="auto"/>
        </w:rPr>
        <w:tab/>
      </w:r>
      <w:r>
        <w:rPr>
          <w:rFonts w:ascii="Arial" w:cs="Arial" w:eastAsia="Arial" w:hAnsi="Arial"/>
          <w:sz w:val="16"/>
          <w:szCs w:val="16"/>
          <w:color w:val="auto"/>
        </w:rPr>
        <w:t>To allow the Landlord and/or any person authorised by it to have access to all documentation data and information in the Tenant’s possession or under its control reasonably required in order to:-</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22.1.1</w:t>
      </w:r>
      <w:r>
        <w:rPr>
          <w:sz w:val="20"/>
          <w:szCs w:val="20"/>
          <w:color w:val="auto"/>
        </w:rPr>
        <w:tab/>
      </w:r>
      <w:r>
        <w:rPr>
          <w:rFonts w:ascii="Arial" w:cs="Arial" w:eastAsia="Arial" w:hAnsi="Arial"/>
          <w:sz w:val="14"/>
          <w:szCs w:val="14"/>
          <w:color w:val="auto"/>
        </w:rPr>
        <w:t>prepare an EPC for the Building</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22.1.2</w:t>
      </w:r>
      <w:r>
        <w:rPr>
          <w:sz w:val="20"/>
          <w:szCs w:val="20"/>
          <w:color w:val="auto"/>
        </w:rPr>
        <w:tab/>
      </w:r>
      <w:r>
        <w:rPr>
          <w:rFonts w:ascii="Arial" w:cs="Arial" w:eastAsia="Arial" w:hAnsi="Arial"/>
          <w:sz w:val="14"/>
          <w:szCs w:val="14"/>
          <w:color w:val="auto"/>
        </w:rPr>
        <w:t>prepare a DEC for the Building (where appropriate)</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22.1.3</w:t>
      </w:r>
      <w:r>
        <w:rPr>
          <w:sz w:val="20"/>
          <w:szCs w:val="20"/>
          <w:color w:val="auto"/>
        </w:rPr>
        <w:tab/>
      </w:r>
      <w:r>
        <w:rPr>
          <w:rFonts w:ascii="Arial" w:cs="Arial" w:eastAsia="Arial" w:hAnsi="Arial"/>
          <w:sz w:val="14"/>
          <w:szCs w:val="14"/>
          <w:color w:val="auto"/>
        </w:rPr>
        <w:t>comply with any duty imposed upon the Landlord under the EPB Regulations</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color w:val="auto"/>
        </w:rPr>
        <w:t>and to co-operate with the Landlord and any persons so authorised so far as is reasonably necessary to enable them to carry out such functions</w:t>
      </w:r>
    </w:p>
    <w:p>
      <w:pPr>
        <w:spacing w:after="0" w:line="207" w:lineRule="exact"/>
        <w:rPr>
          <w:sz w:val="20"/>
          <w:szCs w:val="20"/>
          <w:color w:val="auto"/>
        </w:rPr>
      </w:pPr>
    </w:p>
    <w:p>
      <w:pPr>
        <w:ind w:left="582" w:right="280" w:hanging="586"/>
        <w:spacing w:after="0" w:line="285" w:lineRule="auto"/>
        <w:tabs>
          <w:tab w:leader="none" w:pos="562"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6"/>
          <w:szCs w:val="16"/>
          <w:color w:val="auto"/>
        </w:rPr>
        <w:t>Where the Tenant wishes or is required by the EPB Regulations to obtain an EPC for the Premises (save where the provisions of paragraph 13.7 of this schedule apply):-</w:t>
      </w:r>
    </w:p>
    <w:p>
      <w:pPr>
        <w:spacing w:after="0" w:line="150" w:lineRule="exact"/>
        <w:rPr>
          <w:sz w:val="20"/>
          <w:szCs w:val="20"/>
          <w:color w:val="auto"/>
        </w:rPr>
      </w:pPr>
    </w:p>
    <w:p>
      <w:pPr>
        <w:jc w:val="both"/>
        <w:ind w:left="1162" w:hanging="586"/>
        <w:spacing w:after="0" w:line="270" w:lineRule="auto"/>
        <w:tabs>
          <w:tab w:leader="none" w:pos="1142" w:val="left"/>
        </w:tabs>
        <w:rPr>
          <w:sz w:val="20"/>
          <w:szCs w:val="20"/>
          <w:color w:val="auto"/>
        </w:rPr>
      </w:pPr>
      <w:r>
        <w:rPr>
          <w:rFonts w:ascii="Arial" w:cs="Arial" w:eastAsia="Arial" w:hAnsi="Arial"/>
          <w:sz w:val="16"/>
          <w:szCs w:val="16"/>
          <w:color w:val="auto"/>
        </w:rPr>
        <w:t>22.2.1</w:t>
        <w:tab/>
        <w:t>to notify the Landlord in writing before obtaining an EPC and if in response to such notice the Landlord confirms that it holds a valid EPC for the Premises or the Building to use such EPC for so long as it remains valid under the EPB Regulations and to reimburse the Landlord the reasonable cost of providing a copy of such EPC to the Tenant</w:t>
      </w:r>
    </w:p>
    <w:p>
      <w:pPr>
        <w:spacing w:after="0" w:line="162" w:lineRule="exact"/>
        <w:rPr>
          <w:sz w:val="20"/>
          <w:szCs w:val="20"/>
          <w:color w:val="auto"/>
        </w:rPr>
      </w:pPr>
    </w:p>
    <w:p>
      <w:pPr>
        <w:ind w:left="1162" w:right="100" w:hanging="586"/>
        <w:spacing w:after="0" w:line="270" w:lineRule="auto"/>
        <w:tabs>
          <w:tab w:leader="none" w:pos="1142" w:val="left"/>
        </w:tabs>
        <w:rPr>
          <w:sz w:val="20"/>
          <w:szCs w:val="20"/>
          <w:color w:val="auto"/>
        </w:rPr>
      </w:pPr>
      <w:r>
        <w:rPr>
          <w:rFonts w:ascii="Arial" w:cs="Arial" w:eastAsia="Arial" w:hAnsi="Arial"/>
          <w:sz w:val="16"/>
          <w:szCs w:val="16"/>
          <w:color w:val="auto"/>
        </w:rPr>
        <w:t>22.2.2</w:t>
        <w:tab/>
        <w:t>if the Tenant obtains an EPC that invalidates or materially adversely affects any valid EPC for the Premises or the Building held by the Landlord of which the Tenant has notice to indemnify the Landlord in respect of any loss suffered as a consequence of the Tenant’s action including (at the Landlord’s discretion) the cost of obtaining a replacement EPC</w:t>
      </w:r>
    </w:p>
    <w:p>
      <w:pPr>
        <w:spacing w:after="0" w:line="162" w:lineRule="exact"/>
        <w:rPr>
          <w:sz w:val="20"/>
          <w:szCs w:val="20"/>
          <w:color w:val="auto"/>
        </w:rPr>
      </w:pPr>
    </w:p>
    <w:p>
      <w:pPr>
        <w:ind w:left="1162" w:right="120" w:hanging="586"/>
        <w:spacing w:after="0" w:line="285" w:lineRule="auto"/>
        <w:tabs>
          <w:tab w:leader="none" w:pos="1142" w:val="left"/>
        </w:tabs>
        <w:rPr>
          <w:sz w:val="20"/>
          <w:szCs w:val="20"/>
          <w:color w:val="auto"/>
        </w:rPr>
      </w:pPr>
      <w:r>
        <w:rPr>
          <w:rFonts w:ascii="Arial" w:cs="Arial" w:eastAsia="Arial" w:hAnsi="Arial"/>
          <w:sz w:val="16"/>
          <w:szCs w:val="16"/>
          <w:color w:val="auto"/>
        </w:rPr>
        <w:t>22.2.3</w:t>
        <w:tab/>
        <w:t>to provide the Landlord with a copy of any EPC or DEC within 7 days of its receipt together with details of the reference number of such EPC or DEC (if not apparent from the copy)</w:t>
      </w:r>
    </w:p>
    <w:p>
      <w:pPr>
        <w:spacing w:after="0" w:line="146" w:lineRule="exact"/>
        <w:rPr>
          <w:sz w:val="20"/>
          <w:szCs w:val="20"/>
          <w:color w:val="auto"/>
        </w:rPr>
      </w:pPr>
    </w:p>
    <w:p>
      <w:pPr>
        <w:ind w:left="582" w:hanging="582"/>
        <w:spacing w:after="0"/>
        <w:tabs>
          <w:tab w:leader="none" w:pos="582" w:val="left"/>
        </w:tabs>
        <w:numPr>
          <w:ilvl w:val="0"/>
          <w:numId w:val="339"/>
        </w:numPr>
        <w:rPr>
          <w:rFonts w:ascii="Arial" w:cs="Arial" w:eastAsia="Arial" w:hAnsi="Arial"/>
          <w:sz w:val="16"/>
          <w:szCs w:val="16"/>
          <w:b w:val="1"/>
          <w:bCs w:val="1"/>
          <w:color w:val="auto"/>
        </w:rPr>
      </w:pPr>
      <w:r>
        <w:rPr>
          <w:rFonts w:ascii="Arial" w:cs="Arial" w:eastAsia="Arial" w:hAnsi="Arial"/>
          <w:sz w:val="16"/>
          <w:szCs w:val="16"/>
          <w:b w:val="1"/>
          <w:bCs w:val="1"/>
          <w:color w:val="auto"/>
        </w:rPr>
        <w:t>Wireless Data Services</w:t>
      </w:r>
    </w:p>
    <w:p>
      <w:pPr>
        <w:spacing w:after="0" w:line="211" w:lineRule="exact"/>
        <w:rPr>
          <w:rFonts w:ascii="Arial" w:cs="Arial" w:eastAsia="Arial" w:hAnsi="Arial"/>
          <w:sz w:val="16"/>
          <w:szCs w:val="16"/>
          <w:b w:val="1"/>
          <w:bCs w:val="1"/>
          <w:color w:val="auto"/>
        </w:rPr>
      </w:pPr>
    </w:p>
    <w:p>
      <w:pPr>
        <w:ind w:left="582" w:right="36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Not to operate Wireless Data Services so as to interfere with the lawful provision of Wireless Data Services in any other Lettable Premises or in any part of the Retained Premises or any adjoining or neighbouring premises</w:t>
      </w:r>
    </w:p>
    <w:p>
      <w:pPr>
        <w:spacing w:after="0" w:line="150" w:lineRule="exact"/>
        <w:rPr>
          <w:sz w:val="20"/>
          <w:szCs w:val="20"/>
          <w:color w:val="auto"/>
        </w:rPr>
      </w:pPr>
    </w:p>
    <w:p>
      <w:pPr>
        <w:jc w:val="center"/>
        <w:ind w:right="-121"/>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02"/>
          </w:cols>
          <w:pgMar w:left="238" w:top="322" w:right="359" w:bottom="1440" w:gutter="0" w:footer="0" w:header="0"/>
        </w:sectPr>
      </w:pPr>
    </w:p>
    <w:bookmarkStart w:id="430" w:name="page431"/>
    <w:bookmarkEnd w:id="430"/>
    <w:p>
      <w:pPr>
        <w:ind w:left="582" w:hanging="582"/>
        <w:spacing w:after="0"/>
        <w:tabs>
          <w:tab w:leader="none" w:pos="582"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11" w:lineRule="exact"/>
        <w:rPr>
          <w:rFonts w:ascii="Arial" w:cs="Arial" w:eastAsia="Arial" w:hAnsi="Arial"/>
          <w:sz w:val="16"/>
          <w:szCs w:val="16"/>
          <w:b w:val="1"/>
          <w:bCs w:val="1"/>
          <w:color w:val="auto"/>
        </w:rPr>
      </w:pPr>
    </w:p>
    <w:p>
      <w:pPr>
        <w:ind w:left="582" w:right="160"/>
        <w:spacing w:after="0" w:line="296" w:lineRule="auto"/>
        <w:rPr>
          <w:rFonts w:ascii="Arial" w:cs="Arial" w:eastAsia="Arial" w:hAnsi="Arial"/>
          <w:sz w:val="16"/>
          <w:szCs w:val="16"/>
          <w:b w:val="1"/>
          <w:bCs w:val="1"/>
          <w:color w:val="auto"/>
        </w:rPr>
      </w:pPr>
      <w:r>
        <w:rPr>
          <w:rFonts w:ascii="Arial" w:cs="Arial" w:eastAsia="Arial" w:hAnsi="Arial"/>
          <w:sz w:val="15"/>
          <w:szCs w:val="15"/>
          <w:color w:val="auto"/>
        </w:rPr>
        <w:t>Within seven days of receipt (or sooner if required) to produce to the Landlord full particulars of any notice order permission or proposal in relation to the Premises and at the entire cost and reasonable request of the Landlord to make or join with the Landlord in making such objections or representations in respect of it as the Landlord reasonably requires save where to do so would materially adversely affect the Tenant’s commercial interests at the Premises</w:t>
      </w:r>
    </w:p>
    <w:p>
      <w:pPr>
        <w:spacing w:after="0" w:line="140" w:lineRule="exact"/>
        <w:rPr>
          <w:rFonts w:ascii="Arial" w:cs="Arial" w:eastAsia="Arial" w:hAnsi="Arial"/>
          <w:sz w:val="16"/>
          <w:szCs w:val="16"/>
          <w:b w:val="1"/>
          <w:bCs w:val="1"/>
          <w:color w:val="auto"/>
        </w:rPr>
      </w:pPr>
    </w:p>
    <w:p>
      <w:pPr>
        <w:ind w:left="582" w:hanging="582"/>
        <w:spacing w:after="0"/>
        <w:tabs>
          <w:tab w:leader="none" w:pos="582"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w:t>
      </w:r>
    </w:p>
    <w:p>
      <w:pPr>
        <w:spacing w:after="0" w:line="211" w:lineRule="exact"/>
        <w:rPr>
          <w:rFonts w:ascii="Arial" w:cs="Arial" w:eastAsia="Arial" w:hAnsi="Arial"/>
          <w:sz w:val="16"/>
          <w:szCs w:val="16"/>
          <w:b w:val="1"/>
          <w:bCs w:val="1"/>
          <w:color w:val="auto"/>
        </w:rPr>
      </w:pPr>
    </w:p>
    <w:p>
      <w:pPr>
        <w:ind w:left="582"/>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To indemnify the Landlord against all actions proceedings claims demands direct losses costs expenses damages and liability (including any liability for any injury to any person or damage to any land or other property) and any court or tribunal orders or awards arising from any breach of any obligation of the Tenant under this Underlease or the state and condition of the Premises for which the Tenant is responsible or any use of the Premises or any act or omission of the Tenant provided that this indemnity shall not obviate the Landlord’s common law duty to mitigate its loss</w:t>
      </w:r>
    </w:p>
    <w:p>
      <w:pPr>
        <w:spacing w:after="0" w:line="161" w:lineRule="exact"/>
        <w:rPr>
          <w:rFonts w:ascii="Arial" w:cs="Arial" w:eastAsia="Arial" w:hAnsi="Arial"/>
          <w:sz w:val="16"/>
          <w:szCs w:val="16"/>
          <w:b w:val="1"/>
          <w:bCs w:val="1"/>
          <w:color w:val="auto"/>
        </w:rPr>
      </w:pPr>
    </w:p>
    <w:p>
      <w:pPr>
        <w:ind w:left="582" w:hanging="582"/>
        <w:spacing w:after="0"/>
        <w:tabs>
          <w:tab w:leader="none" w:pos="582"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Notice boards</w:t>
      </w:r>
    </w:p>
    <w:p>
      <w:pPr>
        <w:spacing w:after="0" w:line="211" w:lineRule="exact"/>
        <w:rPr>
          <w:rFonts w:ascii="Arial" w:cs="Arial" w:eastAsia="Arial" w:hAnsi="Arial"/>
          <w:sz w:val="16"/>
          <w:szCs w:val="16"/>
          <w:b w:val="1"/>
          <w:bCs w:val="1"/>
          <w:color w:val="auto"/>
        </w:rPr>
      </w:pPr>
    </w:p>
    <w:p>
      <w:pPr>
        <w:jc w:val="both"/>
        <w:ind w:left="582" w:right="40"/>
        <w:spacing w:after="0" w:line="270" w:lineRule="auto"/>
        <w:rPr>
          <w:rFonts w:ascii="Arial" w:cs="Arial" w:eastAsia="Arial" w:hAnsi="Arial"/>
          <w:sz w:val="16"/>
          <w:szCs w:val="16"/>
          <w:b w:val="1"/>
          <w:bCs w:val="1"/>
          <w:color w:val="auto"/>
        </w:rPr>
      </w:pPr>
      <w:r>
        <w:rPr>
          <w:rFonts w:ascii="Arial" w:cs="Arial" w:eastAsia="Arial" w:hAnsi="Arial"/>
          <w:sz w:val="16"/>
          <w:szCs w:val="16"/>
          <w:color w:val="auto"/>
        </w:rPr>
        <w:t>To permit the Landlord to fix and retain on the Premises a notice board (during the last six months of the Term) for the re-letting of the Premises and (at any time) for the sale of the Landlord’s interest and to permit all persons authorised by the Landlord to view the Premises at reasonable hours upon reasonable notice provided that any such notice does not interfere with access of light to the Premises</w:t>
      </w:r>
    </w:p>
    <w:p>
      <w:pPr>
        <w:spacing w:after="0" w:line="157" w:lineRule="exact"/>
        <w:rPr>
          <w:rFonts w:ascii="Arial" w:cs="Arial" w:eastAsia="Arial" w:hAnsi="Arial"/>
          <w:sz w:val="16"/>
          <w:szCs w:val="16"/>
          <w:b w:val="1"/>
          <w:bCs w:val="1"/>
          <w:color w:val="auto"/>
        </w:rPr>
      </w:pPr>
    </w:p>
    <w:p>
      <w:pPr>
        <w:ind w:left="582" w:hanging="582"/>
        <w:spacing w:after="0"/>
        <w:tabs>
          <w:tab w:leader="none" w:pos="582"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Incumbrances</w:t>
      </w:r>
    </w:p>
    <w:p>
      <w:pPr>
        <w:spacing w:after="0" w:line="211" w:lineRule="exact"/>
        <w:rPr>
          <w:rFonts w:ascii="Arial" w:cs="Arial" w:eastAsia="Arial" w:hAnsi="Arial"/>
          <w:sz w:val="16"/>
          <w:szCs w:val="16"/>
          <w:b w:val="1"/>
          <w:bCs w:val="1"/>
          <w:color w:val="auto"/>
        </w:rPr>
      </w:pPr>
    </w:p>
    <w:p>
      <w:pPr>
        <w:ind w:left="582" w:right="34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To comply with all covenants and other matters relating to the Premises or to any of the rights granted by this Underlease so far as contained or referred to in any documents specified in schedule 6 and so far as they are enforceable</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The Common Parts and regulations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28.1</w:t>
      </w:r>
      <w:r>
        <w:rPr>
          <w:sz w:val="20"/>
          <w:szCs w:val="20"/>
          <w:color w:val="auto"/>
        </w:rPr>
        <w:tab/>
      </w:r>
      <w:r>
        <w:rPr>
          <w:rFonts w:ascii="Arial" w:cs="Arial" w:eastAsia="Arial" w:hAnsi="Arial"/>
          <w:sz w:val="14"/>
          <w:szCs w:val="14"/>
          <w:color w:val="auto"/>
        </w:rPr>
        <w:t>Not to park any vehicle on or so as to obstruct any roadways within the curtilage of the Building</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28.2</w:t>
      </w:r>
      <w:r>
        <w:rPr>
          <w:sz w:val="20"/>
          <w:szCs w:val="20"/>
          <w:color w:val="auto"/>
        </w:rPr>
        <w:tab/>
      </w:r>
      <w:r>
        <w:rPr>
          <w:rFonts w:ascii="Arial" w:cs="Arial" w:eastAsia="Arial" w:hAnsi="Arial"/>
          <w:sz w:val="14"/>
          <w:szCs w:val="14"/>
          <w:color w:val="auto"/>
        </w:rPr>
        <w:t>Not to park any vehicle on any car parking spaces or areas within the curtilage of the Building other than the car parking areas within the Common Parts</w:t>
      </w:r>
    </w:p>
    <w:p>
      <w:pPr>
        <w:spacing w:after="0" w:line="207" w:lineRule="exact"/>
        <w:rPr>
          <w:sz w:val="20"/>
          <w:szCs w:val="20"/>
          <w:color w:val="auto"/>
        </w:rPr>
      </w:pPr>
    </w:p>
    <w:p>
      <w:pPr>
        <w:ind w:left="582" w:right="440" w:hanging="586"/>
        <w:spacing w:after="0" w:line="285" w:lineRule="auto"/>
        <w:tabs>
          <w:tab w:leader="none" w:pos="562" w:val="left"/>
        </w:tabs>
        <w:rPr>
          <w:sz w:val="20"/>
          <w:szCs w:val="20"/>
          <w:color w:val="auto"/>
        </w:rPr>
      </w:pPr>
      <w:r>
        <w:rPr>
          <w:rFonts w:ascii="Arial" w:cs="Arial" w:eastAsia="Arial" w:hAnsi="Arial"/>
          <w:sz w:val="16"/>
          <w:szCs w:val="16"/>
          <w:color w:val="auto"/>
        </w:rPr>
        <w:t>28.3</w:t>
      </w:r>
      <w:r>
        <w:rPr>
          <w:sz w:val="20"/>
          <w:szCs w:val="20"/>
          <w:color w:val="auto"/>
        </w:rPr>
        <w:tab/>
      </w:r>
      <w:r>
        <w:rPr>
          <w:rFonts w:ascii="Arial" w:cs="Arial" w:eastAsia="Arial" w:hAnsi="Arial"/>
          <w:sz w:val="16"/>
          <w:szCs w:val="16"/>
          <w:color w:val="auto"/>
        </w:rPr>
        <w:t>Not to use the car parking areas within the Common Parts for the storage (whether temporary or permanent) of any materials or goods or the servicing repair or cleaning of any vehicle nor to permit petrol oil or other deleterious materials to be emptied on such spaces</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28.4</w:t>
      </w:r>
      <w:r>
        <w:rPr>
          <w:sz w:val="20"/>
          <w:szCs w:val="20"/>
          <w:color w:val="auto"/>
        </w:rPr>
        <w:tab/>
      </w:r>
      <w:r>
        <w:rPr>
          <w:rFonts w:ascii="Arial" w:cs="Arial" w:eastAsia="Arial" w:hAnsi="Arial"/>
          <w:sz w:val="14"/>
          <w:szCs w:val="14"/>
          <w:color w:val="auto"/>
        </w:rPr>
        <w:t>Not to use any toilets within the Common Parts other than the Toilets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28.5</w:t>
      </w:r>
      <w:r>
        <w:rPr>
          <w:sz w:val="20"/>
          <w:szCs w:val="20"/>
          <w:color w:val="auto"/>
        </w:rPr>
        <w:tab/>
      </w:r>
      <w:r>
        <w:rPr>
          <w:rFonts w:ascii="Arial" w:cs="Arial" w:eastAsia="Arial" w:hAnsi="Arial"/>
          <w:sz w:val="14"/>
          <w:szCs w:val="14"/>
          <w:color w:val="auto"/>
        </w:rPr>
        <w:t>Not to obstruct the Common Parts</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431" w:name="page432"/>
    <w:bookmarkEnd w:id="431"/>
    <w:p>
      <w:pPr>
        <w:ind w:left="582" w:right="500" w:hanging="586"/>
        <w:spacing w:after="0" w:line="285" w:lineRule="auto"/>
        <w:tabs>
          <w:tab w:leader="none" w:pos="562" w:val="left"/>
        </w:tabs>
        <w:rPr>
          <w:sz w:val="20"/>
          <w:szCs w:val="20"/>
          <w:color w:val="auto"/>
        </w:rPr>
      </w:pPr>
      <w:r>
        <w:rPr>
          <w:rFonts w:ascii="Arial" w:cs="Arial" w:eastAsia="Arial" w:hAnsi="Arial"/>
          <w:sz w:val="16"/>
          <w:szCs w:val="16"/>
          <w:color w:val="auto"/>
        </w:rPr>
        <w:t>28.6</w:t>
      </w:r>
      <w:r>
        <w:rPr>
          <w:sz w:val="20"/>
          <w:szCs w:val="20"/>
          <w:color w:val="auto"/>
        </w:rPr>
        <w:tab/>
      </w:r>
      <w:r>
        <w:rPr>
          <w:rFonts w:ascii="Arial" w:cs="Arial" w:eastAsia="Arial" w:hAnsi="Arial"/>
          <w:sz w:val="16"/>
          <w:szCs w:val="16"/>
          <w:color w:val="auto"/>
        </w:rPr>
        <w:t>To comply with such reasonable regulations as the Landlord may from time to time make and notify to the Tenant in writing for the proper management of the Building and in case of any conflict between such regulations and this Underlease the terms of this Underlease will prevail</w:t>
      </w:r>
    </w:p>
    <w:p>
      <w:pPr>
        <w:spacing w:after="0" w:line="146" w:lineRule="exact"/>
        <w:rPr>
          <w:sz w:val="20"/>
          <w:szCs w:val="20"/>
          <w:color w:val="auto"/>
        </w:rPr>
      </w:pPr>
    </w:p>
    <w:p>
      <w:pPr>
        <w:ind w:left="582" w:hanging="582"/>
        <w:spacing w:after="0"/>
        <w:tabs>
          <w:tab w:leader="none" w:pos="582" w:val="left"/>
        </w:tabs>
        <w:numPr>
          <w:ilvl w:val="0"/>
          <w:numId w:val="341"/>
        </w:numPr>
        <w:rPr>
          <w:rFonts w:ascii="Arial" w:cs="Arial" w:eastAsia="Arial" w:hAnsi="Arial"/>
          <w:sz w:val="16"/>
          <w:szCs w:val="16"/>
          <w:b w:val="1"/>
          <w:bCs w:val="1"/>
          <w:color w:val="auto"/>
        </w:rPr>
      </w:pPr>
      <w:r>
        <w:rPr>
          <w:rFonts w:ascii="Arial" w:cs="Arial" w:eastAsia="Arial" w:hAnsi="Arial"/>
          <w:sz w:val="16"/>
          <w:szCs w:val="16"/>
          <w:b w:val="1"/>
          <w:bCs w:val="1"/>
          <w:color w:val="auto"/>
        </w:rPr>
        <w:t>Value Added Tax</w:t>
      </w:r>
    </w:p>
    <w:p>
      <w:pPr>
        <w:spacing w:after="0" w:line="211" w:lineRule="exact"/>
        <w:rPr>
          <w:sz w:val="20"/>
          <w:szCs w:val="20"/>
          <w:color w:val="auto"/>
        </w:rPr>
      </w:pPr>
    </w:p>
    <w:p>
      <w:pPr>
        <w:ind w:left="582" w:right="60" w:hanging="586"/>
        <w:spacing w:after="0" w:line="288" w:lineRule="auto"/>
        <w:tabs>
          <w:tab w:leader="none" w:pos="562" w:val="left"/>
        </w:tabs>
        <w:rPr>
          <w:sz w:val="20"/>
          <w:szCs w:val="20"/>
          <w:color w:val="auto"/>
        </w:rPr>
      </w:pPr>
      <w:r>
        <w:rPr>
          <w:rFonts w:ascii="Arial" w:cs="Arial" w:eastAsia="Arial" w:hAnsi="Arial"/>
          <w:sz w:val="16"/>
          <w:szCs w:val="16"/>
          <w:color w:val="auto"/>
        </w:rPr>
        <w:t>29.1</w:t>
      </w:r>
      <w:r>
        <w:rPr>
          <w:sz w:val="20"/>
          <w:szCs w:val="20"/>
          <w:color w:val="auto"/>
        </w:rPr>
        <w:tab/>
      </w:r>
      <w:r>
        <w:rPr>
          <w:rFonts w:ascii="Arial" w:cs="Arial" w:eastAsia="Arial" w:hAnsi="Arial"/>
          <w:sz w:val="15"/>
          <w:szCs w:val="15"/>
          <w:color w:val="auto"/>
        </w:rPr>
        <w:t>To pay all Value Added Tax in respect of all taxable supplies made to the Tenant under this Underlease or as the case may be to repay to the Landlord any Value Added Tax borne by the Landlord in respect of taxable supplies made to the Landlord (except to the extent in the latter case to which the Landlord recovers it) and in every case where under this Underlease the Tenant is obliged to pay an amount of money such amount shall be regarded as being exclusive of all Value Added Tax from time to time payable on it and the Landlord shall supply a valid VAT invoice to the Tenant in accordance with its statutory obligations</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29.2</w:t>
      </w:r>
      <w:r>
        <w:rPr>
          <w:sz w:val="20"/>
          <w:szCs w:val="20"/>
          <w:color w:val="auto"/>
        </w:rPr>
        <w:tab/>
      </w:r>
      <w:r>
        <w:rPr>
          <w:rFonts w:ascii="Arial" w:cs="Arial" w:eastAsia="Arial" w:hAnsi="Arial"/>
          <w:sz w:val="15"/>
          <w:szCs w:val="15"/>
          <w:color w:val="auto"/>
        </w:rPr>
        <w:t>Not to take any action or permit any action to be taken which would result in the disapplication of the Landlord’s option to tax (if applicable)</w:t>
      </w:r>
    </w:p>
    <w:p>
      <w:pPr>
        <w:spacing w:after="0" w:line="203" w:lineRule="exact"/>
        <w:rPr>
          <w:sz w:val="20"/>
          <w:szCs w:val="20"/>
          <w:color w:val="auto"/>
        </w:rPr>
      </w:pPr>
    </w:p>
    <w:p>
      <w:pPr>
        <w:ind w:left="582" w:hanging="582"/>
        <w:spacing w:after="0"/>
        <w:tabs>
          <w:tab w:leader="none" w:pos="582" w:val="left"/>
        </w:tabs>
        <w:numPr>
          <w:ilvl w:val="0"/>
          <w:numId w:val="342"/>
        </w:numPr>
        <w:rPr>
          <w:rFonts w:ascii="Arial" w:cs="Arial" w:eastAsia="Arial" w:hAnsi="Arial"/>
          <w:sz w:val="16"/>
          <w:szCs w:val="16"/>
          <w:b w:val="1"/>
          <w:bCs w:val="1"/>
          <w:color w:val="auto"/>
        </w:rPr>
      </w:pPr>
      <w:r>
        <w:rPr>
          <w:rFonts w:ascii="Arial" w:cs="Arial" w:eastAsia="Arial" w:hAnsi="Arial"/>
          <w:sz w:val="16"/>
          <w:szCs w:val="16"/>
          <w:b w:val="1"/>
          <w:bCs w:val="1"/>
          <w:color w:val="auto"/>
        </w:rPr>
        <w:t>Superior Lease</w:t>
      </w:r>
    </w:p>
    <w:p>
      <w:pPr>
        <w:spacing w:after="0" w:line="211" w:lineRule="exact"/>
        <w:rPr>
          <w:sz w:val="20"/>
          <w:szCs w:val="20"/>
          <w:color w:val="auto"/>
        </w:rPr>
      </w:pPr>
    </w:p>
    <w:p>
      <w:pPr>
        <w:jc w:val="both"/>
        <w:ind w:left="582" w:right="40" w:hanging="586"/>
        <w:spacing w:after="0" w:line="270" w:lineRule="auto"/>
        <w:tabs>
          <w:tab w:leader="none" w:pos="562" w:val="left"/>
        </w:tabs>
        <w:rPr>
          <w:sz w:val="20"/>
          <w:szCs w:val="20"/>
          <w:color w:val="auto"/>
        </w:rPr>
      </w:pPr>
      <w:r>
        <w:rPr>
          <w:rFonts w:ascii="Arial" w:cs="Arial" w:eastAsia="Arial" w:hAnsi="Arial"/>
          <w:sz w:val="16"/>
          <w:szCs w:val="16"/>
          <w:color w:val="auto"/>
        </w:rPr>
        <w:t>30.1</w:t>
      </w:r>
      <w:r>
        <w:rPr>
          <w:sz w:val="20"/>
          <w:szCs w:val="20"/>
          <w:color w:val="auto"/>
        </w:rPr>
        <w:tab/>
      </w:r>
      <w:r>
        <w:rPr>
          <w:rFonts w:ascii="Arial" w:cs="Arial" w:eastAsia="Arial" w:hAnsi="Arial"/>
          <w:sz w:val="16"/>
          <w:szCs w:val="16"/>
          <w:color w:val="auto"/>
        </w:rPr>
        <w:t>Not to do omit suffer or permit in relation to the Premises any act or thing which would or might cause the Landlord to be in breach of the Superior Lease or which if done omitted suffered or permitted by the Landlord would or might constitute a breach of the obligations of the lessee contained in the Superior Lease or in any lease or leases superior to the Superior Lease</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30.2</w:t>
      </w:r>
      <w:r>
        <w:rPr>
          <w:sz w:val="20"/>
          <w:szCs w:val="20"/>
          <w:color w:val="auto"/>
        </w:rPr>
        <w:tab/>
      </w:r>
      <w:r>
        <w:rPr>
          <w:rFonts w:ascii="Arial" w:cs="Arial" w:eastAsia="Arial" w:hAnsi="Arial"/>
          <w:sz w:val="14"/>
          <w:szCs w:val="14"/>
          <w:color w:val="auto"/>
        </w:rPr>
        <w:t>Without prejudice to the generality of the foregoing to operate its business at the Premises in accordance with the Ethos</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Schedule 3</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Landlord’s covenants</w:t>
      </w:r>
    </w:p>
    <w:p>
      <w:pPr>
        <w:spacing w:after="0" w:line="207" w:lineRule="exact"/>
        <w:rPr>
          <w:sz w:val="20"/>
          <w:szCs w:val="20"/>
          <w:color w:val="auto"/>
        </w:rPr>
      </w:pPr>
    </w:p>
    <w:p>
      <w:pPr>
        <w:ind w:left="582" w:hanging="582"/>
        <w:spacing w:after="0"/>
        <w:tabs>
          <w:tab w:leader="none" w:pos="582" w:val="left"/>
        </w:tabs>
        <w:numPr>
          <w:ilvl w:val="0"/>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Quiet enjoyment</w:t>
      </w:r>
    </w:p>
    <w:p>
      <w:pPr>
        <w:spacing w:after="0" w:line="211" w:lineRule="exact"/>
        <w:rPr>
          <w:rFonts w:ascii="Arial" w:cs="Arial" w:eastAsia="Arial" w:hAnsi="Arial"/>
          <w:sz w:val="16"/>
          <w:szCs w:val="16"/>
          <w:b w:val="1"/>
          <w:bCs w:val="1"/>
          <w:color w:val="auto"/>
        </w:rPr>
      </w:pPr>
    </w:p>
    <w:p>
      <w:pPr>
        <w:ind w:left="582"/>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That the Tenant paying the Rents and complying with its other obligations under this Underlease may peaceably hold and enjoy the Premises during the Term without any interruption by the Landlord or any person lawfully claiming through under or in trust for it</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Superior Lease</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To pay the rents reserved by the Superior Lease and perform the covenants on the part of the tenant contained in the Superior Lease</w:t>
      </w:r>
    </w:p>
    <w:p>
      <w:pPr>
        <w:spacing w:after="0" w:line="207" w:lineRule="exact"/>
        <w:rPr>
          <w:rFonts w:ascii="Arial" w:cs="Arial" w:eastAsia="Arial" w:hAnsi="Arial"/>
          <w:sz w:val="16"/>
          <w:szCs w:val="16"/>
          <w:b w:val="1"/>
          <w:bCs w:val="1"/>
          <w:color w:val="auto"/>
        </w:rPr>
      </w:pPr>
    </w:p>
    <w:p>
      <w:pPr>
        <w:ind w:left="582" w:right="28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At the request of the Tenant (and subject to the Tenant providing a suitable indemnity for costs) to use all reasonable endeavours to enforce any obligations of the Superior Lessor to the Landlord</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Superior Lease</w:t>
      </w:r>
    </w:p>
    <w:p>
      <w:pPr>
        <w:spacing w:after="0" w:line="211" w:lineRule="exact"/>
        <w:rPr>
          <w:rFonts w:ascii="Arial" w:cs="Arial" w:eastAsia="Arial" w:hAnsi="Arial"/>
          <w:sz w:val="16"/>
          <w:szCs w:val="16"/>
          <w:b w:val="1"/>
          <w:bCs w:val="1"/>
          <w:color w:val="auto"/>
        </w:rPr>
      </w:pPr>
    </w:p>
    <w:p>
      <w:pPr>
        <w:ind w:left="582" w:right="18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If the Superior Lease is surrendered, the Landlord shall from the date of the surrender perform or procure the performance of obligations equivalent to the Superior Landlord’s covenants immediately prior to the surrender of the Superior Lease</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Superior Landlord’s consent</w:t>
      </w:r>
    </w:p>
    <w:p>
      <w:pPr>
        <w:spacing w:after="0" w:line="211" w:lineRule="exact"/>
        <w:rPr>
          <w:rFonts w:ascii="Arial" w:cs="Arial" w:eastAsia="Arial" w:hAnsi="Arial"/>
          <w:sz w:val="16"/>
          <w:szCs w:val="16"/>
          <w:b w:val="1"/>
          <w:bCs w:val="1"/>
          <w:color w:val="auto"/>
        </w:rPr>
      </w:pPr>
    </w:p>
    <w:p>
      <w:pPr>
        <w:ind w:left="582" w:right="460"/>
        <w:spacing w:after="0" w:line="320" w:lineRule="auto"/>
        <w:rPr>
          <w:rFonts w:ascii="Arial" w:cs="Arial" w:eastAsia="Arial" w:hAnsi="Arial"/>
          <w:sz w:val="16"/>
          <w:szCs w:val="16"/>
          <w:b w:val="1"/>
          <w:bCs w:val="1"/>
          <w:color w:val="auto"/>
        </w:rPr>
      </w:pPr>
      <w:r>
        <w:rPr>
          <w:rFonts w:ascii="Arial" w:cs="Arial" w:eastAsia="Arial" w:hAnsi="Arial"/>
          <w:sz w:val="15"/>
          <w:szCs w:val="15"/>
          <w:color w:val="auto"/>
        </w:rPr>
        <w:t>At the expense of the Tenant to take reasonable steps to obtain the consent of the Superior Landlord whenever the Tenant makes an application for any consent required under this Underlease where the consent of the Superior Landlord to such an application is also required under the Superior Lease</w:t>
      </w:r>
    </w:p>
    <w:p>
      <w:pPr>
        <w:spacing w:after="0" w:line="123" w:lineRule="exact"/>
        <w:rPr>
          <w:sz w:val="20"/>
          <w:szCs w:val="20"/>
          <w:color w:val="auto"/>
        </w:rPr>
      </w:pPr>
    </w:p>
    <w:p>
      <w:pPr>
        <w:ind w:left="582" w:hanging="582"/>
        <w:spacing w:after="0"/>
        <w:tabs>
          <w:tab w:leader="none" w:pos="582" w:val="left"/>
        </w:tabs>
        <w:numPr>
          <w:ilvl w:val="0"/>
          <w:numId w:val="344"/>
        </w:numPr>
        <w:rPr>
          <w:rFonts w:ascii="Arial" w:cs="Arial" w:eastAsia="Arial" w:hAnsi="Arial"/>
          <w:sz w:val="16"/>
          <w:szCs w:val="16"/>
          <w:b w:val="1"/>
          <w:bCs w:val="1"/>
          <w:color w:val="auto"/>
        </w:rPr>
      </w:pPr>
      <w:r>
        <w:rPr>
          <w:rFonts w:ascii="Arial" w:cs="Arial" w:eastAsia="Arial" w:hAnsi="Arial"/>
          <w:sz w:val="16"/>
          <w:szCs w:val="16"/>
          <w:b w:val="1"/>
          <w:bCs w:val="1"/>
          <w:color w:val="auto"/>
        </w:rPr>
        <w:t>Exercising rights of entry</w:t>
      </w:r>
    </w:p>
    <w:p>
      <w:pPr>
        <w:spacing w:after="0" w:line="211" w:lineRule="exact"/>
        <w:rPr>
          <w:sz w:val="20"/>
          <w:szCs w:val="20"/>
          <w:color w:val="auto"/>
        </w:rPr>
      </w:pPr>
    </w:p>
    <w:p>
      <w:pPr>
        <w:ind w:left="582" w:right="20"/>
        <w:spacing w:after="0" w:line="262" w:lineRule="auto"/>
        <w:rPr>
          <w:sz w:val="20"/>
          <w:szCs w:val="20"/>
          <w:color w:val="auto"/>
        </w:rPr>
      </w:pPr>
      <w:r>
        <w:rPr>
          <w:rFonts w:ascii="Arial" w:cs="Arial" w:eastAsia="Arial" w:hAnsi="Arial"/>
          <w:sz w:val="16"/>
          <w:szCs w:val="16"/>
          <w:color w:val="auto"/>
        </w:rPr>
        <w:t>Prior to exercising any of the rights of entry to the Premises reserved by paragraphs 1 and 2 of part 3 of Schedule 1 the Landlord shall (save in case of emergency) first agree with the Tenant (both parties acting reasonably) the time and duration of such entry into the Premises having regard to the sensitive experiments that will be carried on from time to time in the Premises and the Tenant shall use all reasonable endeavours to permit the Landlord to enter the Premises within 48 hours of the Landlord’s request save where the Tenant’s experiments will bona fide prevent the Landlord from accessing the Premises within such time period in which case the Tenant shall permit the Landlord to enter as soon as reasonably possible thereafter.</w:t>
      </w:r>
    </w:p>
    <w:p>
      <w:pPr>
        <w:spacing w:after="0" w:line="17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432" w:name="page433"/>
    <w:bookmarkEnd w:id="432"/>
    <w:p>
      <w:pPr>
        <w:jc w:val="center"/>
        <w:ind w:right="-21"/>
        <w:spacing w:after="0"/>
        <w:rPr>
          <w:sz w:val="20"/>
          <w:szCs w:val="20"/>
          <w:color w:val="auto"/>
        </w:rPr>
      </w:pPr>
      <w:r>
        <w:rPr>
          <w:rFonts w:ascii="Arial" w:cs="Arial" w:eastAsia="Arial" w:hAnsi="Arial"/>
          <w:sz w:val="16"/>
          <w:szCs w:val="16"/>
          <w:b w:val="1"/>
          <w:bCs w:val="1"/>
          <w:color w:val="auto"/>
        </w:rPr>
        <w:t>Schedule 4</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Provisos</w:t>
      </w:r>
    </w:p>
    <w:p>
      <w:pPr>
        <w:spacing w:after="0" w:line="207" w:lineRule="exact"/>
        <w:rPr>
          <w:sz w:val="20"/>
          <w:szCs w:val="20"/>
          <w:color w:val="auto"/>
        </w:rPr>
      </w:pPr>
    </w:p>
    <w:p>
      <w:pPr>
        <w:ind w:left="582" w:hanging="582"/>
        <w:spacing w:after="0"/>
        <w:tabs>
          <w:tab w:leader="none" w:pos="582" w:val="left"/>
        </w:tabs>
        <w:numPr>
          <w:ilvl w:val="0"/>
          <w:numId w:val="345"/>
        </w:numPr>
        <w:rPr>
          <w:rFonts w:ascii="Arial" w:cs="Arial" w:eastAsia="Arial" w:hAnsi="Arial"/>
          <w:sz w:val="16"/>
          <w:szCs w:val="16"/>
          <w:b w:val="1"/>
          <w:bCs w:val="1"/>
          <w:color w:val="auto"/>
        </w:rPr>
      </w:pPr>
      <w:r>
        <w:rPr>
          <w:rFonts w:ascii="Arial" w:cs="Arial" w:eastAsia="Arial" w:hAnsi="Arial"/>
          <w:sz w:val="16"/>
          <w:szCs w:val="16"/>
          <w:b w:val="1"/>
          <w:bCs w:val="1"/>
          <w:color w:val="auto"/>
        </w:rPr>
        <w:t>Re-entry</w:t>
      </w:r>
    </w:p>
    <w:p>
      <w:pPr>
        <w:spacing w:after="0" w:line="211" w:lineRule="exact"/>
        <w:rPr>
          <w:sz w:val="20"/>
          <w:szCs w:val="20"/>
          <w:color w:val="auto"/>
        </w:rPr>
      </w:pPr>
    </w:p>
    <w:p>
      <w:pPr>
        <w:ind w:left="582" w:right="420"/>
        <w:spacing w:after="0" w:line="285" w:lineRule="auto"/>
        <w:rPr>
          <w:sz w:val="20"/>
          <w:szCs w:val="20"/>
          <w:color w:val="auto"/>
        </w:rPr>
      </w:pPr>
      <w:r>
        <w:rPr>
          <w:rFonts w:ascii="Arial" w:cs="Arial" w:eastAsia="Arial" w:hAnsi="Arial"/>
          <w:sz w:val="16"/>
          <w:szCs w:val="16"/>
          <w:color w:val="auto"/>
        </w:rPr>
        <w:t>Without prejudice to any other right remedy or power of the Landlord it will be lawful for the Landlord or any person authorised by the Landlord to re-enter the Premises (or any part of them in the name of the whole) if:-</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any Rents remain unpaid for twenty one days (whether formally demanded or not) or</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there is any breach of any obligation of the Tenant under this Underlease or</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color w:val="auto"/>
        </w:rPr>
        <w:t>the Tenant and/or the Surety (if any) becomes insolvent meaning:-</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5"/>
          <w:szCs w:val="15"/>
          <w:color w:val="auto"/>
        </w:rPr>
        <w:t>in relation to a body corporate:-</w:t>
      </w:r>
    </w:p>
    <w:p>
      <w:pPr>
        <w:spacing w:after="0" w:line="207" w:lineRule="exact"/>
        <w:rPr>
          <w:sz w:val="20"/>
          <w:szCs w:val="20"/>
          <w:color w:val="auto"/>
        </w:rPr>
      </w:pPr>
    </w:p>
    <w:p>
      <w:pPr>
        <w:ind w:left="1762" w:right="580" w:hanging="588"/>
        <w:spacing w:after="0" w:line="285" w:lineRule="auto"/>
        <w:tabs>
          <w:tab w:leader="none" w:pos="1759"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 winding-up resolution is passed by a meeting of its members (otherwise than in connection with a member’s voluntary winding up for the purposes of an amalgamation or a reconstruction that has the prior written approval of the Landlord) or</w:t>
      </w:r>
    </w:p>
    <w:p>
      <w:pPr>
        <w:spacing w:after="0" w:line="149" w:lineRule="exact"/>
        <w:rPr>
          <w:rFonts w:ascii="Arial" w:cs="Arial" w:eastAsia="Arial" w:hAnsi="Arial"/>
          <w:sz w:val="16"/>
          <w:szCs w:val="16"/>
          <w:color w:val="auto"/>
        </w:rPr>
      </w:pPr>
    </w:p>
    <w:p>
      <w:pPr>
        <w:ind w:left="1762" w:hanging="588"/>
        <w:spacing w:after="0"/>
        <w:tabs>
          <w:tab w:leader="none" w:pos="1762"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 resolution is passed by a meeting of its directors to seek a winding up order or an administration order or to appoint an administrator or</w:t>
      </w:r>
    </w:p>
    <w:p>
      <w:pPr>
        <w:spacing w:after="0" w:line="207" w:lineRule="exact"/>
        <w:rPr>
          <w:rFonts w:ascii="Arial" w:cs="Arial" w:eastAsia="Arial" w:hAnsi="Arial"/>
          <w:sz w:val="16"/>
          <w:szCs w:val="16"/>
          <w:color w:val="auto"/>
        </w:rPr>
      </w:pPr>
    </w:p>
    <w:p>
      <w:pPr>
        <w:ind w:left="1762" w:hanging="588"/>
        <w:spacing w:after="0"/>
        <w:tabs>
          <w:tab w:leader="none" w:pos="1762"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 winding up or administration order is made or</w:t>
      </w:r>
    </w:p>
    <w:p>
      <w:pPr>
        <w:spacing w:after="0" w:line="207" w:lineRule="exact"/>
        <w:rPr>
          <w:rFonts w:ascii="Arial" w:cs="Arial" w:eastAsia="Arial" w:hAnsi="Arial"/>
          <w:sz w:val="16"/>
          <w:szCs w:val="16"/>
          <w:color w:val="auto"/>
        </w:rPr>
      </w:pPr>
    </w:p>
    <w:p>
      <w:pPr>
        <w:ind w:left="1762" w:right="440" w:hanging="588"/>
        <w:spacing w:after="0" w:line="285" w:lineRule="auto"/>
        <w:tabs>
          <w:tab w:leader="none" w:pos="1769"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it issues or its directors or the holder of a qualifying floating charge (as defined in Schedule B1 of the Insolvency Act 1986) issues a notice of appointment or of intention to appoint an administrator or</w:t>
      </w:r>
    </w:p>
    <w:p>
      <w:pPr>
        <w:spacing w:after="0" w:line="149" w:lineRule="exact"/>
        <w:rPr>
          <w:rFonts w:ascii="Arial" w:cs="Arial" w:eastAsia="Arial" w:hAnsi="Arial"/>
          <w:sz w:val="16"/>
          <w:szCs w:val="16"/>
          <w:color w:val="auto"/>
        </w:rPr>
      </w:pPr>
    </w:p>
    <w:p>
      <w:pPr>
        <w:ind w:left="1762" w:right="40" w:hanging="588"/>
        <w:spacing w:after="0" w:line="285" w:lineRule="auto"/>
        <w:tabs>
          <w:tab w:leader="none" w:pos="1772"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it becomes subject to any voluntary arrangement or its directors take steps to obtain a moratorium (whether under Part I of the Insolvency Act 1986 or otherwise)</w:t>
      </w:r>
    </w:p>
    <w:p>
      <w:pPr>
        <w:spacing w:after="0" w:line="150" w:lineRule="exact"/>
        <w:rPr>
          <w:sz w:val="20"/>
          <w:szCs w:val="20"/>
          <w:color w:val="auto"/>
        </w:rPr>
      </w:pPr>
    </w:p>
    <w:p>
      <w:pPr>
        <w:ind w:left="1182"/>
        <w:spacing w:after="0" w:line="265" w:lineRule="auto"/>
        <w:rPr>
          <w:sz w:val="20"/>
          <w:szCs w:val="20"/>
          <w:color w:val="auto"/>
        </w:rPr>
      </w:pPr>
      <w:r>
        <w:rPr>
          <w:rFonts w:ascii="Arial" w:cs="Arial" w:eastAsia="Arial" w:hAnsi="Arial"/>
          <w:sz w:val="16"/>
          <w:szCs w:val="16"/>
          <w:color w:val="auto"/>
        </w:rPr>
        <w:t>and sub-paragraphs (a) to (c) above shall also apply in relation to a partnership or limited partnership (as defined in the Partnership Act 1890 and the Limited Partnerships Act 1907 respectively) subject to the modifications referred to in the Insolvent Partnerships Order 1994 (SI 1994/2421) (as amended) and to a limited liability partnership (as defined in the Limited Liability Partnerships Act 2000) subject to the modifications referred to in the Limited Liability Partnerships Regulations 2001 (SI 2001/1090) or</w:t>
      </w:r>
    </w:p>
    <w:p>
      <w:pPr>
        <w:spacing w:after="0" w:line="16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433" w:name="page434"/>
    <w:bookmarkEnd w:id="433"/>
    <w:p>
      <w:pPr>
        <w:ind w:left="1162" w:right="140" w:hanging="586"/>
        <w:spacing w:after="0" w:line="285" w:lineRule="auto"/>
        <w:tabs>
          <w:tab w:leader="none" w:pos="1142" w:val="left"/>
        </w:tabs>
        <w:rPr>
          <w:sz w:val="20"/>
          <w:szCs w:val="20"/>
          <w:color w:val="auto"/>
        </w:rPr>
      </w:pPr>
      <w:r>
        <w:rPr>
          <w:rFonts w:ascii="Arial" w:cs="Arial" w:eastAsia="Arial" w:hAnsi="Arial"/>
          <w:sz w:val="16"/>
          <w:szCs w:val="16"/>
          <w:color w:val="auto"/>
        </w:rPr>
        <w:t>1.3.2</w:t>
        <w:tab/>
        <w:t>in relation to an individual and where the relevant party is comprised of one or more individuals (whether or not in partnership together) in relation to any one of them:-</w:t>
      </w:r>
    </w:p>
    <w:p>
      <w:pPr>
        <w:spacing w:after="0" w:line="150" w:lineRule="exact"/>
        <w:rPr>
          <w:sz w:val="20"/>
          <w:szCs w:val="20"/>
          <w:color w:val="auto"/>
        </w:rPr>
      </w:pPr>
    </w:p>
    <w:p>
      <w:pPr>
        <w:ind w:left="1762" w:hanging="588"/>
        <w:spacing w:after="0"/>
        <w:tabs>
          <w:tab w:leader="none" w:pos="176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 bankruptcy order is made against him</w:t>
      </w:r>
    </w:p>
    <w:p>
      <w:pPr>
        <w:spacing w:after="0" w:line="207" w:lineRule="exact"/>
        <w:rPr>
          <w:rFonts w:ascii="Arial" w:cs="Arial" w:eastAsia="Arial" w:hAnsi="Arial"/>
          <w:sz w:val="16"/>
          <w:szCs w:val="16"/>
          <w:color w:val="auto"/>
        </w:rPr>
      </w:pPr>
    </w:p>
    <w:p>
      <w:pPr>
        <w:ind w:left="582" w:right="4420" w:firstLine="592"/>
        <w:spacing w:after="0" w:line="510" w:lineRule="auto"/>
        <w:tabs>
          <w:tab w:leader="none" w:pos="176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 voluntary arrangement is made under Part VIII of the Insolvency Act 1986 or 1.3.3 in relation to any party:-</w:t>
      </w:r>
    </w:p>
    <w:p>
      <w:pPr>
        <w:spacing w:after="0" w:line="1" w:lineRule="exact"/>
        <w:rPr>
          <w:sz w:val="20"/>
          <w:szCs w:val="20"/>
          <w:color w:val="auto"/>
        </w:rPr>
      </w:pPr>
    </w:p>
    <w:p>
      <w:pPr>
        <w:ind w:left="1762" w:hanging="588"/>
        <w:spacing w:after="0"/>
        <w:tabs>
          <w:tab w:leader="none" w:pos="1762" w:val="left"/>
        </w:tabs>
        <w:numPr>
          <w:ilvl w:val="0"/>
          <w:numId w:val="348"/>
        </w:numPr>
        <w:rPr>
          <w:rFonts w:ascii="Arial" w:cs="Arial" w:eastAsia="Arial" w:hAnsi="Arial"/>
          <w:sz w:val="16"/>
          <w:szCs w:val="16"/>
          <w:color w:val="auto"/>
        </w:rPr>
      </w:pPr>
      <w:r>
        <w:rPr>
          <w:rFonts w:ascii="Arial" w:cs="Arial" w:eastAsia="Arial" w:hAnsi="Arial"/>
          <w:sz w:val="16"/>
          <w:szCs w:val="16"/>
          <w:color w:val="auto"/>
        </w:rPr>
        <w:t>a receiver (administrative or otherwise) is appointed over all or part of their assets or</w:t>
      </w:r>
    </w:p>
    <w:p>
      <w:pPr>
        <w:spacing w:after="0" w:line="207" w:lineRule="exact"/>
        <w:rPr>
          <w:rFonts w:ascii="Arial" w:cs="Arial" w:eastAsia="Arial" w:hAnsi="Arial"/>
          <w:sz w:val="16"/>
          <w:szCs w:val="16"/>
          <w:color w:val="auto"/>
        </w:rPr>
      </w:pPr>
    </w:p>
    <w:p>
      <w:pPr>
        <w:ind w:left="1762" w:right="120" w:hanging="588"/>
        <w:spacing w:after="0" w:line="285" w:lineRule="auto"/>
        <w:tabs>
          <w:tab w:leader="none" w:pos="1769" w:val="left"/>
        </w:tabs>
        <w:numPr>
          <w:ilvl w:val="0"/>
          <w:numId w:val="348"/>
        </w:numPr>
        <w:rPr>
          <w:rFonts w:ascii="Arial" w:cs="Arial" w:eastAsia="Arial" w:hAnsi="Arial"/>
          <w:sz w:val="16"/>
          <w:szCs w:val="16"/>
          <w:color w:val="auto"/>
        </w:rPr>
      </w:pPr>
      <w:r>
        <w:rPr>
          <w:rFonts w:ascii="Arial" w:cs="Arial" w:eastAsia="Arial" w:hAnsi="Arial"/>
          <w:sz w:val="16"/>
          <w:szCs w:val="16"/>
          <w:color w:val="auto"/>
        </w:rPr>
        <w:t>possession is taken of all or substantially all of their assets by a secured party or they become subject to an execution attachment sequestration or other legal order over all or substantially all of their assets or</w:t>
      </w:r>
    </w:p>
    <w:p>
      <w:pPr>
        <w:spacing w:after="0" w:line="149" w:lineRule="exact"/>
        <w:rPr>
          <w:rFonts w:ascii="Arial" w:cs="Arial" w:eastAsia="Arial" w:hAnsi="Arial"/>
          <w:sz w:val="16"/>
          <w:szCs w:val="16"/>
          <w:color w:val="auto"/>
        </w:rPr>
      </w:pPr>
    </w:p>
    <w:p>
      <w:pPr>
        <w:ind w:left="1762" w:hanging="588"/>
        <w:spacing w:after="0"/>
        <w:tabs>
          <w:tab w:leader="none" w:pos="1762"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they make any general assignment composition or arrangement with or for the benefit of all or some of their creditors or</w:t>
      </w:r>
    </w:p>
    <w:p>
      <w:pPr>
        <w:spacing w:after="0" w:line="207" w:lineRule="exact"/>
        <w:rPr>
          <w:rFonts w:ascii="Arial" w:cs="Arial" w:eastAsia="Arial" w:hAnsi="Arial"/>
          <w:sz w:val="16"/>
          <w:szCs w:val="16"/>
          <w:color w:val="auto"/>
        </w:rPr>
      </w:pPr>
    </w:p>
    <w:p>
      <w:pPr>
        <w:ind w:left="1762" w:hanging="588"/>
        <w:spacing w:after="0"/>
        <w:tabs>
          <w:tab w:leader="none" w:pos="1762"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they are unable to make payments to all or some of their creditors or</w:t>
      </w:r>
    </w:p>
    <w:p>
      <w:pPr>
        <w:spacing w:after="0" w:line="207" w:lineRule="exact"/>
        <w:rPr>
          <w:sz w:val="20"/>
          <w:szCs w:val="20"/>
          <w:color w:val="auto"/>
        </w:rPr>
      </w:pPr>
    </w:p>
    <w:p>
      <w:pPr>
        <w:ind w:left="1162" w:right="160" w:hanging="586"/>
        <w:spacing w:after="0" w:line="285" w:lineRule="auto"/>
        <w:tabs>
          <w:tab w:leader="none" w:pos="1142" w:val="left"/>
        </w:tabs>
        <w:rPr>
          <w:sz w:val="20"/>
          <w:szCs w:val="20"/>
          <w:color w:val="auto"/>
        </w:rPr>
      </w:pPr>
      <w:r>
        <w:rPr>
          <w:rFonts w:ascii="Arial" w:cs="Arial" w:eastAsia="Arial" w:hAnsi="Arial"/>
          <w:sz w:val="16"/>
          <w:szCs w:val="16"/>
          <w:color w:val="auto"/>
        </w:rPr>
        <w:t>1.3.4</w:t>
        <w:tab/>
        <w:t>any analogous or equivalent proceedings actions or events to those referred to in paragraphs 1.3.1 to 1.3.3 above are instituted or occur in any jurisdiction other than England and Wales</w:t>
      </w:r>
    </w:p>
    <w:p>
      <w:pPr>
        <w:spacing w:after="0" w:line="150" w:lineRule="exact"/>
        <w:rPr>
          <w:sz w:val="20"/>
          <w:szCs w:val="20"/>
          <w:color w:val="auto"/>
        </w:rPr>
      </w:pPr>
    </w:p>
    <w:p>
      <w:pPr>
        <w:ind w:left="582" w:right="160"/>
        <w:spacing w:after="0" w:line="285" w:lineRule="auto"/>
        <w:rPr>
          <w:sz w:val="20"/>
          <w:szCs w:val="20"/>
          <w:color w:val="auto"/>
        </w:rPr>
      </w:pPr>
      <w:r>
        <w:rPr>
          <w:rFonts w:ascii="Arial" w:cs="Arial" w:eastAsia="Arial" w:hAnsi="Arial"/>
          <w:sz w:val="16"/>
          <w:szCs w:val="16"/>
          <w:u w:val="single" w:color="auto"/>
          <w:color w:val="auto"/>
        </w:rPr>
        <w:t>AND</w:t>
      </w:r>
      <w:r>
        <w:rPr>
          <w:rFonts w:ascii="Arial" w:cs="Arial" w:eastAsia="Arial" w:hAnsi="Arial"/>
          <w:sz w:val="16"/>
          <w:szCs w:val="16"/>
          <w:color w:val="auto"/>
        </w:rPr>
        <w:t xml:space="preserve"> upon re-entry the Term will terminate but without prejudice to any claim by the Landlord in respect of any antecedent breach of any obligation of the Tenant under this Underlease</w:t>
      </w:r>
    </w:p>
    <w:p>
      <w:pPr>
        <w:spacing w:after="0" w:line="146" w:lineRule="exact"/>
        <w:rPr>
          <w:sz w:val="20"/>
          <w:szCs w:val="20"/>
          <w:color w:val="auto"/>
        </w:rPr>
      </w:pPr>
    </w:p>
    <w:p>
      <w:pPr>
        <w:ind w:left="582" w:hanging="582"/>
        <w:spacing w:after="0"/>
        <w:tabs>
          <w:tab w:leader="none" w:pos="582" w:val="left"/>
        </w:tabs>
        <w:numPr>
          <w:ilvl w:val="0"/>
          <w:numId w:val="349"/>
        </w:numPr>
        <w:rPr>
          <w:rFonts w:ascii="Arial" w:cs="Arial" w:eastAsia="Arial" w:hAnsi="Arial"/>
          <w:sz w:val="16"/>
          <w:szCs w:val="16"/>
          <w:b w:val="1"/>
          <w:bCs w:val="1"/>
          <w:color w:val="auto"/>
        </w:rPr>
      </w:pPr>
      <w:r>
        <w:rPr>
          <w:rFonts w:ascii="Arial" w:cs="Arial" w:eastAsia="Arial" w:hAnsi="Arial"/>
          <w:sz w:val="16"/>
          <w:szCs w:val="16"/>
          <w:b w:val="1"/>
          <w:bCs w:val="1"/>
          <w:color w:val="auto"/>
        </w:rPr>
        <w:t>Exclusions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Except where expressly granted by this Underlease the Tenant will not have:-</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color w:val="auto"/>
        </w:rPr>
        <w:t>the benefit of any easement right or privilege</w:t>
      </w:r>
    </w:p>
    <w:p>
      <w:pPr>
        <w:spacing w:after="0" w:line="207" w:lineRule="exact"/>
        <w:rPr>
          <w:sz w:val="20"/>
          <w:szCs w:val="20"/>
          <w:color w:val="auto"/>
        </w:rPr>
      </w:pPr>
    </w:p>
    <w:p>
      <w:pPr>
        <w:ind w:left="1162" w:hanging="586"/>
        <w:spacing w:after="0" w:line="285" w:lineRule="auto"/>
        <w:tabs>
          <w:tab w:leader="none" w:pos="1142" w:val="left"/>
        </w:tabs>
        <w:rPr>
          <w:sz w:val="20"/>
          <w:szCs w:val="20"/>
          <w:color w:val="auto"/>
        </w:rPr>
      </w:pPr>
      <w:r>
        <w:rPr>
          <w:rFonts w:ascii="Arial" w:cs="Arial" w:eastAsia="Arial" w:hAnsi="Arial"/>
          <w:sz w:val="16"/>
          <w:szCs w:val="16"/>
          <w:color w:val="auto"/>
        </w:rPr>
        <w:t>2.1.2</w:t>
        <w:tab/>
        <w:t>the benefit of or the right to enforce or to prevent the release or the modification of any covenant agreement or condition benefiting the whole or any part of the Building to which any land not comprised in the Building may from time to time be subject or</w:t>
      </w:r>
    </w:p>
    <w:p>
      <w:pPr>
        <w:spacing w:after="0" w:line="150" w:lineRule="exact"/>
        <w:rPr>
          <w:sz w:val="20"/>
          <w:szCs w:val="20"/>
          <w:color w:val="auto"/>
        </w:rPr>
      </w:pPr>
    </w:p>
    <w:p>
      <w:pPr>
        <w:ind w:left="1162" w:right="120" w:hanging="586"/>
        <w:spacing w:after="0" w:line="285" w:lineRule="auto"/>
        <w:tabs>
          <w:tab w:leader="none" w:pos="1142" w:val="left"/>
        </w:tabs>
        <w:rPr>
          <w:sz w:val="20"/>
          <w:szCs w:val="20"/>
          <w:color w:val="auto"/>
        </w:rPr>
      </w:pPr>
      <w:r>
        <w:rPr>
          <w:rFonts w:ascii="Arial" w:cs="Arial" w:eastAsia="Arial" w:hAnsi="Arial"/>
          <w:sz w:val="16"/>
          <w:szCs w:val="16"/>
          <w:color w:val="auto"/>
        </w:rPr>
        <w:t>2.1.3</w:t>
        <w:tab/>
        <w:t>the benefit of or the right to enforce or to prevent the release or the modification of any covenant agreement or condition entered into by any tenant of any other Lettable Premises</w:t>
      </w:r>
    </w:p>
    <w:p>
      <w:pPr>
        <w:spacing w:after="0" w:line="150" w:lineRule="exact"/>
        <w:rPr>
          <w:sz w:val="20"/>
          <w:szCs w:val="20"/>
          <w:color w:val="auto"/>
        </w:rPr>
      </w:pPr>
    </w:p>
    <w:p>
      <w:pPr>
        <w:jc w:val="center"/>
        <w:ind w:right="-101"/>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42"/>
          </w:cols>
          <w:pgMar w:left="238" w:top="322" w:right="319" w:bottom="1440" w:gutter="0" w:footer="0" w:header="0"/>
        </w:sectPr>
      </w:pPr>
    </w:p>
    <w:bookmarkStart w:id="434" w:name="page435"/>
    <w:bookmarkEnd w:id="434"/>
    <w:p>
      <w:pPr>
        <w:ind w:left="582" w:right="240" w:hanging="586"/>
        <w:spacing w:after="0" w:line="285" w:lineRule="auto"/>
        <w:tabs>
          <w:tab w:leader="none" w:pos="562"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The Landlord gives no express or implied warranty that the Premises are suitable for the Tenant’s purposes or that the Permitted Use will be or remain a lawful or authorised use under the Planning Acts or otherwise</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So far as the law allows the right of the Tenant (or any sub-undertenant) to compensation on quitting the Premises is excluded</w:t>
      </w:r>
    </w:p>
    <w:p>
      <w:pPr>
        <w:spacing w:after="0" w:line="207" w:lineRule="exact"/>
        <w:rPr>
          <w:sz w:val="20"/>
          <w:szCs w:val="20"/>
          <w:color w:val="auto"/>
        </w:rPr>
      </w:pPr>
    </w:p>
    <w:p>
      <w:pPr>
        <w:ind w:left="582" w:right="260" w:hanging="586"/>
        <w:spacing w:after="0" w:line="270" w:lineRule="auto"/>
        <w:tabs>
          <w:tab w:leader="none" w:pos="562"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Each of the provisions of this Underlease is severable and if any such provision is or becomes illegal invalid or unenforceable in any respect under the law of any jurisdiction that fact will not affect or impair the legality validity or enforceability in that jurisdiction of the other provisions of this Underlease or of that or any provision of this Underlease in any other jurisdiction</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color w:val="auto"/>
        </w:rPr>
        <w:t>Nothing in this Underlease will be read or construed as excluding any liability or remedy in respect of fraud</w:t>
      </w:r>
    </w:p>
    <w:p>
      <w:pPr>
        <w:spacing w:after="0" w:line="203" w:lineRule="exact"/>
        <w:rPr>
          <w:sz w:val="20"/>
          <w:szCs w:val="20"/>
          <w:color w:val="auto"/>
        </w:rPr>
      </w:pPr>
    </w:p>
    <w:p>
      <w:pPr>
        <w:ind w:left="582" w:hanging="582"/>
        <w:spacing w:after="0"/>
        <w:tabs>
          <w:tab w:leader="none" w:pos="582" w:val="left"/>
        </w:tabs>
        <w:numPr>
          <w:ilvl w:val="0"/>
          <w:numId w:val="350"/>
        </w:numPr>
        <w:rPr>
          <w:rFonts w:ascii="Arial" w:cs="Arial" w:eastAsia="Arial" w:hAnsi="Arial"/>
          <w:sz w:val="16"/>
          <w:szCs w:val="16"/>
          <w:b w:val="1"/>
          <w:bCs w:val="1"/>
          <w:color w:val="auto"/>
        </w:rPr>
      </w:pPr>
      <w:r>
        <w:rPr>
          <w:rFonts w:ascii="Arial" w:cs="Arial" w:eastAsia="Arial" w:hAnsi="Arial"/>
          <w:sz w:val="16"/>
          <w:szCs w:val="16"/>
          <w:b w:val="1"/>
          <w:bCs w:val="1"/>
          <w:color w:val="auto"/>
        </w:rPr>
        <w:t>Acceptance of rents</w:t>
      </w:r>
    </w:p>
    <w:p>
      <w:pPr>
        <w:spacing w:after="0" w:line="211" w:lineRule="exact"/>
        <w:rPr>
          <w:rFonts w:ascii="Arial" w:cs="Arial" w:eastAsia="Arial" w:hAnsi="Arial"/>
          <w:sz w:val="16"/>
          <w:szCs w:val="16"/>
          <w:b w:val="1"/>
          <w:bCs w:val="1"/>
          <w:color w:val="auto"/>
        </w:rPr>
      </w:pPr>
    </w:p>
    <w:p>
      <w:pPr>
        <w:ind w:left="582"/>
        <w:spacing w:after="0" w:line="270" w:lineRule="auto"/>
        <w:rPr>
          <w:rFonts w:ascii="Arial" w:cs="Arial" w:eastAsia="Arial" w:hAnsi="Arial"/>
          <w:sz w:val="16"/>
          <w:szCs w:val="16"/>
          <w:b w:val="1"/>
          <w:bCs w:val="1"/>
          <w:color w:val="auto"/>
        </w:rPr>
      </w:pPr>
      <w:r>
        <w:rPr>
          <w:rFonts w:ascii="Arial" w:cs="Arial" w:eastAsia="Arial" w:hAnsi="Arial"/>
          <w:sz w:val="16"/>
          <w:szCs w:val="16"/>
          <w:color w:val="auto"/>
        </w:rPr>
        <w:t>If the Landlord has reasonable grounds for believing that the Tenant is in breach of any of its obligations under this Underlease and refrains from demanding or accepting Rents then interest will be payable by the Tenant at two per cent per annum above the Interest Rate on such Rents for the period during which the Landlord so refrains such interest to be calculated on a daily basis</w:t>
      </w:r>
    </w:p>
    <w:p>
      <w:pPr>
        <w:spacing w:after="0" w:line="157" w:lineRule="exact"/>
        <w:rPr>
          <w:rFonts w:ascii="Arial" w:cs="Arial" w:eastAsia="Arial" w:hAnsi="Arial"/>
          <w:sz w:val="16"/>
          <w:szCs w:val="16"/>
          <w:b w:val="1"/>
          <w:bCs w:val="1"/>
          <w:color w:val="auto"/>
        </w:rPr>
      </w:pPr>
    </w:p>
    <w:p>
      <w:pPr>
        <w:ind w:left="582" w:hanging="582"/>
        <w:spacing w:after="0"/>
        <w:tabs>
          <w:tab w:leader="none" w:pos="582" w:val="left"/>
        </w:tabs>
        <w:numPr>
          <w:ilvl w:val="0"/>
          <w:numId w:val="350"/>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11" w:lineRule="exact"/>
        <w:rPr>
          <w:rFonts w:ascii="Arial" w:cs="Arial" w:eastAsia="Arial" w:hAnsi="Arial"/>
          <w:sz w:val="16"/>
          <w:szCs w:val="16"/>
          <w:b w:val="1"/>
          <w:bCs w:val="1"/>
          <w:color w:val="auto"/>
        </w:rPr>
      </w:pPr>
    </w:p>
    <w:p>
      <w:pPr>
        <w:ind w:left="582" w:right="26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Any notice under or in relation to this Underlease will be deemed (whether or not that is actually the case) to be a notice required to be served for the purposes of section 196(5) of the Law of Property Act 1925 and the provisions of section 196 of that Act will extend to any such notice accordingly</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35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provisions</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Where in this Underlease the Tenant and/or any Surety agrees to indemnify the Landlord the indemnity will be subject to the following terms:-</w:t>
      </w:r>
    </w:p>
    <w:p>
      <w:pPr>
        <w:spacing w:after="0" w:line="207" w:lineRule="exact"/>
        <w:rPr>
          <w:sz w:val="20"/>
          <w:szCs w:val="20"/>
          <w:color w:val="auto"/>
        </w:rPr>
      </w:pPr>
    </w:p>
    <w:p>
      <w:pPr>
        <w:ind w:left="582" w:right="140" w:hanging="586"/>
        <w:spacing w:after="0" w:line="360" w:lineRule="auto"/>
        <w:tabs>
          <w:tab w:leader="none" w:pos="562"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color w:val="auto"/>
        </w:rPr>
        <w:t xml:space="preserve">the Landlord will promptly give written notice to the Tenant and/or the Surety (as appropriate) of any claim demand or proceedings of which the Landlord is aware and which the Landlord reasonably considers may be covered by an indemnity contained in this Underlease (for the purposes of this paragraph 5 a </w:t>
      </w:r>
      <w:r>
        <w:rPr>
          <w:rFonts w:ascii="Arial" w:cs="Arial" w:eastAsia="Arial" w:hAnsi="Arial"/>
          <w:sz w:val="14"/>
          <w:szCs w:val="14"/>
          <w:b w:val="1"/>
          <w:bCs w:val="1"/>
          <w:color w:val="auto"/>
        </w:rPr>
        <w:t>“Claim”</w:t>
      </w:r>
      <w:r>
        <w:rPr>
          <w:rFonts w:ascii="Arial" w:cs="Arial" w:eastAsia="Arial" w:hAnsi="Arial"/>
          <w:sz w:val="14"/>
          <w:szCs w:val="14"/>
          <w:color w:val="auto"/>
        </w:rPr>
        <w:t>)</w:t>
      </w:r>
    </w:p>
    <w:p>
      <w:pPr>
        <w:spacing w:after="0" w:line="104" w:lineRule="exact"/>
        <w:rPr>
          <w:sz w:val="20"/>
          <w:szCs w:val="20"/>
          <w:color w:val="auto"/>
        </w:rPr>
      </w:pPr>
    </w:p>
    <w:p>
      <w:pPr>
        <w:ind w:left="582" w:right="400" w:hanging="586"/>
        <w:spacing w:after="0" w:line="285" w:lineRule="auto"/>
        <w:tabs>
          <w:tab w:leader="none" w:pos="562"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the Landlord will promptly give the Tenant and/or the Surety all details of any Claim as are in its possession or actual knowledge or which could reasonably be obtained by the Landlord</w:t>
      </w:r>
    </w:p>
    <w:p>
      <w:pPr>
        <w:spacing w:after="0" w:line="150" w:lineRule="exact"/>
        <w:rPr>
          <w:sz w:val="20"/>
          <w:szCs w:val="20"/>
          <w:color w:val="auto"/>
        </w:rPr>
      </w:pPr>
    </w:p>
    <w:p>
      <w:pPr>
        <w:ind w:left="582" w:right="100" w:hanging="586"/>
        <w:spacing w:after="0" w:line="285" w:lineRule="auto"/>
        <w:tabs>
          <w:tab w:leader="none" w:pos="562"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the Landlord will keep the Tenant and/or the Surety informed as to the progress of any Claim and will have proper regard to the Tenant’s and/or the Surety’s written representations to the Landlord regarding the Claim</w:t>
      </w:r>
    </w:p>
    <w:p>
      <w:pPr>
        <w:spacing w:after="0" w:line="150"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2"/>
          </w:cols>
          <w:pgMar w:left="238" w:top="322" w:right="299" w:bottom="1440" w:gutter="0" w:footer="0" w:header="0"/>
        </w:sectPr>
      </w:pPr>
    </w:p>
    <w:bookmarkStart w:id="435" w:name="page436"/>
    <w:bookmarkEnd w:id="435"/>
    <w:p>
      <w:pPr>
        <w:ind w:left="582" w:right="440" w:hanging="586"/>
        <w:spacing w:after="0" w:line="296" w:lineRule="auto"/>
        <w:tabs>
          <w:tab w:leader="none" w:pos="562"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5"/>
          <w:szCs w:val="15"/>
          <w:color w:val="auto"/>
        </w:rPr>
        <w:t>to the extent to which the Landlord is able to do so (having regard to the ability of the Landlord to settle or compromise a Claim without the involvement of the Insurers of the Building) the Landlord will not settle or compromise any Claim without the consent of the Tenant and/or the Surety (such consent not to be unreasonably withheld by either the Tenant or the Surety) except under an order of the Court (other than a consent order)</w:t>
      </w:r>
    </w:p>
    <w:p>
      <w:pPr>
        <w:spacing w:after="0" w:line="140" w:lineRule="exact"/>
        <w:rPr>
          <w:sz w:val="20"/>
          <w:szCs w:val="20"/>
          <w:color w:val="auto"/>
        </w:rPr>
      </w:pPr>
    </w:p>
    <w:p>
      <w:pPr>
        <w:ind w:left="582" w:hanging="582"/>
        <w:spacing w:after="0"/>
        <w:tabs>
          <w:tab w:leader="none" w:pos="582" w:val="left"/>
        </w:tabs>
        <w:numPr>
          <w:ilvl w:val="0"/>
          <w:numId w:val="351"/>
        </w:numPr>
        <w:rPr>
          <w:rFonts w:ascii="Arial" w:cs="Arial" w:eastAsia="Arial" w:hAnsi="Arial"/>
          <w:sz w:val="16"/>
          <w:szCs w:val="16"/>
          <w:b w:val="1"/>
          <w:bCs w:val="1"/>
          <w:color w:val="auto"/>
        </w:rPr>
      </w:pPr>
      <w:r>
        <w:rPr>
          <w:rFonts w:ascii="Arial" w:cs="Arial" w:eastAsia="Arial" w:hAnsi="Arial"/>
          <w:sz w:val="16"/>
          <w:szCs w:val="16"/>
          <w:b w:val="1"/>
          <w:bCs w:val="1"/>
          <w:color w:val="auto"/>
        </w:rPr>
        <w:t>Landlord’s right to redevelop</w:t>
      </w:r>
    </w:p>
    <w:p>
      <w:pPr>
        <w:spacing w:after="0" w:line="211" w:lineRule="exact"/>
        <w:rPr>
          <w:rFonts w:ascii="Arial" w:cs="Arial" w:eastAsia="Arial" w:hAnsi="Arial"/>
          <w:sz w:val="16"/>
          <w:szCs w:val="16"/>
          <w:b w:val="1"/>
          <w:bCs w:val="1"/>
          <w:color w:val="auto"/>
        </w:rPr>
      </w:pPr>
    </w:p>
    <w:p>
      <w:pPr>
        <w:ind w:left="582"/>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 xml:space="preserve">The Landlord will be free to build on and use any other part of the Building and any nearby or adjoining land or buildings of the Landlord in any way notwithstanding that such building or use results in any reduction in the flow of light air access to and/or amenities enjoyed by the Premises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reasonably acceptable and convenient alternative means of access and/or amenities are provided and that the Tenant’s use and enjoyment of the Premises for the Permitted Use is not materially adversely affected thereby</w:t>
      </w:r>
    </w:p>
    <w:p>
      <w:pPr>
        <w:spacing w:after="0" w:line="161" w:lineRule="exact"/>
        <w:rPr>
          <w:rFonts w:ascii="Arial" w:cs="Arial" w:eastAsia="Arial" w:hAnsi="Arial"/>
          <w:sz w:val="16"/>
          <w:szCs w:val="16"/>
          <w:b w:val="1"/>
          <w:bCs w:val="1"/>
          <w:color w:val="auto"/>
        </w:rPr>
      </w:pPr>
    </w:p>
    <w:p>
      <w:pPr>
        <w:ind w:left="582" w:hanging="582"/>
        <w:spacing w:after="0"/>
        <w:tabs>
          <w:tab w:leader="none" w:pos="582" w:val="left"/>
        </w:tabs>
        <w:numPr>
          <w:ilvl w:val="0"/>
          <w:numId w:val="351"/>
        </w:numPr>
        <w:rPr>
          <w:rFonts w:ascii="Arial" w:cs="Arial" w:eastAsia="Arial" w:hAnsi="Arial"/>
          <w:sz w:val="16"/>
          <w:szCs w:val="16"/>
          <w:b w:val="1"/>
          <w:bCs w:val="1"/>
          <w:color w:val="auto"/>
        </w:rPr>
      </w:pPr>
      <w:r>
        <w:rPr>
          <w:rFonts w:ascii="Arial" w:cs="Arial" w:eastAsia="Arial" w:hAnsi="Arial"/>
          <w:sz w:val="16"/>
          <w:szCs w:val="16"/>
          <w:b w:val="1"/>
          <w:bCs w:val="1"/>
          <w:color w:val="auto"/>
        </w:rPr>
        <w:t>Tenant’s property</w:t>
      </w:r>
    </w:p>
    <w:p>
      <w:pPr>
        <w:spacing w:after="0" w:line="211" w:lineRule="exact"/>
        <w:rPr>
          <w:sz w:val="20"/>
          <w:szCs w:val="20"/>
          <w:color w:val="auto"/>
        </w:rPr>
      </w:pPr>
    </w:p>
    <w:p>
      <w:pPr>
        <w:jc w:val="both"/>
        <w:ind w:left="582" w:right="60" w:hanging="586"/>
        <w:spacing w:after="0" w:line="270" w:lineRule="auto"/>
        <w:tabs>
          <w:tab w:leader="none" w:pos="562"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color w:val="auto"/>
        </w:rPr>
        <w:t>If any property of the Tenant remains at the Premises after the Tenant has vacated the Premises following the end of the Term and the Tenant fails to remove it within 7 days after a written request from the Landlord or if having made reasonable efforts the Landlord is unable to locate the Tenant within 14 days from the first attempt to make such request then the Landlord may sell such property as the agent of the Tenant</w:t>
      </w:r>
    </w:p>
    <w:p>
      <w:pPr>
        <w:spacing w:after="0" w:line="162" w:lineRule="exact"/>
        <w:rPr>
          <w:sz w:val="20"/>
          <w:szCs w:val="20"/>
          <w:color w:val="auto"/>
        </w:rPr>
      </w:pPr>
    </w:p>
    <w:p>
      <w:pPr>
        <w:jc w:val="both"/>
        <w:ind w:left="582" w:right="240" w:hanging="586"/>
        <w:spacing w:after="0" w:line="270" w:lineRule="auto"/>
        <w:tabs>
          <w:tab w:leader="none" w:pos="562"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 xml:space="preserve">The Landlord will account to the Tenant for the proceeds of sale of such property within 14 days of the date of sale less the costs incurred in connection with such sale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having made reasonable efforts the Landlord is unable to locate the Tenant then the Landlord may retain the proceeds of sale absolutely unless the Tenant claims them (less the costs of sale) within 6 months of the end of the Term</w:t>
      </w:r>
    </w:p>
    <w:p>
      <w:pPr>
        <w:spacing w:after="0" w:line="162" w:lineRule="exact"/>
        <w:rPr>
          <w:sz w:val="20"/>
          <w:szCs w:val="20"/>
          <w:color w:val="auto"/>
        </w:rPr>
      </w:pPr>
    </w:p>
    <w:p>
      <w:pPr>
        <w:ind w:left="582" w:right="200" w:hanging="586"/>
        <w:spacing w:after="0" w:line="285" w:lineRule="auto"/>
        <w:tabs>
          <w:tab w:leader="none" w:pos="562"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6"/>
          <w:szCs w:val="16"/>
          <w:color w:val="auto"/>
        </w:rPr>
        <w:t>The Tenant will indemnify the Landlord against any liability incurred to any third party whose property is sold by him in the mistaken belief held in good faith that the property belonged to the Tenant</w:t>
      </w:r>
    </w:p>
    <w:p>
      <w:pPr>
        <w:spacing w:after="0" w:line="146" w:lineRule="exact"/>
        <w:rPr>
          <w:sz w:val="20"/>
          <w:szCs w:val="20"/>
          <w:color w:val="auto"/>
        </w:rPr>
      </w:pPr>
    </w:p>
    <w:p>
      <w:pPr>
        <w:ind w:left="582" w:hanging="582"/>
        <w:spacing w:after="0"/>
        <w:tabs>
          <w:tab w:leader="none" w:pos="582" w:val="left"/>
        </w:tabs>
        <w:numPr>
          <w:ilvl w:val="0"/>
          <w:numId w:val="352"/>
        </w:numPr>
        <w:rPr>
          <w:rFonts w:ascii="Arial" w:cs="Arial" w:eastAsia="Arial" w:hAnsi="Arial"/>
          <w:sz w:val="16"/>
          <w:szCs w:val="16"/>
          <w:b w:val="1"/>
          <w:bCs w:val="1"/>
          <w:color w:val="auto"/>
        </w:rPr>
      </w:pPr>
      <w:r>
        <w:rPr>
          <w:rFonts w:ascii="Arial" w:cs="Arial" w:eastAsia="Arial" w:hAnsi="Arial"/>
          <w:sz w:val="16"/>
          <w:szCs w:val="16"/>
          <w:b w:val="1"/>
          <w:bCs w:val="1"/>
          <w:color w:val="auto"/>
        </w:rPr>
        <w:t>Third party rights</w:t>
      </w:r>
    </w:p>
    <w:p>
      <w:pPr>
        <w:spacing w:after="0" w:line="211" w:lineRule="exact"/>
        <w:rPr>
          <w:sz w:val="20"/>
          <w:szCs w:val="20"/>
          <w:color w:val="auto"/>
        </w:rPr>
      </w:pPr>
    </w:p>
    <w:p>
      <w:pPr>
        <w:ind w:left="582" w:right="360" w:hanging="586"/>
        <w:spacing w:after="0" w:line="285" w:lineRule="auto"/>
        <w:tabs>
          <w:tab w:leader="none" w:pos="562"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color w:val="auto"/>
        </w:rPr>
        <w:t>Nothing in this Underlease is intended to confer on any person any right to enforce any term of this Underlease which that person would not have had but for the Contracts (Rights of Third Parties) Act 1999 save as provided in paragraphs 8.2 and 8.3 below</w:t>
      </w:r>
    </w:p>
    <w:p>
      <w:pPr>
        <w:spacing w:after="0" w:line="150" w:lineRule="exact"/>
        <w:rPr>
          <w:sz w:val="20"/>
          <w:szCs w:val="20"/>
          <w:color w:val="auto"/>
        </w:rPr>
      </w:pPr>
    </w:p>
    <w:p>
      <w:pPr>
        <w:ind w:left="582" w:right="40" w:hanging="586"/>
        <w:spacing w:after="0" w:line="285" w:lineRule="auto"/>
        <w:tabs>
          <w:tab w:leader="none" w:pos="562"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6"/>
          <w:szCs w:val="16"/>
          <w:color w:val="auto"/>
        </w:rPr>
        <w:t>The Landlord and the Tenant agree that the Superior Lessor may in its own right enforce paragraph 30.2 of schedule 2 to this Underlease subject to and in accordance with the provisions of paragraph 8.3 below and the provisions of the Contracts (Rights of Third Parties) Act 1999</w:t>
      </w:r>
    </w:p>
    <w:p>
      <w:pPr>
        <w:spacing w:after="0" w:line="150" w:lineRule="exact"/>
        <w:rPr>
          <w:sz w:val="20"/>
          <w:szCs w:val="20"/>
          <w:color w:val="auto"/>
        </w:rPr>
      </w:pPr>
    </w:p>
    <w:p>
      <w:pPr>
        <w:ind w:left="582" w:right="120" w:hanging="586"/>
        <w:spacing w:after="0" w:line="285" w:lineRule="auto"/>
        <w:tabs>
          <w:tab w:leader="none" w:pos="562"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6"/>
          <w:szCs w:val="16"/>
          <w:color w:val="auto"/>
        </w:rPr>
        <w:t>No right of the Landlord and the Tenant to agree any amendment variation waiver or settlement under or arising from or in respect of this Underlease will be subject to the consent of any person who has rights under this Underlease solely by virtue of the Contracts (Rights of Third Parties) Act 1999</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36" w:name="page437"/>
    <w:bookmarkEnd w:id="436"/>
    <w:p>
      <w:pPr>
        <w:ind w:left="582" w:hanging="582"/>
        <w:spacing w:after="0"/>
        <w:tabs>
          <w:tab w:leader="none" w:pos="582" w:val="left"/>
        </w:tabs>
        <w:numPr>
          <w:ilvl w:val="0"/>
          <w:numId w:val="353"/>
        </w:numPr>
        <w:rPr>
          <w:rFonts w:ascii="Arial" w:cs="Arial" w:eastAsia="Arial" w:hAnsi="Arial"/>
          <w:sz w:val="16"/>
          <w:szCs w:val="16"/>
          <w:b w:val="1"/>
          <w:bCs w:val="1"/>
          <w:color w:val="auto"/>
        </w:rPr>
      </w:pPr>
      <w:r>
        <w:rPr>
          <w:rFonts w:ascii="Arial" w:cs="Arial" w:eastAsia="Arial" w:hAnsi="Arial"/>
          <w:sz w:val="16"/>
          <w:szCs w:val="16"/>
          <w:b w:val="1"/>
          <w:bCs w:val="1"/>
          <w:color w:val="auto"/>
        </w:rPr>
        <w:t>Common Parts</w:t>
      </w:r>
    </w:p>
    <w:p>
      <w:pPr>
        <w:spacing w:after="0" w:line="211" w:lineRule="exact"/>
        <w:rPr>
          <w:rFonts w:ascii="Arial" w:cs="Arial" w:eastAsia="Arial" w:hAnsi="Arial"/>
          <w:sz w:val="16"/>
          <w:szCs w:val="16"/>
          <w:b w:val="1"/>
          <w:bCs w:val="1"/>
          <w:color w:val="auto"/>
        </w:rPr>
      </w:pPr>
    </w:p>
    <w:p>
      <w:pPr>
        <w:ind w:left="582" w:right="120"/>
        <w:spacing w:after="0" w:line="270" w:lineRule="auto"/>
        <w:rPr>
          <w:rFonts w:ascii="Arial" w:cs="Arial" w:eastAsia="Arial" w:hAnsi="Arial"/>
          <w:sz w:val="16"/>
          <w:szCs w:val="16"/>
          <w:b w:val="1"/>
          <w:bCs w:val="1"/>
          <w:color w:val="auto"/>
        </w:rPr>
      </w:pPr>
      <w:r>
        <w:rPr>
          <w:rFonts w:ascii="Arial" w:cs="Arial" w:eastAsia="Arial" w:hAnsi="Arial"/>
          <w:sz w:val="16"/>
          <w:szCs w:val="16"/>
          <w:color w:val="auto"/>
        </w:rPr>
        <w:t>The Landlord acting reasonably may from time to time change the location area or arrangements for use by the Tenant of any part of the Common Parts or Service Media so long as there remains available for the benefit of the Premises rights reasonably commensurate with those granted by this Underlease and that the Tenant’s use and enjoyment of the Premises for the Permitted Use is not materially adversely affected thereby</w:t>
      </w:r>
    </w:p>
    <w:p>
      <w:pPr>
        <w:spacing w:after="0" w:line="157" w:lineRule="exact"/>
        <w:rPr>
          <w:rFonts w:ascii="Arial" w:cs="Arial" w:eastAsia="Arial" w:hAnsi="Arial"/>
          <w:sz w:val="16"/>
          <w:szCs w:val="16"/>
          <w:b w:val="1"/>
          <w:bCs w:val="1"/>
          <w:color w:val="auto"/>
        </w:rPr>
      </w:pPr>
    </w:p>
    <w:p>
      <w:pPr>
        <w:ind w:left="582" w:hanging="582"/>
        <w:spacing w:after="0"/>
        <w:tabs>
          <w:tab w:leader="none" w:pos="582" w:val="left"/>
        </w:tabs>
        <w:numPr>
          <w:ilvl w:val="0"/>
          <w:numId w:val="353"/>
        </w:numPr>
        <w:rPr>
          <w:rFonts w:ascii="Arial" w:cs="Arial" w:eastAsia="Arial" w:hAnsi="Arial"/>
          <w:sz w:val="16"/>
          <w:szCs w:val="16"/>
          <w:b w:val="1"/>
          <w:bCs w:val="1"/>
          <w:color w:val="auto"/>
        </w:rPr>
      </w:pPr>
      <w:r>
        <w:rPr>
          <w:rFonts w:ascii="Arial" w:cs="Arial" w:eastAsia="Arial" w:hAnsi="Arial"/>
          <w:sz w:val="16"/>
          <w:szCs w:val="16"/>
          <w:b w:val="1"/>
          <w:bCs w:val="1"/>
          <w:color w:val="auto"/>
        </w:rPr>
        <w:t>Data Protection Act consent</w:t>
      </w:r>
    </w:p>
    <w:p>
      <w:pPr>
        <w:spacing w:after="0" w:line="211" w:lineRule="exact"/>
        <w:rPr>
          <w:rFonts w:ascii="Arial" w:cs="Arial" w:eastAsia="Arial" w:hAnsi="Arial"/>
          <w:sz w:val="16"/>
          <w:szCs w:val="16"/>
          <w:b w:val="1"/>
          <w:bCs w:val="1"/>
          <w:color w:val="auto"/>
        </w:rPr>
      </w:pPr>
    </w:p>
    <w:p>
      <w:pPr>
        <w:ind w:left="582" w:right="80"/>
        <w:spacing w:after="0" w:line="270" w:lineRule="auto"/>
        <w:rPr>
          <w:rFonts w:ascii="Arial" w:cs="Arial" w:eastAsia="Arial" w:hAnsi="Arial"/>
          <w:sz w:val="16"/>
          <w:szCs w:val="16"/>
          <w:b w:val="1"/>
          <w:bCs w:val="1"/>
          <w:color w:val="auto"/>
        </w:rPr>
      </w:pPr>
      <w:r>
        <w:rPr>
          <w:rFonts w:ascii="Arial" w:cs="Arial" w:eastAsia="Arial" w:hAnsi="Arial"/>
          <w:sz w:val="16"/>
          <w:szCs w:val="16"/>
          <w:color w:val="auto"/>
        </w:rPr>
        <w:t>For the purposes of the Data Protection Act 1998 or otherwise the Tenant and any Surety agree that information held by the Landlord relating to this Underlease may be disclosed to third parties in connection with the management of and/or any disposal or other dealing with the whole or any part or parts of the Landlord’s interest in the Building</w:t>
      </w:r>
    </w:p>
    <w:p>
      <w:pPr>
        <w:spacing w:after="0" w:line="157" w:lineRule="exact"/>
        <w:rPr>
          <w:rFonts w:ascii="Arial" w:cs="Arial" w:eastAsia="Arial" w:hAnsi="Arial"/>
          <w:sz w:val="16"/>
          <w:szCs w:val="16"/>
          <w:b w:val="1"/>
          <w:bCs w:val="1"/>
          <w:color w:val="auto"/>
        </w:rPr>
      </w:pPr>
    </w:p>
    <w:p>
      <w:pPr>
        <w:ind w:left="582" w:hanging="582"/>
        <w:spacing w:after="0"/>
        <w:tabs>
          <w:tab w:leader="none" w:pos="582" w:val="left"/>
        </w:tabs>
        <w:numPr>
          <w:ilvl w:val="0"/>
          <w:numId w:val="353"/>
        </w:numPr>
        <w:rPr>
          <w:rFonts w:ascii="Arial" w:cs="Arial" w:eastAsia="Arial" w:hAnsi="Arial"/>
          <w:sz w:val="16"/>
          <w:szCs w:val="16"/>
          <w:b w:val="1"/>
          <w:bCs w:val="1"/>
          <w:color w:val="auto"/>
        </w:rPr>
      </w:pPr>
      <w:r>
        <w:rPr>
          <w:rFonts w:ascii="Arial" w:cs="Arial" w:eastAsia="Arial" w:hAnsi="Arial"/>
          <w:sz w:val="16"/>
          <w:szCs w:val="16"/>
          <w:b w:val="1"/>
          <w:bCs w:val="1"/>
          <w:color w:val="auto"/>
        </w:rPr>
        <w:t>Environmental Liability</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4"/>
          <w:szCs w:val="14"/>
          <w:color w:val="auto"/>
        </w:rPr>
        <w:t>In this paragraph 11:</w:t>
      </w:r>
    </w:p>
    <w:p>
      <w:pPr>
        <w:spacing w:after="0" w:line="203" w:lineRule="exact"/>
        <w:rPr>
          <w:sz w:val="20"/>
          <w:szCs w:val="20"/>
          <w:color w:val="auto"/>
        </w:rPr>
      </w:pPr>
    </w:p>
    <w:p>
      <w:pPr>
        <w:ind w:left="582" w:right="160"/>
        <w:spacing w:after="0" w:line="290" w:lineRule="auto"/>
        <w:rPr>
          <w:sz w:val="20"/>
          <w:szCs w:val="20"/>
          <w:color w:val="auto"/>
        </w:rPr>
      </w:pPr>
      <w:r>
        <w:rPr>
          <w:rFonts w:ascii="Arial" w:cs="Arial" w:eastAsia="Arial" w:hAnsi="Arial"/>
          <w:sz w:val="16"/>
          <w:szCs w:val="16"/>
          <w:b w:val="1"/>
          <w:bCs w:val="1"/>
          <w:color w:val="auto"/>
        </w:rPr>
        <w:t xml:space="preserve">“Contaminated Land Regime” </w:t>
      </w:r>
      <w:r>
        <w:rPr>
          <w:rFonts w:ascii="Arial" w:cs="Arial" w:eastAsia="Arial" w:hAnsi="Arial"/>
          <w:sz w:val="16"/>
          <w:szCs w:val="16"/>
          <w:color w:val="auto"/>
        </w:rPr>
        <w:t>means the contaminated land regime under Part 2A of the Environmental Protection Act 1990 (as amended from time to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statutory instrument or guidance issued under it (from time to time)</w:t>
      </w:r>
    </w:p>
    <w:p>
      <w:pPr>
        <w:spacing w:after="0" w:line="142"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 xml:space="preserve">“Enforcing Authority” </w:t>
      </w:r>
      <w:r>
        <w:rPr>
          <w:rFonts w:ascii="Arial" w:cs="Arial" w:eastAsia="Arial" w:hAnsi="Arial"/>
          <w:sz w:val="16"/>
          <w:szCs w:val="16"/>
          <w:color w:val="auto"/>
        </w:rPr>
        <w:t>means the relevant regulator for the Premises under the Contaminated Land Regime</w:t>
      </w:r>
    </w:p>
    <w:p>
      <w:pPr>
        <w:spacing w:after="0" w:line="207" w:lineRule="exact"/>
        <w:rPr>
          <w:sz w:val="20"/>
          <w:szCs w:val="20"/>
          <w:color w:val="auto"/>
        </w:rPr>
      </w:pPr>
    </w:p>
    <w:p>
      <w:pPr>
        <w:ind w:left="582" w:right="20"/>
        <w:spacing w:after="0" w:line="326" w:lineRule="auto"/>
        <w:rPr>
          <w:sz w:val="20"/>
          <w:szCs w:val="20"/>
          <w:color w:val="auto"/>
        </w:rPr>
      </w:pPr>
      <w:r>
        <w:rPr>
          <w:rFonts w:ascii="Arial" w:cs="Arial" w:eastAsia="Arial" w:hAnsi="Arial"/>
          <w:sz w:val="15"/>
          <w:szCs w:val="15"/>
          <w:b w:val="1"/>
          <w:bCs w:val="1"/>
          <w:color w:val="auto"/>
        </w:rPr>
        <w:t xml:space="preserve">“Environment” </w:t>
      </w:r>
      <w:r>
        <w:rPr>
          <w:rFonts w:ascii="Arial" w:cs="Arial" w:eastAsia="Arial" w:hAnsi="Arial"/>
          <w:sz w:val="15"/>
          <w:szCs w:val="15"/>
          <w:color w:val="auto"/>
        </w:rPr>
        <w:t>means the natural and man-made environment including all or any of the following media, namely air, water and land (including air within buildings</w:t>
      </w:r>
      <w:r>
        <w:rPr>
          <w:rFonts w:ascii="Arial" w:cs="Arial" w:eastAsia="Arial" w:hAnsi="Arial"/>
          <w:sz w:val="15"/>
          <w:szCs w:val="15"/>
          <w:b w:val="1"/>
          <w:bCs w:val="1"/>
          <w:color w:val="auto"/>
        </w:rPr>
        <w:t xml:space="preserve"> </w:t>
      </w:r>
      <w:r>
        <w:rPr>
          <w:rFonts w:ascii="Arial" w:cs="Arial" w:eastAsia="Arial" w:hAnsi="Arial"/>
          <w:sz w:val="15"/>
          <w:szCs w:val="15"/>
          <w:color w:val="auto"/>
        </w:rPr>
        <w:t>and other natural or man-made structures above or below the ground) and any living organisms (including man) or systems supported by those media</w:t>
      </w:r>
    </w:p>
    <w:p>
      <w:pPr>
        <w:spacing w:after="0" w:line="118" w:lineRule="exact"/>
        <w:rPr>
          <w:sz w:val="20"/>
          <w:szCs w:val="20"/>
          <w:color w:val="auto"/>
        </w:rPr>
      </w:pPr>
    </w:p>
    <w:p>
      <w:pPr>
        <w:ind w:left="582"/>
        <w:spacing w:after="0" w:line="366" w:lineRule="auto"/>
        <w:rPr>
          <w:sz w:val="20"/>
          <w:szCs w:val="20"/>
          <w:color w:val="auto"/>
        </w:rPr>
      </w:pPr>
      <w:r>
        <w:rPr>
          <w:rFonts w:ascii="Arial" w:cs="Arial" w:eastAsia="Arial" w:hAnsi="Arial"/>
          <w:sz w:val="14"/>
          <w:szCs w:val="14"/>
          <w:b w:val="1"/>
          <w:bCs w:val="1"/>
          <w:color w:val="auto"/>
        </w:rPr>
        <w:t xml:space="preserve">“Environmental Law” </w:t>
      </w:r>
      <w:r>
        <w:rPr>
          <w:rFonts w:ascii="Arial" w:cs="Arial" w:eastAsia="Arial" w:hAnsi="Arial"/>
          <w:sz w:val="14"/>
          <w:szCs w:val="14"/>
          <w:color w:val="auto"/>
        </w:rPr>
        <w:t>means all applicable laws, statutes, secondary legislation, bye-laws, common law, directives, treaties, judgments and decisions of any court or</w:t>
      </w:r>
      <w:r>
        <w:rPr>
          <w:rFonts w:ascii="Arial" w:cs="Arial" w:eastAsia="Arial" w:hAnsi="Arial"/>
          <w:sz w:val="14"/>
          <w:szCs w:val="14"/>
          <w:b w:val="1"/>
          <w:bCs w:val="1"/>
          <w:color w:val="auto"/>
        </w:rPr>
        <w:t xml:space="preserve"> </w:t>
      </w:r>
      <w:r>
        <w:rPr>
          <w:rFonts w:ascii="Arial" w:cs="Arial" w:eastAsia="Arial" w:hAnsi="Arial"/>
          <w:sz w:val="14"/>
          <w:szCs w:val="14"/>
          <w:color w:val="auto"/>
        </w:rPr>
        <w:t>tribunal, codes of practice compliance with which is a legal requirement (as amended from time to time) in so far as they relate to the protection of the Environment</w:t>
      </w:r>
    </w:p>
    <w:p>
      <w:pPr>
        <w:spacing w:after="0" w:line="96" w:lineRule="exact"/>
        <w:rPr>
          <w:sz w:val="20"/>
          <w:szCs w:val="20"/>
          <w:color w:val="auto"/>
        </w:rPr>
      </w:pPr>
    </w:p>
    <w:p>
      <w:pPr>
        <w:ind w:left="582" w:right="540"/>
        <w:spacing w:after="0" w:line="290" w:lineRule="auto"/>
        <w:rPr>
          <w:sz w:val="20"/>
          <w:szCs w:val="20"/>
          <w:color w:val="auto"/>
        </w:rPr>
      </w:pPr>
      <w:r>
        <w:rPr>
          <w:rFonts w:ascii="Arial" w:cs="Arial" w:eastAsia="Arial" w:hAnsi="Arial"/>
          <w:sz w:val="16"/>
          <w:szCs w:val="16"/>
          <w:b w:val="1"/>
          <w:bCs w:val="1"/>
          <w:color w:val="auto"/>
        </w:rPr>
        <w:t xml:space="preserve">“Hazardous Substances” </w:t>
      </w:r>
      <w:r>
        <w:rPr>
          <w:rFonts w:ascii="Arial" w:cs="Arial" w:eastAsia="Arial" w:hAnsi="Arial"/>
          <w:sz w:val="16"/>
          <w:szCs w:val="16"/>
          <w:color w:val="auto"/>
        </w:rPr>
        <w:t>means any substance in solid, liquid or gaseous form which, alone or in combination with others, is capable of causing harm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w:t>
      </w:r>
    </w:p>
    <w:p>
      <w:pPr>
        <w:spacing w:after="0" w:line="14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color w:val="auto"/>
        </w:rPr>
        <w:t>Notwithstanding any other provisions in this Lease, the Landlord and Tenant agree that:</w:t>
      </w:r>
    </w:p>
    <w:p>
      <w:pPr>
        <w:spacing w:after="0" w:line="207" w:lineRule="exact"/>
        <w:rPr>
          <w:sz w:val="20"/>
          <w:szCs w:val="20"/>
          <w:color w:val="auto"/>
        </w:rPr>
      </w:pPr>
    </w:p>
    <w:p>
      <w:pPr>
        <w:ind w:left="1162" w:hanging="586"/>
        <w:spacing w:after="0" w:line="314" w:lineRule="auto"/>
        <w:tabs>
          <w:tab w:leader="none" w:pos="1142" w:val="left"/>
        </w:tabs>
        <w:rPr>
          <w:sz w:val="20"/>
          <w:szCs w:val="20"/>
          <w:color w:val="auto"/>
        </w:rPr>
      </w:pPr>
      <w:r>
        <w:rPr>
          <w:rFonts w:ascii="Arial" w:cs="Arial" w:eastAsia="Arial" w:hAnsi="Arial"/>
          <w:sz w:val="16"/>
          <w:szCs w:val="16"/>
          <w:color w:val="auto"/>
        </w:rPr>
        <w:t>11.2.1</w:t>
      </w:r>
      <w:r>
        <w:rPr>
          <w:sz w:val="20"/>
          <w:szCs w:val="20"/>
          <w:color w:val="auto"/>
        </w:rPr>
        <w:tab/>
      </w:r>
      <w:r>
        <w:rPr>
          <w:rFonts w:ascii="Arial" w:cs="Arial" w:eastAsia="Arial" w:hAnsi="Arial"/>
          <w:sz w:val="14"/>
          <w:szCs w:val="14"/>
          <w:color w:val="auto"/>
        </w:rPr>
        <w:t>between the Landlord and the Tenant, the Landlord shall assume any liability under Environmental Law (including, without limitation, any liability under the Contaminated Land Regime) arising in respect of Hazardous Substances in, on, under or migrating from the Premises or the Building before the date of this Lease but the Tenant will have the burden of proof to show that any such Hazardous Substances existed prior to the date of this Lease and were not caused or knowingly permitted by the Tenant (and for the avoidance of doubt where the Tenant fails to establish this the Tenant shall assume such liability);</w:t>
      </w:r>
    </w:p>
    <w:p>
      <w:pPr>
        <w:spacing w:after="0" w:line="13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437" w:name="page438"/>
    <w:bookmarkEnd w:id="437"/>
    <w:p>
      <w:pPr>
        <w:ind w:left="1162" w:right="280" w:hanging="586"/>
        <w:spacing w:after="0" w:line="285" w:lineRule="auto"/>
        <w:tabs>
          <w:tab w:leader="none" w:pos="1142" w:val="left"/>
        </w:tabs>
        <w:rPr>
          <w:sz w:val="20"/>
          <w:szCs w:val="20"/>
          <w:color w:val="auto"/>
        </w:rPr>
      </w:pPr>
      <w:r>
        <w:rPr>
          <w:rFonts w:ascii="Arial" w:cs="Arial" w:eastAsia="Arial" w:hAnsi="Arial"/>
          <w:sz w:val="16"/>
          <w:szCs w:val="16"/>
          <w:color w:val="auto"/>
        </w:rPr>
        <w:t>11.2.2</w:t>
        <w:tab/>
        <w:t>the provisions of this paragraph constitute an agreement on liabilities under the Contaminated Land Statutory Guidance published by the Department for Environment, Food and Rural Affairs in April 2012;</w:t>
      </w:r>
    </w:p>
    <w:p>
      <w:pPr>
        <w:spacing w:after="0" w:line="150" w:lineRule="exact"/>
        <w:rPr>
          <w:sz w:val="20"/>
          <w:szCs w:val="20"/>
          <w:color w:val="auto"/>
        </w:rPr>
      </w:pPr>
    </w:p>
    <w:p>
      <w:pPr>
        <w:ind w:left="1162" w:right="220" w:hanging="586"/>
        <w:spacing w:after="0" w:line="265" w:lineRule="auto"/>
        <w:tabs>
          <w:tab w:leader="none" w:pos="1142" w:val="left"/>
        </w:tabs>
        <w:rPr>
          <w:sz w:val="20"/>
          <w:szCs w:val="20"/>
          <w:color w:val="auto"/>
        </w:rPr>
      </w:pPr>
      <w:r>
        <w:rPr>
          <w:rFonts w:ascii="Arial" w:cs="Arial" w:eastAsia="Arial" w:hAnsi="Arial"/>
          <w:sz w:val="16"/>
          <w:szCs w:val="16"/>
          <w:color w:val="auto"/>
        </w:rPr>
        <w:t>11.2.3</w:t>
        <w:tab/>
        <w:t>if the Enforcing Authority serves a notice under the Contaminated Land Regime on either party, either party may produce a copy of this paragraph to that Enforcing Authority for the purposes of paragraph 7.29 of the Contaminated Land Statutory Guidance (or any equivalent provisions under statutory guidance which replaces or amends it), regardless of any confidentiality agreement that may exist between the parties relating to this Lease or any of its provisions;</w:t>
      </w:r>
    </w:p>
    <w:p>
      <w:pPr>
        <w:spacing w:after="0" w:line="166"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11.2.4</w:t>
      </w:r>
      <w:r>
        <w:rPr>
          <w:sz w:val="20"/>
          <w:szCs w:val="20"/>
          <w:color w:val="auto"/>
        </w:rPr>
        <w:tab/>
      </w:r>
      <w:r>
        <w:rPr>
          <w:rFonts w:ascii="Arial" w:cs="Arial" w:eastAsia="Arial" w:hAnsi="Arial"/>
          <w:sz w:val="14"/>
          <w:szCs w:val="14"/>
          <w:color w:val="auto"/>
        </w:rPr>
        <w:t>Neither party shall challenge the application of the agreement on liabilities set out in this paragraph</w:t>
      </w:r>
    </w:p>
    <w:p>
      <w:pPr>
        <w:spacing w:after="0" w:line="207"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color w:val="auto"/>
        </w:rPr>
        <w:t>Schedule 5</w:t>
      </w:r>
    </w:p>
    <w:p>
      <w:pPr>
        <w:spacing w:after="0" w:line="207"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color w:val="auto"/>
        </w:rPr>
        <w:t>Insurance</w:t>
      </w:r>
    </w:p>
    <w:p>
      <w:pPr>
        <w:spacing w:after="0" w:line="207" w:lineRule="exact"/>
        <w:rPr>
          <w:sz w:val="20"/>
          <w:szCs w:val="20"/>
          <w:color w:val="auto"/>
        </w:rPr>
      </w:pPr>
    </w:p>
    <w:p>
      <w:pPr>
        <w:ind w:left="582" w:hanging="582"/>
        <w:spacing w:after="0"/>
        <w:tabs>
          <w:tab w:leader="none" w:pos="582" w:val="left"/>
        </w:tabs>
        <w:numPr>
          <w:ilvl w:val="0"/>
          <w:numId w:val="354"/>
        </w:numPr>
        <w:rPr>
          <w:rFonts w:ascii="Arial" w:cs="Arial" w:eastAsia="Arial" w:hAnsi="Arial"/>
          <w:sz w:val="16"/>
          <w:szCs w:val="16"/>
          <w:b w:val="1"/>
          <w:bCs w:val="1"/>
          <w:color w:val="auto"/>
        </w:rPr>
      </w:pPr>
      <w:r>
        <w:rPr>
          <w:rFonts w:ascii="Arial" w:cs="Arial" w:eastAsia="Arial" w:hAnsi="Arial"/>
          <w:sz w:val="16"/>
          <w:szCs w:val="16"/>
          <w:b w:val="1"/>
          <w:bCs w:val="1"/>
          <w:color w:val="auto"/>
        </w:rPr>
        <w:t>Covenant to insure and reinstate</w:t>
      </w:r>
    </w:p>
    <w:p>
      <w:pPr>
        <w:spacing w:after="0" w:line="211" w:lineRule="exact"/>
        <w:rPr>
          <w:sz w:val="20"/>
          <w:szCs w:val="20"/>
          <w:color w:val="auto"/>
        </w:rPr>
      </w:pPr>
    </w:p>
    <w:p>
      <w:pPr>
        <w:ind w:left="582" w:right="80" w:hanging="586"/>
        <w:spacing w:after="0" w:line="284" w:lineRule="auto"/>
        <w:tabs>
          <w:tab w:leader="none" w:pos="562"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5"/>
          <w:szCs w:val="15"/>
          <w:color w:val="auto"/>
        </w:rPr>
        <w:t xml:space="preserve">Without prejudice to the generality of paragraph 2 of schedule 3 the Landlord covenants with the Tenant to take all reasonable steps to comply with its obligations under the Superior Lease to insure the Building at all times and to reinstate and rebuild in accordance with the provisions of the Superior Lease in the event that the Premises or any Common Parts reasonably required for the use of the Premises or any parts thereof are damaged or destroyed by any Insured Risk save to the extent that the insurance is vitiated by some act or default of the Tenant and </w:t>
      </w:r>
      <w:r>
        <w:rPr>
          <w:rFonts w:ascii="Arial" w:cs="Arial" w:eastAsia="Arial" w:hAnsi="Arial"/>
          <w:sz w:val="15"/>
          <w:szCs w:val="15"/>
          <w:u w:val="single" w:color="auto"/>
          <w:color w:val="auto"/>
        </w:rPr>
        <w:t>SUBJECT TO</w:t>
      </w:r>
      <w:r>
        <w:rPr>
          <w:rFonts w:ascii="Arial" w:cs="Arial" w:eastAsia="Arial" w:hAnsi="Arial"/>
          <w:sz w:val="15"/>
          <w:szCs w:val="15"/>
          <w:color w:val="auto"/>
        </w:rPr>
        <w:t xml:space="preserve"> the payment by the Tenant to the Landlord of any money payable under paragraph 4 of this schedule which the Landlord will (following such payment) lay out in such reinstatement or rebuilding</w:t>
      </w:r>
    </w:p>
    <w:p>
      <w:pPr>
        <w:spacing w:after="0" w:line="153"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The Landlord will produce to the Tenant on request (but not more often than once in any period of twelve months) reasonable evidence from the Insurers of the terms and subsistence of any policy or policies of such insurance and details of any material changes</w:t>
      </w:r>
    </w:p>
    <w:p>
      <w:pPr>
        <w:spacing w:after="0" w:line="150" w:lineRule="exact"/>
        <w:rPr>
          <w:sz w:val="20"/>
          <w:szCs w:val="20"/>
          <w:color w:val="auto"/>
        </w:rPr>
      </w:pPr>
    </w:p>
    <w:p>
      <w:pPr>
        <w:ind w:left="582" w:right="100" w:hanging="586"/>
        <w:spacing w:after="0" w:line="285" w:lineRule="auto"/>
        <w:tabs>
          <w:tab w:leader="none" w:pos="562"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The Tenant will give the Landlord written notice of the estimated reinstatement cost of any fixtures and fittings installed from time to time by the Tenant which may become landlord’s fixtures and fittings</w:t>
      </w:r>
    </w:p>
    <w:p>
      <w:pPr>
        <w:spacing w:after="0" w:line="150" w:lineRule="exact"/>
        <w:rPr>
          <w:sz w:val="20"/>
          <w:szCs w:val="20"/>
          <w:color w:val="auto"/>
        </w:rPr>
      </w:pPr>
    </w:p>
    <w:p>
      <w:pPr>
        <w:jc w:val="both"/>
        <w:ind w:left="582" w:right="240" w:hanging="586"/>
        <w:spacing w:after="0" w:line="270" w:lineRule="auto"/>
        <w:tabs>
          <w:tab w:leader="none" w:pos="562"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The Landlord will use all reasonable endeavours to procure that the terms of the insurance of the Building allow the Tenant’s interest to be noted on the policy or provide for automatic noting in the event of a claim and contain a waiver by the Insurers of rights of subrogation against the Tenant on such terms as are available from the Insurers</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4"/>
          <w:szCs w:val="14"/>
          <w:color w:val="auto"/>
        </w:rPr>
        <w:t>The Landlord will at all times insure against loss of the Yearly Rent for a period of three years</w:t>
      </w:r>
    </w:p>
    <w:p>
      <w:pPr>
        <w:spacing w:after="0" w:line="203" w:lineRule="exact"/>
        <w:rPr>
          <w:sz w:val="20"/>
          <w:szCs w:val="20"/>
          <w:color w:val="auto"/>
        </w:rPr>
      </w:pPr>
    </w:p>
    <w:p>
      <w:pPr>
        <w:ind w:left="582" w:hanging="582"/>
        <w:spacing w:after="0"/>
        <w:tabs>
          <w:tab w:leader="none" w:pos="582" w:val="left"/>
        </w:tabs>
        <w:numPr>
          <w:ilvl w:val="0"/>
          <w:numId w:val="355"/>
        </w:numPr>
        <w:rPr>
          <w:rFonts w:ascii="Arial" w:cs="Arial" w:eastAsia="Arial" w:hAnsi="Arial"/>
          <w:sz w:val="16"/>
          <w:szCs w:val="16"/>
          <w:b w:val="1"/>
          <w:bCs w:val="1"/>
          <w:color w:val="auto"/>
        </w:rPr>
      </w:pPr>
      <w:r>
        <w:rPr>
          <w:rFonts w:ascii="Arial" w:cs="Arial" w:eastAsia="Arial" w:hAnsi="Arial"/>
          <w:sz w:val="16"/>
          <w:szCs w:val="16"/>
          <w:b w:val="1"/>
          <w:bCs w:val="1"/>
          <w:color w:val="auto"/>
        </w:rPr>
        <w:t>Insurance Rent</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The Tenant will pay to the Landlord the Insurance Rent in accordance with clause 2.2.1</w:t>
      </w:r>
    </w:p>
    <w:p>
      <w:pPr>
        <w:spacing w:after="0" w:line="203" w:lineRule="exact"/>
        <w:rPr>
          <w:rFonts w:ascii="Arial" w:cs="Arial" w:eastAsia="Arial" w:hAnsi="Arial"/>
          <w:sz w:val="16"/>
          <w:szCs w:val="16"/>
          <w:b w:val="1"/>
          <w:bCs w:val="1"/>
          <w:color w:val="auto"/>
        </w:rPr>
      </w:pPr>
    </w:p>
    <w:p>
      <w:pPr>
        <w:ind w:left="582" w:hanging="582"/>
        <w:spacing w:after="0"/>
        <w:tabs>
          <w:tab w:leader="none" w:pos="582" w:val="left"/>
        </w:tabs>
        <w:numPr>
          <w:ilvl w:val="0"/>
          <w:numId w:val="355"/>
        </w:numPr>
        <w:rPr>
          <w:rFonts w:ascii="Arial" w:cs="Arial" w:eastAsia="Arial" w:hAnsi="Arial"/>
          <w:sz w:val="16"/>
          <w:szCs w:val="16"/>
          <w:b w:val="1"/>
          <w:bCs w:val="1"/>
          <w:color w:val="auto"/>
        </w:rPr>
      </w:pPr>
      <w:r>
        <w:rPr>
          <w:rFonts w:ascii="Arial" w:cs="Arial" w:eastAsia="Arial" w:hAnsi="Arial"/>
          <w:sz w:val="16"/>
          <w:szCs w:val="16"/>
          <w:b w:val="1"/>
          <w:bCs w:val="1"/>
          <w:color w:val="auto"/>
        </w:rPr>
        <w:t>Reinstatement prevented and determination</w:t>
      </w:r>
    </w:p>
    <w:p>
      <w:pPr>
        <w:spacing w:after="0" w:line="211" w:lineRule="exact"/>
        <w:rPr>
          <w:sz w:val="20"/>
          <w:szCs w:val="20"/>
          <w:color w:val="auto"/>
        </w:rPr>
      </w:pPr>
    </w:p>
    <w:p>
      <w:pPr>
        <w:jc w:val="both"/>
        <w:ind w:left="582" w:right="360" w:hanging="586"/>
        <w:spacing w:after="0" w:line="265" w:lineRule="auto"/>
        <w:tabs>
          <w:tab w:leader="none" w:pos="562"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If at the date that is three years from and including the date of damage or destruction all destruction or damage by any Insured Risk to the Building or any of the Common Parts reasonably required for the use of the Premises in accordance with this Underlease has not been made good and the Premises are still unfit for or incapable of occupation and use the Landlord or the Tenant may by written notice to the other given at any time within six months after such date and whilst the Premises are still unfit for use terminate the Term with immediate effect and the Landlord will be</w:t>
      </w:r>
    </w:p>
    <w:p>
      <w:pPr>
        <w:spacing w:after="0" w:line="166"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2"/>
          </w:cols>
          <w:pgMar w:left="238" w:top="323" w:right="279" w:bottom="1440" w:gutter="0" w:footer="0" w:header="0"/>
        </w:sectPr>
      </w:pPr>
    </w:p>
    <w:bookmarkStart w:id="438" w:name="page439"/>
    <w:bookmarkEnd w:id="438"/>
    <w:p>
      <w:pPr>
        <w:ind w:left="582" w:right="20"/>
        <w:spacing w:after="0" w:line="285" w:lineRule="auto"/>
        <w:rPr>
          <w:sz w:val="20"/>
          <w:szCs w:val="20"/>
          <w:color w:val="auto"/>
        </w:rPr>
      </w:pPr>
      <w:r>
        <w:rPr>
          <w:rFonts w:ascii="Arial" w:cs="Arial" w:eastAsia="Arial" w:hAnsi="Arial"/>
          <w:sz w:val="16"/>
          <w:szCs w:val="16"/>
          <w:color w:val="auto"/>
        </w:rPr>
        <w:t xml:space="preserve">entitled to all the insurance money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termination will be without prejudice to any claim in respect of any antecedent breach of the obligations under this Underlease</w:t>
      </w:r>
    </w:p>
    <w:p>
      <w:pPr>
        <w:spacing w:after="0" w:line="150"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any such notice given by the Tenant will only have effect if the Tenant has complied with its obligations under paragraph 4 of this schedule and any such notice given by the Landlord will only have effect if the Landlord has complied materially with its obligations at paragraph 1.1 of this schedule</w:t>
      </w:r>
    </w:p>
    <w:p>
      <w:pPr>
        <w:spacing w:after="0" w:line="146" w:lineRule="exact"/>
        <w:rPr>
          <w:sz w:val="20"/>
          <w:szCs w:val="20"/>
          <w:color w:val="auto"/>
        </w:rPr>
      </w:pPr>
    </w:p>
    <w:p>
      <w:pPr>
        <w:ind w:left="582" w:hanging="582"/>
        <w:spacing w:after="0"/>
        <w:tabs>
          <w:tab w:leader="none" w:pos="582" w:val="left"/>
        </w:tabs>
        <w:numPr>
          <w:ilvl w:val="0"/>
          <w:numId w:val="356"/>
        </w:numPr>
        <w:rPr>
          <w:rFonts w:ascii="Arial" w:cs="Arial" w:eastAsia="Arial" w:hAnsi="Arial"/>
          <w:sz w:val="16"/>
          <w:szCs w:val="16"/>
          <w:b w:val="1"/>
          <w:bCs w:val="1"/>
          <w:color w:val="auto"/>
        </w:rPr>
      </w:pPr>
      <w:r>
        <w:rPr>
          <w:rFonts w:ascii="Arial" w:cs="Arial" w:eastAsia="Arial" w:hAnsi="Arial"/>
          <w:sz w:val="16"/>
          <w:szCs w:val="16"/>
          <w:b w:val="1"/>
          <w:bCs w:val="1"/>
          <w:color w:val="auto"/>
        </w:rPr>
        <w:t>Further payments by the Tenant</w:t>
      </w:r>
    </w:p>
    <w:p>
      <w:pPr>
        <w:spacing w:after="0" w:line="211" w:lineRule="exact"/>
        <w:rPr>
          <w:sz w:val="20"/>
          <w:szCs w:val="20"/>
          <w:color w:val="auto"/>
        </w:rPr>
      </w:pPr>
    </w:p>
    <w:p>
      <w:pPr>
        <w:ind w:left="582" w:right="500" w:hanging="586"/>
        <w:spacing w:after="0" w:line="285" w:lineRule="auto"/>
        <w:tabs>
          <w:tab w:leader="none" w:pos="562"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If the payment of any insurance money is refused owing to some act or default of the Tenant the Tenant will pay to the Landlord the amount so refused within fourteen days of demand</w:t>
      </w:r>
    </w:p>
    <w:p>
      <w:pPr>
        <w:spacing w:after="0" w:line="150" w:lineRule="exact"/>
        <w:rPr>
          <w:sz w:val="20"/>
          <w:szCs w:val="20"/>
          <w:color w:val="auto"/>
        </w:rPr>
      </w:pPr>
    </w:p>
    <w:p>
      <w:pPr>
        <w:jc w:val="both"/>
        <w:ind w:left="582" w:right="240" w:hanging="586"/>
        <w:spacing w:after="0" w:line="270" w:lineRule="auto"/>
        <w:tabs>
          <w:tab w:leader="none" w:pos="562"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If any excess to which any policy of insurance relating to the Premises is subject becomes applicable, where the insurance claim in respect of which the excess is payable relates to the whole or any part of the Premises and/or the whole or any part of the Common Parts the Tenant will pay to the Landlord the amount of such excess or a fair proportion of the total excess which applies to the Building within fourteen days of written demand</w:t>
      </w:r>
    </w:p>
    <w:p>
      <w:pPr>
        <w:spacing w:after="0" w:line="158" w:lineRule="exact"/>
        <w:rPr>
          <w:sz w:val="20"/>
          <w:szCs w:val="20"/>
          <w:color w:val="auto"/>
        </w:rPr>
      </w:pPr>
    </w:p>
    <w:p>
      <w:pPr>
        <w:ind w:left="582" w:hanging="582"/>
        <w:spacing w:after="0"/>
        <w:tabs>
          <w:tab w:leader="none" w:pos="582" w:val="left"/>
        </w:tabs>
        <w:numPr>
          <w:ilvl w:val="0"/>
          <w:numId w:val="357"/>
        </w:numPr>
        <w:rPr>
          <w:rFonts w:ascii="Arial" w:cs="Arial" w:eastAsia="Arial" w:hAnsi="Arial"/>
          <w:sz w:val="16"/>
          <w:szCs w:val="16"/>
          <w:b w:val="1"/>
          <w:bCs w:val="1"/>
          <w:color w:val="auto"/>
        </w:rPr>
      </w:pPr>
      <w:r>
        <w:rPr>
          <w:rFonts w:ascii="Arial" w:cs="Arial" w:eastAsia="Arial" w:hAnsi="Arial"/>
          <w:sz w:val="16"/>
          <w:szCs w:val="16"/>
          <w:b w:val="1"/>
          <w:bCs w:val="1"/>
          <w:color w:val="auto"/>
        </w:rPr>
        <w:t>Suspension of Rent</w:t>
      </w:r>
    </w:p>
    <w:p>
      <w:pPr>
        <w:spacing w:after="0" w:line="211" w:lineRule="exact"/>
        <w:rPr>
          <w:rFonts w:ascii="Arial" w:cs="Arial" w:eastAsia="Arial" w:hAnsi="Arial"/>
          <w:sz w:val="16"/>
          <w:szCs w:val="16"/>
          <w:b w:val="1"/>
          <w:bCs w:val="1"/>
          <w:color w:val="auto"/>
        </w:rPr>
      </w:pPr>
    </w:p>
    <w:p>
      <w:pPr>
        <w:ind w:left="582" w:right="20"/>
        <w:spacing w:after="0" w:line="280" w:lineRule="auto"/>
        <w:rPr>
          <w:rFonts w:ascii="Arial" w:cs="Arial" w:eastAsia="Arial" w:hAnsi="Arial"/>
          <w:sz w:val="16"/>
          <w:szCs w:val="16"/>
          <w:b w:val="1"/>
          <w:bCs w:val="1"/>
          <w:color w:val="auto"/>
        </w:rPr>
      </w:pPr>
      <w:r>
        <w:rPr>
          <w:rFonts w:ascii="Arial" w:cs="Arial" w:eastAsia="Arial" w:hAnsi="Arial"/>
          <w:sz w:val="15"/>
          <w:szCs w:val="15"/>
          <w:color w:val="auto"/>
        </w:rPr>
        <w:t xml:space="preserve">If any part of the Building or any of the Common Parts reasonably required for the use of the Premises in accordance with this Underlease are destroyed or damaged by any Insured Risk so as to render the Premises or a material part thereof unfit for or incapable of occupation and use or inaccessible the Rent or a fair proportion of it according to the nature and extent of the damage sustained will be suspended (save to the extent that the insurance money is irrecoverable owing to some act or default of the Tenant) until the Premises cease to be unfit for or incapable of occupation and use and/or inaccessible or three years from the date of damage or destruction (whichever is the earlier)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any dispute as to the extent proportion or period of such suspension will be determined by an arbitrator to be agreed upon by the Landlord and by the Tenant or at the request of either of them to be nominated by or on behalf of the President for the time being of the Royal Institution of Chartered Surveyors in accordance with the Arbitration Act 1996</w:t>
      </w:r>
    </w:p>
    <w:p>
      <w:pPr>
        <w:spacing w:after="0" w:line="152" w:lineRule="exact"/>
        <w:rPr>
          <w:rFonts w:ascii="Arial" w:cs="Arial" w:eastAsia="Arial" w:hAnsi="Arial"/>
          <w:sz w:val="16"/>
          <w:szCs w:val="16"/>
          <w:b w:val="1"/>
          <w:bCs w:val="1"/>
          <w:color w:val="auto"/>
        </w:rPr>
      </w:pPr>
    </w:p>
    <w:p>
      <w:pPr>
        <w:ind w:left="582" w:hanging="582"/>
        <w:spacing w:after="0"/>
        <w:tabs>
          <w:tab w:leader="none" w:pos="582" w:val="left"/>
        </w:tabs>
        <w:numPr>
          <w:ilvl w:val="0"/>
          <w:numId w:val="357"/>
        </w:numPr>
        <w:rPr>
          <w:rFonts w:ascii="Arial" w:cs="Arial" w:eastAsia="Arial" w:hAnsi="Arial"/>
          <w:sz w:val="16"/>
          <w:szCs w:val="16"/>
          <w:b w:val="1"/>
          <w:bCs w:val="1"/>
          <w:color w:val="auto"/>
        </w:rPr>
      </w:pPr>
      <w:r>
        <w:rPr>
          <w:rFonts w:ascii="Arial" w:cs="Arial" w:eastAsia="Arial" w:hAnsi="Arial"/>
          <w:sz w:val="16"/>
          <w:szCs w:val="16"/>
          <w:b w:val="1"/>
          <w:bCs w:val="1"/>
          <w:color w:val="auto"/>
        </w:rPr>
        <w:t>Benefit of other insurances</w:t>
      </w:r>
    </w:p>
    <w:p>
      <w:pPr>
        <w:spacing w:after="0" w:line="211" w:lineRule="exact"/>
        <w:rPr>
          <w:rFonts w:ascii="Arial" w:cs="Arial" w:eastAsia="Arial" w:hAnsi="Arial"/>
          <w:sz w:val="16"/>
          <w:szCs w:val="16"/>
          <w:b w:val="1"/>
          <w:bCs w:val="1"/>
          <w:color w:val="auto"/>
        </w:rPr>
      </w:pPr>
    </w:p>
    <w:p>
      <w:pPr>
        <w:ind w:left="582" w:right="40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The Tenant will apply all money which it receives by virtue of any insurance of the Premises in making good the loss or damage in respect of which it has been received</w:t>
      </w:r>
    </w:p>
    <w:p>
      <w:pPr>
        <w:spacing w:after="0" w:line="145" w:lineRule="exact"/>
        <w:rPr>
          <w:rFonts w:ascii="Arial" w:cs="Arial" w:eastAsia="Arial" w:hAnsi="Arial"/>
          <w:sz w:val="16"/>
          <w:szCs w:val="16"/>
          <w:b w:val="1"/>
          <w:bCs w:val="1"/>
          <w:color w:val="auto"/>
        </w:rPr>
      </w:pPr>
    </w:p>
    <w:p>
      <w:pPr>
        <w:ind w:left="582" w:right="9040" w:hanging="582"/>
        <w:spacing w:after="0" w:line="512" w:lineRule="auto"/>
        <w:tabs>
          <w:tab w:leader="none" w:pos="582" w:val="left"/>
        </w:tabs>
        <w:numPr>
          <w:ilvl w:val="0"/>
          <w:numId w:val="3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becoming void </w:t>
      </w:r>
      <w:r>
        <w:rPr>
          <w:rFonts w:ascii="Arial" w:cs="Arial" w:eastAsia="Arial" w:hAnsi="Arial"/>
          <w:sz w:val="16"/>
          <w:szCs w:val="16"/>
          <w:color w:val="auto"/>
        </w:rPr>
        <w:t>The Tenant will:-</w:t>
      </w:r>
    </w:p>
    <w:p>
      <w:pPr>
        <w:spacing w:after="0" w:line="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4"/>
          <w:szCs w:val="14"/>
          <w:color w:val="auto"/>
        </w:rPr>
        <w:t>not cause any policy of insurance covering the Premises or any other land to become void or voidable or the rate of premium of any such policy to be increased</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5"/>
          <w:szCs w:val="15"/>
          <w:color w:val="auto"/>
        </w:rPr>
        <w:t>comply with all requirements from time to time of the Insurers in relation to the Premises which have been notified in writing to the Tenant</w:t>
      </w:r>
    </w:p>
    <w:p>
      <w:pPr>
        <w:spacing w:after="0" w:line="207"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2"/>
          </w:cols>
          <w:pgMar w:left="238" w:top="322" w:right="279" w:bottom="1440" w:gutter="0" w:footer="0" w:header="0"/>
        </w:sectPr>
      </w:pPr>
    </w:p>
    <w:bookmarkStart w:id="439" w:name="page440"/>
    <w:bookmarkEnd w:id="439"/>
    <w:p>
      <w:pPr>
        <w:ind w:left="582" w:hanging="582"/>
        <w:spacing w:after="0"/>
        <w:tabs>
          <w:tab w:leader="none" w:pos="582" w:val="left"/>
        </w:tabs>
        <w:numPr>
          <w:ilvl w:val="0"/>
          <w:numId w:val="358"/>
        </w:numPr>
        <w:rPr>
          <w:rFonts w:ascii="Arial" w:cs="Arial" w:eastAsia="Arial" w:hAnsi="Arial"/>
          <w:sz w:val="16"/>
          <w:szCs w:val="16"/>
          <w:b w:val="1"/>
          <w:bCs w:val="1"/>
          <w:color w:val="auto"/>
        </w:rPr>
      </w:pPr>
      <w:r>
        <w:rPr>
          <w:rFonts w:ascii="Arial" w:cs="Arial" w:eastAsia="Arial" w:hAnsi="Arial"/>
          <w:sz w:val="16"/>
          <w:szCs w:val="16"/>
          <w:b w:val="1"/>
          <w:bCs w:val="1"/>
          <w:color w:val="auto"/>
        </w:rPr>
        <w:t>Notice by Tenant</w:t>
      </w:r>
    </w:p>
    <w:p>
      <w:pPr>
        <w:spacing w:after="0" w:line="211" w:lineRule="exact"/>
        <w:rPr>
          <w:rFonts w:ascii="Arial" w:cs="Arial" w:eastAsia="Arial" w:hAnsi="Arial"/>
          <w:sz w:val="16"/>
          <w:szCs w:val="16"/>
          <w:b w:val="1"/>
          <w:bCs w:val="1"/>
          <w:color w:val="auto"/>
        </w:rPr>
      </w:pPr>
    </w:p>
    <w:p>
      <w:pPr>
        <w:ind w:left="582" w:right="26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The Tenant will give written notice to the Landlord as soon as practicable after it becomes aware of any event which might affect or give rise to a claim under any policy of insurance covering the Premises</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358"/>
        </w:numPr>
        <w:rPr>
          <w:rFonts w:ascii="Arial" w:cs="Arial" w:eastAsia="Arial" w:hAnsi="Arial"/>
          <w:sz w:val="16"/>
          <w:szCs w:val="16"/>
          <w:b w:val="1"/>
          <w:bCs w:val="1"/>
          <w:color w:val="auto"/>
        </w:rPr>
      </w:pPr>
      <w:r>
        <w:rPr>
          <w:rFonts w:ascii="Arial" w:cs="Arial" w:eastAsia="Arial" w:hAnsi="Arial"/>
          <w:sz w:val="16"/>
          <w:szCs w:val="16"/>
          <w:b w:val="1"/>
          <w:bCs w:val="1"/>
          <w:color w:val="auto"/>
        </w:rPr>
        <w:t>Uninsured Risks</w:t>
      </w:r>
    </w:p>
    <w:p>
      <w:pPr>
        <w:spacing w:after="0" w:line="211" w:lineRule="exact"/>
        <w:rPr>
          <w:sz w:val="20"/>
          <w:szCs w:val="20"/>
          <w:color w:val="auto"/>
        </w:rPr>
      </w:pPr>
    </w:p>
    <w:p>
      <w:pPr>
        <w:ind w:left="582" w:right="460"/>
        <w:spacing w:after="0" w:line="360" w:lineRule="auto"/>
        <w:rPr>
          <w:sz w:val="20"/>
          <w:szCs w:val="20"/>
          <w:color w:val="auto"/>
        </w:rPr>
      </w:pPr>
      <w:r>
        <w:rPr>
          <w:rFonts w:ascii="Arial" w:cs="Arial" w:eastAsia="Arial" w:hAnsi="Arial"/>
          <w:sz w:val="14"/>
          <w:szCs w:val="14"/>
          <w:color w:val="auto"/>
        </w:rPr>
        <w:t>If the Premises are wholly or substantially damaged or destroyed by a risk that was an Insured Risk at the date of this Lease but, at the date of the damage to or destruction of the Premises, insurance is no longer available in respect of that risk through reputable and substantial insurers at normal commercial rates:</w:t>
      </w:r>
    </w:p>
    <w:p>
      <w:pPr>
        <w:spacing w:after="0" w:line="104" w:lineRule="exact"/>
        <w:rPr>
          <w:sz w:val="20"/>
          <w:szCs w:val="20"/>
          <w:color w:val="auto"/>
        </w:rPr>
      </w:pPr>
    </w:p>
    <w:p>
      <w:pPr>
        <w:ind w:left="582" w:right="160" w:hanging="586"/>
        <w:spacing w:after="0" w:line="285" w:lineRule="auto"/>
        <w:tabs>
          <w:tab w:leader="none" w:pos="562"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6"/>
          <w:szCs w:val="16"/>
          <w:color w:val="auto"/>
        </w:rPr>
        <w:t>the provisions of paragraph 1 of this Schedule will apply as if the damage to or destruction of the Premises had been caused by an Insured Risk and will continue to apply until the Premises have been rebuilt and reinstated and are fit for occupation and use;</w:t>
      </w:r>
    </w:p>
    <w:p>
      <w:pPr>
        <w:spacing w:after="0" w:line="150" w:lineRule="exact"/>
        <w:rPr>
          <w:sz w:val="20"/>
          <w:szCs w:val="20"/>
          <w:color w:val="auto"/>
        </w:rPr>
      </w:pPr>
    </w:p>
    <w:p>
      <w:pPr>
        <w:ind w:left="582" w:right="280" w:hanging="586"/>
        <w:spacing w:after="0" w:line="285" w:lineRule="auto"/>
        <w:tabs>
          <w:tab w:leader="none" w:pos="562"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color w:val="auto"/>
        </w:rPr>
        <w:t>neither the Landlord nor the Tenant will be under any obligation to repair, decorate, rebuild or reinstate the Premises or to contribute towards the costs of doing so except in accordance with the terms of this paragraph 9</w:t>
      </w:r>
    </w:p>
    <w:p>
      <w:pPr>
        <w:spacing w:after="0" w:line="150" w:lineRule="exact"/>
        <w:rPr>
          <w:sz w:val="20"/>
          <w:szCs w:val="20"/>
          <w:color w:val="auto"/>
        </w:rPr>
      </w:pPr>
    </w:p>
    <w:p>
      <w:pPr>
        <w:ind w:left="582" w:right="340" w:hanging="586"/>
        <w:spacing w:after="0" w:line="285" w:lineRule="auto"/>
        <w:tabs>
          <w:tab w:leader="none" w:pos="562"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this Lease will end on the date one year after the date of the damage to or destruction of the Premises unless, during that year, the Landlord serves a notice on the Tenant in which the Landlord elects either to reinstate or rebuild the Premises or to end this Lease on an earlier date</w:t>
      </w:r>
    </w:p>
    <w:p>
      <w:pPr>
        <w:spacing w:after="0" w:line="150" w:lineRule="exact"/>
        <w:rPr>
          <w:sz w:val="20"/>
          <w:szCs w:val="20"/>
          <w:color w:val="auto"/>
        </w:rPr>
      </w:pPr>
    </w:p>
    <w:p>
      <w:pPr>
        <w:jc w:val="both"/>
        <w:ind w:left="582" w:hanging="586"/>
        <w:spacing w:after="0" w:line="270" w:lineRule="auto"/>
        <w:tabs>
          <w:tab w:leader="none" w:pos="562"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6"/>
          <w:szCs w:val="16"/>
          <w:color w:val="auto"/>
        </w:rPr>
        <w:t>if the Landlord elects to reinstate or rebuild the Premises, it will do so at its own cost and expense and the provisions of paragraphs 1 and 3 of this Schedule will apply as if the damage was caused by an Insured Risk and as if the reference to the date of expiry of the Landlord’s loss of rent insurance were to the date that is three years after the date of the Landlord’s election to reinstate the Premises; and</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9.5</w:t>
      </w:r>
      <w:r>
        <w:rPr>
          <w:sz w:val="20"/>
          <w:szCs w:val="20"/>
          <w:color w:val="auto"/>
        </w:rPr>
        <w:tab/>
      </w:r>
      <w:r>
        <w:rPr>
          <w:rFonts w:ascii="Arial" w:cs="Arial" w:eastAsia="Arial" w:hAnsi="Arial"/>
          <w:sz w:val="14"/>
          <w:szCs w:val="14"/>
          <w:color w:val="auto"/>
        </w:rPr>
        <w:t>the provisions of paragraph 5 will apply as if the damage was due to an Insured Risk</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440" w:name="page441"/>
    <w:bookmarkEnd w:id="440"/>
    <w:p>
      <w:pPr>
        <w:jc w:val="center"/>
        <w:ind w:right="-141"/>
        <w:spacing w:after="0"/>
        <w:rPr>
          <w:sz w:val="20"/>
          <w:szCs w:val="20"/>
          <w:color w:val="auto"/>
        </w:rPr>
      </w:pPr>
      <w:r>
        <w:rPr>
          <w:rFonts w:ascii="Arial" w:cs="Arial" w:eastAsia="Arial" w:hAnsi="Arial"/>
          <w:sz w:val="16"/>
          <w:szCs w:val="16"/>
          <w:b w:val="1"/>
          <w:bCs w:val="1"/>
          <w:color w:val="auto"/>
        </w:rPr>
        <w:t>Schedule 6</w:t>
      </w:r>
    </w:p>
    <w:p>
      <w:pPr>
        <w:spacing w:after="0" w:line="207" w:lineRule="exact"/>
        <w:rPr>
          <w:sz w:val="20"/>
          <w:szCs w:val="20"/>
          <w:color w:val="auto"/>
        </w:rPr>
      </w:pPr>
    </w:p>
    <w:p>
      <w:pPr>
        <w:jc w:val="center"/>
        <w:ind w:right="-141"/>
        <w:spacing w:after="0"/>
        <w:rPr>
          <w:sz w:val="20"/>
          <w:szCs w:val="20"/>
          <w:color w:val="auto"/>
        </w:rPr>
      </w:pPr>
      <w:r>
        <w:rPr>
          <w:rFonts w:ascii="Arial" w:cs="Arial" w:eastAsia="Arial" w:hAnsi="Arial"/>
          <w:sz w:val="16"/>
          <w:szCs w:val="16"/>
          <w:b w:val="1"/>
          <w:bCs w:val="1"/>
          <w:color w:val="auto"/>
        </w:rPr>
        <w:t>The matters and the documents (if any) containing incumbrances to</w:t>
      </w:r>
    </w:p>
    <w:p>
      <w:pPr>
        <w:spacing w:after="0" w:line="27" w:lineRule="exact"/>
        <w:rPr>
          <w:sz w:val="20"/>
          <w:szCs w:val="20"/>
          <w:color w:val="auto"/>
        </w:rPr>
      </w:pPr>
    </w:p>
    <w:p>
      <w:pPr>
        <w:jc w:val="center"/>
        <w:ind w:right="-141"/>
        <w:spacing w:after="0"/>
        <w:rPr>
          <w:sz w:val="20"/>
          <w:szCs w:val="20"/>
          <w:color w:val="auto"/>
        </w:rPr>
      </w:pPr>
      <w:r>
        <w:rPr>
          <w:rFonts w:ascii="Arial" w:cs="Arial" w:eastAsia="Arial" w:hAnsi="Arial"/>
          <w:sz w:val="16"/>
          <w:szCs w:val="16"/>
          <w:b w:val="1"/>
          <w:bCs w:val="1"/>
          <w:color w:val="auto"/>
        </w:rPr>
        <w:t>which the Premises are subject</w:t>
      </w:r>
    </w:p>
    <w:p>
      <w:pPr>
        <w:spacing w:after="0" w:line="196" w:lineRule="exact"/>
        <w:rPr>
          <w:sz w:val="20"/>
          <w:szCs w:val="20"/>
          <w:color w:val="auto"/>
        </w:rPr>
      </w:pPr>
    </w:p>
    <w:p>
      <w:pPr>
        <w:ind w:left="582" w:right="180" w:hanging="582"/>
        <w:spacing w:after="0" w:line="285" w:lineRule="auto"/>
        <w:tabs>
          <w:tab w:leader="none" w:pos="578"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Premises are let subject to all matters referred to in the agreement for the grant of this Underlease dated 15 June 2016 and made between the Landlord (1) the Tenant (2) and the Surety (3)</w:t>
      </w:r>
    </w:p>
    <w:p>
      <w:pPr>
        <w:spacing w:after="0" w:line="150" w:lineRule="exact"/>
        <w:rPr>
          <w:sz w:val="20"/>
          <w:szCs w:val="20"/>
          <w:color w:val="auto"/>
        </w:rPr>
      </w:pPr>
    </w:p>
    <w:p>
      <w:pPr>
        <w:ind w:left="582" w:hanging="582"/>
        <w:spacing w:after="0" w:line="285" w:lineRule="auto"/>
        <w:tabs>
          <w:tab w:leader="none" w:pos="582"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incumbrances contained in the entries in the property and charges registers of title number CB303470 as at the date of this Lease and title number CB406367 as at the date of this Lease (except in either case charges to secure the repayment of money)</w:t>
      </w:r>
    </w:p>
    <w:p>
      <w:pPr>
        <w:spacing w:after="0" w:line="150" w:lineRule="exact"/>
        <w:rPr>
          <w:sz w:val="20"/>
          <w:szCs w:val="20"/>
          <w:color w:val="auto"/>
        </w:rPr>
      </w:pPr>
    </w:p>
    <w:p>
      <w:pPr>
        <w:jc w:val="center"/>
        <w:ind w:right="-141"/>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02"/>
          </w:cols>
          <w:pgMar w:left="238" w:top="318" w:right="359" w:bottom="1440" w:gutter="0" w:footer="0" w:header="0"/>
        </w:sectPr>
      </w:pPr>
    </w:p>
    <w:bookmarkStart w:id="441" w:name="page442"/>
    <w:bookmarkEnd w:id="441"/>
    <w:p>
      <w:pPr>
        <w:jc w:val="center"/>
        <w:ind w:right="-1"/>
        <w:spacing w:after="0"/>
        <w:rPr>
          <w:sz w:val="20"/>
          <w:szCs w:val="20"/>
          <w:color w:val="auto"/>
        </w:rPr>
      </w:pPr>
      <w:r>
        <w:rPr>
          <w:rFonts w:ascii="Arial" w:cs="Arial" w:eastAsia="Arial" w:hAnsi="Arial"/>
          <w:sz w:val="16"/>
          <w:szCs w:val="16"/>
          <w:b w:val="1"/>
          <w:bCs w:val="1"/>
          <w:color w:val="auto"/>
        </w:rPr>
        <w:t>Schedule 7</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Covenants by Surety</w:t>
      </w:r>
    </w:p>
    <w:p>
      <w:pPr>
        <w:spacing w:after="0" w:line="211" w:lineRule="exact"/>
        <w:rPr>
          <w:sz w:val="20"/>
          <w:szCs w:val="20"/>
          <w:color w:val="auto"/>
        </w:rPr>
      </w:pPr>
    </w:p>
    <w:p>
      <w:pPr>
        <w:ind w:left="582" w:right="60" w:hanging="582"/>
        <w:spacing w:after="0" w:line="296" w:lineRule="auto"/>
        <w:tabs>
          <w:tab w:leader="none" w:pos="582" w:val="left"/>
        </w:tabs>
        <w:numPr>
          <w:ilvl w:val="0"/>
          <w:numId w:val="361"/>
        </w:numPr>
        <w:rPr>
          <w:rFonts w:ascii="Arial" w:cs="Arial" w:eastAsia="Arial" w:hAnsi="Arial"/>
          <w:sz w:val="15"/>
          <w:szCs w:val="15"/>
          <w:color w:val="auto"/>
        </w:rPr>
      </w:pPr>
      <w:r>
        <w:rPr>
          <w:rFonts w:ascii="Arial" w:cs="Arial" w:eastAsia="Arial" w:hAnsi="Arial"/>
          <w:sz w:val="15"/>
          <w:szCs w:val="15"/>
          <w:color w:val="auto"/>
        </w:rPr>
        <w:t>The Surety will procure the punctual payment of the Rents and the observance and performance of all the obligations of the Tenant under this Underlease and any authorised guarantee agreement given by the Tenant upon any assignment of this Underlease and in the case of any default the Surety will on demand pay such Rents and observe and perform such obligations as if the Surety instead of the Tenant were liable therefor as a principal obligor and not merely as a surety</w:t>
      </w:r>
    </w:p>
    <w:p>
      <w:pPr>
        <w:spacing w:after="0" w:line="144" w:lineRule="exact"/>
        <w:rPr>
          <w:rFonts w:ascii="Arial" w:cs="Arial" w:eastAsia="Arial" w:hAnsi="Arial"/>
          <w:sz w:val="15"/>
          <w:szCs w:val="15"/>
          <w:color w:val="auto"/>
        </w:rPr>
      </w:pPr>
    </w:p>
    <w:p>
      <w:pPr>
        <w:ind w:left="582" w:hanging="582"/>
        <w:spacing w:after="0" w:line="270" w:lineRule="auto"/>
        <w:tabs>
          <w:tab w:leader="none" w:pos="582"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Surety agrees with the Landlord as a primary obligation to keep the Landlord indemnified on demand against all actions proceedings claims demands losses costs expenses damages and liability arising from any failure by the Tenant to pay the Rents and/or observe and perform such obligations or as a result of any obligation of the Tenant under this Underlease being or becoming unenforceable</w:t>
      </w:r>
    </w:p>
    <w:p>
      <w:pPr>
        <w:spacing w:after="0" w:line="161" w:lineRule="exact"/>
        <w:rPr>
          <w:rFonts w:ascii="Arial" w:cs="Arial" w:eastAsia="Arial" w:hAnsi="Arial"/>
          <w:sz w:val="16"/>
          <w:szCs w:val="16"/>
          <w:color w:val="auto"/>
        </w:rPr>
      </w:pPr>
    </w:p>
    <w:p>
      <w:pPr>
        <w:ind w:left="582" w:right="160" w:hanging="582"/>
        <w:spacing w:after="0" w:line="320" w:lineRule="auto"/>
        <w:tabs>
          <w:tab w:leader="none" w:pos="582" w:val="left"/>
        </w:tabs>
        <w:numPr>
          <w:ilvl w:val="0"/>
          <w:numId w:val="361"/>
        </w:numPr>
        <w:rPr>
          <w:rFonts w:ascii="Arial" w:cs="Arial" w:eastAsia="Arial" w:hAnsi="Arial"/>
          <w:sz w:val="15"/>
          <w:szCs w:val="15"/>
          <w:color w:val="auto"/>
        </w:rPr>
      </w:pPr>
      <w:r>
        <w:rPr>
          <w:rFonts w:ascii="Arial" w:cs="Arial" w:eastAsia="Arial" w:hAnsi="Arial"/>
          <w:sz w:val="15"/>
          <w:szCs w:val="15"/>
          <w:color w:val="auto"/>
        </w:rPr>
        <w:t>The Surety agrees with the Landlord that this guarantee will take effect immediately on the grant (or the assignment as appropriate) of this Underlease to the Tenant and will remain in force until the Tenant is released by law (otherwise than by disclaimer) from liability under or in respect of this Underlease</w:t>
      </w:r>
    </w:p>
    <w:p>
      <w:pPr>
        <w:spacing w:after="0" w:line="126" w:lineRule="exact"/>
        <w:rPr>
          <w:rFonts w:ascii="Arial" w:cs="Arial" w:eastAsia="Arial" w:hAnsi="Arial"/>
          <w:sz w:val="15"/>
          <w:szCs w:val="15"/>
          <w:color w:val="auto"/>
        </w:rPr>
      </w:pPr>
    </w:p>
    <w:p>
      <w:pPr>
        <w:ind w:left="582" w:right="40" w:hanging="582"/>
        <w:spacing w:after="0" w:line="288" w:lineRule="auto"/>
        <w:tabs>
          <w:tab w:leader="none" w:pos="582" w:val="left"/>
        </w:tabs>
        <w:numPr>
          <w:ilvl w:val="0"/>
          <w:numId w:val="361"/>
        </w:numPr>
        <w:rPr>
          <w:rFonts w:ascii="Arial" w:cs="Arial" w:eastAsia="Arial" w:hAnsi="Arial"/>
          <w:sz w:val="15"/>
          <w:szCs w:val="15"/>
          <w:color w:val="auto"/>
        </w:rPr>
      </w:pPr>
      <w:r>
        <w:rPr>
          <w:rFonts w:ascii="Arial" w:cs="Arial" w:eastAsia="Arial" w:hAnsi="Arial"/>
          <w:sz w:val="15"/>
          <w:szCs w:val="15"/>
          <w:color w:val="auto"/>
        </w:rPr>
        <w:t>If the liability of the Tenant is disclaimed by or on behalf of the Tenant the Surety will (if so required by the Landlord by written notice to the Surety within four months after such disclaimer) take from the Landlord and execute and deliver to the Landlord a counterpart of a new underlease of the Premises for the residue of the Contractual Term unexpired at the date of such disclaimer at the same Rents as are reserved from time to time by and subject to the same covenants and provisions as are contained in this Underlease (mutatis mutandis) and the Surety will on demand pay the Landlord’s Expenses in connection with such underlease</w:t>
      </w:r>
    </w:p>
    <w:p>
      <w:pPr>
        <w:spacing w:after="0" w:line="150" w:lineRule="exact"/>
        <w:rPr>
          <w:rFonts w:ascii="Arial" w:cs="Arial" w:eastAsia="Arial" w:hAnsi="Arial"/>
          <w:sz w:val="15"/>
          <w:szCs w:val="15"/>
          <w:color w:val="auto"/>
        </w:rPr>
      </w:pPr>
    </w:p>
    <w:p>
      <w:pPr>
        <w:ind w:left="582" w:hanging="582"/>
        <w:spacing w:after="0" w:line="262" w:lineRule="auto"/>
        <w:tabs>
          <w:tab w:leader="none" w:pos="582" w:val="left"/>
        </w:tabs>
        <w:numPr>
          <w:ilvl w:val="0"/>
          <w:numId w:val="361"/>
        </w:numPr>
        <w:rPr>
          <w:rFonts w:ascii="Arial" w:cs="Arial" w:eastAsia="Arial" w:hAnsi="Arial"/>
          <w:sz w:val="16"/>
          <w:szCs w:val="16"/>
          <w:color w:val="auto"/>
        </w:rPr>
      </w:pPr>
      <w:r>
        <w:rPr>
          <w:rFonts w:ascii="Arial" w:cs="Arial" w:eastAsia="Arial" w:hAnsi="Arial"/>
          <w:sz w:val="16"/>
          <w:szCs w:val="16"/>
          <w:color w:val="auto"/>
        </w:rPr>
        <w:t>Without prejudice to any other rights the Landlord may have against the Surety under this Underlease or at common law if the Landlord does not require the Surety to take a new underlease of the Premises pursuant to paragraph 4 of this schedule the Surety will nevertheless on demand pay to the Landlord a sum equal to the Rents that would have been payable but for the disclaimer during the period of twelve months from and including the date of the disclaimer (or until the end of the Term if that occurs sooner) less any Rents received by the Landlord from reletting the Premises and the Surety will on demand pay the Landlord’s Expenses and agents’ fees in connection with such reletting</w:t>
      </w:r>
    </w:p>
    <w:p>
      <w:pPr>
        <w:spacing w:after="0" w:line="169" w:lineRule="exact"/>
        <w:rPr>
          <w:rFonts w:ascii="Arial" w:cs="Arial" w:eastAsia="Arial" w:hAnsi="Arial"/>
          <w:sz w:val="16"/>
          <w:szCs w:val="16"/>
          <w:color w:val="auto"/>
        </w:rPr>
      </w:pPr>
    </w:p>
    <w:p>
      <w:pPr>
        <w:ind w:left="582" w:right="100" w:hanging="582"/>
        <w:spacing w:after="0" w:line="265" w:lineRule="auto"/>
        <w:tabs>
          <w:tab w:leader="none" w:pos="582"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insolvency of the Tenant will not affect the liability of the Surety under this Underlease and any money received or recovered by the Landlord from the Surety may be placed in a separate or suspense account by the Landlord without any obligation on the Landlord to apply it in or towards the discharge of the Tenant’s obligations under this Underlease so as to preserve the Landlord’s right to prove in any insolvency of the Tenant in respect of the whole of the Tenant’s indebtedness to the Landlord under this Underlease</w:t>
      </w:r>
    </w:p>
    <w:p>
      <w:pPr>
        <w:spacing w:after="0" w:line="165" w:lineRule="exact"/>
        <w:rPr>
          <w:rFonts w:ascii="Arial" w:cs="Arial" w:eastAsia="Arial" w:hAnsi="Arial"/>
          <w:sz w:val="16"/>
          <w:szCs w:val="16"/>
          <w:color w:val="auto"/>
        </w:rPr>
      </w:pPr>
    </w:p>
    <w:p>
      <w:pPr>
        <w:ind w:left="582" w:right="160" w:hanging="582"/>
        <w:spacing w:after="0" w:line="360" w:lineRule="auto"/>
        <w:tabs>
          <w:tab w:leader="none" w:pos="582" w:val="left"/>
        </w:tabs>
        <w:numPr>
          <w:ilvl w:val="0"/>
          <w:numId w:val="361"/>
        </w:numPr>
        <w:rPr>
          <w:rFonts w:ascii="Arial" w:cs="Arial" w:eastAsia="Arial" w:hAnsi="Arial"/>
          <w:sz w:val="14"/>
          <w:szCs w:val="14"/>
          <w:color w:val="auto"/>
        </w:rPr>
      </w:pPr>
      <w:r>
        <w:rPr>
          <w:rFonts w:ascii="Arial" w:cs="Arial" w:eastAsia="Arial" w:hAnsi="Arial"/>
          <w:sz w:val="14"/>
          <w:szCs w:val="14"/>
          <w:color w:val="auto"/>
        </w:rPr>
        <w:t>If any claim is made against the Surety by the Landlord in relation to the obligations of the Surety under this Underlease the Surety will not make any claim against the Tenant for an indemnity if the Tenant becomes the subject of any voluntary arrangement (whether under Part I of the Insolvency Act 1986 or otherwise)</w:t>
      </w:r>
    </w:p>
    <w:p>
      <w:pPr>
        <w:spacing w:after="0" w:line="10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442" w:name="page443"/>
    <w:bookmarkEnd w:id="442"/>
    <w:p>
      <w:pPr>
        <w:ind w:left="582" w:right="260" w:hanging="582"/>
        <w:spacing w:after="0" w:line="285" w:lineRule="auto"/>
        <w:tabs>
          <w:tab w:leader="none" w:pos="582"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Surety will at the request of the Landlord execute any document supplemental to or entered into pursuant to this Underlease to acknowledge that the Surety is bound and that the rights of the Landlord are not affected and the obligations of the Surety are not released by such document</w:t>
      </w:r>
    </w:p>
    <w:p>
      <w:pPr>
        <w:spacing w:after="0" w:line="149" w:lineRule="exact"/>
        <w:rPr>
          <w:rFonts w:ascii="Arial" w:cs="Arial" w:eastAsia="Arial" w:hAnsi="Arial"/>
          <w:sz w:val="16"/>
          <w:szCs w:val="16"/>
          <w:color w:val="auto"/>
        </w:rPr>
      </w:pPr>
    </w:p>
    <w:p>
      <w:pPr>
        <w:ind w:left="582" w:right="100" w:hanging="582"/>
        <w:spacing w:after="0" w:line="285" w:lineRule="auto"/>
        <w:tabs>
          <w:tab w:leader="none" w:pos="582"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obligations of the Surety under this Underlease are in addition to any other right or remedy of the Landlord and will not be discharged diminished or in any way affected by:-</w:t>
      </w:r>
    </w:p>
    <w:p>
      <w:pPr>
        <w:spacing w:after="0" w:line="149" w:lineRule="exact"/>
        <w:rPr>
          <w:rFonts w:ascii="Arial" w:cs="Arial" w:eastAsia="Arial" w:hAnsi="Arial"/>
          <w:sz w:val="16"/>
          <w:szCs w:val="16"/>
          <w:color w:val="auto"/>
        </w:rPr>
      </w:pPr>
    </w:p>
    <w:p>
      <w:pPr>
        <w:ind w:left="1182" w:right="160" w:hanging="587"/>
        <w:spacing w:after="0" w:line="285" w:lineRule="auto"/>
        <w:rPr>
          <w:rFonts w:ascii="Arial" w:cs="Arial" w:eastAsia="Arial" w:hAnsi="Arial"/>
          <w:sz w:val="16"/>
          <w:szCs w:val="16"/>
          <w:color w:val="auto"/>
        </w:rPr>
      </w:pPr>
      <w:r>
        <w:rPr>
          <w:rFonts w:ascii="Arial" w:cs="Arial" w:eastAsia="Arial" w:hAnsi="Arial"/>
          <w:sz w:val="16"/>
          <w:szCs w:val="16"/>
          <w:color w:val="auto"/>
        </w:rPr>
        <w:t>9.1.any time or indulgence granted by the Landlord to the Tenant or any neglect or forbearance of the Landlord in obtaining payment of the Rents or enforcing the obligations of the Tenant under this Underlease or</w:t>
      </w:r>
    </w:p>
    <w:p>
      <w:pPr>
        <w:spacing w:after="0" w:line="149" w:lineRule="exact"/>
        <w:rPr>
          <w:rFonts w:ascii="Arial" w:cs="Arial" w:eastAsia="Arial" w:hAnsi="Arial"/>
          <w:sz w:val="16"/>
          <w:szCs w:val="16"/>
          <w:color w:val="auto"/>
        </w:rPr>
      </w:pPr>
    </w:p>
    <w:p>
      <w:pPr>
        <w:ind w:left="1182" w:hanging="587"/>
        <w:spacing w:after="0" w:line="285" w:lineRule="auto"/>
        <w:rPr>
          <w:rFonts w:ascii="Arial" w:cs="Arial" w:eastAsia="Arial" w:hAnsi="Arial"/>
          <w:sz w:val="16"/>
          <w:szCs w:val="16"/>
          <w:color w:val="auto"/>
        </w:rPr>
      </w:pPr>
      <w:r>
        <w:rPr>
          <w:rFonts w:ascii="Arial" w:cs="Arial" w:eastAsia="Arial" w:hAnsi="Arial"/>
          <w:sz w:val="16"/>
          <w:szCs w:val="16"/>
          <w:color w:val="auto"/>
        </w:rPr>
        <w:t>9.2.any refusal by the Landlord to accept Rents tendered at a time when the Landlord was entitled (or would after service of the appropriate statutory notice have been entitled) to re-enter the Premises or</w:t>
      </w:r>
    </w:p>
    <w:p>
      <w:pPr>
        <w:spacing w:after="0" w:line="149" w:lineRule="exact"/>
        <w:rPr>
          <w:rFonts w:ascii="Arial" w:cs="Arial" w:eastAsia="Arial" w:hAnsi="Arial"/>
          <w:sz w:val="16"/>
          <w:szCs w:val="16"/>
          <w:color w:val="auto"/>
        </w:rPr>
      </w:pPr>
    </w:p>
    <w:p>
      <w:pPr>
        <w:ind w:left="1182" w:right="480" w:hanging="587"/>
        <w:spacing w:after="0" w:line="285" w:lineRule="auto"/>
        <w:rPr>
          <w:rFonts w:ascii="Arial" w:cs="Arial" w:eastAsia="Arial" w:hAnsi="Arial"/>
          <w:sz w:val="16"/>
          <w:szCs w:val="16"/>
          <w:color w:val="auto"/>
        </w:rPr>
      </w:pPr>
      <w:r>
        <w:rPr>
          <w:rFonts w:ascii="Arial" w:cs="Arial" w:eastAsia="Arial" w:hAnsi="Arial"/>
          <w:sz w:val="16"/>
          <w:szCs w:val="16"/>
          <w:color w:val="auto"/>
        </w:rPr>
        <w:t>9.3.any surrender by the Tenant of part of the Premises in which event the liability of the Surety will continue in respect of the part of the Premises not so surrendered after making any necessary apportionments under section 140 of the Law of Property Act 1925 or</w:t>
      </w:r>
    </w:p>
    <w:p>
      <w:pPr>
        <w:spacing w:after="0" w:line="149" w:lineRule="exact"/>
        <w:rPr>
          <w:rFonts w:ascii="Arial" w:cs="Arial" w:eastAsia="Arial" w:hAnsi="Arial"/>
          <w:sz w:val="16"/>
          <w:szCs w:val="16"/>
          <w:color w:val="auto"/>
        </w:rPr>
      </w:pPr>
    </w:p>
    <w:p>
      <w:pPr>
        <w:ind w:left="1182" w:right="100" w:hanging="587"/>
        <w:spacing w:after="0" w:line="270" w:lineRule="auto"/>
        <w:rPr>
          <w:rFonts w:ascii="Arial" w:cs="Arial" w:eastAsia="Arial" w:hAnsi="Arial"/>
          <w:sz w:val="16"/>
          <w:szCs w:val="16"/>
          <w:color w:val="auto"/>
        </w:rPr>
      </w:pPr>
      <w:r>
        <w:rPr>
          <w:rFonts w:ascii="Arial" w:cs="Arial" w:eastAsia="Arial" w:hAnsi="Arial"/>
          <w:sz w:val="16"/>
          <w:szCs w:val="16"/>
          <w:color w:val="auto"/>
        </w:rPr>
        <w:t>9.4.any variation of this Underlease or other act omission matter or thing (other than a release by deed given by the Landlord and subject always to the provisions of section 18 of the 1995 Act) by which but for this provision the obligations of the Surety under this Underlease would have been so discharged diminished or affected</w:t>
      </w:r>
    </w:p>
    <w:p>
      <w:pPr>
        <w:spacing w:after="0" w:line="161" w:lineRule="exact"/>
        <w:rPr>
          <w:rFonts w:ascii="Arial" w:cs="Arial" w:eastAsia="Arial" w:hAnsi="Arial"/>
          <w:sz w:val="16"/>
          <w:szCs w:val="16"/>
          <w:color w:val="auto"/>
        </w:rPr>
      </w:pPr>
    </w:p>
    <w:p>
      <w:pPr>
        <w:ind w:left="582" w:right="620" w:hanging="582"/>
        <w:spacing w:after="0" w:line="320" w:lineRule="auto"/>
        <w:tabs>
          <w:tab w:leader="none" w:pos="578" w:val="left"/>
        </w:tabs>
        <w:numPr>
          <w:ilvl w:val="0"/>
          <w:numId w:val="362"/>
        </w:numPr>
        <w:rPr>
          <w:rFonts w:ascii="Arial" w:cs="Arial" w:eastAsia="Arial" w:hAnsi="Arial"/>
          <w:sz w:val="15"/>
          <w:szCs w:val="15"/>
          <w:color w:val="auto"/>
        </w:rPr>
      </w:pPr>
      <w:r>
        <w:rPr>
          <w:rFonts w:ascii="Arial" w:cs="Arial" w:eastAsia="Arial" w:hAnsi="Arial"/>
          <w:sz w:val="15"/>
          <w:szCs w:val="15"/>
          <w:color w:val="auto"/>
        </w:rPr>
        <w:t>The Surety will join as a party to any authorised guarantee agreement given by the Tenant pursuant to the alienation provisions of this Lease to guarantee the performance of the Tenant’s obligations under such authorised guarantee agreement on such terms as the Landlord may reasonably require</w:t>
      </w:r>
    </w:p>
    <w:p>
      <w:pPr>
        <w:spacing w:after="0" w:line="126" w:lineRule="exact"/>
        <w:rPr>
          <w:rFonts w:ascii="Arial" w:cs="Arial" w:eastAsia="Arial" w:hAnsi="Arial"/>
          <w:sz w:val="15"/>
          <w:szCs w:val="15"/>
          <w:color w:val="auto"/>
        </w:rPr>
      </w:pPr>
    </w:p>
    <w:p>
      <w:pPr>
        <w:ind w:left="582" w:hanging="582"/>
        <w:spacing w:after="0"/>
        <w:tabs>
          <w:tab w:leader="none" w:pos="582" w:val="left"/>
        </w:tabs>
        <w:numPr>
          <w:ilvl w:val="0"/>
          <w:numId w:val="362"/>
        </w:numPr>
        <w:rPr>
          <w:rFonts w:ascii="Arial" w:cs="Arial" w:eastAsia="Arial" w:hAnsi="Arial"/>
          <w:sz w:val="16"/>
          <w:szCs w:val="16"/>
          <w:color w:val="auto"/>
        </w:rPr>
      </w:pPr>
      <w:r>
        <w:rPr>
          <w:rFonts w:ascii="Arial" w:cs="Arial" w:eastAsia="Arial" w:hAnsi="Arial"/>
          <w:sz w:val="16"/>
          <w:szCs w:val="16"/>
          <w:color w:val="auto"/>
        </w:rPr>
        <w:t>Any provision of this schedule rendered void or unenforceable by the 1995 Act is to be severed from all remaining provisions which are to be preserved</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Schedule 8</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Services and the Service Charge</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Part 1</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The Service Charge</w:t>
      </w:r>
    </w:p>
    <w:p>
      <w:pPr>
        <w:spacing w:after="0" w:line="207" w:lineRule="exact"/>
        <w:rPr>
          <w:sz w:val="20"/>
          <w:szCs w:val="20"/>
          <w:color w:val="auto"/>
        </w:rPr>
      </w:pPr>
    </w:p>
    <w:p>
      <w:pPr>
        <w:ind w:left="582" w:hanging="582"/>
        <w:spacing w:after="0"/>
        <w:tabs>
          <w:tab w:leader="none" w:pos="582" w:val="left"/>
        </w:tabs>
        <w:numPr>
          <w:ilvl w:val="0"/>
          <w:numId w:val="363"/>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In this schedule the following expressions have the following meanings unless the context otherwise requires:-</w:t>
      </w:r>
    </w:p>
    <w:p>
      <w:pPr>
        <w:spacing w:after="0" w:line="203"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5"/>
          <w:szCs w:val="15"/>
          <w:b w:val="1"/>
          <w:bCs w:val="1"/>
          <w:color w:val="auto"/>
        </w:rPr>
        <w:t>“Annual Expenditure”</w:t>
      </w:r>
      <w:r>
        <w:rPr>
          <w:rFonts w:ascii="Arial" w:cs="Arial" w:eastAsia="Arial" w:hAnsi="Arial"/>
          <w:sz w:val="15"/>
          <w:szCs w:val="15"/>
          <w:color w:val="auto"/>
        </w:rPr>
        <w:t>: the aggregate expenditure properly incurred or to be incurred by the Landlord during a Service Year in or incidental to the provision of or in</w:t>
      </w:r>
    </w:p>
    <w:p>
      <w:pPr>
        <w:spacing w:after="0" w:line="38"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respect of all or any of the Services after giving credit for:-</w:t>
      </w:r>
    </w:p>
    <w:p>
      <w:pPr>
        <w:spacing w:after="0" w:line="195" w:lineRule="exact"/>
        <w:rPr>
          <w:rFonts w:ascii="Arial" w:cs="Arial" w:eastAsia="Arial" w:hAnsi="Arial"/>
          <w:sz w:val="16"/>
          <w:szCs w:val="16"/>
          <w:b w:val="1"/>
          <w:bCs w:val="1"/>
          <w:color w:val="auto"/>
        </w:rPr>
      </w:pPr>
    </w:p>
    <w:p>
      <w:pPr>
        <w:ind w:left="1142" w:hanging="555"/>
        <w:spacing w:after="0"/>
        <w:tabs>
          <w:tab w:leader="none" w:pos="1142" w:val="left"/>
        </w:tabs>
        <w:numPr>
          <w:ilvl w:val="1"/>
          <w:numId w:val="363"/>
        </w:numPr>
        <w:rPr>
          <w:rFonts w:ascii="Arial" w:cs="Arial" w:eastAsia="Arial" w:hAnsi="Arial"/>
          <w:sz w:val="14"/>
          <w:szCs w:val="14"/>
          <w:color w:val="auto"/>
        </w:rPr>
      </w:pPr>
      <w:r>
        <w:rPr>
          <w:rFonts w:ascii="Arial" w:cs="Arial" w:eastAsia="Arial" w:hAnsi="Arial"/>
          <w:sz w:val="14"/>
          <w:szCs w:val="14"/>
          <w:color w:val="auto"/>
        </w:rPr>
        <w:t>any insurance money received by the Landlord under any policy in relation to the Building which the Landlord is obliged to effect under this Underlease and</w:t>
      </w:r>
    </w:p>
    <w:p>
      <w:pPr>
        <w:spacing w:after="0" w:line="230" w:lineRule="exact"/>
        <w:rPr>
          <w:rFonts w:ascii="Arial" w:cs="Arial" w:eastAsia="Arial" w:hAnsi="Arial"/>
          <w:sz w:val="14"/>
          <w:szCs w:val="14"/>
          <w:color w:val="auto"/>
        </w:rPr>
      </w:pPr>
    </w:p>
    <w:p>
      <w:pPr>
        <w:ind w:left="1182" w:right="320" w:hanging="595"/>
        <w:spacing w:after="0" w:line="265" w:lineRule="auto"/>
        <w:tabs>
          <w:tab w:leader="none" w:pos="1166" w:val="left"/>
        </w:tabs>
        <w:numPr>
          <w:ilvl w:val="1"/>
          <w:numId w:val="363"/>
        </w:numPr>
        <w:rPr>
          <w:rFonts w:ascii="Arial" w:cs="Arial" w:eastAsia="Arial" w:hAnsi="Arial"/>
          <w:sz w:val="16"/>
          <w:szCs w:val="16"/>
          <w:color w:val="auto"/>
        </w:rPr>
      </w:pPr>
      <w:r>
        <w:rPr>
          <w:rFonts w:ascii="Arial" w:cs="Arial" w:eastAsia="Arial" w:hAnsi="Arial"/>
          <w:sz w:val="16"/>
          <w:szCs w:val="16"/>
          <w:color w:val="auto"/>
        </w:rPr>
        <w:t>any amount received by the Landlord pursuant to any agreement covenant duty liability warranty or representation on the part of any building contractor architect or employer’s agent surveyor engineer or other consultant workman or contractor responsible for the design construction or supervision (or the guarantor for any such persons) of any works on the Building carried out as part of the Services the cost of which has been included in the Annual Expenditure</w:t>
      </w:r>
    </w:p>
    <w:p>
      <w:pPr>
        <w:spacing w:after="0" w:line="166" w:lineRule="exact"/>
        <w:rPr>
          <w:sz w:val="20"/>
          <w:szCs w:val="20"/>
          <w:color w:val="auto"/>
        </w:rPr>
      </w:pPr>
    </w:p>
    <w:p>
      <w:pPr>
        <w:ind w:left="582"/>
        <w:spacing w:after="0"/>
        <w:rPr>
          <w:sz w:val="20"/>
          <w:szCs w:val="20"/>
          <w:color w:val="auto"/>
        </w:rPr>
      </w:pP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expenditure will not include:-</w:t>
      </w:r>
    </w:p>
    <w:p>
      <w:pPr>
        <w:spacing w:after="0" w:line="207" w:lineRule="exact"/>
        <w:rPr>
          <w:sz w:val="20"/>
          <w:szCs w:val="20"/>
          <w:color w:val="auto"/>
        </w:rPr>
      </w:pPr>
    </w:p>
    <w:p>
      <w:pPr>
        <w:ind w:left="1162" w:hanging="575"/>
        <w:spacing w:after="0"/>
        <w:tabs>
          <w:tab w:leader="none" w:pos="116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any initial costs incurred in relation to the original design and construction of the Building</w:t>
      </w:r>
    </w:p>
    <w:p>
      <w:pPr>
        <w:spacing w:after="0" w:line="207" w:lineRule="exact"/>
        <w:rPr>
          <w:rFonts w:ascii="Arial" w:cs="Arial" w:eastAsia="Arial" w:hAnsi="Arial"/>
          <w:sz w:val="16"/>
          <w:szCs w:val="16"/>
          <w:color w:val="auto"/>
        </w:rPr>
      </w:pPr>
    </w:p>
    <w:p>
      <w:pPr>
        <w:ind w:left="1162" w:hanging="575"/>
        <w:spacing w:after="0"/>
        <w:tabs>
          <w:tab w:leader="none" w:pos="1162" w:val="left"/>
        </w:tabs>
        <w:numPr>
          <w:ilvl w:val="0"/>
          <w:numId w:val="364"/>
        </w:numPr>
        <w:rPr>
          <w:rFonts w:ascii="Arial" w:cs="Arial" w:eastAsia="Arial" w:hAnsi="Arial"/>
          <w:sz w:val="14"/>
          <w:szCs w:val="14"/>
          <w:color w:val="auto"/>
        </w:rPr>
      </w:pPr>
      <w:r>
        <w:rPr>
          <w:rFonts w:ascii="Arial" w:cs="Arial" w:eastAsia="Arial" w:hAnsi="Arial"/>
          <w:sz w:val="14"/>
          <w:szCs w:val="14"/>
          <w:color w:val="auto"/>
        </w:rPr>
        <w:t>any setting up costs that are reasonably to be considered part of the original development cost of the Building (including the provision of a backup generator)</w:t>
      </w:r>
    </w:p>
    <w:p>
      <w:pPr>
        <w:spacing w:after="0" w:line="230" w:lineRule="exact"/>
        <w:rPr>
          <w:rFonts w:ascii="Arial" w:cs="Arial" w:eastAsia="Arial" w:hAnsi="Arial"/>
          <w:sz w:val="14"/>
          <w:szCs w:val="14"/>
          <w:color w:val="auto"/>
        </w:rPr>
      </w:pPr>
    </w:p>
    <w:p>
      <w:pPr>
        <w:ind w:left="1182" w:hanging="595"/>
        <w:spacing w:after="0"/>
        <w:tabs>
          <w:tab w:leader="none" w:pos="118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any costs incurred in improving (as opposed to necessary repairs or replacements) or redeveloping the Building or any part of it</w:t>
      </w:r>
    </w:p>
    <w:p>
      <w:pPr>
        <w:spacing w:after="0" w:line="207" w:lineRule="exact"/>
        <w:rPr>
          <w:rFonts w:ascii="Arial" w:cs="Arial" w:eastAsia="Arial" w:hAnsi="Arial"/>
          <w:sz w:val="16"/>
          <w:szCs w:val="16"/>
          <w:color w:val="auto"/>
        </w:rPr>
      </w:pPr>
    </w:p>
    <w:p>
      <w:pPr>
        <w:ind w:left="1182" w:right="60" w:hanging="595"/>
        <w:spacing w:after="0" w:line="270" w:lineRule="auto"/>
        <w:tabs>
          <w:tab w:leader="none" w:pos="1177" w:val="left"/>
        </w:tabs>
        <w:numPr>
          <w:ilvl w:val="0"/>
          <w:numId w:val="364"/>
        </w:numPr>
        <w:rPr>
          <w:rFonts w:ascii="Arial" w:cs="Arial" w:eastAsia="Arial" w:hAnsi="Arial"/>
          <w:sz w:val="16"/>
          <w:szCs w:val="16"/>
          <w:color w:val="auto"/>
        </w:rPr>
      </w:pPr>
      <w:r>
        <w:rPr>
          <w:rFonts w:ascii="Arial" w:cs="Arial" w:eastAsia="Arial" w:hAnsi="Arial"/>
          <w:sz w:val="16"/>
          <w:szCs w:val="16"/>
          <w:color w:val="auto"/>
        </w:rPr>
        <w:t>such costs as are matters between the Landlord and any tenant or occupier of Lettable Premises including the cost of enforcing covenants for the payment of rent any costs incurred in letting other Lettable Premises and costs associated with the conduct of rent reviews and applications for landlord’s consent and costs associated with the demand and collection of rent</w:t>
      </w:r>
    </w:p>
    <w:p>
      <w:pPr>
        <w:spacing w:after="0" w:line="161" w:lineRule="exact"/>
        <w:rPr>
          <w:rFonts w:ascii="Arial" w:cs="Arial" w:eastAsia="Arial" w:hAnsi="Arial"/>
          <w:sz w:val="16"/>
          <w:szCs w:val="16"/>
          <w:color w:val="auto"/>
        </w:rPr>
      </w:pPr>
    </w:p>
    <w:p>
      <w:pPr>
        <w:ind w:left="1162" w:hanging="575"/>
        <w:spacing w:after="0"/>
        <w:tabs>
          <w:tab w:leader="none" w:pos="116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any costs relating to any repairs or other works required as a result of any Inherent Defect</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443" w:name="page444"/>
    <w:bookmarkEnd w:id="443"/>
    <w:p>
      <w:pPr>
        <w:ind w:left="1182" w:right="480" w:hanging="595"/>
        <w:spacing w:after="0" w:line="285" w:lineRule="auto"/>
        <w:tabs>
          <w:tab w:leader="none" w:pos="1177"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any costs attributable to the maintenance of any Lettable Premises or any proportion of Annual Expenditure attributable to Lettable Premises that are unoccupied or occupied by the Landlord</w:t>
      </w:r>
    </w:p>
    <w:p>
      <w:pPr>
        <w:spacing w:after="0" w:line="149" w:lineRule="exact"/>
        <w:rPr>
          <w:rFonts w:ascii="Arial" w:cs="Arial" w:eastAsia="Arial" w:hAnsi="Arial"/>
          <w:sz w:val="16"/>
          <w:szCs w:val="16"/>
          <w:color w:val="auto"/>
        </w:rPr>
      </w:pPr>
    </w:p>
    <w:p>
      <w:pPr>
        <w:ind w:left="1182" w:right="280" w:hanging="595"/>
        <w:spacing w:after="0" w:line="285" w:lineRule="auto"/>
        <w:tabs>
          <w:tab w:leader="none" w:pos="1187"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any costs recovered by the Landlord pursuant to any warranty or guarantee from which it benefits in relation to the initial design and construction of the Building</w:t>
      </w:r>
    </w:p>
    <w:p>
      <w:pPr>
        <w:spacing w:after="0" w:line="146" w:lineRule="exact"/>
        <w:rPr>
          <w:sz w:val="20"/>
          <w:szCs w:val="20"/>
          <w:color w:val="auto"/>
        </w:rPr>
      </w:pPr>
    </w:p>
    <w:p>
      <w:pPr>
        <w:ind w:left="582" w:right="440"/>
        <w:spacing w:after="0" w:line="290" w:lineRule="auto"/>
        <w:rPr>
          <w:sz w:val="20"/>
          <w:szCs w:val="20"/>
          <w:color w:val="auto"/>
        </w:rPr>
      </w:pPr>
      <w:r>
        <w:rPr>
          <w:rFonts w:ascii="Arial" w:cs="Arial" w:eastAsia="Arial" w:hAnsi="Arial"/>
          <w:sz w:val="16"/>
          <w:szCs w:val="16"/>
          <w:b w:val="1"/>
          <w:bCs w:val="1"/>
          <w:color w:val="auto"/>
        </w:rPr>
        <w:t>“Provisional Service Charge”</w:t>
      </w:r>
      <w:r>
        <w:rPr>
          <w:rFonts w:ascii="Arial" w:cs="Arial" w:eastAsia="Arial" w:hAnsi="Arial"/>
          <w:sz w:val="16"/>
          <w:szCs w:val="16"/>
          <w:color w:val="auto"/>
        </w:rPr>
        <w:t>: the amount which in the reasonable opinion of the Landlord’s surveyor or its managing agents or accountants represents a fair</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 of the Service Charge for the Service Year in question</w:t>
      </w:r>
    </w:p>
    <w:p>
      <w:pPr>
        <w:spacing w:after="0" w:line="142" w:lineRule="exact"/>
        <w:rPr>
          <w:sz w:val="20"/>
          <w:szCs w:val="20"/>
          <w:color w:val="auto"/>
        </w:rPr>
      </w:pPr>
    </w:p>
    <w:p>
      <w:pPr>
        <w:ind w:left="582" w:right="140"/>
        <w:spacing w:after="0" w:line="290" w:lineRule="auto"/>
        <w:rPr>
          <w:sz w:val="20"/>
          <w:szCs w:val="20"/>
          <w:color w:val="auto"/>
        </w:rPr>
      </w:pPr>
      <w:r>
        <w:rPr>
          <w:rFonts w:ascii="Arial" w:cs="Arial" w:eastAsia="Arial" w:hAnsi="Arial"/>
          <w:sz w:val="16"/>
          <w:szCs w:val="16"/>
          <w:b w:val="1"/>
          <w:bCs w:val="1"/>
          <w:color w:val="auto"/>
        </w:rPr>
        <w:t>“Service Charge”</w:t>
      </w:r>
      <w:r>
        <w:rPr>
          <w:rFonts w:ascii="Arial" w:cs="Arial" w:eastAsia="Arial" w:hAnsi="Arial"/>
          <w:sz w:val="16"/>
          <w:szCs w:val="16"/>
          <w:color w:val="auto"/>
        </w:rPr>
        <w:t>: the fair proportion properly attributable to the Premises of the Annual Expenditure as determined from time to time by the Landlord’s surveyor</w:t>
      </w:r>
      <w:r>
        <w:rPr>
          <w:rFonts w:ascii="Arial" w:cs="Arial" w:eastAsia="Arial" w:hAnsi="Arial"/>
          <w:sz w:val="16"/>
          <w:szCs w:val="16"/>
          <w:b w:val="1"/>
          <w:bCs w:val="1"/>
          <w:color w:val="auto"/>
        </w:rPr>
        <w:t xml:space="preserve"> </w:t>
      </w:r>
      <w:r>
        <w:rPr>
          <w:rFonts w:ascii="Arial" w:cs="Arial" w:eastAsia="Arial" w:hAnsi="Arial"/>
          <w:sz w:val="16"/>
          <w:szCs w:val="16"/>
          <w:color w:val="auto"/>
        </w:rPr>
        <w:t>whose decision will be final except in case of manifest error</w:t>
      </w:r>
    </w:p>
    <w:p>
      <w:pPr>
        <w:spacing w:after="0" w:line="142"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“Services”</w:t>
      </w:r>
      <w:r>
        <w:rPr>
          <w:rFonts w:ascii="Arial" w:cs="Arial" w:eastAsia="Arial" w:hAnsi="Arial"/>
          <w:sz w:val="16"/>
          <w:szCs w:val="16"/>
          <w:color w:val="auto"/>
        </w:rPr>
        <w:t>: the services facilities amenities and items of expenditure specified in part 2 and part 3 of this schedule</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“Service Year”</w:t>
      </w:r>
      <w:r>
        <w:rPr>
          <w:rFonts w:ascii="Arial" w:cs="Arial" w:eastAsia="Arial" w:hAnsi="Arial"/>
          <w:sz w:val="16"/>
          <w:szCs w:val="16"/>
          <w:color w:val="auto"/>
        </w:rPr>
        <w:t>: a calendar year expiring on 31 July or such other annual period as the Landlord may in its sole discretion decide</w:t>
      </w:r>
    </w:p>
    <w:p>
      <w:pPr>
        <w:spacing w:after="0" w:line="207" w:lineRule="exact"/>
        <w:rPr>
          <w:sz w:val="20"/>
          <w:szCs w:val="20"/>
          <w:color w:val="auto"/>
        </w:rPr>
      </w:pPr>
    </w:p>
    <w:p>
      <w:pPr>
        <w:ind w:left="582" w:hanging="582"/>
        <w:spacing w:after="0"/>
        <w:tabs>
          <w:tab w:leader="none" w:pos="582" w:val="left"/>
        </w:tabs>
        <w:numPr>
          <w:ilvl w:val="0"/>
          <w:numId w:val="366"/>
        </w:numPr>
        <w:rPr>
          <w:rFonts w:ascii="Arial" w:cs="Arial" w:eastAsia="Arial" w:hAnsi="Arial"/>
          <w:sz w:val="16"/>
          <w:szCs w:val="16"/>
          <w:b w:val="1"/>
          <w:bCs w:val="1"/>
          <w:color w:val="auto"/>
        </w:rPr>
      </w:pPr>
      <w:r>
        <w:rPr>
          <w:rFonts w:ascii="Arial" w:cs="Arial" w:eastAsia="Arial" w:hAnsi="Arial"/>
          <w:sz w:val="16"/>
          <w:szCs w:val="16"/>
          <w:b w:val="1"/>
          <w:bCs w:val="1"/>
          <w:color w:val="auto"/>
        </w:rPr>
        <w:t>Landlord’s obligation to provide the Services</w:t>
      </w:r>
    </w:p>
    <w:p>
      <w:pPr>
        <w:spacing w:after="0" w:line="211" w:lineRule="exact"/>
        <w:rPr>
          <w:sz w:val="20"/>
          <w:szCs w:val="20"/>
          <w:color w:val="auto"/>
        </w:rPr>
      </w:pPr>
    </w:p>
    <w:p>
      <w:pPr>
        <w:ind w:left="2"/>
        <w:spacing w:after="0"/>
        <w:tabs>
          <w:tab w:leader="none" w:pos="522"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Subject to payment by the Tenant of the Service Charge and to the provisions of this schedule 8 the Landlord:-</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color w:val="auto"/>
        </w:rPr>
        <w:t>will provide the mandatory Services set out in part 2 of this schedule and</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4"/>
          <w:szCs w:val="14"/>
          <w:color w:val="auto"/>
        </w:rPr>
        <w:t>may provide the discretionary Services set out in part 3 of this schedule</w:t>
      </w:r>
    </w:p>
    <w:p>
      <w:pPr>
        <w:spacing w:after="0" w:line="207" w:lineRule="exact"/>
        <w:rPr>
          <w:sz w:val="20"/>
          <w:szCs w:val="20"/>
          <w:color w:val="auto"/>
        </w:rPr>
      </w:pPr>
    </w:p>
    <w:p>
      <w:pPr>
        <w:ind w:left="2"/>
        <w:spacing w:after="0"/>
        <w:tabs>
          <w:tab w:leader="none" w:pos="522"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5"/>
          <w:szCs w:val="15"/>
          <w:u w:val="single" w:color="auto"/>
          <w:color w:val="auto"/>
        </w:rPr>
        <w:t>PROVIDED THAT:-</w:t>
      </w:r>
    </w:p>
    <w:p>
      <w:pPr>
        <w:spacing w:after="0" w:line="207" w:lineRule="exact"/>
        <w:rPr>
          <w:sz w:val="20"/>
          <w:szCs w:val="20"/>
          <w:color w:val="auto"/>
        </w:rPr>
      </w:pPr>
    </w:p>
    <w:p>
      <w:pPr>
        <w:ind w:left="1162" w:right="60" w:hanging="586"/>
        <w:spacing w:after="0" w:line="265" w:lineRule="auto"/>
        <w:tabs>
          <w:tab w:leader="none" w:pos="1142" w:val="left"/>
        </w:tabs>
        <w:rPr>
          <w:sz w:val="20"/>
          <w:szCs w:val="20"/>
          <w:color w:val="auto"/>
        </w:rPr>
      </w:pPr>
      <w:r>
        <w:rPr>
          <w:rFonts w:ascii="Arial" w:cs="Arial" w:eastAsia="Arial" w:hAnsi="Arial"/>
          <w:sz w:val="16"/>
          <w:szCs w:val="16"/>
          <w:color w:val="auto"/>
        </w:rPr>
        <w:t>2.2.1</w:t>
        <w:tab/>
        <w:t>the Landlord will not be liable to the Tenant in respect of any failure or interruption in any of the Services by reason of necessary repair maintenance or replacement of any installations or apparatus or their damage or destruction or by reason of mechanical or other defect or breakdown or frost or other inclement conditions or shortage of fuel materials or labour or any other cause beyond the reasonable control of the Landlord but the Landlord will procure that any such Services are restored as soon as possible</w:t>
      </w:r>
    </w:p>
    <w:p>
      <w:pPr>
        <w:spacing w:after="0" w:line="166" w:lineRule="exact"/>
        <w:rPr>
          <w:sz w:val="20"/>
          <w:szCs w:val="20"/>
          <w:color w:val="auto"/>
        </w:rPr>
      </w:pPr>
    </w:p>
    <w:p>
      <w:pPr>
        <w:jc w:val="both"/>
        <w:ind w:left="1162" w:hanging="586"/>
        <w:spacing w:after="0" w:line="270" w:lineRule="auto"/>
        <w:tabs>
          <w:tab w:leader="none" w:pos="1142" w:val="left"/>
        </w:tabs>
        <w:rPr>
          <w:sz w:val="20"/>
          <w:szCs w:val="20"/>
          <w:color w:val="auto"/>
        </w:rPr>
      </w:pPr>
      <w:r>
        <w:rPr>
          <w:rFonts w:ascii="Arial" w:cs="Arial" w:eastAsia="Arial" w:hAnsi="Arial"/>
          <w:sz w:val="16"/>
          <w:szCs w:val="16"/>
          <w:color w:val="auto"/>
        </w:rPr>
        <w:t>2.2.2</w:t>
        <w:tab/>
        <w:t xml:space="preserve">the Landlord may withhold add to extend vary or alter any of the Services set out in part 3 of this schedule from time to time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so doing the Landlord complies with the principles of good estate management in respect of the Building and acts reasonably in all the circumstances and notifies the Tenant in advance in writing of any changes and the estimated cost implications</w:t>
      </w:r>
    </w:p>
    <w:p>
      <w:pPr>
        <w:spacing w:after="0" w:line="162" w:lineRule="exact"/>
        <w:rPr>
          <w:sz w:val="20"/>
          <w:szCs w:val="20"/>
          <w:color w:val="auto"/>
        </w:rPr>
      </w:pPr>
    </w:p>
    <w:p>
      <w:pPr>
        <w:jc w:val="center"/>
        <w:ind w:right="358"/>
        <w:spacing w:after="0"/>
        <w:tabs>
          <w:tab w:leader="none" w:pos="220" w:val="left"/>
        </w:tabs>
        <w:rPr>
          <w:sz w:val="20"/>
          <w:szCs w:val="20"/>
          <w:color w:val="auto"/>
        </w:rPr>
      </w:pPr>
      <w:r>
        <w:rPr>
          <w:rFonts w:ascii="Arial" w:cs="Arial" w:eastAsia="Arial" w:hAnsi="Arial"/>
          <w:sz w:val="16"/>
          <w:szCs w:val="16"/>
          <w:color w:val="auto"/>
        </w:rPr>
        <w:t>2.2.3</w:t>
      </w:r>
      <w:r>
        <w:rPr>
          <w:sz w:val="20"/>
          <w:szCs w:val="20"/>
          <w:color w:val="auto"/>
        </w:rPr>
        <w:tab/>
      </w:r>
      <w:r>
        <w:rPr>
          <w:rFonts w:ascii="Arial" w:cs="Arial" w:eastAsia="Arial" w:hAnsi="Arial"/>
          <w:sz w:val="14"/>
          <w:szCs w:val="14"/>
          <w:color w:val="auto"/>
        </w:rPr>
        <w:t>if at any time during the Term the property comprising the Building is increased or decreased on a permanent basis or the benefit of any of the</w:t>
      </w:r>
    </w:p>
    <w:p>
      <w:pPr>
        <w:spacing w:after="0" w:line="207"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2"/>
          </w:cols>
          <w:pgMar w:left="238" w:top="323" w:right="299" w:bottom="1440" w:gutter="0" w:footer="0" w:header="0"/>
        </w:sectPr>
      </w:pPr>
    </w:p>
    <w:bookmarkStart w:id="444" w:name="page445"/>
    <w:bookmarkEnd w:id="444"/>
    <w:p>
      <w:pPr>
        <w:ind w:left="1182"/>
        <w:spacing w:after="0" w:line="296" w:lineRule="auto"/>
        <w:rPr>
          <w:sz w:val="20"/>
          <w:szCs w:val="20"/>
          <w:color w:val="auto"/>
        </w:rPr>
      </w:pPr>
      <w:r>
        <w:rPr>
          <w:rFonts w:ascii="Arial" w:cs="Arial" w:eastAsia="Arial" w:hAnsi="Arial"/>
          <w:sz w:val="15"/>
          <w:szCs w:val="15"/>
          <w:color w:val="auto"/>
        </w:rPr>
        <w:t>Services is extended on a like basis to any adjoining or neighbouring property or if some other event occurs a result of which is that the Service Charge is no longer appropriate to the Premises the Service Charge will be varied with effect from the beginning of the Service Year following such event in such a manner as may be determined to be fair and reasonable in the light of the event in question by the Landlord’s surveyor whose decision will be final</w:t>
      </w:r>
    </w:p>
    <w:p>
      <w:pPr>
        <w:spacing w:after="0" w:line="140" w:lineRule="exact"/>
        <w:rPr>
          <w:sz w:val="20"/>
          <w:szCs w:val="20"/>
          <w:color w:val="auto"/>
        </w:rPr>
      </w:pPr>
    </w:p>
    <w:p>
      <w:pPr>
        <w:ind w:left="582" w:hanging="582"/>
        <w:spacing w:after="0"/>
        <w:tabs>
          <w:tab w:leader="none" w:pos="582" w:val="left"/>
        </w:tabs>
        <w:numPr>
          <w:ilvl w:val="0"/>
          <w:numId w:val="367"/>
        </w:numPr>
        <w:rPr>
          <w:rFonts w:ascii="Arial" w:cs="Arial" w:eastAsia="Arial" w:hAnsi="Arial"/>
          <w:sz w:val="16"/>
          <w:szCs w:val="16"/>
          <w:b w:val="1"/>
          <w:bCs w:val="1"/>
          <w:color w:val="auto"/>
        </w:rPr>
      </w:pPr>
      <w:r>
        <w:rPr>
          <w:rFonts w:ascii="Arial" w:cs="Arial" w:eastAsia="Arial" w:hAnsi="Arial"/>
          <w:sz w:val="16"/>
          <w:szCs w:val="16"/>
          <w:b w:val="1"/>
          <w:bCs w:val="1"/>
          <w:color w:val="auto"/>
        </w:rPr>
        <w:t>Statement of Annual Expenditure</w:t>
      </w:r>
    </w:p>
    <w:p>
      <w:pPr>
        <w:spacing w:after="0" w:line="211" w:lineRule="exact"/>
        <w:rPr>
          <w:sz w:val="20"/>
          <w:szCs w:val="20"/>
          <w:color w:val="auto"/>
        </w:rPr>
      </w:pPr>
    </w:p>
    <w:p>
      <w:pPr>
        <w:ind w:left="542" w:right="160" w:hanging="586"/>
        <w:spacing w:after="0" w:line="288" w:lineRule="auto"/>
        <w:tabs>
          <w:tab w:leader="none" w:pos="522"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5"/>
          <w:szCs w:val="15"/>
          <w:color w:val="auto"/>
        </w:rPr>
        <w:t>The Landlord will as soon as practicable and in any event within the period of three months after the end of each Service Year prepare and submit to the Tenant a statement of the Annual Expenditure for that Service Year containing a fair summary of the expenditure referred to in it (including any sums credited) and showing the Service Charge for that Service Year and upon such statement being certified by the Landlord’s surveyor or its managing agents or accountants it will be conclusive evidence for the purposes of this Underlease of all matters of fact referred to in the statement (except in the case of manifest error)</w:t>
      </w:r>
    </w:p>
    <w:p>
      <w:pPr>
        <w:spacing w:after="0" w:line="150" w:lineRule="exact"/>
        <w:rPr>
          <w:sz w:val="20"/>
          <w:szCs w:val="20"/>
          <w:color w:val="auto"/>
        </w:rPr>
      </w:pPr>
    </w:p>
    <w:p>
      <w:pPr>
        <w:ind w:left="542" w:hanging="586"/>
        <w:spacing w:after="0" w:line="320" w:lineRule="auto"/>
        <w:tabs>
          <w:tab w:leader="none" w:pos="522"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5"/>
          <w:szCs w:val="15"/>
          <w:color w:val="auto"/>
        </w:rPr>
        <w:t>The Landlord may (acting reasonably) include in any such statement such proper provision calculated in accordance with the principles of normal accounting practice and good estate management for expenditure in any subsequent year as the Landlord may from time to time reasonably consider appropriate</w:t>
      </w:r>
    </w:p>
    <w:p>
      <w:pPr>
        <w:spacing w:after="0" w:line="127" w:lineRule="exact"/>
        <w:rPr>
          <w:sz w:val="20"/>
          <w:szCs w:val="20"/>
          <w:color w:val="auto"/>
        </w:rPr>
      </w:pPr>
    </w:p>
    <w:p>
      <w:pPr>
        <w:ind w:left="542" w:right="440" w:hanging="586"/>
        <w:spacing w:after="0" w:line="285" w:lineRule="auto"/>
        <w:tabs>
          <w:tab w:leader="none" w:pos="522"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Any omission by the Landlord to include in any such statement any sum expended or liability incurred in that Service Year will not preclude the Landlord from including such sum or the amount of such liability in the account for the subsequent year</w:t>
      </w:r>
    </w:p>
    <w:p>
      <w:pPr>
        <w:spacing w:after="0" w:line="150" w:lineRule="exact"/>
        <w:rPr>
          <w:sz w:val="20"/>
          <w:szCs w:val="20"/>
          <w:color w:val="auto"/>
        </w:rPr>
      </w:pPr>
    </w:p>
    <w:p>
      <w:pPr>
        <w:ind w:left="542" w:right="20" w:hanging="586"/>
        <w:spacing w:after="0" w:line="265" w:lineRule="auto"/>
        <w:tabs>
          <w:tab w:leader="none" w:pos="522"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6"/>
          <w:szCs w:val="16"/>
          <w:color w:val="auto"/>
        </w:rPr>
        <w:t>During the period of four months from the date of the issue of any such statement the Tenant will be entitled to raise reasonable enquiries in respect of the statement and the Landlord will deal with any such enquiries promptly and efficiently and will make relevant supporting documentation available for inspection and the Tenant will reimburse the Landlord on demand all reasonable costs incurred by the Landlord in providing copies of any such documentation that may be requested by the Tenant</w:t>
      </w:r>
    </w:p>
    <w:p>
      <w:pPr>
        <w:spacing w:after="0" w:line="162" w:lineRule="exact"/>
        <w:rPr>
          <w:sz w:val="20"/>
          <w:szCs w:val="20"/>
          <w:color w:val="auto"/>
        </w:rPr>
      </w:pPr>
    </w:p>
    <w:p>
      <w:pPr>
        <w:ind w:left="582" w:hanging="582"/>
        <w:spacing w:after="0"/>
        <w:tabs>
          <w:tab w:leader="none" w:pos="582" w:val="left"/>
        </w:tabs>
        <w:numPr>
          <w:ilvl w:val="0"/>
          <w:numId w:val="368"/>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the Service Charge</w:t>
      </w:r>
    </w:p>
    <w:p>
      <w:pPr>
        <w:spacing w:after="0" w:line="211" w:lineRule="exact"/>
        <w:rPr>
          <w:sz w:val="20"/>
          <w:szCs w:val="20"/>
          <w:color w:val="auto"/>
        </w:rPr>
      </w:pPr>
    </w:p>
    <w:p>
      <w:pPr>
        <w:ind w:left="2"/>
        <w:spacing w:after="0"/>
        <w:tabs>
          <w:tab w:leader="none" w:pos="522"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The Tenant will pay to the Landlord on account of the Service Charge:-</w:t>
      </w:r>
    </w:p>
    <w:p>
      <w:pPr>
        <w:spacing w:after="0" w:line="207" w:lineRule="exact"/>
        <w:rPr>
          <w:sz w:val="20"/>
          <w:szCs w:val="20"/>
          <w:color w:val="auto"/>
        </w:rPr>
      </w:pPr>
    </w:p>
    <w:p>
      <w:pPr>
        <w:ind w:left="1162" w:right="260" w:hanging="586"/>
        <w:spacing w:after="0" w:line="285" w:lineRule="auto"/>
        <w:tabs>
          <w:tab w:leader="none" w:pos="1142" w:val="left"/>
        </w:tabs>
        <w:rPr>
          <w:sz w:val="20"/>
          <w:szCs w:val="20"/>
          <w:color w:val="auto"/>
        </w:rPr>
      </w:pPr>
      <w:r>
        <w:rPr>
          <w:rFonts w:ascii="Arial" w:cs="Arial" w:eastAsia="Arial" w:hAnsi="Arial"/>
          <w:sz w:val="16"/>
          <w:szCs w:val="16"/>
          <w:color w:val="auto"/>
        </w:rPr>
        <w:t>4.1.1</w:t>
        <w:tab/>
        <w:t>on each Quarter Day for the period from and including the Service Charge Commencement Date to the end of the current Service Year one quarter of the Initial Service Charge the first (duly apportioned) payment to be made on the date of this Underlease and</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4.1.2</w:t>
      </w:r>
      <w:r>
        <w:rPr>
          <w:sz w:val="20"/>
          <w:szCs w:val="20"/>
          <w:color w:val="auto"/>
        </w:rPr>
        <w:tab/>
      </w:r>
      <w:r>
        <w:rPr>
          <w:rFonts w:ascii="Arial" w:cs="Arial" w:eastAsia="Arial" w:hAnsi="Arial"/>
          <w:sz w:val="14"/>
          <w:szCs w:val="14"/>
          <w:color w:val="auto"/>
        </w:rPr>
        <w:t>on each subsequent Quarter Day one quarter of the Provisional Service Charge</w:t>
      </w:r>
    </w:p>
    <w:p>
      <w:pPr>
        <w:spacing w:after="0" w:line="207" w:lineRule="exact"/>
        <w:rPr>
          <w:sz w:val="20"/>
          <w:szCs w:val="20"/>
          <w:color w:val="auto"/>
        </w:rPr>
      </w:pPr>
    </w:p>
    <w:p>
      <w:pPr>
        <w:ind w:left="1162" w:right="460" w:hanging="586"/>
        <w:spacing w:after="0" w:line="285" w:lineRule="auto"/>
        <w:tabs>
          <w:tab w:leader="none" w:pos="1142" w:val="left"/>
        </w:tabs>
        <w:rPr>
          <w:sz w:val="20"/>
          <w:szCs w:val="20"/>
          <w:color w:val="auto"/>
        </w:rPr>
      </w:pPr>
      <w:r>
        <w:rPr>
          <w:rFonts w:ascii="Arial" w:cs="Arial" w:eastAsia="Arial" w:hAnsi="Arial"/>
          <w:sz w:val="16"/>
          <w:szCs w:val="16"/>
          <w:color w:val="auto"/>
        </w:rPr>
        <w:t>4.1.3</w:t>
        <w:tab/>
        <w:t>within 14 days of demand a sum equal to the costs actually incurred by the Landlord of providing additional Services to the Common Parts and/or the Premises at the request of the Tenant and where such additional Services are</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2"/>
          </w:cols>
          <w:pgMar w:left="238" w:top="322" w:right="279" w:bottom="1440" w:gutter="0" w:footer="0" w:header="0"/>
        </w:sectPr>
      </w:pPr>
    </w:p>
    <w:bookmarkStart w:id="445" w:name="page446"/>
    <w:bookmarkEnd w:id="445"/>
    <w:p>
      <w:pPr>
        <w:ind w:left="1182" w:right="280"/>
        <w:spacing w:after="0" w:line="285" w:lineRule="auto"/>
        <w:rPr>
          <w:sz w:val="20"/>
          <w:szCs w:val="20"/>
          <w:color w:val="auto"/>
        </w:rPr>
      </w:pPr>
      <w:r>
        <w:rPr>
          <w:rFonts w:ascii="Arial" w:cs="Arial" w:eastAsia="Arial" w:hAnsi="Arial"/>
          <w:sz w:val="16"/>
          <w:szCs w:val="16"/>
          <w:color w:val="auto"/>
        </w:rPr>
        <w:t>used by the Tenant together with any other tenant or occupier of Lettable Premises the Tenant will pay a fair proportion of such costs as determined from time to time by the Landlord’s surveyor whose decision will be final)</w:t>
      </w:r>
    </w:p>
    <w:p>
      <w:pPr>
        <w:spacing w:after="0" w:line="150" w:lineRule="exact"/>
        <w:rPr>
          <w:sz w:val="20"/>
          <w:szCs w:val="20"/>
          <w:color w:val="auto"/>
        </w:rPr>
      </w:pPr>
    </w:p>
    <w:p>
      <w:pPr>
        <w:ind w:left="2"/>
        <w:spacing w:after="0"/>
        <w:tabs>
          <w:tab w:leader="none" w:pos="522"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color w:val="auto"/>
        </w:rPr>
        <w:t>If the Service Charge for any Service Year:-</w:t>
      </w:r>
    </w:p>
    <w:p>
      <w:pPr>
        <w:spacing w:after="0" w:line="207" w:lineRule="exact"/>
        <w:rPr>
          <w:sz w:val="20"/>
          <w:szCs w:val="20"/>
          <w:color w:val="auto"/>
        </w:rPr>
      </w:pPr>
    </w:p>
    <w:p>
      <w:pPr>
        <w:ind w:left="1162" w:right="180" w:hanging="586"/>
        <w:spacing w:after="0" w:line="270" w:lineRule="auto"/>
        <w:tabs>
          <w:tab w:leader="none" w:pos="1142" w:val="left"/>
        </w:tabs>
        <w:rPr>
          <w:sz w:val="20"/>
          <w:szCs w:val="20"/>
          <w:color w:val="auto"/>
        </w:rPr>
      </w:pPr>
      <w:r>
        <w:rPr>
          <w:rFonts w:ascii="Arial" w:cs="Arial" w:eastAsia="Arial" w:hAnsi="Arial"/>
          <w:sz w:val="16"/>
          <w:szCs w:val="16"/>
          <w:color w:val="auto"/>
        </w:rPr>
        <w:t>4.2.1</w:t>
        <w:tab/>
        <w:t>exceeds the Initial Service Charge or the Provisional Service Charge payments made on account of the Service Charge (as the case may be) the excess will be paid by the Tenant to the Landlord within 14 days of demand provided the relevant statement of Annual Expenditure has already been provided to the Tenant</w:t>
      </w:r>
    </w:p>
    <w:p>
      <w:pPr>
        <w:spacing w:after="0" w:line="162" w:lineRule="exact"/>
        <w:rPr>
          <w:sz w:val="20"/>
          <w:szCs w:val="20"/>
          <w:color w:val="auto"/>
        </w:rPr>
      </w:pPr>
    </w:p>
    <w:p>
      <w:pPr>
        <w:ind w:left="1162" w:right="20" w:hanging="586"/>
        <w:spacing w:after="0" w:line="285" w:lineRule="auto"/>
        <w:tabs>
          <w:tab w:leader="none" w:pos="1142" w:val="left"/>
        </w:tabs>
        <w:rPr>
          <w:sz w:val="20"/>
          <w:szCs w:val="20"/>
          <w:color w:val="auto"/>
        </w:rPr>
      </w:pPr>
      <w:r>
        <w:rPr>
          <w:rFonts w:ascii="Arial" w:cs="Arial" w:eastAsia="Arial" w:hAnsi="Arial"/>
          <w:sz w:val="16"/>
          <w:szCs w:val="16"/>
          <w:color w:val="auto"/>
        </w:rPr>
        <w:t>4.2.2</w:t>
        <w:tab/>
        <w:t>is less than such payments on account the overpayment will be allowed by the Landlord to the Tenant as a credit against Service Charge to become due or (in the Service Year ending on or after the expiry of the Term) will be repaid by the Landlord to the Tenant on demand</w:t>
      </w:r>
    </w:p>
    <w:p>
      <w:pPr>
        <w:spacing w:after="0" w:line="146" w:lineRule="exact"/>
        <w:rPr>
          <w:sz w:val="20"/>
          <w:szCs w:val="20"/>
          <w:color w:val="auto"/>
        </w:rPr>
      </w:pPr>
    </w:p>
    <w:p>
      <w:pPr>
        <w:ind w:left="582" w:hanging="582"/>
        <w:spacing w:after="0"/>
        <w:tabs>
          <w:tab w:leader="none" w:pos="582" w:val="left"/>
        </w:tabs>
        <w:numPr>
          <w:ilvl w:val="0"/>
          <w:numId w:val="369"/>
        </w:numPr>
        <w:rPr>
          <w:rFonts w:ascii="Arial" w:cs="Arial" w:eastAsia="Arial" w:hAnsi="Arial"/>
          <w:sz w:val="16"/>
          <w:szCs w:val="16"/>
          <w:b w:val="1"/>
          <w:bCs w:val="1"/>
          <w:color w:val="auto"/>
        </w:rPr>
      </w:pPr>
      <w:r>
        <w:rPr>
          <w:rFonts w:ascii="Arial" w:cs="Arial" w:eastAsia="Arial" w:hAnsi="Arial"/>
          <w:sz w:val="16"/>
          <w:szCs w:val="16"/>
          <w:b w:val="1"/>
          <w:bCs w:val="1"/>
          <w:color w:val="auto"/>
        </w:rPr>
        <w:t>Continuation</w:t>
      </w:r>
    </w:p>
    <w:p>
      <w:pPr>
        <w:spacing w:after="0" w:line="211" w:lineRule="exact"/>
        <w:rPr>
          <w:sz w:val="20"/>
          <w:szCs w:val="20"/>
          <w:color w:val="auto"/>
        </w:rPr>
      </w:pPr>
    </w:p>
    <w:p>
      <w:pPr>
        <w:ind w:left="582"/>
        <w:spacing w:after="0" w:line="285" w:lineRule="auto"/>
        <w:rPr>
          <w:sz w:val="20"/>
          <w:szCs w:val="20"/>
          <w:color w:val="auto"/>
        </w:rPr>
      </w:pPr>
      <w:r>
        <w:rPr>
          <w:rFonts w:ascii="Arial" w:cs="Arial" w:eastAsia="Arial" w:hAnsi="Arial"/>
          <w:sz w:val="16"/>
          <w:szCs w:val="16"/>
          <w:color w:val="auto"/>
        </w:rPr>
        <w:t>The provisions of this schedule will continue to apply notwithstanding the end of the Term but only for the purposes of calculation and payment of the Service Charge for the period down to the end of the Term</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Part 2</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The Mandatory Services</w:t>
      </w:r>
    </w:p>
    <w:p>
      <w:pPr>
        <w:spacing w:after="0" w:line="211" w:lineRule="exact"/>
        <w:rPr>
          <w:sz w:val="20"/>
          <w:szCs w:val="20"/>
          <w:color w:val="auto"/>
        </w:rPr>
      </w:pPr>
    </w:p>
    <w:p>
      <w:pPr>
        <w:ind w:left="582" w:hanging="582"/>
        <w:spacing w:after="0"/>
        <w:tabs>
          <w:tab w:leader="none" w:pos="582" w:val="left"/>
        </w:tabs>
        <w:numPr>
          <w:ilvl w:val="0"/>
          <w:numId w:val="370"/>
        </w:numPr>
        <w:rPr>
          <w:rFonts w:ascii="Arial" w:cs="Arial" w:eastAsia="Arial" w:hAnsi="Arial"/>
          <w:sz w:val="15"/>
          <w:szCs w:val="15"/>
          <w:color w:val="auto"/>
        </w:rPr>
      </w:pPr>
      <w:r>
        <w:rPr>
          <w:rFonts w:ascii="Arial" w:cs="Arial" w:eastAsia="Arial" w:hAnsi="Arial"/>
          <w:sz w:val="15"/>
          <w:szCs w:val="15"/>
          <w:color w:val="auto"/>
        </w:rPr>
        <w:t>Maintaining repairing preserving protecting decorating and where beyond economic repair renewing or replacing the Retained Premises and the Common Media</w:t>
      </w:r>
    </w:p>
    <w:p>
      <w:pPr>
        <w:spacing w:after="0" w:line="218" w:lineRule="exact"/>
        <w:rPr>
          <w:rFonts w:ascii="Arial" w:cs="Arial" w:eastAsia="Arial" w:hAnsi="Arial"/>
          <w:sz w:val="15"/>
          <w:szCs w:val="15"/>
          <w:color w:val="auto"/>
        </w:rPr>
      </w:pPr>
    </w:p>
    <w:p>
      <w:pPr>
        <w:ind w:left="582" w:right="120" w:hanging="582"/>
        <w:spacing w:after="0" w:line="270" w:lineRule="auto"/>
        <w:tabs>
          <w:tab w:leader="none" w:pos="567" w:val="left"/>
        </w:tabs>
        <w:numPr>
          <w:ilvl w:val="0"/>
          <w:numId w:val="370"/>
        </w:numPr>
        <w:rPr>
          <w:rFonts w:ascii="Arial" w:cs="Arial" w:eastAsia="Arial" w:hAnsi="Arial"/>
          <w:sz w:val="16"/>
          <w:szCs w:val="16"/>
          <w:color w:val="auto"/>
        </w:rPr>
      </w:pPr>
      <w:r>
        <w:rPr>
          <w:rFonts w:ascii="Arial" w:cs="Arial" w:eastAsia="Arial" w:hAnsi="Arial"/>
          <w:sz w:val="16"/>
          <w:szCs w:val="16"/>
          <w:color w:val="auto"/>
        </w:rPr>
        <w:t>Operating inspecting maintaining altering repairing cleaning and where beyond economic repair renewing and replacing the Heating Systems and all other plant and machinery serving the Building including lifts and lift plant (excluding for the avoidance of doubt the goods lift which is included within the Premises) window cleaning hoists and tracks and the costs of all maintenance contracts entered into by the Landlord in relation to them</w:t>
      </w:r>
    </w:p>
    <w:p>
      <w:pPr>
        <w:spacing w:after="0" w:line="161" w:lineRule="exact"/>
        <w:rPr>
          <w:rFonts w:ascii="Arial" w:cs="Arial" w:eastAsia="Arial" w:hAnsi="Arial"/>
          <w:sz w:val="16"/>
          <w:szCs w:val="16"/>
          <w:color w:val="auto"/>
        </w:rPr>
      </w:pPr>
    </w:p>
    <w:p>
      <w:pPr>
        <w:ind w:left="582" w:hanging="582"/>
        <w:spacing w:after="0" w:line="285" w:lineRule="auto"/>
        <w:tabs>
          <w:tab w:leader="none" w:pos="567" w:val="left"/>
        </w:tabs>
        <w:numPr>
          <w:ilvl w:val="0"/>
          <w:numId w:val="370"/>
        </w:numPr>
        <w:rPr>
          <w:rFonts w:ascii="Arial" w:cs="Arial" w:eastAsia="Arial" w:hAnsi="Arial"/>
          <w:sz w:val="16"/>
          <w:szCs w:val="16"/>
          <w:color w:val="auto"/>
        </w:rPr>
      </w:pPr>
      <w:r>
        <w:rPr>
          <w:rFonts w:ascii="Arial" w:cs="Arial" w:eastAsia="Arial" w:hAnsi="Arial"/>
          <w:sz w:val="16"/>
          <w:szCs w:val="16"/>
          <w:color w:val="auto"/>
        </w:rPr>
        <w:t>Providing via the Heating Systems appropriate and adequate hot water heating cooling and ventilation to the Building to such temperatures and for such periods as the Landlord acting reasonably may from time to time consider adequate</w:t>
      </w:r>
    </w:p>
    <w:p>
      <w:pPr>
        <w:spacing w:after="0" w:line="149" w:lineRule="exact"/>
        <w:rPr>
          <w:rFonts w:ascii="Arial" w:cs="Arial" w:eastAsia="Arial" w:hAnsi="Arial"/>
          <w:sz w:val="16"/>
          <w:szCs w:val="16"/>
          <w:color w:val="auto"/>
        </w:rPr>
      </w:pPr>
    </w:p>
    <w:p>
      <w:pPr>
        <w:jc w:val="both"/>
        <w:ind w:left="582" w:right="120" w:hanging="582"/>
        <w:spacing w:after="0" w:line="270" w:lineRule="auto"/>
        <w:tabs>
          <w:tab w:leader="none" w:pos="567" w:val="left"/>
        </w:tabs>
        <w:numPr>
          <w:ilvl w:val="0"/>
          <w:numId w:val="370"/>
        </w:numPr>
        <w:rPr>
          <w:rFonts w:ascii="Arial" w:cs="Arial" w:eastAsia="Arial" w:hAnsi="Arial"/>
          <w:sz w:val="16"/>
          <w:szCs w:val="16"/>
          <w:color w:val="auto"/>
        </w:rPr>
      </w:pPr>
      <w:r>
        <w:rPr>
          <w:rFonts w:ascii="Arial" w:cs="Arial" w:eastAsia="Arial" w:hAnsi="Arial"/>
          <w:sz w:val="16"/>
          <w:szCs w:val="16"/>
          <w:color w:val="auto"/>
        </w:rPr>
        <w:t>Providing maintaining repairing and where beyond economic repair renewing any fire alarm system and smoke detection apparatus and all firefighting and detection equipment in or on the Building including all sprinklers hoses and dry risers and all works necessary to comply with all requirements of the appropriate authority in relation to fire precautions and any requirements of the Insurers</w:t>
      </w:r>
    </w:p>
    <w:p>
      <w:pPr>
        <w:spacing w:after="0" w:line="161" w:lineRule="exact"/>
        <w:rPr>
          <w:rFonts w:ascii="Arial" w:cs="Arial" w:eastAsia="Arial" w:hAnsi="Arial"/>
          <w:sz w:val="16"/>
          <w:szCs w:val="16"/>
          <w:color w:val="auto"/>
        </w:rPr>
      </w:pPr>
    </w:p>
    <w:p>
      <w:pPr>
        <w:ind w:left="582" w:hanging="582"/>
        <w:spacing w:after="0"/>
        <w:tabs>
          <w:tab w:leader="none" w:pos="582" w:val="left"/>
        </w:tabs>
        <w:numPr>
          <w:ilvl w:val="0"/>
          <w:numId w:val="370"/>
        </w:numPr>
        <w:rPr>
          <w:rFonts w:ascii="Arial" w:cs="Arial" w:eastAsia="Arial" w:hAnsi="Arial"/>
          <w:sz w:val="16"/>
          <w:szCs w:val="16"/>
          <w:color w:val="auto"/>
        </w:rPr>
      </w:pPr>
      <w:r>
        <w:rPr>
          <w:rFonts w:ascii="Arial" w:cs="Arial" w:eastAsia="Arial" w:hAnsi="Arial"/>
          <w:sz w:val="16"/>
          <w:szCs w:val="16"/>
          <w:color w:val="auto"/>
        </w:rPr>
        <w:t>Keeping the Common Parts cleaned and maintained to a reasonable standard and adequately lit where appropriate</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70"/>
        </w:numPr>
        <w:rPr>
          <w:rFonts w:ascii="Arial" w:cs="Arial" w:eastAsia="Arial" w:hAnsi="Arial"/>
          <w:sz w:val="16"/>
          <w:szCs w:val="16"/>
          <w:color w:val="auto"/>
        </w:rPr>
      </w:pPr>
      <w:r>
        <w:rPr>
          <w:rFonts w:ascii="Arial" w:cs="Arial" w:eastAsia="Arial" w:hAnsi="Arial"/>
          <w:sz w:val="16"/>
          <w:szCs w:val="16"/>
          <w:color w:val="auto"/>
        </w:rPr>
        <w:t>Providing hot and cold water to the Toilets and Showers (including the wash basins) in the Common Parts</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46" w:name="page447"/>
    <w:bookmarkEnd w:id="446"/>
    <w:p>
      <w:pPr>
        <w:ind w:left="582" w:right="180" w:hanging="582"/>
        <w:spacing w:after="0" w:line="285" w:lineRule="auto"/>
        <w:tabs>
          <w:tab w:leader="none" w:pos="567" w:val="left"/>
        </w:tabs>
        <w:numPr>
          <w:ilvl w:val="0"/>
          <w:numId w:val="371"/>
        </w:numPr>
        <w:rPr>
          <w:rFonts w:ascii="Arial" w:cs="Arial" w:eastAsia="Arial" w:hAnsi="Arial"/>
          <w:sz w:val="16"/>
          <w:szCs w:val="16"/>
          <w:color w:val="auto"/>
        </w:rPr>
      </w:pPr>
      <w:r>
        <w:rPr>
          <w:rFonts w:ascii="Arial" w:cs="Arial" w:eastAsia="Arial" w:hAnsi="Arial"/>
          <w:sz w:val="16"/>
          <w:szCs w:val="16"/>
          <w:color w:val="auto"/>
        </w:rPr>
        <w:t>Providing maintaining repairing and where beyond economic repair renewing electric hand driers and providing an adequate supply of soap paper towels and such other items as the Landlord considers appropriate in the toilets in the Common Parts</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Cleaning (both inside and outside) all windows in the Building other than those which the Tenant or any other tenant in the Building is obliged to clean</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To clean regularly the carpets and other floor coverings in the Common Parts</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Complying with all Acts of Parliament relating in any way to the Building its occupation or use and with any notice from any competent authority</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Any gas electricity oil or other fuel water and telephones used in providing any Services</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Providing maintaining and repairing the secure entry system to gain access into and egress from the Building.</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Equipping furnishing and carpeting from time to time the Common Parts.</w:t>
      </w:r>
    </w:p>
    <w:p>
      <w:pPr>
        <w:spacing w:after="0" w:line="207" w:lineRule="exact"/>
        <w:rPr>
          <w:rFonts w:ascii="Arial" w:cs="Arial" w:eastAsia="Arial" w:hAnsi="Arial"/>
          <w:sz w:val="16"/>
          <w:szCs w:val="16"/>
          <w:color w:val="auto"/>
        </w:rPr>
      </w:pPr>
    </w:p>
    <w:p>
      <w:pPr>
        <w:ind w:left="582" w:right="380" w:hanging="582"/>
        <w:spacing w:after="0" w:line="285" w:lineRule="auto"/>
        <w:tabs>
          <w:tab w:leader="none" w:pos="566" w:val="left"/>
        </w:tabs>
        <w:numPr>
          <w:ilvl w:val="0"/>
          <w:numId w:val="371"/>
        </w:numPr>
        <w:rPr>
          <w:rFonts w:ascii="Arial" w:cs="Arial" w:eastAsia="Arial" w:hAnsi="Arial"/>
          <w:sz w:val="16"/>
          <w:szCs w:val="16"/>
          <w:color w:val="auto"/>
        </w:rPr>
      </w:pPr>
      <w:r>
        <w:rPr>
          <w:rFonts w:ascii="Arial" w:cs="Arial" w:eastAsia="Arial" w:hAnsi="Arial"/>
          <w:sz w:val="16"/>
          <w:szCs w:val="16"/>
          <w:color w:val="auto"/>
        </w:rPr>
        <w:t>Providing maintaining repairing and where beyond economic repair renewing any equipment including alarms gates barriers means of surveillance fencing and lighting and security services for the security of the Building</w:t>
      </w:r>
    </w:p>
    <w:p>
      <w:pPr>
        <w:spacing w:after="0" w:line="149" w:lineRule="exact"/>
        <w:rPr>
          <w:rFonts w:ascii="Arial" w:cs="Arial" w:eastAsia="Arial" w:hAnsi="Arial"/>
          <w:sz w:val="16"/>
          <w:szCs w:val="16"/>
          <w:color w:val="auto"/>
        </w:rPr>
      </w:pPr>
    </w:p>
    <w:p>
      <w:pPr>
        <w:ind w:left="562" w:hanging="562"/>
        <w:spacing w:after="0"/>
        <w:tabs>
          <w:tab w:leader="none" w:pos="56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Providing any dustbins or other similar receptacles for refuse (non clinical waste) for the Building and refuse collection</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Providing maintaining repairing and where beyond economic repair renewing directional signs and other notices in or upon the Building</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Maintaining keeping tidy and planting any area of land within the curtilage of the Building</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Provision of a 100% back-up power supply</w:t>
      </w:r>
    </w:p>
    <w:p>
      <w:pPr>
        <w:spacing w:after="0" w:line="203" w:lineRule="exact"/>
        <w:rPr>
          <w:sz w:val="20"/>
          <w:szCs w:val="20"/>
          <w:color w:val="auto"/>
        </w:rPr>
      </w:pPr>
    </w:p>
    <w:p>
      <w:pPr>
        <w:jc w:val="center"/>
        <w:ind w:right="-81"/>
        <w:spacing w:after="0"/>
        <w:rPr>
          <w:sz w:val="20"/>
          <w:szCs w:val="20"/>
          <w:color w:val="auto"/>
        </w:rPr>
      </w:pPr>
      <w:r>
        <w:rPr>
          <w:rFonts w:ascii="Arial" w:cs="Arial" w:eastAsia="Arial" w:hAnsi="Arial"/>
          <w:sz w:val="16"/>
          <w:szCs w:val="16"/>
          <w:b w:val="1"/>
          <w:bCs w:val="1"/>
          <w:color w:val="auto"/>
        </w:rPr>
        <w:t>Part 3</w:t>
      </w:r>
    </w:p>
    <w:p>
      <w:pPr>
        <w:spacing w:after="0" w:line="207" w:lineRule="exact"/>
        <w:rPr>
          <w:sz w:val="20"/>
          <w:szCs w:val="20"/>
          <w:color w:val="auto"/>
        </w:rPr>
      </w:pPr>
    </w:p>
    <w:p>
      <w:pPr>
        <w:jc w:val="center"/>
        <w:ind w:right="-81"/>
        <w:spacing w:after="0"/>
        <w:rPr>
          <w:sz w:val="20"/>
          <w:szCs w:val="20"/>
          <w:color w:val="auto"/>
        </w:rPr>
      </w:pPr>
      <w:r>
        <w:rPr>
          <w:rFonts w:ascii="Arial" w:cs="Arial" w:eastAsia="Arial" w:hAnsi="Arial"/>
          <w:sz w:val="16"/>
          <w:szCs w:val="16"/>
          <w:b w:val="1"/>
          <w:bCs w:val="1"/>
          <w:color w:val="auto"/>
        </w:rPr>
        <w:t>The Discretionary Services</w:t>
      </w:r>
    </w:p>
    <w:p>
      <w:pPr>
        <w:spacing w:after="0" w:line="211" w:lineRule="exact"/>
        <w:rPr>
          <w:sz w:val="20"/>
          <w:szCs w:val="20"/>
          <w:color w:val="auto"/>
        </w:rPr>
      </w:pPr>
    </w:p>
    <w:p>
      <w:pPr>
        <w:ind w:left="602" w:hanging="602"/>
        <w:spacing w:after="0"/>
        <w:tabs>
          <w:tab w:leader="none" w:pos="602"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Abating a nuisance in so far as such nuisance is not the liability of or attributable to the fault of the Tenant or any other tenant in the Building</w:t>
      </w:r>
    </w:p>
    <w:p>
      <w:pPr>
        <w:spacing w:after="0" w:line="207" w:lineRule="exact"/>
        <w:rPr>
          <w:rFonts w:ascii="Arial" w:cs="Arial" w:eastAsia="Arial" w:hAnsi="Arial"/>
          <w:sz w:val="16"/>
          <w:szCs w:val="16"/>
          <w:color w:val="auto"/>
        </w:rPr>
      </w:pPr>
    </w:p>
    <w:p>
      <w:pPr>
        <w:ind w:left="582" w:right="360" w:hanging="582"/>
        <w:spacing w:after="0" w:line="285" w:lineRule="auto"/>
        <w:tabs>
          <w:tab w:leader="none" w:pos="567" w:val="left"/>
        </w:tabs>
        <w:numPr>
          <w:ilvl w:val="0"/>
          <w:numId w:val="372"/>
        </w:numPr>
        <w:rPr>
          <w:rFonts w:ascii="Arial" w:cs="Arial" w:eastAsia="Arial" w:hAnsi="Arial"/>
          <w:sz w:val="16"/>
          <w:szCs w:val="16"/>
          <w:color w:val="auto"/>
        </w:rPr>
      </w:pPr>
      <w:r>
        <w:rPr>
          <w:rFonts w:ascii="Arial" w:cs="Arial" w:eastAsia="Arial" w:hAnsi="Arial"/>
          <w:sz w:val="16"/>
          <w:szCs w:val="16"/>
          <w:color w:val="auto"/>
        </w:rPr>
        <w:t>Contributing towards the expense of making repairing rebuilding or cleansing any roads pavements sewers drains pipes party walls structures or fences or other conveniences which may belong to or be used for the Building in common with any adjoining or neighbouring premises</w:t>
      </w:r>
    </w:p>
    <w:p>
      <w:pPr>
        <w:spacing w:after="0" w:line="149" w:lineRule="exact"/>
        <w:rPr>
          <w:rFonts w:ascii="Arial" w:cs="Arial" w:eastAsia="Arial" w:hAnsi="Arial"/>
          <w:sz w:val="16"/>
          <w:szCs w:val="16"/>
          <w:color w:val="auto"/>
        </w:rPr>
      </w:pPr>
    </w:p>
    <w:p>
      <w:pPr>
        <w:ind w:left="582" w:hanging="582"/>
        <w:spacing w:after="0" w:line="270" w:lineRule="auto"/>
        <w:tabs>
          <w:tab w:leader="none" w:pos="567"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Taking any steps reasonably deemed by the Landlord to be desirable or expedient in the interests of good estate management for making representations against or otherwise contesting the incidence of the provisions of any Act of Parliament affecting or allegedly affecting the Building or any part of it and for which no tenant of the Landlord is directly responsible</w:t>
      </w:r>
    </w:p>
    <w:p>
      <w:pPr>
        <w:spacing w:after="0" w:line="162"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42"/>
          </w:cols>
          <w:pgMar w:left="238" w:top="322" w:right="319" w:bottom="1440" w:gutter="0" w:footer="0" w:header="0"/>
        </w:sectPr>
      </w:pPr>
    </w:p>
    <w:bookmarkStart w:id="447" w:name="page448"/>
    <w:bookmarkEnd w:id="447"/>
    <w:p>
      <w:pPr>
        <w:ind w:left="582" w:right="180" w:hanging="582"/>
        <w:spacing w:after="0" w:line="285" w:lineRule="auto"/>
        <w:tabs>
          <w:tab w:leader="none" w:pos="567" w:val="left"/>
        </w:tabs>
        <w:numPr>
          <w:ilvl w:val="0"/>
          <w:numId w:val="373"/>
        </w:numPr>
        <w:rPr>
          <w:rFonts w:ascii="Arial" w:cs="Arial" w:eastAsia="Arial" w:hAnsi="Arial"/>
          <w:sz w:val="16"/>
          <w:szCs w:val="16"/>
          <w:color w:val="auto"/>
        </w:rPr>
      </w:pPr>
      <w:r>
        <w:rPr>
          <w:rFonts w:ascii="Arial" w:cs="Arial" w:eastAsia="Arial" w:hAnsi="Arial"/>
          <w:sz w:val="16"/>
          <w:szCs w:val="16"/>
          <w:color w:val="auto"/>
        </w:rPr>
        <w:t>Commissioning obtaining preparation and/or provision of any EPC and/or (where applicable) any DEC in relation to the Building including the fees costs expenses and disbursements of any assessor engaged to prepare the EPC</w:t>
      </w:r>
    </w:p>
    <w:p>
      <w:pPr>
        <w:spacing w:after="0" w:line="149" w:lineRule="exact"/>
        <w:rPr>
          <w:rFonts w:ascii="Arial" w:cs="Arial" w:eastAsia="Arial" w:hAnsi="Arial"/>
          <w:sz w:val="16"/>
          <w:szCs w:val="16"/>
          <w:color w:val="auto"/>
        </w:rPr>
      </w:pPr>
    </w:p>
    <w:p>
      <w:pPr>
        <w:ind w:left="582" w:right="100" w:hanging="582"/>
        <w:spacing w:after="0" w:line="285" w:lineRule="auto"/>
        <w:tabs>
          <w:tab w:leader="none" w:pos="567" w:val="left"/>
        </w:tabs>
        <w:numPr>
          <w:ilvl w:val="0"/>
          <w:numId w:val="373"/>
        </w:numPr>
        <w:rPr>
          <w:rFonts w:ascii="Arial" w:cs="Arial" w:eastAsia="Arial" w:hAnsi="Arial"/>
          <w:sz w:val="16"/>
          <w:szCs w:val="16"/>
          <w:color w:val="auto"/>
        </w:rPr>
      </w:pPr>
      <w:r>
        <w:rPr>
          <w:rFonts w:ascii="Arial" w:cs="Arial" w:eastAsia="Arial" w:hAnsi="Arial"/>
          <w:sz w:val="16"/>
          <w:szCs w:val="16"/>
          <w:color w:val="auto"/>
        </w:rPr>
        <w:t>Complying with the obligations of the lessee contained in the Superior Lease (except regarding payment of the rents thereby reserved) and save to the extent that the Tenant is liable therefor under this underlease</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Employing staff or independent contractors or labour for the provision of the Services</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Providing materials and equipment needed from time to time for the proper performance of the duties of any staff</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73"/>
        </w:numPr>
        <w:rPr>
          <w:rFonts w:ascii="Arial" w:cs="Arial" w:eastAsia="Arial" w:hAnsi="Arial"/>
          <w:sz w:val="14"/>
          <w:szCs w:val="14"/>
          <w:color w:val="auto"/>
        </w:rPr>
      </w:pPr>
      <w:r>
        <w:rPr>
          <w:rFonts w:ascii="Arial" w:cs="Arial" w:eastAsia="Arial" w:hAnsi="Arial"/>
          <w:sz w:val="14"/>
          <w:szCs w:val="14"/>
          <w:color w:val="auto"/>
        </w:rPr>
        <w:t>Providing such further services as may from time to time be consistent with the principles of good estate management and/or preserving the amenities of the Building</w:t>
      </w:r>
    </w:p>
    <w:p>
      <w:pPr>
        <w:spacing w:after="0" w:line="230" w:lineRule="exact"/>
        <w:rPr>
          <w:rFonts w:ascii="Arial" w:cs="Arial" w:eastAsia="Arial" w:hAnsi="Arial"/>
          <w:sz w:val="14"/>
          <w:szCs w:val="14"/>
          <w:color w:val="auto"/>
        </w:rPr>
      </w:pPr>
    </w:p>
    <w:p>
      <w:pPr>
        <w:ind w:left="582" w:right="400" w:hanging="582"/>
        <w:spacing w:after="0" w:line="270" w:lineRule="auto"/>
        <w:tabs>
          <w:tab w:leader="none" w:pos="567" w:val="left"/>
        </w:tabs>
        <w:numPr>
          <w:ilvl w:val="0"/>
          <w:numId w:val="373"/>
        </w:numPr>
        <w:rPr>
          <w:rFonts w:ascii="Arial" w:cs="Arial" w:eastAsia="Arial" w:hAnsi="Arial"/>
          <w:sz w:val="16"/>
          <w:szCs w:val="16"/>
          <w:color w:val="auto"/>
        </w:rPr>
      </w:pPr>
      <w:r>
        <w:rPr>
          <w:rFonts w:ascii="Arial" w:cs="Arial" w:eastAsia="Arial" w:hAnsi="Arial"/>
          <w:sz w:val="16"/>
          <w:szCs w:val="16"/>
          <w:color w:val="auto"/>
        </w:rPr>
        <w:t>Employing or retaining any solicitor accountant surveyor valuer architect engineer managing agent or management company or other professional consultant or adviser in connection with the management administration repair and maintenance of the Building including the preparation of any accounts certificates and statements relating to Annual Expenditure</w:t>
      </w:r>
    </w:p>
    <w:p>
      <w:pPr>
        <w:spacing w:after="0" w:line="161" w:lineRule="exact"/>
        <w:rPr>
          <w:rFonts w:ascii="Arial" w:cs="Arial" w:eastAsia="Arial" w:hAnsi="Arial"/>
          <w:sz w:val="16"/>
          <w:szCs w:val="16"/>
          <w:color w:val="auto"/>
        </w:rPr>
      </w:pPr>
    </w:p>
    <w:p>
      <w:pPr>
        <w:ind w:left="582" w:right="160" w:hanging="582"/>
        <w:spacing w:after="0" w:line="360" w:lineRule="auto"/>
        <w:tabs>
          <w:tab w:leader="none" w:pos="566" w:val="left"/>
        </w:tabs>
        <w:numPr>
          <w:ilvl w:val="0"/>
          <w:numId w:val="373"/>
        </w:numPr>
        <w:rPr>
          <w:rFonts w:ascii="Arial" w:cs="Arial" w:eastAsia="Arial" w:hAnsi="Arial"/>
          <w:sz w:val="14"/>
          <w:szCs w:val="14"/>
          <w:color w:val="auto"/>
        </w:rPr>
      </w:pPr>
      <w:r>
        <w:rPr>
          <w:rFonts w:ascii="Arial" w:cs="Arial" w:eastAsia="Arial" w:hAnsi="Arial"/>
          <w:sz w:val="14"/>
          <w:szCs w:val="14"/>
          <w:color w:val="auto"/>
        </w:rPr>
        <w:t>If the Landlord (or any company subsidiary to or associated with the Landlord) fulfils the duties normally carried out by a managing agent a management fee not in excess of the sum reasonably and properly payable to an independent managing agent but not so as to result in a duplication of work or charges payable hereunder</w:t>
      </w:r>
    </w:p>
    <w:p>
      <w:pPr>
        <w:spacing w:after="0" w:line="103" w:lineRule="exact"/>
        <w:rPr>
          <w:rFonts w:ascii="Arial" w:cs="Arial" w:eastAsia="Arial" w:hAnsi="Arial"/>
          <w:sz w:val="14"/>
          <w:szCs w:val="14"/>
          <w:color w:val="auto"/>
        </w:rPr>
      </w:pPr>
    </w:p>
    <w:p>
      <w:pPr>
        <w:ind w:left="582" w:right="40" w:hanging="582"/>
        <w:spacing w:after="0" w:line="285" w:lineRule="auto"/>
        <w:tabs>
          <w:tab w:leader="none" w:pos="56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All rates taxes and outgoings of any kind charged in respect of the Retained Premises (but not any tax payable by the Landlord on receipt of rent or which arises from a dealing with the Landlord’s interest in the Retained Premises)</w:t>
      </w:r>
    </w:p>
    <w:p>
      <w:pPr>
        <w:spacing w:after="0" w:line="149" w:lineRule="exact"/>
        <w:rPr>
          <w:rFonts w:ascii="Arial" w:cs="Arial" w:eastAsia="Arial" w:hAnsi="Arial"/>
          <w:sz w:val="16"/>
          <w:szCs w:val="16"/>
          <w:color w:val="auto"/>
        </w:rPr>
      </w:pPr>
    </w:p>
    <w:p>
      <w:pPr>
        <w:ind w:left="562" w:hanging="562"/>
        <w:spacing w:after="0"/>
        <w:tabs>
          <w:tab w:leader="none" w:pos="56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Providing equipping and operating reception facilities for persons visiting the Building</w:t>
      </w:r>
    </w:p>
    <w:p>
      <w:pPr>
        <w:spacing w:after="0" w:line="207" w:lineRule="exact"/>
        <w:rPr>
          <w:rFonts w:ascii="Arial" w:cs="Arial" w:eastAsia="Arial" w:hAnsi="Arial"/>
          <w:sz w:val="16"/>
          <w:szCs w:val="16"/>
          <w:color w:val="auto"/>
        </w:rPr>
      </w:pPr>
    </w:p>
    <w:p>
      <w:pPr>
        <w:ind w:left="582" w:right="160" w:hanging="582"/>
        <w:spacing w:after="0" w:line="285" w:lineRule="auto"/>
        <w:tabs>
          <w:tab w:leader="none" w:pos="566"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Any other reasonable and proper expenses incurred by the Landlord in respect of the Retained Premises (except such as any tenant or other occupier is liable to pay (including the Landlord where in occupation))</w:t>
      </w:r>
    </w:p>
    <w:p>
      <w:pPr>
        <w:spacing w:after="0" w:line="149" w:lineRule="exact"/>
        <w:rPr>
          <w:rFonts w:ascii="Arial" w:cs="Arial" w:eastAsia="Arial" w:hAnsi="Arial"/>
          <w:sz w:val="16"/>
          <w:szCs w:val="16"/>
          <w:color w:val="auto"/>
        </w:rPr>
      </w:pPr>
    </w:p>
    <w:p>
      <w:pPr>
        <w:ind w:left="562" w:hanging="562"/>
        <w:spacing w:after="0"/>
        <w:tabs>
          <w:tab w:leader="none" w:pos="56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Interest (at not more than the Interest Rate) on money disbursed by the Landlord in providing any of the Services prior to reimbursement</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Schedule 9</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Provisions Referred to in Clause 8</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Further Lease entered into pursuant to clause 8 will be on the same terms and conditions as this Lease except that:-</w:t>
      </w:r>
    </w:p>
    <w:p>
      <w:pPr>
        <w:spacing w:after="0" w:line="207" w:lineRule="exact"/>
        <w:rPr>
          <w:sz w:val="20"/>
          <w:szCs w:val="20"/>
          <w:color w:val="auto"/>
        </w:rPr>
      </w:pPr>
    </w:p>
    <w:p>
      <w:pPr>
        <w:ind w:left="582" w:hanging="582"/>
        <w:spacing w:after="0"/>
        <w:tabs>
          <w:tab w:leader="none" w:pos="58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It will not contain provisions equivalent to clause 8 and this schedule 9</w:t>
      </w:r>
    </w:p>
    <w:p>
      <w:pPr>
        <w:spacing w:after="0" w:line="203" w:lineRule="exact"/>
        <w:rPr>
          <w:rFonts w:ascii="Arial" w:cs="Arial" w:eastAsia="Arial" w:hAnsi="Arial"/>
          <w:sz w:val="16"/>
          <w:szCs w:val="16"/>
          <w:color w:val="auto"/>
        </w:rPr>
      </w:pPr>
    </w:p>
    <w:p>
      <w:pPr>
        <w:ind w:left="582" w:right="40" w:hanging="582"/>
        <w:spacing w:after="0" w:line="290" w:lineRule="auto"/>
        <w:tabs>
          <w:tab w:leader="none" w:pos="567"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The definition of the </w:t>
      </w:r>
      <w:r>
        <w:rPr>
          <w:rFonts w:ascii="Arial" w:cs="Arial" w:eastAsia="Arial" w:hAnsi="Arial"/>
          <w:sz w:val="16"/>
          <w:szCs w:val="16"/>
          <w:b w:val="1"/>
          <w:bCs w:val="1"/>
          <w:color w:val="auto"/>
        </w:rPr>
        <w:t>“Rent”</w:t>
      </w:r>
      <w:r>
        <w:rPr>
          <w:rFonts w:ascii="Arial" w:cs="Arial" w:eastAsia="Arial" w:hAnsi="Arial"/>
          <w:sz w:val="16"/>
          <w:szCs w:val="16"/>
          <w:color w:val="auto"/>
        </w:rPr>
        <w:t xml:space="preserve"> in clause 1.1 will be re-designated as the </w:t>
      </w:r>
      <w:r>
        <w:rPr>
          <w:rFonts w:ascii="Arial" w:cs="Arial" w:eastAsia="Arial" w:hAnsi="Arial"/>
          <w:sz w:val="16"/>
          <w:szCs w:val="16"/>
          <w:b w:val="1"/>
          <w:bCs w:val="1"/>
          <w:color w:val="auto"/>
        </w:rPr>
        <w:t>“Initial Rent”</w:t>
      </w:r>
      <w:r>
        <w:rPr>
          <w:rFonts w:ascii="Arial" w:cs="Arial" w:eastAsia="Arial" w:hAnsi="Arial"/>
          <w:sz w:val="16"/>
          <w:szCs w:val="16"/>
          <w:color w:val="auto"/>
        </w:rPr>
        <w:t xml:space="preserve"> and will be the Rent payable under this Lease as at the expiry of the Term (or if payment has been suspended or restricted the Rent which would have been payable had there been no suspension or restriction)</w:t>
      </w:r>
    </w:p>
    <w:p>
      <w:pPr>
        <w:spacing w:after="0" w:line="142" w:lineRule="exact"/>
        <w:rPr>
          <w:rFonts w:ascii="Arial" w:cs="Arial" w:eastAsia="Arial" w:hAnsi="Arial"/>
          <w:sz w:val="16"/>
          <w:szCs w:val="16"/>
          <w:color w:val="auto"/>
        </w:rPr>
      </w:pPr>
    </w:p>
    <w:p>
      <w:pPr>
        <w:ind w:left="582" w:hanging="582"/>
        <w:spacing w:after="0"/>
        <w:tabs>
          <w:tab w:leader="none" w:pos="58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The definition of the </w:t>
      </w:r>
      <w:r>
        <w:rPr>
          <w:rFonts w:ascii="Arial" w:cs="Arial" w:eastAsia="Arial" w:hAnsi="Arial"/>
          <w:sz w:val="16"/>
          <w:szCs w:val="16"/>
          <w:b w:val="1"/>
          <w:bCs w:val="1"/>
          <w:color w:val="auto"/>
        </w:rPr>
        <w:t>“Rent Commencement Date”</w:t>
      </w:r>
      <w:r>
        <w:rPr>
          <w:rFonts w:ascii="Arial" w:cs="Arial" w:eastAsia="Arial" w:hAnsi="Arial"/>
          <w:sz w:val="16"/>
          <w:szCs w:val="16"/>
          <w:color w:val="auto"/>
        </w:rPr>
        <w:t xml:space="preserve"> in clause 1.1 will be the 12</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December 2021</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The definition of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in clause 1.1 will be the term of years to be granted by the Further Lease as provided in clause 8</w:t>
      </w:r>
    </w:p>
    <w:p>
      <w:pPr>
        <w:spacing w:after="0" w:line="211" w:lineRule="exact"/>
        <w:rPr>
          <w:rFonts w:ascii="Arial" w:cs="Arial" w:eastAsia="Arial" w:hAnsi="Arial"/>
          <w:sz w:val="16"/>
          <w:szCs w:val="16"/>
          <w:color w:val="auto"/>
        </w:rPr>
      </w:pPr>
    </w:p>
    <w:p>
      <w:pPr>
        <w:ind w:left="582" w:hanging="582"/>
        <w:spacing w:after="0"/>
        <w:tabs>
          <w:tab w:leader="none" w:pos="58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following new definitions will be inserted into clause 1.1:-</w:t>
      </w:r>
    </w:p>
    <w:p>
      <w:pPr>
        <w:spacing w:after="0" w:line="203" w:lineRule="exact"/>
        <w:rPr>
          <w:rFonts w:ascii="Arial" w:cs="Arial" w:eastAsia="Arial" w:hAnsi="Arial"/>
          <w:sz w:val="16"/>
          <w:szCs w:val="16"/>
          <w:color w:val="auto"/>
        </w:rPr>
      </w:pPr>
    </w:p>
    <w:p>
      <w:pPr>
        <w:ind w:left="582" w:right="600"/>
        <w:spacing w:after="0" w:line="290" w:lineRule="auto"/>
        <w:rPr>
          <w:rFonts w:ascii="Arial" w:cs="Arial" w:eastAsia="Arial" w:hAnsi="Arial"/>
          <w:sz w:val="16"/>
          <w:szCs w:val="16"/>
          <w:color w:val="auto"/>
        </w:rPr>
      </w:pPr>
      <w:r>
        <w:rPr>
          <w:rFonts w:ascii="Arial" w:cs="Arial" w:eastAsia="Arial" w:hAnsi="Arial"/>
          <w:sz w:val="16"/>
          <w:szCs w:val="16"/>
          <w:b w:val="1"/>
          <w:bCs w:val="1"/>
          <w:color w:val="auto"/>
        </w:rPr>
        <w:t xml:space="preserve">“Previous </w:t>
      </w:r>
      <w:r>
        <w:rPr>
          <w:rFonts w:ascii="Arial" w:cs="Arial" w:eastAsia="Arial" w:hAnsi="Arial"/>
          <w:sz w:val="15"/>
          <w:szCs w:val="15"/>
          <w:b w:val="1"/>
          <w:bCs w:val="1"/>
          <w:color w:val="auto"/>
        </w:rPr>
        <w:t>Lease”</w:t>
      </w:r>
      <w:r>
        <w:rPr>
          <w:rFonts w:ascii="Arial" w:cs="Arial" w:eastAsia="Arial" w:hAnsi="Arial"/>
          <w:sz w:val="16"/>
          <w:szCs w:val="16"/>
          <w:color w:val="auto"/>
        </w:rPr>
        <w:t>: The previous lease of the Premises dated 2 March 2017 between Imperial College of Science Technology and Medicine (1) Convergence</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Pharmaceuticals Limited (2) and Biogen Idec Limited (3)</w:t>
      </w:r>
    </w:p>
    <w:p>
      <w:pPr>
        <w:spacing w:after="0" w:line="142"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b w:val="1"/>
          <w:bCs w:val="1"/>
          <w:color w:val="auto"/>
        </w:rPr>
        <w:t>“Review Date”</w:t>
      </w:r>
      <w:r>
        <w:rPr>
          <w:rFonts w:ascii="Arial" w:cs="Arial" w:eastAsia="Arial" w:hAnsi="Arial"/>
          <w:sz w:val="16"/>
          <w:szCs w:val="16"/>
          <w:color w:val="auto"/>
        </w:rPr>
        <w:t>: The 12</w:t>
      </w:r>
      <w:r>
        <w:rPr>
          <w:rFonts w:ascii="Arial" w:cs="Arial" w:eastAsia="Arial" w:hAnsi="Arial"/>
          <w:sz w:val="21"/>
          <w:szCs w:val="21"/>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December 2021</w:t>
      </w:r>
    </w:p>
    <w:p>
      <w:pPr>
        <w:spacing w:after="0" w:line="149"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b w:val="1"/>
          <w:bCs w:val="1"/>
          <w:color w:val="auto"/>
        </w:rPr>
        <w:t>“Specification”</w:t>
      </w:r>
      <w:r>
        <w:rPr>
          <w:rFonts w:ascii="Arial" w:cs="Arial" w:eastAsia="Arial" w:hAnsi="Arial"/>
          <w:sz w:val="16"/>
          <w:szCs w:val="16"/>
          <w:color w:val="auto"/>
        </w:rPr>
        <w:t>: the lab suite specification annexed at appendix 1</w:t>
      </w:r>
    </w:p>
    <w:p>
      <w:pPr>
        <w:spacing w:after="0" w:line="207"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b w:val="1"/>
          <w:bCs w:val="1"/>
          <w:color w:val="auto"/>
        </w:rPr>
        <w:t xml:space="preserve">“Yearly Rent” </w:t>
      </w:r>
      <w:r>
        <w:rPr>
          <w:rFonts w:ascii="Arial" w:cs="Arial" w:eastAsia="Arial" w:hAnsi="Arial"/>
          <w:sz w:val="16"/>
          <w:szCs w:val="16"/>
          <w:color w:val="auto"/>
        </w:rPr>
        <w:t>the Initial Rent and the rent ascertained in accordance with schedule 9</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All references to </w:t>
      </w:r>
      <w:r>
        <w:rPr>
          <w:rFonts w:ascii="Arial" w:cs="Arial" w:eastAsia="Arial" w:hAnsi="Arial"/>
          <w:sz w:val="16"/>
          <w:szCs w:val="16"/>
          <w:b w:val="1"/>
          <w:bCs w:val="1"/>
          <w:color w:val="auto"/>
        </w:rPr>
        <w:t>“Rent”</w:t>
      </w:r>
      <w:r>
        <w:rPr>
          <w:rFonts w:ascii="Arial" w:cs="Arial" w:eastAsia="Arial" w:hAnsi="Arial"/>
          <w:sz w:val="16"/>
          <w:szCs w:val="16"/>
          <w:color w:val="auto"/>
        </w:rPr>
        <w:t xml:space="preserve"> will be changed to </w:t>
      </w:r>
      <w:r>
        <w:rPr>
          <w:rFonts w:ascii="Arial" w:cs="Arial" w:eastAsia="Arial" w:hAnsi="Arial"/>
          <w:sz w:val="16"/>
          <w:szCs w:val="16"/>
          <w:b w:val="1"/>
          <w:bCs w:val="1"/>
          <w:color w:val="auto"/>
        </w:rPr>
        <w:t>“Yearly Rent”</w:t>
      </w:r>
    </w:p>
    <w:p>
      <w:pPr>
        <w:spacing w:after="0" w:line="211" w:lineRule="exact"/>
        <w:rPr>
          <w:rFonts w:ascii="Arial" w:cs="Arial" w:eastAsia="Arial" w:hAnsi="Arial"/>
          <w:sz w:val="16"/>
          <w:szCs w:val="16"/>
          <w:color w:val="auto"/>
        </w:rPr>
      </w:pPr>
    </w:p>
    <w:p>
      <w:pPr>
        <w:ind w:left="582" w:hanging="582"/>
        <w:spacing w:after="0"/>
        <w:tabs>
          <w:tab w:leader="none" w:pos="58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In clause 3 the Tenant will also covenant to observe and perform the obligations of the Tenant contained in schedule 9 (rent review)</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In clause 4 the Landlord will also covenant to observe and perform the obligations of the Landlord contained in schedule 9 (rent review)</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In clause 5 it will also be agreed and declared as set out in schedule 9 (rent review)</w:t>
      </w:r>
    </w:p>
    <w:p>
      <w:pPr>
        <w:spacing w:after="0" w:line="207" w:lineRule="exact"/>
        <w:rPr>
          <w:rFonts w:ascii="Arial" w:cs="Arial" w:eastAsia="Arial" w:hAnsi="Arial"/>
          <w:sz w:val="16"/>
          <w:szCs w:val="16"/>
          <w:color w:val="auto"/>
        </w:rPr>
      </w:pPr>
    </w:p>
    <w:p>
      <w:pPr>
        <w:ind w:left="542" w:hanging="542"/>
        <w:spacing w:after="0"/>
        <w:tabs>
          <w:tab w:leader="none" w:pos="54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following wording will be substituted for paragraph 7.1.2 of schedule 2:-</w:t>
      </w:r>
    </w:p>
    <w:p>
      <w:pPr>
        <w:spacing w:after="0" w:line="207" w:lineRule="exact"/>
        <w:rPr>
          <w:sz w:val="20"/>
          <w:szCs w:val="20"/>
          <w:color w:val="auto"/>
        </w:rPr>
      </w:pPr>
    </w:p>
    <w:p>
      <w:pPr>
        <w:jc w:val="both"/>
        <w:ind w:left="582"/>
        <w:spacing w:after="0" w:line="265" w:lineRule="auto"/>
        <w:rPr>
          <w:sz w:val="20"/>
          <w:szCs w:val="20"/>
          <w:color w:val="auto"/>
        </w:rPr>
      </w:pPr>
      <w:r>
        <w:rPr>
          <w:rFonts w:ascii="Arial" w:cs="Arial" w:eastAsia="Arial" w:hAnsi="Arial"/>
          <w:sz w:val="16"/>
          <w:szCs w:val="16"/>
          <w:color w:val="auto"/>
        </w:rPr>
        <w:t>“(unless and to the extent that the Landlord agrees otherwise) to reinstate and restore the Premises to the same state and condition as they were in prior to the carrying out of any works to the Premises whether such works were carried out during the Term; or prior to the Term during the term of years granted by the Previous Lease or under the agreement for the grant of such lease dated 15 June 2016 between Imperial College of Science Technology and Medicine (1) Convergence Pharmaceuticals Limited (2) and Biogen Idec Limited (3)”</w:t>
      </w:r>
    </w:p>
    <w:p>
      <w:pPr>
        <w:spacing w:after="0" w:line="16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448" w:name="page449"/>
    <w:bookmarkEnd w:id="448"/>
    <w:p>
      <w:pPr>
        <w:ind w:left="542" w:hanging="542"/>
        <w:spacing w:after="0"/>
        <w:tabs>
          <w:tab w:leader="none" w:pos="542"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following wording will be inserted as a new paragraph 5 in schedule 7:-</w:t>
      </w:r>
    </w:p>
    <w:p>
      <w:pPr>
        <w:spacing w:after="0" w:line="207" w:lineRule="exact"/>
        <w:rPr>
          <w:sz w:val="20"/>
          <w:szCs w:val="20"/>
          <w:color w:val="auto"/>
        </w:rPr>
      </w:pPr>
    </w:p>
    <w:p>
      <w:pPr>
        <w:ind w:left="582" w:right="120"/>
        <w:spacing w:after="0" w:line="288" w:lineRule="auto"/>
        <w:rPr>
          <w:sz w:val="20"/>
          <w:szCs w:val="20"/>
          <w:color w:val="auto"/>
        </w:rPr>
      </w:pPr>
      <w:r>
        <w:rPr>
          <w:rFonts w:ascii="Arial" w:cs="Arial" w:eastAsia="Arial" w:hAnsi="Arial"/>
          <w:sz w:val="15"/>
          <w:szCs w:val="15"/>
          <w:color w:val="auto"/>
        </w:rPr>
        <w:t>“If on the commencement date of the new lease of the Premises granted pursuant to paragraph 4 of this schedule the Rental Value (as defined in schedule 9) has not been agreed or determined then the rent first reserved by such new lease will initially be equal to the Initial Rent payable under this Lease immediately prior to such Review Date (or if payment has been suspended or restricted the Yearly Rent which would have been payable had there been no suspension or restriction) but the second day of the term of such new lease will be an additional Review Date” A new schedule 9 will be inserted as follows:-</w:t>
      </w:r>
    </w:p>
    <w:p>
      <w:pPr>
        <w:spacing w:after="0" w:line="146"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“Schedule 9</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Rent Review</w:t>
      </w:r>
    </w:p>
    <w:p>
      <w:pPr>
        <w:spacing w:after="0" w:line="207" w:lineRule="exact"/>
        <w:rPr>
          <w:sz w:val="20"/>
          <w:szCs w:val="20"/>
          <w:color w:val="auto"/>
        </w:rPr>
      </w:pPr>
    </w:p>
    <w:p>
      <w:pPr>
        <w:ind w:left="582" w:hanging="582"/>
        <w:spacing w:after="0"/>
        <w:tabs>
          <w:tab w:leader="none" w:pos="582" w:val="left"/>
        </w:tabs>
        <w:numPr>
          <w:ilvl w:val="0"/>
          <w:numId w:val="376"/>
        </w:numPr>
        <w:rPr>
          <w:rFonts w:ascii="Arial" w:cs="Arial" w:eastAsia="Arial" w:hAnsi="Arial"/>
          <w:sz w:val="16"/>
          <w:szCs w:val="16"/>
          <w:b w:val="1"/>
          <w:bCs w:val="1"/>
          <w:color w:val="auto"/>
        </w:rPr>
      </w:pPr>
      <w:r>
        <w:rPr>
          <w:rFonts w:ascii="Arial" w:cs="Arial" w:eastAsia="Arial" w:hAnsi="Arial"/>
          <w:sz w:val="16"/>
          <w:szCs w:val="16"/>
          <w:b w:val="1"/>
          <w:bCs w:val="1"/>
          <w:color w:val="auto"/>
        </w:rPr>
        <w:t>Rental Value</w:t>
      </w:r>
    </w:p>
    <w:p>
      <w:pPr>
        <w:spacing w:after="0" w:line="211" w:lineRule="exact"/>
        <w:rPr>
          <w:sz w:val="20"/>
          <w:szCs w:val="20"/>
          <w:color w:val="auto"/>
        </w:rPr>
      </w:pPr>
    </w:p>
    <w:p>
      <w:pPr>
        <w:ind w:left="582" w:right="40"/>
        <w:spacing w:after="0" w:line="286" w:lineRule="auto"/>
        <w:rPr>
          <w:sz w:val="20"/>
          <w:szCs w:val="20"/>
          <w:color w:val="auto"/>
        </w:rPr>
      </w:pPr>
      <w:r>
        <w:rPr>
          <w:rFonts w:ascii="Arial" w:cs="Arial" w:eastAsia="Arial" w:hAnsi="Arial"/>
          <w:sz w:val="16"/>
          <w:szCs w:val="16"/>
          <w:color w:val="auto"/>
        </w:rPr>
        <w:t xml:space="preserve">In this schedule </w:t>
      </w:r>
      <w:r>
        <w:rPr>
          <w:rFonts w:ascii="Arial" w:cs="Arial" w:eastAsia="Arial" w:hAnsi="Arial"/>
          <w:sz w:val="15"/>
          <w:szCs w:val="15"/>
          <w:b w:val="1"/>
          <w:bCs w:val="1"/>
          <w:color w:val="auto"/>
        </w:rPr>
        <w:t>“Rental Value”</w:t>
      </w:r>
      <w:r>
        <w:rPr>
          <w:rFonts w:ascii="Arial" w:cs="Arial" w:eastAsia="Arial" w:hAnsi="Arial"/>
          <w:sz w:val="16"/>
          <w:szCs w:val="16"/>
          <w:color w:val="auto"/>
        </w:rPr>
        <w:t xml:space="preserve"> means the clear yearly rack rent at which the Premises might reasonably be expected to be let at the Review Date in the open market by a willing lessor to a willing lessee</w:t>
      </w:r>
    </w:p>
    <w:p>
      <w:pPr>
        <w:spacing w:after="0" w:line="149" w:lineRule="exact"/>
        <w:rPr>
          <w:sz w:val="20"/>
          <w:szCs w:val="20"/>
          <w:color w:val="auto"/>
        </w:rPr>
      </w:pPr>
    </w:p>
    <w:p>
      <w:pPr>
        <w:ind w:left="2"/>
        <w:spacing w:after="0"/>
        <w:tabs>
          <w:tab w:leader="none" w:pos="542"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assuming that:-</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4"/>
          <w:szCs w:val="14"/>
          <w:color w:val="auto"/>
        </w:rPr>
        <w:t>the Premises are to be let:-</w:t>
      </w:r>
    </w:p>
    <w:p>
      <w:pPr>
        <w:spacing w:after="0" w:line="207" w:lineRule="exact"/>
        <w:rPr>
          <w:sz w:val="20"/>
          <w:szCs w:val="20"/>
          <w:color w:val="auto"/>
        </w:rPr>
      </w:pPr>
    </w:p>
    <w:p>
      <w:pPr>
        <w:ind w:left="1742" w:hanging="568"/>
        <w:spacing w:after="0"/>
        <w:tabs>
          <w:tab w:leader="none" w:pos="1742" w:val="left"/>
        </w:tabs>
        <w:numPr>
          <w:ilvl w:val="0"/>
          <w:numId w:val="377"/>
        </w:numPr>
        <w:rPr>
          <w:rFonts w:ascii="Arial" w:cs="Arial" w:eastAsia="Arial" w:hAnsi="Arial"/>
          <w:sz w:val="16"/>
          <w:szCs w:val="16"/>
          <w:color w:val="auto"/>
        </w:rPr>
      </w:pPr>
      <w:r>
        <w:rPr>
          <w:rFonts w:ascii="Arial" w:cs="Arial" w:eastAsia="Arial" w:hAnsi="Arial"/>
          <w:sz w:val="16"/>
          <w:szCs w:val="16"/>
          <w:color w:val="auto"/>
        </w:rPr>
        <w:t>as a whole with vacant possession without any premium or other payment by the willing lessee</w:t>
      </w:r>
    </w:p>
    <w:p>
      <w:pPr>
        <w:spacing w:after="0" w:line="207" w:lineRule="exact"/>
        <w:rPr>
          <w:rFonts w:ascii="Arial" w:cs="Arial" w:eastAsia="Arial" w:hAnsi="Arial"/>
          <w:sz w:val="16"/>
          <w:szCs w:val="16"/>
          <w:color w:val="auto"/>
        </w:rPr>
      </w:pPr>
    </w:p>
    <w:p>
      <w:pPr>
        <w:ind w:left="1742" w:hanging="568"/>
        <w:spacing w:after="0"/>
        <w:tabs>
          <w:tab w:leader="none" w:pos="1742" w:val="left"/>
        </w:tabs>
        <w:numPr>
          <w:ilvl w:val="0"/>
          <w:numId w:val="377"/>
        </w:numPr>
        <w:rPr>
          <w:rFonts w:ascii="Arial" w:cs="Arial" w:eastAsia="Arial" w:hAnsi="Arial"/>
          <w:sz w:val="16"/>
          <w:szCs w:val="16"/>
          <w:color w:val="auto"/>
        </w:rPr>
      </w:pPr>
      <w:r>
        <w:rPr>
          <w:rFonts w:ascii="Arial" w:cs="Arial" w:eastAsia="Arial" w:hAnsi="Arial"/>
          <w:sz w:val="16"/>
          <w:szCs w:val="16"/>
          <w:color w:val="auto"/>
        </w:rPr>
        <w:t>for a term of five years from the Review Date</w:t>
      </w:r>
    </w:p>
    <w:p>
      <w:pPr>
        <w:spacing w:after="0" w:line="207" w:lineRule="exact"/>
        <w:rPr>
          <w:rFonts w:ascii="Arial" w:cs="Arial" w:eastAsia="Arial" w:hAnsi="Arial"/>
          <w:sz w:val="16"/>
          <w:szCs w:val="16"/>
          <w:color w:val="auto"/>
        </w:rPr>
      </w:pPr>
    </w:p>
    <w:p>
      <w:pPr>
        <w:ind w:left="1762" w:right="20" w:hanging="588"/>
        <w:spacing w:after="0" w:line="285" w:lineRule="auto"/>
        <w:tabs>
          <w:tab w:leader="none" w:pos="1737" w:val="left"/>
        </w:tabs>
        <w:numPr>
          <w:ilvl w:val="0"/>
          <w:numId w:val="377"/>
        </w:numPr>
        <w:rPr>
          <w:rFonts w:ascii="Arial" w:cs="Arial" w:eastAsia="Arial" w:hAnsi="Arial"/>
          <w:sz w:val="16"/>
          <w:szCs w:val="16"/>
          <w:color w:val="auto"/>
        </w:rPr>
      </w:pPr>
      <w:r>
        <w:rPr>
          <w:rFonts w:ascii="Arial" w:cs="Arial" w:eastAsia="Arial" w:hAnsi="Arial"/>
          <w:sz w:val="16"/>
          <w:szCs w:val="16"/>
          <w:color w:val="auto"/>
        </w:rPr>
        <w:t>otherwise on the same terms and conditions as are contained in this Lease (except as to the amount of the Yearly Rent but without provision for rent review and the definition of Permitted Use (which shall be modified in accordance with paragraph 1.1.2 below)</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color w:val="auto"/>
        </w:rPr>
        <w:t>the Permitted Use under the Lease is any of the following:</w:t>
      </w:r>
    </w:p>
    <w:p>
      <w:pPr>
        <w:spacing w:after="0" w:line="207" w:lineRule="exact"/>
        <w:rPr>
          <w:sz w:val="20"/>
          <w:szCs w:val="20"/>
          <w:color w:val="auto"/>
        </w:rPr>
      </w:pPr>
    </w:p>
    <w:p>
      <w:pPr>
        <w:ind w:left="1742" w:hanging="568"/>
        <w:spacing w:after="0"/>
        <w:tabs>
          <w:tab w:leader="none" w:pos="174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an open plan fully fitted Grade A office suite</w:t>
      </w:r>
    </w:p>
    <w:p>
      <w:pPr>
        <w:spacing w:after="0" w:line="207" w:lineRule="exact"/>
        <w:rPr>
          <w:rFonts w:ascii="Arial" w:cs="Arial" w:eastAsia="Arial" w:hAnsi="Arial"/>
          <w:sz w:val="16"/>
          <w:szCs w:val="16"/>
          <w:color w:val="auto"/>
        </w:rPr>
      </w:pPr>
    </w:p>
    <w:p>
      <w:pPr>
        <w:ind w:left="1742" w:hanging="568"/>
        <w:spacing w:after="0"/>
        <w:tabs>
          <w:tab w:leader="none" w:pos="174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 Category A laboratory building, fully fitted out in accordance with the hypothetical tenant’s requirements; or</w:t>
      </w:r>
    </w:p>
    <w:p>
      <w:pPr>
        <w:spacing w:after="0" w:line="207" w:lineRule="exact"/>
        <w:rPr>
          <w:rFonts w:ascii="Arial" w:cs="Arial" w:eastAsia="Arial" w:hAnsi="Arial"/>
          <w:sz w:val="16"/>
          <w:szCs w:val="16"/>
          <w:color w:val="auto"/>
        </w:rPr>
      </w:pPr>
    </w:p>
    <w:p>
      <w:pPr>
        <w:ind w:left="1742" w:hanging="568"/>
        <w:spacing w:after="0"/>
        <w:tabs>
          <w:tab w:leader="none" w:pos="174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 combination of either of the descriptions at paragraphs (a) and (b) above</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4"/>
          <w:szCs w:val="14"/>
          <w:color w:val="auto"/>
        </w:rPr>
        <w:t>all the covenants contained in this Lease and the Previous Lease have been fully performed and observed</w:t>
      </w:r>
    </w:p>
    <w:p>
      <w:pPr>
        <w:spacing w:after="0" w:line="207" w:lineRule="exact"/>
        <w:rPr>
          <w:sz w:val="20"/>
          <w:szCs w:val="20"/>
          <w:color w:val="auto"/>
        </w:rPr>
      </w:pPr>
    </w:p>
    <w:p>
      <w:pPr>
        <w:ind w:left="1162" w:hanging="586"/>
        <w:spacing w:after="0" w:line="285" w:lineRule="auto"/>
        <w:tabs>
          <w:tab w:leader="none" w:pos="1142" w:val="left"/>
        </w:tabs>
        <w:rPr>
          <w:sz w:val="20"/>
          <w:szCs w:val="20"/>
          <w:color w:val="auto"/>
        </w:rPr>
      </w:pPr>
      <w:r>
        <w:rPr>
          <w:rFonts w:ascii="Arial" w:cs="Arial" w:eastAsia="Arial" w:hAnsi="Arial"/>
          <w:sz w:val="16"/>
          <w:szCs w:val="16"/>
          <w:color w:val="auto"/>
        </w:rPr>
        <w:t>1.1.4</w:t>
        <w:tab/>
        <w:t>if the Premises or any means of access or egress or any Service Media have been destroyed or damaged or are being repaired they have been fully rebuilt and reinstated and repaired</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4"/>
          <w:szCs w:val="14"/>
          <w:color w:val="auto"/>
        </w:rPr>
        <w:t>the Premises may be lawfully used by the willing lessee for the use permitted by this Lease</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449" w:name="page450"/>
    <w:bookmarkEnd w:id="449"/>
    <w:p>
      <w:pPr>
        <w:ind w:left="582"/>
        <w:spacing w:after="0"/>
        <w:tabs>
          <w:tab w:leader="none" w:pos="1142"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4"/>
          <w:szCs w:val="14"/>
          <w:color w:val="auto"/>
        </w:rPr>
        <w:t>the Premises are fully fitted out at the Landlord’s option to:</w:t>
      </w:r>
    </w:p>
    <w:p>
      <w:pPr>
        <w:spacing w:after="0" w:line="207" w:lineRule="exact"/>
        <w:rPr>
          <w:sz w:val="20"/>
          <w:szCs w:val="20"/>
          <w:color w:val="auto"/>
        </w:rPr>
      </w:pPr>
    </w:p>
    <w:p>
      <w:pPr>
        <w:ind w:left="1742" w:hanging="568"/>
        <w:spacing w:after="0"/>
        <w:tabs>
          <w:tab w:leader="none" w:pos="1742"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an open plan fully fitted Grade A office suite</w:t>
      </w:r>
    </w:p>
    <w:p>
      <w:pPr>
        <w:spacing w:after="0" w:line="207" w:lineRule="exact"/>
        <w:rPr>
          <w:rFonts w:ascii="Arial" w:cs="Arial" w:eastAsia="Arial" w:hAnsi="Arial"/>
          <w:sz w:val="16"/>
          <w:szCs w:val="16"/>
          <w:color w:val="auto"/>
        </w:rPr>
      </w:pPr>
    </w:p>
    <w:p>
      <w:pPr>
        <w:ind w:left="1742" w:hanging="568"/>
        <w:spacing w:after="0"/>
        <w:tabs>
          <w:tab w:leader="none" w:pos="1742"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 Category A laboratory building, fully fitted out in accordance with the hypothetical tenant’s requirements; or</w:t>
      </w:r>
    </w:p>
    <w:p>
      <w:pPr>
        <w:spacing w:after="0" w:line="207" w:lineRule="exact"/>
        <w:rPr>
          <w:rFonts w:ascii="Arial" w:cs="Arial" w:eastAsia="Arial" w:hAnsi="Arial"/>
          <w:sz w:val="16"/>
          <w:szCs w:val="16"/>
          <w:color w:val="auto"/>
        </w:rPr>
      </w:pPr>
    </w:p>
    <w:p>
      <w:pPr>
        <w:ind w:left="1742" w:hanging="568"/>
        <w:spacing w:after="0"/>
        <w:tabs>
          <w:tab w:leader="none" w:pos="1742"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 combination of either of the descriptions at paragraphs (a) and (b) above</w:t>
      </w:r>
    </w:p>
    <w:p>
      <w:pPr>
        <w:spacing w:after="0" w:line="207" w:lineRule="exact"/>
        <w:rPr>
          <w:sz w:val="20"/>
          <w:szCs w:val="20"/>
          <w:color w:val="auto"/>
        </w:rPr>
      </w:pPr>
    </w:p>
    <w:p>
      <w:pPr>
        <w:ind w:left="1182" w:right="80"/>
        <w:spacing w:after="0" w:line="285" w:lineRule="auto"/>
        <w:rPr>
          <w:sz w:val="20"/>
          <w:szCs w:val="20"/>
          <w:color w:val="auto"/>
        </w:rPr>
      </w:pPr>
      <w:r>
        <w:rPr>
          <w:rFonts w:ascii="Arial" w:cs="Arial" w:eastAsia="Arial" w:hAnsi="Arial"/>
          <w:sz w:val="16"/>
          <w:szCs w:val="16"/>
          <w:color w:val="auto"/>
        </w:rPr>
        <w:t>and are suitable and fit for immediate occupation and use by the willing lessee for the same use as has been assumed under paragraph 1.1.2 but the fit-out at the Premises is five years old on the Review Date</w:t>
      </w:r>
    </w:p>
    <w:p>
      <w:pPr>
        <w:spacing w:after="0" w:line="150" w:lineRule="exact"/>
        <w:rPr>
          <w:sz w:val="20"/>
          <w:szCs w:val="20"/>
          <w:color w:val="auto"/>
        </w:rPr>
      </w:pPr>
    </w:p>
    <w:p>
      <w:pPr>
        <w:ind w:left="2"/>
        <w:spacing w:after="0"/>
        <w:tabs>
          <w:tab w:leader="none" w:pos="522"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5"/>
          <w:szCs w:val="15"/>
          <w:color w:val="auto"/>
        </w:rPr>
        <w:t>but disregarding:-</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4"/>
          <w:szCs w:val="14"/>
          <w:color w:val="auto"/>
        </w:rPr>
        <w:t>any effect on rent of the fact that the Tenant or any undertenant has been in occupation of the Premises or any part of them</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4"/>
          <w:szCs w:val="14"/>
          <w:color w:val="auto"/>
        </w:rPr>
        <w:t>any goodwill attached to the Premises by reason of the business then carried on at them by the Tenant or any undertenant</w:t>
      </w:r>
    </w:p>
    <w:p>
      <w:pPr>
        <w:spacing w:after="0" w:line="207" w:lineRule="exact"/>
        <w:rPr>
          <w:sz w:val="20"/>
          <w:szCs w:val="20"/>
          <w:color w:val="auto"/>
        </w:rPr>
      </w:pPr>
    </w:p>
    <w:p>
      <w:pPr>
        <w:ind w:left="1162" w:hanging="586"/>
        <w:spacing w:after="0" w:line="265" w:lineRule="auto"/>
        <w:tabs>
          <w:tab w:leader="none" w:pos="1142" w:val="left"/>
        </w:tabs>
        <w:rPr>
          <w:sz w:val="20"/>
          <w:szCs w:val="20"/>
          <w:color w:val="auto"/>
        </w:rPr>
      </w:pPr>
      <w:r>
        <w:rPr>
          <w:rFonts w:ascii="Arial" w:cs="Arial" w:eastAsia="Arial" w:hAnsi="Arial"/>
          <w:sz w:val="16"/>
          <w:szCs w:val="16"/>
          <w:color w:val="auto"/>
        </w:rPr>
        <w:t>1.2.3</w:t>
        <w:tab/>
        <w:t>any effect on rent attributable to the existence of any lawful alteration or improvement to the Premises carried out during the Term (with the consent of the Landlord where required) or prior to the Term under the Previous Lease or an agreement for the grant of the Previous Lease by the Tenant or any undertenant or their respective predecessors in title (otherwise than pursuant to an obligation to the Landlord or its predecessors in title) and save to the extent that the Landlord has contributed to the cost of such alteration or improvement</w:t>
      </w:r>
    </w:p>
    <w:p>
      <w:pPr>
        <w:spacing w:after="0" w:line="166"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4"/>
          <w:szCs w:val="14"/>
          <w:color w:val="auto"/>
        </w:rPr>
        <w:t>so far as may be permitted by law any statutory prohibition or restriction relating to the assessment and recovery of rent</w:t>
      </w:r>
    </w:p>
    <w:p>
      <w:pPr>
        <w:spacing w:after="0" w:line="207" w:lineRule="exact"/>
        <w:rPr>
          <w:sz w:val="20"/>
          <w:szCs w:val="20"/>
          <w:color w:val="auto"/>
        </w:rPr>
      </w:pPr>
    </w:p>
    <w:p>
      <w:pPr>
        <w:ind w:left="1162" w:right="460" w:hanging="586"/>
        <w:spacing w:after="0" w:line="285" w:lineRule="auto"/>
        <w:tabs>
          <w:tab w:leader="none" w:pos="1142" w:val="left"/>
        </w:tabs>
        <w:rPr>
          <w:sz w:val="20"/>
          <w:szCs w:val="20"/>
          <w:color w:val="auto"/>
        </w:rPr>
      </w:pPr>
      <w:r>
        <w:rPr>
          <w:rFonts w:ascii="Arial" w:cs="Arial" w:eastAsia="Arial" w:hAnsi="Arial"/>
          <w:sz w:val="16"/>
          <w:szCs w:val="16"/>
          <w:color w:val="auto"/>
        </w:rPr>
        <w:t>1.2.5</w:t>
        <w:tab/>
        <w:t>any work carried on at the Premises during or prior to the Term under an agreement for the grant of the Term by the Tenant or any undertenant or their respective predecessors in title which has diminished the rental value of the Premises</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4"/>
          <w:szCs w:val="14"/>
          <w:color w:val="auto"/>
        </w:rPr>
        <w:t>The provisions of this Schedule 9</w:t>
      </w:r>
    </w:p>
    <w:p>
      <w:pPr>
        <w:spacing w:after="0" w:line="203" w:lineRule="exact"/>
        <w:rPr>
          <w:sz w:val="20"/>
          <w:szCs w:val="20"/>
          <w:color w:val="auto"/>
        </w:rPr>
      </w:pPr>
    </w:p>
    <w:p>
      <w:pPr>
        <w:ind w:left="582" w:hanging="582"/>
        <w:spacing w:after="0"/>
        <w:tabs>
          <w:tab w:leader="none" w:pos="582" w:val="left"/>
        </w:tabs>
        <w:numPr>
          <w:ilvl w:val="0"/>
          <w:numId w:val="380"/>
        </w:numPr>
        <w:rPr>
          <w:rFonts w:ascii="Arial" w:cs="Arial" w:eastAsia="Arial" w:hAnsi="Arial"/>
          <w:sz w:val="16"/>
          <w:szCs w:val="16"/>
          <w:b w:val="1"/>
          <w:bCs w:val="1"/>
          <w:color w:val="auto"/>
        </w:rPr>
      </w:pPr>
      <w:r>
        <w:rPr>
          <w:rFonts w:ascii="Arial" w:cs="Arial" w:eastAsia="Arial" w:hAnsi="Arial"/>
          <w:sz w:val="16"/>
          <w:szCs w:val="16"/>
          <w:b w:val="1"/>
          <w:bCs w:val="1"/>
          <w:color w:val="auto"/>
        </w:rPr>
        <w:t>Review</w:t>
      </w:r>
    </w:p>
    <w:p>
      <w:pPr>
        <w:spacing w:after="0" w:line="211" w:lineRule="exact"/>
        <w:rPr>
          <w:sz w:val="20"/>
          <w:szCs w:val="20"/>
          <w:color w:val="auto"/>
        </w:rPr>
      </w:pPr>
    </w:p>
    <w:p>
      <w:pPr>
        <w:ind w:left="582"/>
        <w:spacing w:after="0"/>
        <w:rPr>
          <w:sz w:val="20"/>
          <w:szCs w:val="20"/>
          <w:color w:val="auto"/>
        </w:rPr>
      </w:pPr>
      <w:r>
        <w:rPr>
          <w:rFonts w:ascii="Arial" w:cs="Arial" w:eastAsia="Arial" w:hAnsi="Arial"/>
          <w:sz w:val="15"/>
          <w:szCs w:val="15"/>
          <w:color w:val="auto"/>
        </w:rPr>
        <w:t>The Yearly Rent payable under this Lease will be reviewed on the Review Date and the Yearly Rent from and including the Review Date will be the higher of:-</w:t>
      </w:r>
    </w:p>
    <w:p>
      <w:pPr>
        <w:spacing w:after="0" w:line="219" w:lineRule="exact"/>
        <w:rPr>
          <w:sz w:val="20"/>
          <w:szCs w:val="20"/>
          <w:color w:val="auto"/>
        </w:rPr>
      </w:pPr>
    </w:p>
    <w:p>
      <w:pPr>
        <w:ind w:left="2"/>
        <w:spacing w:after="0"/>
        <w:tabs>
          <w:tab w:leader="none" w:pos="542"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£349,884.09; and</w:t>
      </w:r>
    </w:p>
    <w:p>
      <w:pPr>
        <w:spacing w:after="0" w:line="207" w:lineRule="exact"/>
        <w:rPr>
          <w:sz w:val="20"/>
          <w:szCs w:val="20"/>
          <w:color w:val="auto"/>
        </w:rPr>
      </w:pPr>
    </w:p>
    <w:p>
      <w:pPr>
        <w:ind w:left="2"/>
        <w:spacing w:after="0"/>
        <w:tabs>
          <w:tab w:leader="none" w:pos="542"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the Rental Value at the Review Date as agreed or determined in accordance with this schedule</w:t>
      </w:r>
    </w:p>
    <w:p>
      <w:pPr>
        <w:spacing w:after="0" w:line="203" w:lineRule="exact"/>
        <w:rPr>
          <w:sz w:val="20"/>
          <w:szCs w:val="20"/>
          <w:color w:val="auto"/>
        </w:rPr>
      </w:pPr>
    </w:p>
    <w:p>
      <w:pPr>
        <w:ind w:left="582" w:hanging="582"/>
        <w:spacing w:after="0"/>
        <w:tabs>
          <w:tab w:leader="none" w:pos="582" w:val="left"/>
        </w:tabs>
        <w:numPr>
          <w:ilvl w:val="0"/>
          <w:numId w:val="381"/>
        </w:numPr>
        <w:rPr>
          <w:rFonts w:ascii="Arial" w:cs="Arial" w:eastAsia="Arial" w:hAnsi="Arial"/>
          <w:sz w:val="16"/>
          <w:szCs w:val="16"/>
          <w:b w:val="1"/>
          <w:bCs w:val="1"/>
          <w:color w:val="auto"/>
        </w:rPr>
      </w:pPr>
      <w:r>
        <w:rPr>
          <w:rFonts w:ascii="Arial" w:cs="Arial" w:eastAsia="Arial" w:hAnsi="Arial"/>
          <w:sz w:val="16"/>
          <w:szCs w:val="16"/>
          <w:b w:val="1"/>
          <w:bCs w:val="1"/>
          <w:color w:val="auto"/>
        </w:rPr>
        <w:t>Determination by surveyor</w:t>
      </w:r>
    </w:p>
    <w:p>
      <w:pPr>
        <w:spacing w:after="0" w:line="211" w:lineRule="exact"/>
        <w:rPr>
          <w:sz w:val="20"/>
          <w:szCs w:val="20"/>
          <w:color w:val="auto"/>
        </w:rPr>
      </w:pPr>
    </w:p>
    <w:p>
      <w:pPr>
        <w:ind w:left="562" w:right="40" w:hanging="586"/>
        <w:spacing w:after="0" w:line="285" w:lineRule="auto"/>
        <w:tabs>
          <w:tab w:leader="none" w:pos="542"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If the Landlord and the Tenant in the opinion of either of them are unable to agree the Rental Value of the Premises (whether or not an attempt to reach agreement has been made) then it will be determined at the request of either the Landlord or the Tenant</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50" w:name="page451"/>
    <w:bookmarkEnd w:id="450"/>
    <w:p>
      <w:pPr>
        <w:jc w:val="both"/>
        <w:ind w:left="582"/>
        <w:spacing w:after="0" w:line="270" w:lineRule="auto"/>
        <w:rPr>
          <w:sz w:val="20"/>
          <w:szCs w:val="20"/>
          <w:color w:val="auto"/>
        </w:rPr>
      </w:pPr>
      <w:r>
        <w:rPr>
          <w:rFonts w:ascii="Arial" w:cs="Arial" w:eastAsia="Arial" w:hAnsi="Arial"/>
          <w:sz w:val="16"/>
          <w:szCs w:val="16"/>
          <w:color w:val="auto"/>
        </w:rPr>
        <w:t>(made not earlier than three months prior to the expiry of the Previous Lease) by a chartered surveyor having current experience of rental values of property of a like kind and character to the Premises to be agreed upon by the Landlord and by the Tenant or at the request and option of either of them to be nominated by or on behalf of the President for the time being of the Royal Institution of Chartered Surveyors</w:t>
      </w:r>
    </w:p>
    <w:p>
      <w:pPr>
        <w:spacing w:after="0" w:line="162" w:lineRule="exact"/>
        <w:rPr>
          <w:sz w:val="20"/>
          <w:szCs w:val="20"/>
          <w:color w:val="auto"/>
        </w:rPr>
      </w:pPr>
    </w:p>
    <w:p>
      <w:pPr>
        <w:ind w:left="562" w:right="180" w:hanging="586"/>
        <w:spacing w:after="0" w:line="285" w:lineRule="auto"/>
        <w:tabs>
          <w:tab w:leader="none" w:pos="542"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Such surveyor will act as an arbitrator and in accordance with the Arbitration Act 1996 unless prior to his appointment as an arbitrator the Landlord and the Tenant agree that he should be appointed as an expert</w:t>
      </w:r>
    </w:p>
    <w:p>
      <w:pPr>
        <w:spacing w:after="0" w:line="150" w:lineRule="exact"/>
        <w:rPr>
          <w:sz w:val="20"/>
          <w:szCs w:val="20"/>
          <w:color w:val="auto"/>
        </w:rPr>
      </w:pPr>
    </w:p>
    <w:p>
      <w:pPr>
        <w:ind w:left="2"/>
        <w:spacing w:after="0"/>
        <w:tabs>
          <w:tab w:leader="none" w:pos="522"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color w:val="auto"/>
        </w:rPr>
        <w:t>If such surveyor is appointed as an expert:-</w:t>
      </w:r>
    </w:p>
    <w:p>
      <w:pPr>
        <w:spacing w:after="0" w:line="207" w:lineRule="exact"/>
        <w:rPr>
          <w:sz w:val="20"/>
          <w:szCs w:val="20"/>
          <w:color w:val="auto"/>
        </w:rPr>
      </w:pPr>
    </w:p>
    <w:p>
      <w:pPr>
        <w:ind w:left="1162" w:right="220" w:hanging="586"/>
        <w:spacing w:after="0" w:line="285" w:lineRule="auto"/>
        <w:tabs>
          <w:tab w:leader="none" w:pos="1142" w:val="left"/>
        </w:tabs>
        <w:rPr>
          <w:sz w:val="20"/>
          <w:szCs w:val="20"/>
          <w:color w:val="auto"/>
        </w:rPr>
      </w:pPr>
      <w:r>
        <w:rPr>
          <w:rFonts w:ascii="Arial" w:cs="Arial" w:eastAsia="Arial" w:hAnsi="Arial"/>
          <w:sz w:val="16"/>
          <w:szCs w:val="16"/>
          <w:color w:val="auto"/>
        </w:rPr>
        <w:t>3.3.1</w:t>
        <w:tab/>
        <w:t>he will give notice to the Landlord and the Tenant inviting each of them to submit to him within such time as he stipulates a proposal for the Rental Value which may be supported by the submission of reasons and/or a professional valuation or report</w:t>
      </w:r>
    </w:p>
    <w:p>
      <w:pPr>
        <w:spacing w:after="0" w:line="150"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3.3.2</w:t>
      </w:r>
      <w:r>
        <w:rPr>
          <w:sz w:val="20"/>
          <w:szCs w:val="20"/>
          <w:color w:val="auto"/>
        </w:rPr>
        <w:tab/>
      </w:r>
      <w:r>
        <w:rPr>
          <w:rFonts w:ascii="Arial" w:cs="Arial" w:eastAsia="Arial" w:hAnsi="Arial"/>
          <w:sz w:val="14"/>
          <w:szCs w:val="14"/>
          <w:color w:val="auto"/>
        </w:rPr>
        <w:t>he will afford to each party an opportunity to make counter-submissions in respect of any such submission valuation or report</w:t>
      </w:r>
    </w:p>
    <w:p>
      <w:pPr>
        <w:spacing w:after="0" w:line="20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3.3.3</w:t>
      </w:r>
      <w:r>
        <w:rPr>
          <w:sz w:val="20"/>
          <w:szCs w:val="20"/>
          <w:color w:val="auto"/>
        </w:rPr>
        <w:tab/>
      </w:r>
      <w:r>
        <w:rPr>
          <w:rFonts w:ascii="Arial" w:cs="Arial" w:eastAsia="Arial" w:hAnsi="Arial"/>
          <w:sz w:val="14"/>
          <w:szCs w:val="14"/>
          <w:color w:val="auto"/>
        </w:rPr>
        <w:t>he will give written reasons for his decisions</w:t>
      </w:r>
    </w:p>
    <w:p>
      <w:pPr>
        <w:spacing w:after="0" w:line="207" w:lineRule="exact"/>
        <w:rPr>
          <w:sz w:val="20"/>
          <w:szCs w:val="20"/>
          <w:color w:val="auto"/>
        </w:rPr>
      </w:pPr>
    </w:p>
    <w:p>
      <w:pPr>
        <w:ind w:left="1162" w:right="260" w:hanging="586"/>
        <w:spacing w:after="0" w:line="285" w:lineRule="auto"/>
        <w:tabs>
          <w:tab w:leader="none" w:pos="1142" w:val="left"/>
        </w:tabs>
        <w:rPr>
          <w:sz w:val="20"/>
          <w:szCs w:val="20"/>
          <w:color w:val="auto"/>
        </w:rPr>
      </w:pPr>
      <w:r>
        <w:rPr>
          <w:rFonts w:ascii="Arial" w:cs="Arial" w:eastAsia="Arial" w:hAnsi="Arial"/>
          <w:sz w:val="16"/>
          <w:szCs w:val="16"/>
          <w:color w:val="auto"/>
        </w:rPr>
        <w:t>3.3.4</w:t>
        <w:tab/>
        <w:t>his fees and the costs of appointing him will be borne and paid by the Landlord and the Tenant in such shares and in such manner as he decides or failing such decision in equal shares</w:t>
      </w:r>
    </w:p>
    <w:p>
      <w:pPr>
        <w:spacing w:after="0" w:line="150" w:lineRule="exact"/>
        <w:rPr>
          <w:sz w:val="20"/>
          <w:szCs w:val="20"/>
          <w:color w:val="auto"/>
        </w:rPr>
      </w:pPr>
    </w:p>
    <w:p>
      <w:pPr>
        <w:ind w:left="562" w:right="220" w:hanging="586"/>
        <w:spacing w:after="0" w:line="285" w:lineRule="auto"/>
        <w:tabs>
          <w:tab w:leader="none" w:pos="542"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6"/>
          <w:szCs w:val="16"/>
          <w:color w:val="auto"/>
        </w:rPr>
        <w:t>If any appointed surveyor dies or becomes unwilling to act or incapable of acting for any reason or fails to act with reasonable expedition another surveyor will be appointed in his place in like manner</w:t>
      </w:r>
    </w:p>
    <w:p>
      <w:pPr>
        <w:spacing w:after="0" w:line="146" w:lineRule="exact"/>
        <w:rPr>
          <w:sz w:val="20"/>
          <w:szCs w:val="20"/>
          <w:color w:val="auto"/>
        </w:rPr>
      </w:pPr>
    </w:p>
    <w:p>
      <w:pPr>
        <w:ind w:left="582" w:hanging="582"/>
        <w:spacing w:after="0"/>
        <w:tabs>
          <w:tab w:leader="none" w:pos="582" w:val="left"/>
        </w:tabs>
        <w:numPr>
          <w:ilvl w:val="0"/>
          <w:numId w:val="382"/>
        </w:numPr>
        <w:rPr>
          <w:rFonts w:ascii="Arial" w:cs="Arial" w:eastAsia="Arial" w:hAnsi="Arial"/>
          <w:sz w:val="16"/>
          <w:szCs w:val="16"/>
          <w:b w:val="1"/>
          <w:bCs w:val="1"/>
          <w:color w:val="auto"/>
        </w:rPr>
      </w:pPr>
      <w:r>
        <w:rPr>
          <w:rFonts w:ascii="Arial" w:cs="Arial" w:eastAsia="Arial" w:hAnsi="Arial"/>
          <w:sz w:val="16"/>
          <w:szCs w:val="16"/>
          <w:b w:val="1"/>
          <w:bCs w:val="1"/>
          <w:color w:val="auto"/>
        </w:rPr>
        <w:t>Interim payments</w:t>
      </w:r>
    </w:p>
    <w:p>
      <w:pPr>
        <w:spacing w:after="0" w:line="211" w:lineRule="exact"/>
        <w:rPr>
          <w:sz w:val="20"/>
          <w:szCs w:val="20"/>
          <w:color w:val="auto"/>
        </w:rPr>
      </w:pPr>
    </w:p>
    <w:p>
      <w:pPr>
        <w:ind w:left="562" w:hanging="586"/>
        <w:spacing w:after="0" w:line="285" w:lineRule="auto"/>
        <w:tabs>
          <w:tab w:leader="none" w:pos="542"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If the Rental Value has not been agreed or determined by the Review Date the Initial Rent will continue to be payable until the Quarter Day next following the date of such agreement or determination; and</w:t>
      </w:r>
    </w:p>
    <w:p>
      <w:pPr>
        <w:spacing w:after="0" w:line="150" w:lineRule="exact"/>
        <w:rPr>
          <w:sz w:val="20"/>
          <w:szCs w:val="20"/>
          <w:color w:val="auto"/>
        </w:rPr>
      </w:pPr>
    </w:p>
    <w:p>
      <w:pPr>
        <w:ind w:left="2"/>
        <w:spacing w:after="0"/>
        <w:tabs>
          <w:tab w:leader="none" w:pos="522"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color w:val="auto"/>
        </w:rPr>
        <w:t>on such Quarter Day there will be due and payable to the Landlord by the Tenant:-</w:t>
      </w:r>
    </w:p>
    <w:p>
      <w:pPr>
        <w:spacing w:after="0" w:line="203"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color w:val="auto"/>
        </w:rPr>
        <w:t>4.2.1</w:t>
      </w:r>
      <w:r>
        <w:rPr>
          <w:sz w:val="20"/>
          <w:szCs w:val="20"/>
          <w:color w:val="auto"/>
        </w:rPr>
        <w:tab/>
      </w:r>
      <w:r>
        <w:rPr>
          <w:rFonts w:ascii="Arial" w:cs="Arial" w:eastAsia="Arial" w:hAnsi="Arial"/>
          <w:sz w:val="14"/>
          <w:szCs w:val="14"/>
          <w:color w:val="auto"/>
        </w:rPr>
        <w:t xml:space="preserve">the Yearly Rent at the rate of the Rental Value so agreed or determined (the </w:t>
      </w:r>
      <w:r>
        <w:rPr>
          <w:rFonts w:ascii="Arial" w:cs="Arial" w:eastAsia="Arial" w:hAnsi="Arial"/>
          <w:sz w:val="14"/>
          <w:szCs w:val="14"/>
          <w:b w:val="1"/>
          <w:bCs w:val="1"/>
          <w:color w:val="auto"/>
        </w:rPr>
        <w:t>“Reviewed Rent”</w:t>
      </w:r>
      <w:r>
        <w:rPr>
          <w:rFonts w:ascii="Arial" w:cs="Arial" w:eastAsia="Arial" w:hAnsi="Arial"/>
          <w:sz w:val="14"/>
          <w:szCs w:val="14"/>
          <w:color w:val="auto"/>
        </w:rPr>
        <w:t>) due on such Quarter Day; and</w:t>
      </w:r>
    </w:p>
    <w:p>
      <w:pPr>
        <w:spacing w:after="0" w:line="211" w:lineRule="exact"/>
        <w:rPr>
          <w:sz w:val="20"/>
          <w:szCs w:val="20"/>
          <w:color w:val="auto"/>
        </w:rPr>
      </w:pPr>
    </w:p>
    <w:p>
      <w:pPr>
        <w:ind w:left="1162" w:right="80" w:hanging="586"/>
        <w:spacing w:after="0" w:line="270" w:lineRule="auto"/>
        <w:tabs>
          <w:tab w:leader="none" w:pos="1142" w:val="left"/>
        </w:tabs>
        <w:rPr>
          <w:sz w:val="20"/>
          <w:szCs w:val="20"/>
          <w:color w:val="auto"/>
        </w:rPr>
      </w:pPr>
      <w:r>
        <w:rPr>
          <w:rFonts w:ascii="Arial" w:cs="Arial" w:eastAsia="Arial" w:hAnsi="Arial"/>
          <w:sz w:val="16"/>
          <w:szCs w:val="16"/>
          <w:color w:val="auto"/>
        </w:rPr>
        <w:t>4.2.2</w:t>
        <w:tab/>
        <w:t>a sum of money equal to the amount (if any) by which the Reviewed Rent exceeds the Initial Rent duly apportioned on a daily basis in respect of the period from the Review Date to such Quarter Day together with interest on it for the whole of such period calculated on a daily basis at a yearly rate equal to the Interest Rate</w:t>
      </w:r>
    </w:p>
    <w:p>
      <w:pPr>
        <w:spacing w:after="0" w:line="158" w:lineRule="exact"/>
        <w:rPr>
          <w:sz w:val="20"/>
          <w:szCs w:val="20"/>
          <w:color w:val="auto"/>
        </w:rPr>
      </w:pPr>
    </w:p>
    <w:p>
      <w:pPr>
        <w:ind w:left="582" w:hanging="582"/>
        <w:spacing w:after="0"/>
        <w:tabs>
          <w:tab w:leader="none" w:pos="582" w:val="left"/>
        </w:tabs>
        <w:numPr>
          <w:ilvl w:val="0"/>
          <w:numId w:val="383"/>
        </w:numPr>
        <w:rPr>
          <w:rFonts w:ascii="Arial" w:cs="Arial" w:eastAsia="Arial" w:hAnsi="Arial"/>
          <w:sz w:val="16"/>
          <w:szCs w:val="16"/>
          <w:b w:val="1"/>
          <w:bCs w:val="1"/>
          <w:color w:val="auto"/>
        </w:rPr>
      </w:pPr>
      <w:r>
        <w:rPr>
          <w:rFonts w:ascii="Arial" w:cs="Arial" w:eastAsia="Arial" w:hAnsi="Arial"/>
          <w:sz w:val="16"/>
          <w:szCs w:val="16"/>
          <w:b w:val="1"/>
          <w:bCs w:val="1"/>
          <w:color w:val="auto"/>
        </w:rPr>
        <w:t>Statutory restrictions</w:t>
      </w:r>
    </w:p>
    <w:p>
      <w:pPr>
        <w:spacing w:after="0" w:line="211" w:lineRule="exact"/>
        <w:rPr>
          <w:sz w:val="20"/>
          <w:szCs w:val="20"/>
          <w:color w:val="auto"/>
        </w:rPr>
      </w:pPr>
    </w:p>
    <w:p>
      <w:pPr>
        <w:ind w:left="582" w:right="40"/>
        <w:spacing w:after="0" w:line="270" w:lineRule="auto"/>
        <w:rPr>
          <w:sz w:val="20"/>
          <w:szCs w:val="20"/>
          <w:color w:val="auto"/>
        </w:rPr>
      </w:pPr>
      <w:r>
        <w:rPr>
          <w:rFonts w:ascii="Arial" w:cs="Arial" w:eastAsia="Arial" w:hAnsi="Arial"/>
          <w:sz w:val="16"/>
          <w:szCs w:val="16"/>
          <w:color w:val="auto"/>
        </w:rPr>
        <w:t>If at the Review Date the Landlord is obliged to comply with any statute which restricts or modifies the Landlord’s right to revise the Yearly Rent in accordance with the terms of this Lease or which restricts the right of the Landlord to demand or accept payment of the full amount of the Yearly Rent for the time being payable under this Lease then in each case respectively:</w:t>
      </w:r>
    </w:p>
    <w:p>
      <w:pPr>
        <w:spacing w:after="0" w:line="162"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2"/>
          </w:cols>
          <w:pgMar w:left="238" w:top="322" w:right="279" w:bottom="1440" w:gutter="0" w:footer="0" w:header="0"/>
        </w:sectPr>
      </w:pPr>
    </w:p>
    <w:bookmarkStart w:id="451" w:name="page452"/>
    <w:bookmarkEnd w:id="451"/>
    <w:p>
      <w:pPr>
        <w:ind w:left="2"/>
        <w:spacing w:after="0"/>
        <w:tabs>
          <w:tab w:leader="none" w:pos="542"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5"/>
          <w:szCs w:val="15"/>
          <w:color w:val="auto"/>
        </w:rPr>
        <w:t>the operation of the provisions for such revision of the Yearly Rent will be postponed until the first day on which such operation may lawfully occur</w:t>
      </w:r>
    </w:p>
    <w:p>
      <w:pPr>
        <w:spacing w:after="0" w:line="207" w:lineRule="exact"/>
        <w:rPr>
          <w:sz w:val="20"/>
          <w:szCs w:val="20"/>
          <w:color w:val="auto"/>
        </w:rPr>
      </w:pPr>
    </w:p>
    <w:p>
      <w:pPr>
        <w:ind w:left="562" w:right="660" w:hanging="586"/>
        <w:spacing w:after="0" w:line="285" w:lineRule="auto"/>
        <w:tabs>
          <w:tab w:leader="none" w:pos="542"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the collection of any increase in the Yearly Rent will be postponed until the first date or dates upon which any such increase or any part of it may lawfully be collected.</w:t>
      </w:r>
    </w:p>
    <w:p>
      <w:pPr>
        <w:spacing w:after="0" w:line="146" w:lineRule="exact"/>
        <w:rPr>
          <w:sz w:val="20"/>
          <w:szCs w:val="20"/>
          <w:color w:val="auto"/>
        </w:rPr>
      </w:pPr>
    </w:p>
    <w:p>
      <w:pPr>
        <w:ind w:left="582" w:hanging="582"/>
        <w:spacing w:after="0"/>
        <w:tabs>
          <w:tab w:leader="none" w:pos="582" w:val="left"/>
        </w:tabs>
        <w:numPr>
          <w:ilvl w:val="0"/>
          <w:numId w:val="384"/>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of reviewed rent</w:t>
      </w:r>
    </w:p>
    <w:p>
      <w:pPr>
        <w:spacing w:after="0" w:line="211" w:lineRule="exact"/>
        <w:rPr>
          <w:rFonts w:ascii="Arial" w:cs="Arial" w:eastAsia="Arial" w:hAnsi="Arial"/>
          <w:sz w:val="16"/>
          <w:szCs w:val="16"/>
          <w:b w:val="1"/>
          <w:bCs w:val="1"/>
          <w:color w:val="auto"/>
        </w:rPr>
      </w:pPr>
    </w:p>
    <w:p>
      <w:pPr>
        <w:ind w:left="582" w:right="16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As soon as the amount of Yearly Rent payable after the Review Date has been agreed in accordance with the terms of this schedule the Landlord and the Tenant will if required by the Landlord without delay sign a memorandum of it</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384"/>
        </w:numPr>
        <w:rPr>
          <w:rFonts w:ascii="Arial" w:cs="Arial" w:eastAsia="Arial" w:hAnsi="Arial"/>
          <w:sz w:val="16"/>
          <w:szCs w:val="16"/>
          <w:b w:val="1"/>
          <w:bCs w:val="1"/>
          <w:color w:val="auto"/>
        </w:rPr>
      </w:pPr>
      <w:r>
        <w:rPr>
          <w:rFonts w:ascii="Arial" w:cs="Arial" w:eastAsia="Arial" w:hAnsi="Arial"/>
          <w:sz w:val="16"/>
          <w:szCs w:val="16"/>
          <w:b w:val="1"/>
          <w:bCs w:val="1"/>
          <w:color w:val="auto"/>
        </w:rPr>
        <w:t>Time not of the essence</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Time is not of the essence for the purposes of this schedule”</w:t>
      </w:r>
    </w:p>
    <w:p>
      <w:pPr>
        <w:spacing w:after="0" w:line="200" w:lineRule="exact"/>
        <w:rPr>
          <w:sz w:val="20"/>
          <w:szCs w:val="20"/>
          <w:color w:val="auto"/>
        </w:rPr>
      </w:pPr>
    </w:p>
    <w:p>
      <w:pPr>
        <w:spacing w:after="0" w:line="203"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6"/>
                <w:szCs w:val="16"/>
                <w:color w:val="auto"/>
              </w:rPr>
              <w:t>Executed as a deed by</w:t>
            </w:r>
          </w:p>
        </w:tc>
        <w:tc>
          <w:tcPr>
            <w:tcW w:w="35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5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1"/>
        </w:trPr>
        <w:tc>
          <w:tcPr>
            <w:tcW w:w="5500" w:type="dxa"/>
            <w:vAlign w:val="bottom"/>
            <w:gridSpan w:val="2"/>
          </w:tcPr>
          <w:p>
            <w:pPr>
              <w:spacing w:after="0"/>
              <w:rPr>
                <w:sz w:val="20"/>
                <w:szCs w:val="20"/>
                <w:color w:val="auto"/>
              </w:rPr>
            </w:pPr>
            <w:r>
              <w:rPr>
                <w:rFonts w:ascii="Arial" w:cs="Arial" w:eastAsia="Arial" w:hAnsi="Arial"/>
                <w:sz w:val="16"/>
                <w:szCs w:val="16"/>
                <w:b w:val="1"/>
                <w:bCs w:val="1"/>
                <w:color w:val="auto"/>
              </w:rPr>
              <w:t>IMPERIAL COLLEGE THINKSPACE LIMITED</w:t>
            </w: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2000" w:type="dxa"/>
            <w:vAlign w:val="bottom"/>
          </w:tcPr>
          <w:p>
            <w:pPr>
              <w:spacing w:after="0"/>
              <w:rPr>
                <w:sz w:val="20"/>
                <w:szCs w:val="20"/>
                <w:color w:val="auto"/>
              </w:rPr>
            </w:pPr>
            <w:r>
              <w:rPr>
                <w:rFonts w:ascii="Arial" w:cs="Arial" w:eastAsia="Arial" w:hAnsi="Arial"/>
                <w:sz w:val="16"/>
                <w:szCs w:val="16"/>
                <w:color w:val="auto"/>
              </w:rPr>
              <w:t>on being signed by:</w:t>
            </w:r>
          </w:p>
        </w:tc>
        <w:tc>
          <w:tcPr>
            <w:tcW w:w="3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Eulian Roberts</w:t>
            </w:r>
          </w:p>
        </w:tc>
        <w:tc>
          <w:tcPr>
            <w:tcW w:w="20" w:type="dxa"/>
            <w:vAlign w:val="bottom"/>
          </w:tcPr>
          <w:p>
            <w:pPr>
              <w:spacing w:after="0"/>
              <w:rPr>
                <w:sz w:val="24"/>
                <w:szCs w:val="24"/>
                <w:color w:val="auto"/>
              </w:rPr>
            </w:pPr>
          </w:p>
        </w:tc>
      </w:tr>
      <w:tr>
        <w:trPr>
          <w:trHeight w:val="383"/>
        </w:trPr>
        <w:tc>
          <w:tcPr>
            <w:tcW w:w="2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Eulian Roberts</w:t>
            </w:r>
          </w:p>
        </w:tc>
        <w:tc>
          <w:tcPr>
            <w:tcW w:w="3500" w:type="dxa"/>
            <w:vAlign w:val="bottom"/>
            <w:tcBorders>
              <w:bottom w:val="single" w:sz="8" w:color="auto"/>
            </w:tcBorders>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5480" w:type="dxa"/>
            <w:vAlign w:val="bottom"/>
          </w:tcPr>
          <w:p>
            <w:pPr>
              <w:spacing w:after="0"/>
              <w:rPr>
                <w:sz w:val="20"/>
                <w:szCs w:val="20"/>
                <w:color w:val="auto"/>
              </w:rPr>
            </w:pPr>
            <w:r>
              <w:rPr>
                <w:rFonts w:ascii="Arial" w:cs="Arial" w:eastAsia="Arial" w:hAnsi="Arial"/>
                <w:sz w:val="16"/>
                <w:szCs w:val="16"/>
                <w:color w:val="auto"/>
              </w:rPr>
              <w:t>Director</w:t>
            </w:r>
          </w:p>
        </w:tc>
        <w:tc>
          <w:tcPr>
            <w:tcW w:w="20" w:type="dxa"/>
            <w:vAlign w:val="bottom"/>
          </w:tcPr>
          <w:p>
            <w:pPr>
              <w:spacing w:after="0"/>
              <w:rPr>
                <w:sz w:val="24"/>
                <w:szCs w:val="24"/>
                <w:color w:val="auto"/>
              </w:rPr>
            </w:pPr>
          </w:p>
        </w:tc>
      </w:tr>
      <w:tr>
        <w:trPr>
          <w:trHeight w:val="383"/>
        </w:trPr>
        <w:tc>
          <w:tcPr>
            <w:tcW w:w="2000" w:type="dxa"/>
            <w:vAlign w:val="bottom"/>
          </w:tcPr>
          <w:p>
            <w:pPr>
              <w:spacing w:after="0"/>
              <w:rPr>
                <w:sz w:val="20"/>
                <w:szCs w:val="20"/>
                <w:color w:val="auto"/>
              </w:rPr>
            </w:pPr>
            <w:r>
              <w:rPr>
                <w:rFonts w:ascii="Arial" w:cs="Arial" w:eastAsia="Arial" w:hAnsi="Arial"/>
                <w:sz w:val="16"/>
                <w:szCs w:val="16"/>
                <w:color w:val="auto"/>
              </w:rPr>
              <w:t>in the presence of:</w:t>
            </w:r>
          </w:p>
        </w:tc>
        <w:tc>
          <w:tcPr>
            <w:tcW w:w="3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7"/>
        </w:trPr>
        <w:tc>
          <w:tcPr>
            <w:tcW w:w="2000" w:type="dxa"/>
            <w:vAlign w:val="bottom"/>
          </w:tcPr>
          <w:p>
            <w:pPr>
              <w:spacing w:after="0"/>
              <w:rPr>
                <w:sz w:val="20"/>
                <w:szCs w:val="20"/>
                <w:color w:val="auto"/>
              </w:rPr>
            </w:pPr>
            <w:r>
              <w:rPr>
                <w:rFonts w:ascii="Arial" w:cs="Arial" w:eastAsia="Arial" w:hAnsi="Arial"/>
                <w:sz w:val="16"/>
                <w:szCs w:val="16"/>
                <w:color w:val="auto"/>
              </w:rPr>
              <w:t>Signature of witness:</w:t>
            </w:r>
          </w:p>
        </w:tc>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Katrina Lowther</w:t>
            </w:r>
          </w:p>
        </w:tc>
        <w:tc>
          <w:tcPr>
            <w:tcW w:w="4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3"/>
        </w:trPr>
        <w:tc>
          <w:tcPr>
            <w:tcW w:w="2000" w:type="dxa"/>
            <w:vAlign w:val="bottom"/>
          </w:tcPr>
          <w:p>
            <w:pPr>
              <w:spacing w:after="0"/>
              <w:rPr>
                <w:sz w:val="20"/>
                <w:szCs w:val="20"/>
                <w:color w:val="auto"/>
              </w:rPr>
            </w:pPr>
            <w:r>
              <w:rPr>
                <w:rFonts w:ascii="Arial" w:cs="Arial" w:eastAsia="Arial" w:hAnsi="Arial"/>
                <w:sz w:val="16"/>
                <w:szCs w:val="16"/>
                <w:color w:val="auto"/>
              </w:rPr>
              <w:t>Name:</w:t>
            </w:r>
          </w:p>
        </w:tc>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Katrina Lowther</w:t>
            </w:r>
          </w:p>
        </w:tc>
        <w:tc>
          <w:tcPr>
            <w:tcW w:w="4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3"/>
        </w:trPr>
        <w:tc>
          <w:tcPr>
            <w:tcW w:w="2000" w:type="dxa"/>
            <w:vAlign w:val="bottom"/>
          </w:tcPr>
          <w:p>
            <w:pPr>
              <w:spacing w:after="0"/>
              <w:rPr>
                <w:sz w:val="20"/>
                <w:szCs w:val="20"/>
                <w:color w:val="auto"/>
              </w:rPr>
            </w:pPr>
            <w:r>
              <w:rPr>
                <w:rFonts w:ascii="Arial" w:cs="Arial" w:eastAsia="Arial" w:hAnsi="Arial"/>
                <w:sz w:val="16"/>
                <w:szCs w:val="16"/>
                <w:color w:val="auto"/>
              </w:rPr>
              <w:t>Address:</w:t>
            </w:r>
          </w:p>
        </w:tc>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66 Nantes Close</w:t>
            </w:r>
          </w:p>
        </w:tc>
        <w:tc>
          <w:tcPr>
            <w:tcW w:w="4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3"/>
        </w:trPr>
        <w:tc>
          <w:tcPr>
            <w:tcW w:w="2000" w:type="dxa"/>
            <w:vAlign w:val="bottom"/>
          </w:tcPr>
          <w:p>
            <w:pPr>
              <w:spacing w:after="0"/>
              <w:rPr>
                <w:sz w:val="24"/>
                <w:szCs w:val="24"/>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London SW18 1JL</w:t>
            </w:r>
          </w:p>
        </w:tc>
        <w:tc>
          <w:tcPr>
            <w:tcW w:w="4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3"/>
        </w:trPr>
        <w:tc>
          <w:tcPr>
            <w:tcW w:w="2000" w:type="dxa"/>
            <w:vAlign w:val="bottom"/>
          </w:tcPr>
          <w:p>
            <w:pPr>
              <w:spacing w:after="0"/>
              <w:rPr>
                <w:sz w:val="20"/>
                <w:szCs w:val="20"/>
                <w:color w:val="auto"/>
              </w:rPr>
            </w:pPr>
            <w:r>
              <w:rPr>
                <w:rFonts w:ascii="Arial" w:cs="Arial" w:eastAsia="Arial" w:hAnsi="Arial"/>
                <w:sz w:val="16"/>
                <w:szCs w:val="16"/>
                <w:color w:val="auto"/>
              </w:rPr>
              <w:t>Occupation:</w:t>
            </w:r>
          </w:p>
        </w:tc>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Executive Assistant</w:t>
            </w:r>
          </w:p>
        </w:tc>
        <w:tc>
          <w:tcPr>
            <w:tcW w:w="4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3"/>
        </w:trPr>
        <w:tc>
          <w:tcPr>
            <w:tcW w:w="2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200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pacing w:after="0" w:line="257" w:lineRule="exact"/>
        <w:rPr>
          <w:sz w:val="20"/>
          <w:szCs w:val="20"/>
          <w:color w:val="auto"/>
        </w:rPr>
      </w:pPr>
    </w:p>
    <w:p>
      <w:pPr>
        <w:ind w:left="10982"/>
        <w:spacing w:after="0"/>
        <w:rPr>
          <w:sz w:val="20"/>
          <w:szCs w:val="20"/>
          <w:color w:val="auto"/>
        </w:rPr>
      </w:pPr>
      <w:r>
        <w:rPr>
          <w:rFonts w:ascii="Arial" w:cs="Arial" w:eastAsia="Arial" w:hAnsi="Arial"/>
          <w:sz w:val="16"/>
          <w:szCs w:val="16"/>
          <w:color w:val="auto"/>
        </w:rPr>
        <w:t>Plan A</w:t>
      </w:r>
    </w:p>
    <w:p>
      <w:pPr>
        <w:sectPr>
          <w:pgSz w:w="11900" w:h="16838" w:orient="portrait"/>
          <w:cols w:equalWidth="0" w:num="1">
            <w:col w:w="11462"/>
          </w:cols>
          <w:pgMar w:left="238" w:top="322" w:right="199" w:bottom="1440" w:gutter="0" w:footer="0" w:header="0"/>
        </w:sectPr>
      </w:pPr>
    </w:p>
    <w:bookmarkStart w:id="452" w:name="page453"/>
    <w:bookmarkEnd w:id="4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280275" cy="851979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0275" cy="8519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3" w:name="page454"/>
    <w:bookmarkEnd w:id="4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280275" cy="75952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0275" cy="7595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4" w:name="page455"/>
    <w:bookmarkEnd w:id="4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280275" cy="41713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0275" cy="417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DATED 31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204470</wp:posOffset>
            </wp:positionV>
            <wp:extent cx="1824355"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CONTRACT FOR THE SALE OF LEASEHOLD LAND WITH VACANT POSSESSION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Ground and First Floor Premises Building 900, Babraham Research Campus, Babraham,</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Cambridge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between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Convergence Pharmaceuticals Limited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Bicycle RD Limited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74930</wp:posOffset>
            </wp:positionV>
            <wp:extent cx="72802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5" w:name="page456"/>
    <w:bookmarkEnd w:id="455"/>
    <w:p>
      <w:pPr>
        <w:ind w:left="2"/>
        <w:spacing w:after="0"/>
        <w:rPr>
          <w:sz w:val="20"/>
          <w:szCs w:val="20"/>
          <w:color w:val="auto"/>
        </w:rPr>
      </w:pPr>
      <w:r>
        <w:rPr>
          <w:rFonts w:ascii="Arial" w:cs="Arial" w:eastAsia="Arial" w:hAnsi="Arial"/>
          <w:sz w:val="16"/>
          <w:szCs w:val="16"/>
          <w:color w:val="auto"/>
        </w:rPr>
        <w:t>This contract is dated 31 October 2017</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Parties</w:t>
      </w:r>
    </w:p>
    <w:p>
      <w:pPr>
        <w:spacing w:after="0" w:line="207" w:lineRule="exact"/>
        <w:rPr>
          <w:sz w:val="20"/>
          <w:szCs w:val="20"/>
          <w:color w:val="auto"/>
        </w:rPr>
      </w:pPr>
    </w:p>
    <w:p>
      <w:pPr>
        <w:ind w:left="582" w:hanging="582"/>
        <w:spacing w:after="0" w:line="290" w:lineRule="auto"/>
        <w:tabs>
          <w:tab w:leader="none" w:pos="589" w:val="left"/>
        </w:tabs>
        <w:numPr>
          <w:ilvl w:val="0"/>
          <w:numId w:val="385"/>
        </w:numPr>
        <w:rPr>
          <w:rFonts w:ascii="Arial" w:cs="Arial" w:eastAsia="Arial" w:hAnsi="Arial"/>
          <w:sz w:val="16"/>
          <w:szCs w:val="16"/>
          <w:color w:val="auto"/>
        </w:rPr>
      </w:pPr>
      <w:r>
        <w:rPr>
          <w:rFonts w:ascii="Arial" w:cs="Arial" w:eastAsia="Arial" w:hAnsi="Arial"/>
          <w:sz w:val="16"/>
          <w:szCs w:val="16"/>
          <w:b w:val="1"/>
          <w:bCs w:val="1"/>
          <w:color w:val="auto"/>
        </w:rPr>
        <w:t xml:space="preserve">CONVERGENCE PHARMACEUTICALS LIMITED </w:t>
      </w:r>
      <w:r>
        <w:rPr>
          <w:rFonts w:ascii="Arial" w:cs="Arial" w:eastAsia="Arial" w:hAnsi="Arial"/>
          <w:sz w:val="16"/>
          <w:szCs w:val="16"/>
          <w:color w:val="auto"/>
        </w:rPr>
        <w:t>incorporated and registered in England and Wales with company number 09376285 whose registered office</w:t>
      </w:r>
      <w:r>
        <w:rPr>
          <w:rFonts w:ascii="Arial" w:cs="Arial" w:eastAsia="Arial" w:hAnsi="Arial"/>
          <w:sz w:val="16"/>
          <w:szCs w:val="16"/>
          <w:b w:val="1"/>
          <w:bCs w:val="1"/>
          <w:color w:val="auto"/>
        </w:rPr>
        <w:t xml:space="preserve"> </w:t>
      </w:r>
      <w:r>
        <w:rPr>
          <w:rFonts w:ascii="Arial" w:cs="Arial" w:eastAsia="Arial" w:hAnsi="Arial"/>
          <w:sz w:val="16"/>
          <w:szCs w:val="16"/>
          <w:color w:val="auto"/>
        </w:rPr>
        <w:t>is at 70 Norden Road, Maidenhead, Berkshire, SL6 4AY (</w:t>
      </w:r>
      <w:r>
        <w:rPr>
          <w:rFonts w:ascii="Arial" w:cs="Arial" w:eastAsia="Arial" w:hAnsi="Arial"/>
          <w:sz w:val="16"/>
          <w:szCs w:val="16"/>
          <w:b w:val="1"/>
          <w:bCs w:val="1"/>
          <w:color w:val="auto"/>
        </w:rPr>
        <w:t>Seller</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ind w:left="582" w:right="360" w:hanging="582"/>
        <w:spacing w:after="0" w:line="290" w:lineRule="auto"/>
        <w:tabs>
          <w:tab w:leader="none" w:pos="589" w:val="left"/>
        </w:tabs>
        <w:numPr>
          <w:ilvl w:val="0"/>
          <w:numId w:val="385"/>
        </w:numPr>
        <w:rPr>
          <w:rFonts w:ascii="Arial" w:cs="Arial" w:eastAsia="Arial" w:hAnsi="Arial"/>
          <w:sz w:val="16"/>
          <w:szCs w:val="16"/>
          <w:color w:val="auto"/>
        </w:rPr>
      </w:pPr>
      <w:r>
        <w:rPr>
          <w:rFonts w:ascii="Arial" w:cs="Arial" w:eastAsia="Arial" w:hAnsi="Arial"/>
          <w:sz w:val="16"/>
          <w:szCs w:val="16"/>
          <w:b w:val="1"/>
          <w:bCs w:val="1"/>
          <w:color w:val="auto"/>
        </w:rPr>
        <w:t xml:space="preserve">BICYCLE RD LIMITED </w:t>
      </w:r>
      <w:r>
        <w:rPr>
          <w:rFonts w:ascii="Arial" w:cs="Arial" w:eastAsia="Arial" w:hAnsi="Arial"/>
          <w:sz w:val="16"/>
          <w:szCs w:val="16"/>
          <w:color w:val="auto"/>
        </w:rPr>
        <w:t>incorporated and registered in England and Wales with company number 06960780 whose registered office is at Meditrina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Babraham Research Campus, Cambridge, CB22 3AT (</w:t>
      </w:r>
      <w:r>
        <w:rPr>
          <w:rFonts w:ascii="Arial" w:cs="Arial" w:eastAsia="Arial" w:hAnsi="Arial"/>
          <w:sz w:val="16"/>
          <w:szCs w:val="16"/>
          <w:b w:val="1"/>
          <w:bCs w:val="1"/>
          <w:color w:val="auto"/>
        </w:rPr>
        <w:t>Buyer</w:t>
      </w:r>
      <w:r>
        <w:rPr>
          <w:rFonts w:ascii="Arial" w:cs="Arial" w:eastAsia="Arial" w:hAnsi="Arial"/>
          <w:sz w:val="16"/>
          <w:szCs w:val="16"/>
          <w:color w:val="auto"/>
        </w:rPr>
        <w:t>)</w:t>
      </w:r>
    </w:p>
    <w:p>
      <w:pPr>
        <w:spacing w:after="0" w:line="142" w:lineRule="exact"/>
        <w:rPr>
          <w:sz w:val="20"/>
          <w:szCs w:val="20"/>
          <w:color w:val="auto"/>
        </w:rPr>
      </w:pPr>
    </w:p>
    <w:p>
      <w:pPr>
        <w:ind w:left="582" w:hanging="582"/>
        <w:spacing w:after="0"/>
        <w:tabs>
          <w:tab w:leader="none" w:pos="582" w:val="left"/>
        </w:tabs>
        <w:numPr>
          <w:ilvl w:val="0"/>
          <w:numId w:val="386"/>
        </w:numPr>
        <w:rPr>
          <w:rFonts w:ascii="Arial" w:cs="Arial" w:eastAsia="Arial" w:hAnsi="Arial"/>
          <w:sz w:val="16"/>
          <w:szCs w:val="16"/>
          <w:b w:val="1"/>
          <w:bCs w:val="1"/>
          <w:color w:val="auto"/>
        </w:rPr>
      </w:pPr>
      <w:r>
        <w:rPr>
          <w:rFonts w:ascii="Arial" w:cs="Arial" w:eastAsia="Arial" w:hAnsi="Arial"/>
          <w:sz w:val="16"/>
          <w:szCs w:val="16"/>
          <w:b w:val="1"/>
          <w:bCs w:val="1"/>
          <w:color w:val="auto"/>
        </w:rPr>
        <w:t>Interpretation</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The following definitions and rules of interpretation apply in this contract.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5"/>
          <w:szCs w:val="15"/>
          <w:color w:val="auto"/>
        </w:rPr>
        <w:t>Definitions:</w:t>
      </w:r>
    </w:p>
    <w:p>
      <w:pPr>
        <w:spacing w:after="0" w:line="203" w:lineRule="exact"/>
        <w:rPr>
          <w:sz w:val="20"/>
          <w:szCs w:val="20"/>
          <w:color w:val="auto"/>
        </w:rPr>
      </w:pPr>
    </w:p>
    <w:p>
      <w:pPr>
        <w:ind w:left="562" w:hanging="562"/>
        <w:spacing w:after="0"/>
        <w:tabs>
          <w:tab w:leader="none" w:pos="562"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Buyer’s Conveyancer</w:t>
      </w:r>
      <w:r>
        <w:rPr>
          <w:rFonts w:ascii="Arial" w:cs="Arial" w:eastAsia="Arial" w:hAnsi="Arial"/>
          <w:sz w:val="16"/>
          <w:szCs w:val="16"/>
          <w:color w:val="auto"/>
        </w:rPr>
        <w:t>: Dechert LLP, 160 Queen Victoria Street, London, EC4 4QQ (Ref: D Gervais)</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CAA 2001</w:t>
      </w:r>
      <w:r>
        <w:rPr>
          <w:rFonts w:ascii="Arial" w:cs="Arial" w:eastAsia="Arial" w:hAnsi="Arial"/>
          <w:sz w:val="16"/>
          <w:szCs w:val="16"/>
          <w:color w:val="auto"/>
        </w:rPr>
        <w:t>: Capital Allowances Act 2001.</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Equipment</w:t>
      </w:r>
      <w:r>
        <w:rPr>
          <w:rFonts w:ascii="Arial" w:cs="Arial" w:eastAsia="Arial" w:hAnsi="Arial"/>
          <w:sz w:val="16"/>
          <w:szCs w:val="16"/>
          <w:color w:val="auto"/>
        </w:rPr>
        <w:t>: the equipment specified in Schedule 1.</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Completion Date</w:t>
      </w:r>
      <w:r>
        <w:rPr>
          <w:rFonts w:ascii="Arial" w:cs="Arial" w:eastAsia="Arial" w:hAnsi="Arial"/>
          <w:sz w:val="16"/>
          <w:szCs w:val="16"/>
          <w:color w:val="auto"/>
        </w:rPr>
        <w:t>: 31 October 2017</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Consent</w:t>
      </w:r>
      <w:r>
        <w:rPr>
          <w:rFonts w:ascii="Arial" w:cs="Arial" w:eastAsia="Arial" w:hAnsi="Arial"/>
          <w:sz w:val="16"/>
          <w:szCs w:val="16"/>
          <w:color w:val="auto"/>
        </w:rPr>
        <w:t>: a consent to the assignment to the Buyer of the residue of the term granted by the Lease.</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Contract Rate</w:t>
      </w:r>
      <w:r>
        <w:rPr>
          <w:rFonts w:ascii="Arial" w:cs="Arial" w:eastAsia="Arial" w:hAnsi="Arial"/>
          <w:sz w:val="16"/>
          <w:szCs w:val="16"/>
          <w:color w:val="auto"/>
        </w:rPr>
        <w:t>: interest at 2% per annum above the base rate from time to time of HSBC Bank Plc.</w:t>
      </w:r>
    </w:p>
    <w:p>
      <w:pPr>
        <w:spacing w:after="0" w:line="207" w:lineRule="exact"/>
        <w:rPr>
          <w:rFonts w:ascii="Arial" w:cs="Arial" w:eastAsia="Arial" w:hAnsi="Arial"/>
          <w:sz w:val="16"/>
          <w:szCs w:val="16"/>
          <w:color w:val="auto"/>
        </w:rPr>
      </w:pPr>
    </w:p>
    <w:p>
      <w:pPr>
        <w:ind w:left="562" w:hanging="562"/>
        <w:spacing w:after="0"/>
        <w:tabs>
          <w:tab w:leader="none" w:pos="562"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Deposit</w:t>
      </w:r>
      <w:r>
        <w:rPr>
          <w:rFonts w:ascii="Arial" w:cs="Arial" w:eastAsia="Arial" w:hAnsi="Arial"/>
          <w:sz w:val="16"/>
          <w:szCs w:val="16"/>
          <w:color w:val="auto"/>
        </w:rPr>
        <w:t>: £ 1.00</w:t>
      </w:r>
    </w:p>
    <w:p>
      <w:pPr>
        <w:spacing w:after="0" w:line="207" w:lineRule="exact"/>
        <w:rPr>
          <w:rFonts w:ascii="Arial" w:cs="Arial" w:eastAsia="Arial" w:hAnsi="Arial"/>
          <w:sz w:val="16"/>
          <w:szCs w:val="16"/>
          <w:color w:val="auto"/>
        </w:rPr>
      </w:pPr>
    </w:p>
    <w:p>
      <w:pPr>
        <w:ind w:left="582" w:right="120" w:hanging="582"/>
        <w:spacing w:after="0" w:line="290" w:lineRule="auto"/>
        <w:tabs>
          <w:tab w:leader="none" w:pos="549"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Electronic Payment</w:t>
      </w:r>
      <w:r>
        <w:rPr>
          <w:rFonts w:ascii="Arial" w:cs="Arial" w:eastAsia="Arial" w:hAnsi="Arial"/>
          <w:sz w:val="16"/>
          <w:szCs w:val="16"/>
          <w:color w:val="auto"/>
        </w:rPr>
        <w:t>: payment by electronic means in same day cleared funds from an account held in the name of the Buyer’s Conveyancer at a clearing bank to an</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in the name of the Seller’s Conveyancer.</w:t>
      </w:r>
    </w:p>
    <w:p>
      <w:pPr>
        <w:spacing w:after="0" w:line="142" w:lineRule="exact"/>
        <w:rPr>
          <w:rFonts w:ascii="Arial" w:cs="Arial" w:eastAsia="Arial" w:hAnsi="Arial"/>
          <w:sz w:val="16"/>
          <w:szCs w:val="16"/>
          <w:color w:val="auto"/>
        </w:rPr>
      </w:pPr>
    </w:p>
    <w:p>
      <w:pPr>
        <w:ind w:left="562" w:hanging="562"/>
        <w:spacing w:after="0"/>
        <w:tabs>
          <w:tab w:leader="none" w:pos="562"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Landlord</w:t>
      </w:r>
      <w:r>
        <w:rPr>
          <w:rFonts w:ascii="Arial" w:cs="Arial" w:eastAsia="Arial" w:hAnsi="Arial"/>
          <w:sz w:val="16"/>
          <w:szCs w:val="16"/>
          <w:color w:val="auto"/>
        </w:rPr>
        <w:t>: the person entitled to the immediate reversion to the Lease.</w:t>
      </w:r>
    </w:p>
    <w:p>
      <w:pPr>
        <w:spacing w:after="0" w:line="207" w:lineRule="exact"/>
        <w:rPr>
          <w:rFonts w:ascii="Arial" w:cs="Arial" w:eastAsia="Arial" w:hAnsi="Arial"/>
          <w:sz w:val="16"/>
          <w:szCs w:val="16"/>
          <w:color w:val="auto"/>
        </w:rPr>
      </w:pPr>
    </w:p>
    <w:p>
      <w:pPr>
        <w:ind w:left="582" w:right="400" w:hanging="582"/>
        <w:spacing w:after="0" w:line="290" w:lineRule="auto"/>
        <w:tabs>
          <w:tab w:leader="none" w:pos="549"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Lease</w:t>
      </w:r>
      <w:r>
        <w:rPr>
          <w:rFonts w:ascii="Arial" w:cs="Arial" w:eastAsia="Arial" w:hAnsi="Arial"/>
          <w:sz w:val="16"/>
          <w:szCs w:val="16"/>
          <w:color w:val="auto"/>
        </w:rPr>
        <w:t>: the lease of the Property dated 2 March 2017 and made between Imperial College Thinkspace Limited (1) Convergence Pharmaceuticals Limited (2) and</w:t>
      </w:r>
      <w:r>
        <w:rPr>
          <w:rFonts w:ascii="Arial" w:cs="Arial" w:eastAsia="Arial" w:hAnsi="Arial"/>
          <w:sz w:val="16"/>
          <w:szCs w:val="16"/>
          <w:b w:val="1"/>
          <w:bCs w:val="1"/>
          <w:color w:val="auto"/>
        </w:rPr>
        <w:t xml:space="preserve"> </w:t>
      </w:r>
      <w:r>
        <w:rPr>
          <w:rFonts w:ascii="Arial" w:cs="Arial" w:eastAsia="Arial" w:hAnsi="Arial"/>
          <w:sz w:val="16"/>
          <w:szCs w:val="16"/>
          <w:color w:val="auto"/>
        </w:rPr>
        <w:t>Biogen IDEC Limited (3) and every document varying or supplemental or collateral to it.</w:t>
      </w:r>
    </w:p>
    <w:p>
      <w:pPr>
        <w:spacing w:after="0" w:line="142" w:lineRule="exact"/>
        <w:rPr>
          <w:rFonts w:ascii="Arial" w:cs="Arial" w:eastAsia="Arial" w:hAnsi="Arial"/>
          <w:sz w:val="16"/>
          <w:szCs w:val="16"/>
          <w:color w:val="auto"/>
        </w:rPr>
      </w:pPr>
    </w:p>
    <w:p>
      <w:pPr>
        <w:ind w:left="562" w:hanging="562"/>
        <w:spacing w:after="0"/>
        <w:tabs>
          <w:tab w:leader="none" w:pos="562"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Part 1 Conditions</w:t>
      </w:r>
      <w:r>
        <w:rPr>
          <w:rFonts w:ascii="Arial" w:cs="Arial" w:eastAsia="Arial" w:hAnsi="Arial"/>
          <w:sz w:val="16"/>
          <w:szCs w:val="16"/>
          <w:color w:val="auto"/>
        </w:rPr>
        <w:t>: the conditions in Part 1 of the Standard Commercial Property Conditions (Third Edition) and</w:t>
      </w:r>
      <w:r>
        <w:rPr>
          <w:rFonts w:ascii="Arial" w:cs="Arial" w:eastAsia="Arial" w:hAnsi="Arial"/>
          <w:sz w:val="16"/>
          <w:szCs w:val="16"/>
          <w:b w:val="1"/>
          <w:bCs w:val="1"/>
          <w:color w:val="auto"/>
        </w:rPr>
        <w:t xml:space="preserve"> Condition </w:t>
      </w:r>
      <w:r>
        <w:rPr>
          <w:rFonts w:ascii="Arial" w:cs="Arial" w:eastAsia="Arial" w:hAnsi="Arial"/>
          <w:sz w:val="16"/>
          <w:szCs w:val="16"/>
          <w:color w:val="auto"/>
        </w:rPr>
        <w:t>means any one of them.</w:t>
      </w:r>
    </w:p>
    <w:p>
      <w:pPr>
        <w:spacing w:after="0" w:line="21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56" w:name="page457"/>
    <w:bookmarkEnd w:id="456"/>
    <w:p>
      <w:pPr>
        <w:ind w:left="542" w:hanging="542"/>
        <w:spacing w:after="0"/>
        <w:tabs>
          <w:tab w:leader="none" w:pos="542" w:val="left"/>
        </w:tabs>
        <w:numPr>
          <w:ilvl w:val="0"/>
          <w:numId w:val="388"/>
        </w:numPr>
        <w:rPr>
          <w:rFonts w:ascii="Arial" w:cs="Arial" w:eastAsia="Arial" w:hAnsi="Arial"/>
          <w:sz w:val="16"/>
          <w:szCs w:val="16"/>
          <w:b w:val="1"/>
          <w:bCs w:val="1"/>
          <w:color w:val="auto"/>
        </w:rPr>
      </w:pPr>
      <w:r>
        <w:rPr>
          <w:rFonts w:ascii="Arial" w:cs="Arial" w:eastAsia="Arial" w:hAnsi="Arial"/>
          <w:sz w:val="16"/>
          <w:szCs w:val="16"/>
          <w:b w:val="1"/>
          <w:bCs w:val="1"/>
          <w:color w:val="auto"/>
        </w:rPr>
        <w:t>Part 2 Conditions</w:t>
      </w:r>
      <w:r>
        <w:rPr>
          <w:rFonts w:ascii="Arial" w:cs="Arial" w:eastAsia="Arial" w:hAnsi="Arial"/>
          <w:sz w:val="16"/>
          <w:szCs w:val="16"/>
          <w:color w:val="auto"/>
        </w:rPr>
        <w:t>: the conditions in Part 2 of the Standard Commercial Property Conditions (Third Edition).</w:t>
      </w:r>
    </w:p>
    <w:p>
      <w:pPr>
        <w:spacing w:after="0" w:line="207" w:lineRule="exact"/>
        <w:rPr>
          <w:rFonts w:ascii="Arial" w:cs="Arial" w:eastAsia="Arial" w:hAnsi="Arial"/>
          <w:sz w:val="16"/>
          <w:szCs w:val="16"/>
          <w:b w:val="1"/>
          <w:bCs w:val="1"/>
          <w:color w:val="auto"/>
        </w:rPr>
      </w:pPr>
    </w:p>
    <w:p>
      <w:pPr>
        <w:ind w:left="542" w:hanging="542"/>
        <w:spacing w:after="0"/>
        <w:tabs>
          <w:tab w:leader="none" w:pos="542" w:val="left"/>
        </w:tabs>
        <w:numPr>
          <w:ilvl w:val="0"/>
          <w:numId w:val="388"/>
        </w:numPr>
        <w:rPr>
          <w:rFonts w:ascii="Arial" w:cs="Arial" w:eastAsia="Arial" w:hAnsi="Arial"/>
          <w:sz w:val="15"/>
          <w:szCs w:val="15"/>
          <w:b w:val="1"/>
          <w:bCs w:val="1"/>
          <w:color w:val="auto"/>
        </w:rPr>
      </w:pPr>
      <w:r>
        <w:rPr>
          <w:rFonts w:ascii="Arial" w:cs="Arial" w:eastAsia="Arial" w:hAnsi="Arial"/>
          <w:sz w:val="15"/>
          <w:szCs w:val="15"/>
          <w:b w:val="1"/>
          <w:bCs w:val="1"/>
          <w:color w:val="auto"/>
        </w:rPr>
        <w:t>Property</w:t>
      </w:r>
      <w:r>
        <w:rPr>
          <w:rFonts w:ascii="Arial" w:cs="Arial" w:eastAsia="Arial" w:hAnsi="Arial"/>
          <w:sz w:val="15"/>
          <w:szCs w:val="15"/>
          <w:color w:val="auto"/>
        </w:rPr>
        <w:t>: the leasehold property at Ground and First Floors Building 900, Babraham Research Campus, Babraham, Cambridge as demised by the Lease.</w:t>
      </w:r>
    </w:p>
    <w:p>
      <w:pPr>
        <w:spacing w:after="0" w:line="218" w:lineRule="exact"/>
        <w:rPr>
          <w:rFonts w:ascii="Arial" w:cs="Arial" w:eastAsia="Arial" w:hAnsi="Arial"/>
          <w:sz w:val="15"/>
          <w:szCs w:val="15"/>
          <w:b w:val="1"/>
          <w:bCs w:val="1"/>
          <w:color w:val="auto"/>
        </w:rPr>
      </w:pPr>
    </w:p>
    <w:p>
      <w:pPr>
        <w:ind w:left="542" w:hanging="542"/>
        <w:spacing w:after="0"/>
        <w:tabs>
          <w:tab w:leader="none" w:pos="542" w:val="left"/>
        </w:tabs>
        <w:numPr>
          <w:ilvl w:val="0"/>
          <w:numId w:val="388"/>
        </w:numPr>
        <w:rPr>
          <w:rFonts w:ascii="Arial" w:cs="Arial" w:eastAsia="Arial" w:hAnsi="Arial"/>
          <w:sz w:val="16"/>
          <w:szCs w:val="16"/>
          <w:b w:val="1"/>
          <w:bCs w:val="1"/>
          <w:color w:val="auto"/>
        </w:rPr>
      </w:pPr>
      <w:r>
        <w:rPr>
          <w:rFonts w:ascii="Arial" w:cs="Arial" w:eastAsia="Arial" w:hAnsi="Arial"/>
          <w:sz w:val="16"/>
          <w:szCs w:val="16"/>
          <w:b w:val="1"/>
          <w:bCs w:val="1"/>
          <w:color w:val="auto"/>
        </w:rPr>
        <w:t>Purchase Price</w:t>
      </w:r>
      <w:r>
        <w:rPr>
          <w:rFonts w:ascii="Arial" w:cs="Arial" w:eastAsia="Arial" w:hAnsi="Arial"/>
          <w:sz w:val="16"/>
          <w:szCs w:val="16"/>
          <w:color w:val="auto"/>
        </w:rPr>
        <w:t>: £350,000.00 plus VAT</w:t>
      </w:r>
    </w:p>
    <w:p>
      <w:pPr>
        <w:spacing w:after="0" w:line="207" w:lineRule="exact"/>
        <w:rPr>
          <w:rFonts w:ascii="Arial" w:cs="Arial" w:eastAsia="Arial" w:hAnsi="Arial"/>
          <w:sz w:val="16"/>
          <w:szCs w:val="16"/>
          <w:b w:val="1"/>
          <w:bCs w:val="1"/>
          <w:color w:val="auto"/>
        </w:rPr>
      </w:pPr>
    </w:p>
    <w:p>
      <w:pPr>
        <w:ind w:left="542" w:hanging="542"/>
        <w:spacing w:after="0"/>
        <w:tabs>
          <w:tab w:leader="none" w:pos="542" w:val="left"/>
        </w:tabs>
        <w:numPr>
          <w:ilvl w:val="0"/>
          <w:numId w:val="388"/>
        </w:numPr>
        <w:rPr>
          <w:rFonts w:ascii="Arial" w:cs="Arial" w:eastAsia="Arial" w:hAnsi="Arial"/>
          <w:sz w:val="16"/>
          <w:szCs w:val="16"/>
          <w:b w:val="1"/>
          <w:bCs w:val="1"/>
          <w:color w:val="auto"/>
        </w:rPr>
      </w:pPr>
      <w:r>
        <w:rPr>
          <w:rFonts w:ascii="Arial" w:cs="Arial" w:eastAsia="Arial" w:hAnsi="Arial"/>
          <w:sz w:val="16"/>
          <w:szCs w:val="16"/>
          <w:b w:val="1"/>
          <w:bCs w:val="1"/>
          <w:color w:val="auto"/>
        </w:rPr>
        <w:t>Seller’s Conveyancer</w:t>
      </w:r>
      <w:r>
        <w:rPr>
          <w:rFonts w:ascii="Arial" w:cs="Arial" w:eastAsia="Arial" w:hAnsi="Arial"/>
          <w:sz w:val="16"/>
          <w:szCs w:val="16"/>
          <w:color w:val="auto"/>
        </w:rPr>
        <w:t>: Pitmans LLP, 107 Cheapside, London, EC2V 6DN (Ref: Bhaminee Sharma).</w:t>
      </w:r>
    </w:p>
    <w:p>
      <w:pPr>
        <w:spacing w:after="0" w:line="207" w:lineRule="exact"/>
        <w:rPr>
          <w:rFonts w:ascii="Arial" w:cs="Arial" w:eastAsia="Arial" w:hAnsi="Arial"/>
          <w:sz w:val="16"/>
          <w:szCs w:val="16"/>
          <w:b w:val="1"/>
          <w:bCs w:val="1"/>
          <w:color w:val="auto"/>
        </w:rPr>
      </w:pPr>
    </w:p>
    <w:p>
      <w:pPr>
        <w:ind w:left="542" w:hanging="542"/>
        <w:spacing w:after="0"/>
        <w:tabs>
          <w:tab w:leader="none" w:pos="542" w:val="left"/>
        </w:tabs>
        <w:numPr>
          <w:ilvl w:val="0"/>
          <w:numId w:val="388"/>
        </w:numPr>
        <w:rPr>
          <w:rFonts w:ascii="Arial" w:cs="Arial" w:eastAsia="Arial" w:hAnsi="Arial"/>
          <w:sz w:val="15"/>
          <w:szCs w:val="15"/>
          <w:b w:val="1"/>
          <w:bCs w:val="1"/>
          <w:color w:val="auto"/>
        </w:rPr>
      </w:pPr>
      <w:r>
        <w:rPr>
          <w:rFonts w:ascii="Arial" w:cs="Arial" w:eastAsia="Arial" w:hAnsi="Arial"/>
          <w:sz w:val="15"/>
          <w:szCs w:val="15"/>
          <w:b w:val="1"/>
          <w:bCs w:val="1"/>
          <w:color w:val="auto"/>
        </w:rPr>
        <w:t>Superior Landlord</w:t>
      </w:r>
      <w:r>
        <w:rPr>
          <w:rFonts w:ascii="Arial" w:cs="Arial" w:eastAsia="Arial" w:hAnsi="Arial"/>
          <w:sz w:val="15"/>
          <w:szCs w:val="15"/>
          <w:color w:val="auto"/>
        </w:rPr>
        <w:t>: the person entitled to the reversion (whether immediate or not) expectant on the determination of the term granted by a Superior Lease.</w:t>
      </w:r>
    </w:p>
    <w:p>
      <w:pPr>
        <w:spacing w:after="0" w:line="218" w:lineRule="exact"/>
        <w:rPr>
          <w:rFonts w:ascii="Arial" w:cs="Arial" w:eastAsia="Arial" w:hAnsi="Arial"/>
          <w:sz w:val="15"/>
          <w:szCs w:val="15"/>
          <w:b w:val="1"/>
          <w:bCs w:val="1"/>
          <w:color w:val="auto"/>
        </w:rPr>
      </w:pPr>
    </w:p>
    <w:p>
      <w:pPr>
        <w:ind w:left="542" w:hanging="542"/>
        <w:spacing w:after="0"/>
        <w:tabs>
          <w:tab w:leader="none" w:pos="542" w:val="left"/>
        </w:tabs>
        <w:numPr>
          <w:ilvl w:val="0"/>
          <w:numId w:val="388"/>
        </w:numPr>
        <w:rPr>
          <w:rFonts w:ascii="Arial" w:cs="Arial" w:eastAsia="Arial" w:hAnsi="Arial"/>
          <w:sz w:val="16"/>
          <w:szCs w:val="16"/>
          <w:b w:val="1"/>
          <w:bCs w:val="1"/>
          <w:color w:val="auto"/>
        </w:rPr>
      </w:pPr>
      <w:r>
        <w:rPr>
          <w:rFonts w:ascii="Arial" w:cs="Arial" w:eastAsia="Arial" w:hAnsi="Arial"/>
          <w:sz w:val="16"/>
          <w:szCs w:val="16"/>
          <w:b w:val="1"/>
          <w:bCs w:val="1"/>
          <w:color w:val="auto"/>
        </w:rPr>
        <w:t>Superior Lease</w:t>
      </w:r>
      <w:r>
        <w:rPr>
          <w:rFonts w:ascii="Arial" w:cs="Arial" w:eastAsia="Arial" w:hAnsi="Arial"/>
          <w:sz w:val="16"/>
          <w:szCs w:val="16"/>
          <w:color w:val="auto"/>
        </w:rPr>
        <w:t>: a lease which is superior to the Lease.</w:t>
      </w:r>
    </w:p>
    <w:p>
      <w:pPr>
        <w:spacing w:after="0" w:line="207" w:lineRule="exact"/>
        <w:rPr>
          <w:rFonts w:ascii="Arial" w:cs="Arial" w:eastAsia="Arial" w:hAnsi="Arial"/>
          <w:sz w:val="16"/>
          <w:szCs w:val="16"/>
          <w:b w:val="1"/>
          <w:bCs w:val="1"/>
          <w:color w:val="auto"/>
        </w:rPr>
      </w:pPr>
    </w:p>
    <w:p>
      <w:pPr>
        <w:ind w:left="542" w:hanging="542"/>
        <w:spacing w:after="0"/>
        <w:tabs>
          <w:tab w:leader="none" w:pos="542" w:val="left"/>
        </w:tabs>
        <w:numPr>
          <w:ilvl w:val="0"/>
          <w:numId w:val="388"/>
        </w:numPr>
        <w:rPr>
          <w:rFonts w:ascii="Arial" w:cs="Arial" w:eastAsia="Arial" w:hAnsi="Arial"/>
          <w:sz w:val="16"/>
          <w:szCs w:val="16"/>
          <w:b w:val="1"/>
          <w:bCs w:val="1"/>
          <w:color w:val="auto"/>
        </w:rPr>
      </w:pPr>
      <w:r>
        <w:rPr>
          <w:rFonts w:ascii="Arial" w:cs="Arial" w:eastAsia="Arial" w:hAnsi="Arial"/>
          <w:sz w:val="16"/>
          <w:szCs w:val="16"/>
          <w:b w:val="1"/>
          <w:bCs w:val="1"/>
          <w:color w:val="auto"/>
        </w:rPr>
        <w:t>VAT</w:t>
      </w:r>
      <w:r>
        <w:rPr>
          <w:rFonts w:ascii="Arial" w:cs="Arial" w:eastAsia="Arial" w:hAnsi="Arial"/>
          <w:sz w:val="16"/>
          <w:szCs w:val="16"/>
          <w:color w:val="auto"/>
        </w:rPr>
        <w:t>: value added tax chargeable in the UK.</w:t>
      </w:r>
    </w:p>
    <w:p>
      <w:pPr>
        <w:spacing w:after="0" w:line="207" w:lineRule="exact"/>
        <w:rPr>
          <w:rFonts w:ascii="Arial" w:cs="Arial" w:eastAsia="Arial" w:hAnsi="Arial"/>
          <w:sz w:val="16"/>
          <w:szCs w:val="16"/>
          <w:b w:val="1"/>
          <w:bCs w:val="1"/>
          <w:color w:val="auto"/>
        </w:rPr>
      </w:pPr>
    </w:p>
    <w:p>
      <w:pPr>
        <w:ind w:left="542" w:hanging="542"/>
        <w:spacing w:after="0"/>
        <w:tabs>
          <w:tab w:leader="none" w:pos="542" w:val="left"/>
        </w:tabs>
        <w:numPr>
          <w:ilvl w:val="0"/>
          <w:numId w:val="388"/>
        </w:numPr>
        <w:rPr>
          <w:rFonts w:ascii="Arial" w:cs="Arial" w:eastAsia="Arial" w:hAnsi="Arial"/>
          <w:sz w:val="16"/>
          <w:szCs w:val="16"/>
          <w:b w:val="1"/>
          <w:bCs w:val="1"/>
          <w:color w:val="auto"/>
        </w:rPr>
      </w:pPr>
      <w:r>
        <w:rPr>
          <w:rFonts w:ascii="Arial" w:cs="Arial" w:eastAsia="Arial" w:hAnsi="Arial"/>
          <w:sz w:val="16"/>
          <w:szCs w:val="16"/>
          <w:b w:val="1"/>
          <w:bCs w:val="1"/>
          <w:color w:val="auto"/>
        </w:rPr>
        <w:t>Written Replies</w:t>
      </w:r>
      <w:r>
        <w:rPr>
          <w:rFonts w:ascii="Arial" w:cs="Arial" w:eastAsia="Arial" w:hAnsi="Arial"/>
          <w:sz w:val="16"/>
          <w:szCs w:val="16"/>
          <w:color w:val="auto"/>
        </w:rPr>
        <w:t>: are:</w:t>
      </w:r>
    </w:p>
    <w:p>
      <w:pPr>
        <w:spacing w:after="0" w:line="211" w:lineRule="exact"/>
        <w:rPr>
          <w:rFonts w:ascii="Arial" w:cs="Arial" w:eastAsia="Arial" w:hAnsi="Arial"/>
          <w:sz w:val="16"/>
          <w:szCs w:val="16"/>
          <w:b w:val="1"/>
          <w:bCs w:val="1"/>
          <w:color w:val="auto"/>
        </w:rPr>
      </w:pPr>
    </w:p>
    <w:p>
      <w:pPr>
        <w:ind w:left="1182" w:right="600" w:hanging="8"/>
        <w:spacing w:after="0" w:line="285" w:lineRule="auto"/>
        <w:tabs>
          <w:tab w:leader="none" w:pos="1700" w:val="left"/>
        </w:tabs>
        <w:numPr>
          <w:ilvl w:val="1"/>
          <w:numId w:val="388"/>
        </w:numPr>
        <w:rPr>
          <w:rFonts w:ascii="Arial" w:cs="Arial" w:eastAsia="Arial" w:hAnsi="Arial"/>
          <w:sz w:val="16"/>
          <w:szCs w:val="16"/>
          <w:color w:val="auto"/>
        </w:rPr>
      </w:pPr>
      <w:r>
        <w:rPr>
          <w:rFonts w:ascii="Arial" w:cs="Arial" w:eastAsia="Arial" w:hAnsi="Arial"/>
          <w:sz w:val="16"/>
          <w:szCs w:val="16"/>
          <w:color w:val="auto"/>
        </w:rPr>
        <w:t>written replies that the Seller’s Conveyancer has given prior to exchange of this agreement to any written enquiries raised by the Buyer’s Conveyancer; or</w:t>
      </w:r>
    </w:p>
    <w:p>
      <w:pPr>
        <w:spacing w:after="0" w:line="149" w:lineRule="exact"/>
        <w:rPr>
          <w:rFonts w:ascii="Arial" w:cs="Arial" w:eastAsia="Arial" w:hAnsi="Arial"/>
          <w:sz w:val="16"/>
          <w:szCs w:val="16"/>
          <w:color w:val="auto"/>
        </w:rPr>
      </w:pPr>
    </w:p>
    <w:p>
      <w:pPr>
        <w:ind w:left="1702" w:hanging="528"/>
        <w:spacing w:after="0"/>
        <w:tabs>
          <w:tab w:leader="none" w:pos="1702" w:val="left"/>
        </w:tabs>
        <w:numPr>
          <w:ilvl w:val="1"/>
          <w:numId w:val="388"/>
        </w:numPr>
        <w:rPr>
          <w:rFonts w:ascii="Arial" w:cs="Arial" w:eastAsia="Arial" w:hAnsi="Arial"/>
          <w:sz w:val="16"/>
          <w:szCs w:val="16"/>
          <w:color w:val="auto"/>
        </w:rPr>
      </w:pPr>
      <w:r>
        <w:rPr>
          <w:rFonts w:ascii="Arial" w:cs="Arial" w:eastAsia="Arial" w:hAnsi="Arial"/>
          <w:sz w:val="16"/>
          <w:szCs w:val="16"/>
          <w:color w:val="auto"/>
        </w:rPr>
        <w:t>written replies to written enquiries given prior to exchange of this agreement by the Seller’s Conveyancer to the Buyer’s Conveyancer.</w:t>
      </w:r>
    </w:p>
    <w:p>
      <w:pPr>
        <w:spacing w:after="0" w:line="203"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 xml:space="preserve">A </w:t>
      </w:r>
      <w:r>
        <w:rPr>
          <w:rFonts w:ascii="Arial" w:cs="Arial" w:eastAsia="Arial" w:hAnsi="Arial"/>
          <w:sz w:val="14"/>
          <w:szCs w:val="14"/>
          <w:b w:val="1"/>
          <w:bCs w:val="1"/>
          <w:color w:val="auto"/>
        </w:rPr>
        <w:t>person</w:t>
      </w:r>
      <w:r>
        <w:rPr>
          <w:rFonts w:ascii="Arial" w:cs="Arial" w:eastAsia="Arial" w:hAnsi="Arial"/>
          <w:sz w:val="14"/>
          <w:szCs w:val="14"/>
          <w:color w:val="auto"/>
        </w:rPr>
        <w:t xml:space="preserve"> includes natural person, corporate or unincorporated body (whether or not having separate legal personality).</w:t>
      </w:r>
    </w:p>
    <w:p>
      <w:pPr>
        <w:spacing w:after="0" w:line="211" w:lineRule="exact"/>
        <w:rPr>
          <w:sz w:val="20"/>
          <w:szCs w:val="20"/>
          <w:color w:val="auto"/>
        </w:rPr>
      </w:pPr>
    </w:p>
    <w:p>
      <w:pPr>
        <w:ind w:left="582" w:hanging="586"/>
        <w:spacing w:after="0" w:line="360" w:lineRule="auto"/>
        <w:tabs>
          <w:tab w:leader="none" w:pos="562"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color w:val="auto"/>
        </w:rPr>
        <w:t>Unless otherwise specified, a reference to a statute or statutory provision is a reference to it as amended, extended or re-enacted from time to time and shall include all subordinate legislation made from time to time under that statute or statutory provision and all orders, notices, codes of practice and guidance made under it.</w:t>
      </w:r>
    </w:p>
    <w:p>
      <w:pPr>
        <w:spacing w:after="0" w:line="104" w:lineRule="exact"/>
        <w:rPr>
          <w:sz w:val="20"/>
          <w:szCs w:val="20"/>
          <w:color w:val="auto"/>
        </w:rPr>
      </w:pPr>
    </w:p>
    <w:p>
      <w:pPr>
        <w:ind w:left="582" w:right="40" w:hanging="586"/>
        <w:spacing w:after="0" w:line="320" w:lineRule="auto"/>
        <w:tabs>
          <w:tab w:leader="none" w:pos="562"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5"/>
          <w:szCs w:val="15"/>
          <w:color w:val="auto"/>
        </w:rPr>
        <w:t>A reference to laws in general is a reference to all local, national and directly applicable supra-national laws as amended, extended or re-enacted from time to time and shall include all subordinate laws made from time to time under them and all orders, notices, codes of practice and guidance made under them.</w:t>
      </w:r>
    </w:p>
    <w:p>
      <w:pPr>
        <w:spacing w:after="0" w:line="123"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4"/>
          <w:szCs w:val="14"/>
          <w:color w:val="auto"/>
        </w:rPr>
        <w:t xml:space="preserve">The expression </w:t>
      </w:r>
      <w:r>
        <w:rPr>
          <w:rFonts w:ascii="Arial" w:cs="Arial" w:eastAsia="Arial" w:hAnsi="Arial"/>
          <w:sz w:val="14"/>
          <w:szCs w:val="14"/>
          <w:b w:val="1"/>
          <w:bCs w:val="1"/>
          <w:color w:val="auto"/>
        </w:rPr>
        <w:t>tenant covenant</w:t>
      </w:r>
      <w:r>
        <w:rPr>
          <w:rFonts w:ascii="Arial" w:cs="Arial" w:eastAsia="Arial" w:hAnsi="Arial"/>
          <w:sz w:val="14"/>
          <w:szCs w:val="14"/>
          <w:color w:val="auto"/>
        </w:rPr>
        <w:t xml:space="preserve"> has the meaning given to it by the Landlord and Tenant (Covenants) Act 1995.</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5"/>
          <w:szCs w:val="15"/>
          <w:color w:val="auto"/>
        </w:rPr>
        <w:t xml:space="preserve">A reference to </w:t>
      </w:r>
      <w:r>
        <w:rPr>
          <w:rFonts w:ascii="Arial" w:cs="Arial" w:eastAsia="Arial" w:hAnsi="Arial"/>
          <w:sz w:val="15"/>
          <w:szCs w:val="15"/>
          <w:b w:val="1"/>
          <w:bCs w:val="1"/>
          <w:color w:val="auto"/>
        </w:rPr>
        <w:t>writing</w:t>
      </w:r>
      <w:r>
        <w:rPr>
          <w:rFonts w:ascii="Arial" w:cs="Arial" w:eastAsia="Arial" w:hAnsi="Arial"/>
          <w:sz w:val="15"/>
          <w:szCs w:val="15"/>
          <w:color w:val="auto"/>
        </w:rPr>
        <w:t xml:space="preserve"> or </w:t>
      </w:r>
      <w:r>
        <w:rPr>
          <w:rFonts w:ascii="Arial" w:cs="Arial" w:eastAsia="Arial" w:hAnsi="Arial"/>
          <w:sz w:val="15"/>
          <w:szCs w:val="15"/>
          <w:b w:val="1"/>
          <w:bCs w:val="1"/>
          <w:color w:val="auto"/>
        </w:rPr>
        <w:t>written</w:t>
      </w:r>
      <w:r>
        <w:rPr>
          <w:rFonts w:ascii="Arial" w:cs="Arial" w:eastAsia="Arial" w:hAnsi="Arial"/>
          <w:sz w:val="15"/>
          <w:szCs w:val="15"/>
          <w:color w:val="auto"/>
        </w:rPr>
        <w:t xml:space="preserve"> includes fax but not email.</w:t>
      </w:r>
    </w:p>
    <w:p>
      <w:pPr>
        <w:spacing w:after="0" w:line="211" w:lineRule="exact"/>
        <w:rPr>
          <w:sz w:val="20"/>
          <w:szCs w:val="20"/>
          <w:color w:val="auto"/>
        </w:rPr>
      </w:pPr>
    </w:p>
    <w:p>
      <w:pPr>
        <w:jc w:val="center"/>
        <w:ind w:right="-20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222"/>
          </w:cols>
          <w:pgMar w:left="238" w:top="318" w:right="439" w:bottom="1440" w:gutter="0" w:footer="0" w:header="0"/>
        </w:sectPr>
      </w:pPr>
    </w:p>
    <w:bookmarkStart w:id="457" w:name="page458"/>
    <w:bookmarkEnd w:id="457"/>
    <w:p>
      <w:pPr>
        <w:ind w:left="582" w:right="280" w:hanging="586"/>
        <w:spacing w:after="0" w:line="285" w:lineRule="auto"/>
        <w:tabs>
          <w:tab w:leader="none" w:pos="562"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6"/>
          <w:szCs w:val="16"/>
          <w:color w:val="auto"/>
        </w:rPr>
        <w:t>Unless the context otherwise requires, references to clauses and Schedules are to the clauses and Schedules to this contract and references to paragraphs are to paragraphs of the relevant Schedule.</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4"/>
          <w:szCs w:val="14"/>
          <w:color w:val="auto"/>
        </w:rPr>
        <w:t>Clause, Schedule and paragraph headings shall not affect the interpretation of this contract.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1.9</w:t>
      </w:r>
      <w:r>
        <w:rPr>
          <w:sz w:val="20"/>
          <w:szCs w:val="20"/>
          <w:color w:val="auto"/>
        </w:rPr>
        <w:tab/>
      </w:r>
      <w:r>
        <w:rPr>
          <w:rFonts w:ascii="Arial" w:cs="Arial" w:eastAsia="Arial" w:hAnsi="Arial"/>
          <w:sz w:val="14"/>
          <w:szCs w:val="14"/>
          <w:color w:val="auto"/>
        </w:rPr>
        <w:t>The Schedules form part of this contract and shall have effect as if set out in full in the body of this contract. Any reference to this contract includes the Schedules.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1.10</w:t>
      </w:r>
      <w:r>
        <w:rPr>
          <w:sz w:val="20"/>
          <w:szCs w:val="20"/>
          <w:color w:val="auto"/>
        </w:rPr>
        <w:tab/>
      </w:r>
      <w:r>
        <w:rPr>
          <w:rFonts w:ascii="Arial" w:cs="Arial" w:eastAsia="Arial" w:hAnsi="Arial"/>
          <w:sz w:val="14"/>
          <w:szCs w:val="14"/>
          <w:color w:val="auto"/>
        </w:rPr>
        <w:t>Unless the context otherwise requires, words in the singular shall include the plural and in the plural shall include the singular.</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4"/>
          <w:szCs w:val="14"/>
          <w:color w:val="auto"/>
        </w:rPr>
        <w:t>Unless the context otherwise requires, a reference to one gender shall include a reference to the other genders.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color w:val="auto"/>
        </w:rPr>
        <w:t>Any obligation on a party not to do something includes an obligation not to allow that thing to be done.</w:t>
      </w:r>
    </w:p>
    <w:p>
      <w:pPr>
        <w:spacing w:after="0" w:line="203" w:lineRule="exact"/>
        <w:rPr>
          <w:sz w:val="20"/>
          <w:szCs w:val="20"/>
          <w:color w:val="auto"/>
        </w:rPr>
      </w:pPr>
    </w:p>
    <w:p>
      <w:pPr>
        <w:jc w:val="center"/>
        <w:ind w:right="378"/>
        <w:spacing w:after="0" w:line="326" w:lineRule="auto"/>
        <w:rPr>
          <w:sz w:val="20"/>
          <w:szCs w:val="20"/>
          <w:color w:val="auto"/>
        </w:rPr>
      </w:pPr>
      <w:r>
        <w:rPr>
          <w:rFonts w:ascii="Arial" w:cs="Arial" w:eastAsia="Arial" w:hAnsi="Arial"/>
          <w:sz w:val="15"/>
          <w:szCs w:val="15"/>
          <w:color w:val="auto"/>
        </w:rPr>
        <w:t xml:space="preserve">1.13   For the purposes of the definition of Written Replies, </w:t>
      </w:r>
      <w:r>
        <w:rPr>
          <w:rFonts w:ascii="Arial" w:cs="Arial" w:eastAsia="Arial" w:hAnsi="Arial"/>
          <w:sz w:val="15"/>
          <w:szCs w:val="15"/>
          <w:b w:val="1"/>
          <w:bCs w:val="1"/>
          <w:color w:val="auto"/>
        </w:rPr>
        <w:t>written replies</w:t>
      </w:r>
      <w:r>
        <w:rPr>
          <w:rFonts w:ascii="Arial" w:cs="Arial" w:eastAsia="Arial" w:hAnsi="Arial"/>
          <w:sz w:val="15"/>
          <w:szCs w:val="15"/>
          <w:color w:val="auto"/>
        </w:rPr>
        <w:t xml:space="preserve"> and </w:t>
      </w:r>
      <w:r>
        <w:rPr>
          <w:rFonts w:ascii="Arial" w:cs="Arial" w:eastAsia="Arial" w:hAnsi="Arial"/>
          <w:sz w:val="15"/>
          <w:szCs w:val="15"/>
          <w:b w:val="1"/>
          <w:bCs w:val="1"/>
          <w:color w:val="auto"/>
        </w:rPr>
        <w:t>written enquiries</w:t>
      </w:r>
      <w:r>
        <w:rPr>
          <w:rFonts w:ascii="Arial" w:cs="Arial" w:eastAsia="Arial" w:hAnsi="Arial"/>
          <w:sz w:val="15"/>
          <w:szCs w:val="15"/>
          <w:color w:val="auto"/>
        </w:rPr>
        <w:t xml:space="preserve"> include any pre-contract enquiries and any replies to pre-contract enquiries that are requested or given by reference to the CPSE1 and CPSE4 enquiries and include enquiries or replies so requested or given by email.</w:t>
      </w:r>
    </w:p>
    <w:p>
      <w:pPr>
        <w:spacing w:after="0" w:line="118" w:lineRule="exact"/>
        <w:rPr>
          <w:sz w:val="20"/>
          <w:szCs w:val="20"/>
          <w:color w:val="auto"/>
        </w:rPr>
      </w:pPr>
    </w:p>
    <w:p>
      <w:pPr>
        <w:ind w:left="582" w:hanging="582"/>
        <w:spacing w:after="0"/>
        <w:tabs>
          <w:tab w:leader="none" w:pos="582" w:val="left"/>
        </w:tabs>
        <w:numPr>
          <w:ilvl w:val="0"/>
          <w:numId w:val="389"/>
        </w:numPr>
        <w:rPr>
          <w:rFonts w:ascii="Arial" w:cs="Arial" w:eastAsia="Arial" w:hAnsi="Arial"/>
          <w:sz w:val="16"/>
          <w:szCs w:val="16"/>
          <w:b w:val="1"/>
          <w:bCs w:val="1"/>
          <w:color w:val="auto"/>
        </w:rPr>
      </w:pPr>
      <w:r>
        <w:rPr>
          <w:rFonts w:ascii="Arial" w:cs="Arial" w:eastAsia="Arial" w:hAnsi="Arial"/>
          <w:sz w:val="16"/>
          <w:szCs w:val="16"/>
          <w:b w:val="1"/>
          <w:bCs w:val="1"/>
          <w:color w:val="auto"/>
        </w:rPr>
        <w:t>Sale and purchase</w:t>
      </w:r>
    </w:p>
    <w:p>
      <w:pPr>
        <w:spacing w:after="0" w:line="211" w:lineRule="exact"/>
        <w:rPr>
          <w:sz w:val="20"/>
          <w:szCs w:val="20"/>
          <w:color w:val="auto"/>
        </w:rPr>
      </w:pPr>
    </w:p>
    <w:p>
      <w:pPr>
        <w:ind w:left="582" w:right="320" w:hanging="586"/>
        <w:spacing w:after="0" w:line="285" w:lineRule="auto"/>
        <w:tabs>
          <w:tab w:leader="none" w:pos="562"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The Seller will sell and the Buyer will buy the residue of the term of years granted by the Lease and the Equipment for the Purchase Price on the terms of this contract.</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The Purchase Price will be apportioned:</w:t>
      </w:r>
    </w:p>
    <w:p>
      <w:pPr>
        <w:spacing w:after="0" w:line="207" w:lineRule="exact"/>
        <w:rPr>
          <w:sz w:val="20"/>
          <w:szCs w:val="20"/>
          <w:color w:val="auto"/>
        </w:rPr>
      </w:pPr>
    </w:p>
    <w:p>
      <w:pPr>
        <w:ind w:left="1182" w:hanging="360"/>
        <w:spacing w:after="0"/>
        <w:tabs>
          <w:tab w:leader="none" w:pos="1182" w:val="left"/>
        </w:tabs>
        <w:numPr>
          <w:ilvl w:val="0"/>
          <w:numId w:val="390"/>
        </w:numPr>
        <w:rPr>
          <w:rFonts w:ascii="Arial" w:cs="Arial" w:eastAsia="Arial" w:hAnsi="Arial"/>
          <w:sz w:val="16"/>
          <w:szCs w:val="16"/>
          <w:color w:val="auto"/>
        </w:rPr>
      </w:pPr>
      <w:r>
        <w:rPr>
          <w:rFonts w:ascii="Arial" w:cs="Arial" w:eastAsia="Arial" w:hAnsi="Arial"/>
          <w:sz w:val="16"/>
          <w:szCs w:val="16"/>
          <w:color w:val="auto"/>
        </w:rPr>
        <w:t>as to the residue of the Lease the sum of £ 1.00 and</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390"/>
        </w:numPr>
        <w:rPr>
          <w:rFonts w:ascii="Arial" w:cs="Arial" w:eastAsia="Arial" w:hAnsi="Arial"/>
          <w:sz w:val="16"/>
          <w:szCs w:val="16"/>
          <w:color w:val="auto"/>
        </w:rPr>
      </w:pPr>
      <w:r>
        <w:rPr>
          <w:rFonts w:ascii="Arial" w:cs="Arial" w:eastAsia="Arial" w:hAnsi="Arial"/>
          <w:sz w:val="16"/>
          <w:szCs w:val="16"/>
          <w:color w:val="auto"/>
        </w:rPr>
        <w:t>as to the Equipment the sum of £ 349,999.00.</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The Buyer cannot require the Seller to:</w:t>
      </w:r>
    </w:p>
    <w:p>
      <w:pPr>
        <w:spacing w:after="0" w:line="207" w:lineRule="exact"/>
        <w:rPr>
          <w:sz w:val="20"/>
          <w:szCs w:val="20"/>
          <w:color w:val="auto"/>
        </w:rPr>
      </w:pPr>
    </w:p>
    <w:p>
      <w:pPr>
        <w:ind w:left="1182" w:hanging="360"/>
        <w:spacing w:after="0"/>
        <w:tabs>
          <w:tab w:leader="none" w:pos="1182" w:val="left"/>
        </w:tabs>
        <w:numPr>
          <w:ilvl w:val="1"/>
          <w:numId w:val="391"/>
        </w:numPr>
        <w:rPr>
          <w:rFonts w:ascii="Arial" w:cs="Arial" w:eastAsia="Arial" w:hAnsi="Arial"/>
          <w:sz w:val="16"/>
          <w:szCs w:val="16"/>
          <w:color w:val="auto"/>
        </w:rPr>
      </w:pPr>
      <w:r>
        <w:rPr>
          <w:rFonts w:ascii="Arial" w:cs="Arial" w:eastAsia="Arial" w:hAnsi="Arial"/>
          <w:sz w:val="16"/>
          <w:szCs w:val="16"/>
          <w:color w:val="auto"/>
        </w:rPr>
        <w:t>assign the Lease or any part of it to any person other than the Buyer; or</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1"/>
          <w:numId w:val="391"/>
        </w:numPr>
        <w:rPr>
          <w:rFonts w:ascii="Arial" w:cs="Arial" w:eastAsia="Arial" w:hAnsi="Arial"/>
          <w:sz w:val="16"/>
          <w:szCs w:val="16"/>
          <w:color w:val="auto"/>
        </w:rPr>
      </w:pPr>
      <w:r>
        <w:rPr>
          <w:rFonts w:ascii="Arial" w:cs="Arial" w:eastAsia="Arial" w:hAnsi="Arial"/>
          <w:sz w:val="16"/>
          <w:szCs w:val="16"/>
          <w:color w:val="auto"/>
        </w:rPr>
        <w:t>assign the Lease in more than one parcel or by more than one transfer; or</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1"/>
          <w:numId w:val="391"/>
        </w:numPr>
        <w:rPr>
          <w:rFonts w:ascii="Arial" w:cs="Arial" w:eastAsia="Arial" w:hAnsi="Arial"/>
          <w:sz w:val="16"/>
          <w:szCs w:val="16"/>
          <w:color w:val="auto"/>
        </w:rPr>
      </w:pPr>
      <w:r>
        <w:rPr>
          <w:rFonts w:ascii="Arial" w:cs="Arial" w:eastAsia="Arial" w:hAnsi="Arial"/>
          <w:sz w:val="16"/>
          <w:szCs w:val="16"/>
          <w:color w:val="auto"/>
        </w:rPr>
        <w:t>apportion the Purchase Price between different parts of the Property.</w:t>
      </w:r>
    </w:p>
    <w:p>
      <w:pPr>
        <w:spacing w:after="0" w:line="203" w:lineRule="exact"/>
        <w:rPr>
          <w:rFonts w:ascii="Arial" w:cs="Arial" w:eastAsia="Arial" w:hAnsi="Arial"/>
          <w:sz w:val="16"/>
          <w:szCs w:val="16"/>
          <w:color w:val="auto"/>
        </w:rPr>
      </w:pPr>
    </w:p>
    <w:p>
      <w:pPr>
        <w:ind w:left="582" w:hanging="582"/>
        <w:spacing w:after="0"/>
        <w:tabs>
          <w:tab w:leader="none" w:pos="582" w:val="left"/>
        </w:tabs>
        <w:numPr>
          <w:ilvl w:val="0"/>
          <w:numId w:val="392"/>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color w:val="auto"/>
        </w:rPr>
        <w:t>The Part 1 Conditions are incorporated in this contract so far as they:</w:t>
      </w:r>
    </w:p>
    <w:p>
      <w:pPr>
        <w:spacing w:after="0" w:line="207" w:lineRule="exact"/>
        <w:rPr>
          <w:sz w:val="20"/>
          <w:szCs w:val="20"/>
          <w:color w:val="auto"/>
        </w:rPr>
      </w:pPr>
    </w:p>
    <w:p>
      <w:pPr>
        <w:jc w:val="center"/>
        <w:ind w:right="-24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182"/>
          </w:cols>
          <w:pgMar w:left="238" w:top="323" w:right="479" w:bottom="1440" w:gutter="0" w:footer="0" w:header="0"/>
        </w:sectPr>
      </w:pPr>
    </w:p>
    <w:bookmarkStart w:id="458" w:name="page459"/>
    <w:bookmarkEnd w:id="458"/>
    <w:p>
      <w:pPr>
        <w:ind w:left="1182" w:hanging="360"/>
        <w:spacing w:after="0"/>
        <w:tabs>
          <w:tab w:leader="none" w:pos="1182" w:val="left"/>
        </w:tabs>
        <w:numPr>
          <w:ilvl w:val="0"/>
          <w:numId w:val="393"/>
        </w:numPr>
        <w:rPr>
          <w:rFonts w:ascii="Arial" w:cs="Arial" w:eastAsia="Arial" w:hAnsi="Arial"/>
          <w:sz w:val="16"/>
          <w:szCs w:val="16"/>
          <w:color w:val="auto"/>
        </w:rPr>
      </w:pPr>
      <w:r>
        <w:rPr>
          <w:rFonts w:ascii="Arial" w:cs="Arial" w:eastAsia="Arial" w:hAnsi="Arial"/>
          <w:sz w:val="16"/>
          <w:szCs w:val="16"/>
          <w:color w:val="auto"/>
        </w:rPr>
        <w:t>apply to a sale by private treaty;</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393"/>
        </w:numPr>
        <w:rPr>
          <w:rFonts w:ascii="Arial" w:cs="Arial" w:eastAsia="Arial" w:hAnsi="Arial"/>
          <w:sz w:val="16"/>
          <w:szCs w:val="16"/>
          <w:color w:val="auto"/>
        </w:rPr>
      </w:pPr>
      <w:r>
        <w:rPr>
          <w:rFonts w:ascii="Arial" w:cs="Arial" w:eastAsia="Arial" w:hAnsi="Arial"/>
          <w:sz w:val="16"/>
          <w:szCs w:val="16"/>
          <w:color w:val="auto"/>
        </w:rPr>
        <w:t>relate to leasehold property;</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393"/>
        </w:numPr>
        <w:rPr>
          <w:rFonts w:ascii="Arial" w:cs="Arial" w:eastAsia="Arial" w:hAnsi="Arial"/>
          <w:sz w:val="16"/>
          <w:szCs w:val="16"/>
          <w:color w:val="auto"/>
        </w:rPr>
      </w:pPr>
      <w:r>
        <w:rPr>
          <w:rFonts w:ascii="Arial" w:cs="Arial" w:eastAsia="Arial" w:hAnsi="Arial"/>
          <w:sz w:val="16"/>
          <w:szCs w:val="16"/>
          <w:color w:val="auto"/>
        </w:rPr>
        <w:t>are not inconsistent with the other clauses in this contract; and</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393"/>
        </w:numPr>
        <w:rPr>
          <w:rFonts w:ascii="Arial" w:cs="Arial" w:eastAsia="Arial" w:hAnsi="Arial"/>
          <w:sz w:val="16"/>
          <w:szCs w:val="16"/>
          <w:color w:val="auto"/>
        </w:rPr>
      </w:pPr>
      <w:r>
        <w:rPr>
          <w:rFonts w:ascii="Arial" w:cs="Arial" w:eastAsia="Arial" w:hAnsi="Arial"/>
          <w:sz w:val="16"/>
          <w:szCs w:val="16"/>
          <w:color w:val="auto"/>
        </w:rPr>
        <w:t>have not been modified or excluded by any of the other clauses in this contract.</w:t>
      </w:r>
    </w:p>
    <w:p>
      <w:pPr>
        <w:spacing w:after="0" w:line="207" w:lineRule="exact"/>
        <w:rPr>
          <w:rFonts w:ascii="Arial" w:cs="Arial" w:eastAsia="Arial" w:hAnsi="Arial"/>
          <w:sz w:val="16"/>
          <w:szCs w:val="16"/>
          <w:color w:val="auto"/>
        </w:rPr>
      </w:pPr>
    </w:p>
    <w:p>
      <w:pPr>
        <w:ind w:left="2"/>
        <w:spacing w:after="0"/>
        <w:rPr>
          <w:rFonts w:ascii="Arial" w:cs="Arial" w:eastAsia="Arial" w:hAnsi="Arial"/>
          <w:sz w:val="16"/>
          <w:szCs w:val="16"/>
          <w:color w:val="auto"/>
        </w:rPr>
      </w:pPr>
      <w:r>
        <w:rPr>
          <w:rFonts w:ascii="Arial" w:cs="Arial" w:eastAsia="Arial" w:hAnsi="Arial"/>
          <w:sz w:val="16"/>
          <w:szCs w:val="16"/>
          <w:color w:val="auto"/>
        </w:rPr>
        <w:t>3.2</w:t>
      </w:r>
      <w:r>
        <w:rPr>
          <w:rFonts w:ascii="Arial" w:cs="Arial" w:eastAsia="Arial" w:hAnsi="Arial"/>
          <w:sz w:val="14"/>
          <w:szCs w:val="14"/>
          <w:color w:val="auto"/>
        </w:rPr>
        <w:t>The terms used in this contract have the same meaning when used in the Part 1 Conditions.</w:t>
      </w:r>
    </w:p>
    <w:p>
      <w:pPr>
        <w:spacing w:after="0" w:line="207" w:lineRule="exact"/>
        <w:rPr>
          <w:rFonts w:ascii="Arial" w:cs="Arial" w:eastAsia="Arial" w:hAnsi="Arial"/>
          <w:sz w:val="16"/>
          <w:szCs w:val="16"/>
          <w:color w:val="auto"/>
        </w:rPr>
      </w:pPr>
    </w:p>
    <w:p>
      <w:pPr>
        <w:ind w:left="2"/>
        <w:spacing w:after="0"/>
        <w:rPr>
          <w:rFonts w:ascii="Arial" w:cs="Arial" w:eastAsia="Arial" w:hAnsi="Arial"/>
          <w:sz w:val="16"/>
          <w:szCs w:val="16"/>
          <w:color w:val="auto"/>
        </w:rPr>
      </w:pPr>
      <w:r>
        <w:rPr>
          <w:rFonts w:ascii="Arial" w:cs="Arial" w:eastAsia="Arial" w:hAnsi="Arial"/>
          <w:sz w:val="16"/>
          <w:szCs w:val="16"/>
          <w:color w:val="auto"/>
        </w:rPr>
        <w:t>3.3</w:t>
      </w:r>
      <w:r>
        <w:rPr>
          <w:rFonts w:ascii="Arial" w:cs="Arial" w:eastAsia="Arial" w:hAnsi="Arial"/>
          <w:sz w:val="14"/>
          <w:szCs w:val="14"/>
          <w:color w:val="auto"/>
        </w:rPr>
        <w:t>The following Conditions are amended:</w:t>
      </w:r>
    </w:p>
    <w:p>
      <w:pPr>
        <w:spacing w:after="0" w:line="207" w:lineRule="exact"/>
        <w:rPr>
          <w:sz w:val="20"/>
          <w:szCs w:val="20"/>
          <w:color w:val="auto"/>
        </w:rPr>
      </w:pPr>
    </w:p>
    <w:p>
      <w:pPr>
        <w:ind w:left="1182" w:hanging="360"/>
        <w:spacing w:after="0"/>
        <w:tabs>
          <w:tab w:leader="none" w:pos="1182" w:val="left"/>
        </w:tabs>
        <w:numPr>
          <w:ilvl w:val="0"/>
          <w:numId w:val="394"/>
        </w:numPr>
        <w:rPr>
          <w:rFonts w:ascii="Arial" w:cs="Arial" w:eastAsia="Arial" w:hAnsi="Arial"/>
          <w:sz w:val="14"/>
          <w:szCs w:val="14"/>
          <w:color w:val="auto"/>
        </w:rPr>
      </w:pPr>
      <w:r>
        <w:rPr>
          <w:rFonts w:ascii="Arial" w:cs="Arial" w:eastAsia="Arial" w:hAnsi="Arial"/>
          <w:sz w:val="14"/>
          <w:szCs w:val="14"/>
          <w:color w:val="auto"/>
        </w:rPr>
        <w:t>Condition 1.1.1(d) is amended so that reference to the completion date in Condition 1.1.1(d) refers instead to the Completion Date as defined in this contract.</w:t>
      </w:r>
    </w:p>
    <w:p>
      <w:pPr>
        <w:spacing w:after="0" w:line="230" w:lineRule="exact"/>
        <w:rPr>
          <w:rFonts w:ascii="Arial" w:cs="Arial" w:eastAsia="Arial" w:hAnsi="Arial"/>
          <w:sz w:val="14"/>
          <w:szCs w:val="14"/>
          <w:color w:val="auto"/>
        </w:rPr>
      </w:pPr>
    </w:p>
    <w:p>
      <w:pPr>
        <w:ind w:left="1182" w:hanging="360"/>
        <w:spacing w:after="0"/>
        <w:tabs>
          <w:tab w:leader="none" w:pos="1182" w:val="left"/>
        </w:tabs>
        <w:numPr>
          <w:ilvl w:val="0"/>
          <w:numId w:val="394"/>
        </w:numPr>
        <w:rPr>
          <w:rFonts w:ascii="Arial" w:cs="Arial" w:eastAsia="Arial" w:hAnsi="Arial"/>
          <w:sz w:val="15"/>
          <w:szCs w:val="15"/>
          <w:color w:val="auto"/>
        </w:rPr>
      </w:pPr>
      <w:r>
        <w:rPr>
          <w:rFonts w:ascii="Arial" w:cs="Arial" w:eastAsia="Arial" w:hAnsi="Arial"/>
          <w:sz w:val="15"/>
          <w:szCs w:val="15"/>
          <w:color w:val="auto"/>
        </w:rPr>
        <w:t>Condition 1.1.1(e) is amended so that reference to the contract rate in Condition 1.1.1(e) refers instead to the Contract Rate as defined in this contract.</w:t>
      </w:r>
    </w:p>
    <w:p>
      <w:pPr>
        <w:spacing w:after="0" w:line="218" w:lineRule="exact"/>
        <w:rPr>
          <w:rFonts w:ascii="Arial" w:cs="Arial" w:eastAsia="Arial" w:hAnsi="Arial"/>
          <w:sz w:val="15"/>
          <w:szCs w:val="15"/>
          <w:color w:val="auto"/>
        </w:rPr>
      </w:pPr>
    </w:p>
    <w:p>
      <w:pPr>
        <w:ind w:left="1182" w:hanging="360"/>
        <w:spacing w:after="0"/>
        <w:tabs>
          <w:tab w:leader="none" w:pos="1182" w:val="left"/>
        </w:tabs>
        <w:numPr>
          <w:ilvl w:val="0"/>
          <w:numId w:val="394"/>
        </w:numPr>
        <w:rPr>
          <w:rFonts w:ascii="Arial" w:cs="Arial" w:eastAsia="Arial" w:hAnsi="Arial"/>
          <w:sz w:val="16"/>
          <w:szCs w:val="16"/>
          <w:color w:val="auto"/>
        </w:rPr>
      </w:pPr>
      <w:r>
        <w:rPr>
          <w:rFonts w:ascii="Arial" w:cs="Arial" w:eastAsia="Arial" w:hAnsi="Arial"/>
          <w:sz w:val="16"/>
          <w:szCs w:val="16"/>
          <w:color w:val="auto"/>
        </w:rPr>
        <w:t>Condition 1.1.1(o) is amended so that reference to VAT in Condition 1.1.1(o) refers instead to VAT as defined in this contract.</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394"/>
        </w:numPr>
        <w:rPr>
          <w:rFonts w:ascii="Arial" w:cs="Arial" w:eastAsia="Arial" w:hAnsi="Arial"/>
          <w:sz w:val="16"/>
          <w:szCs w:val="16"/>
          <w:color w:val="auto"/>
        </w:rPr>
      </w:pPr>
      <w:r>
        <w:rPr>
          <w:rFonts w:ascii="Arial" w:cs="Arial" w:eastAsia="Arial" w:hAnsi="Arial"/>
          <w:sz w:val="16"/>
          <w:szCs w:val="16"/>
          <w:color w:val="auto"/>
        </w:rPr>
        <w:t>Condition 7.6.3 is amended so that reference to “Condition 4.1.2” is reference to “Clause 9”.</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4"/>
          <w:szCs w:val="14"/>
          <w:color w:val="auto"/>
        </w:rPr>
        <w:t>Condition 1.1.4(a) does not apply to this contract.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4"/>
          <w:szCs w:val="14"/>
          <w:color w:val="auto"/>
        </w:rPr>
        <w:t>The Part 2 Conditions are not incorporated into this contract.</w:t>
      </w:r>
    </w:p>
    <w:p>
      <w:pPr>
        <w:spacing w:after="0" w:line="203" w:lineRule="exact"/>
        <w:rPr>
          <w:sz w:val="20"/>
          <w:szCs w:val="20"/>
          <w:color w:val="auto"/>
        </w:rPr>
      </w:pPr>
    </w:p>
    <w:p>
      <w:pPr>
        <w:ind w:left="582" w:hanging="582"/>
        <w:spacing w:after="0"/>
        <w:tabs>
          <w:tab w:leader="none" w:pos="582" w:val="left"/>
        </w:tabs>
        <w:numPr>
          <w:ilvl w:val="0"/>
          <w:numId w:val="395"/>
        </w:numPr>
        <w:rPr>
          <w:rFonts w:ascii="Arial" w:cs="Arial" w:eastAsia="Arial" w:hAnsi="Arial"/>
          <w:sz w:val="16"/>
          <w:szCs w:val="16"/>
          <w:b w:val="1"/>
          <w:bCs w:val="1"/>
          <w:color w:val="auto"/>
        </w:rPr>
      </w:pPr>
      <w:r>
        <w:rPr>
          <w:rFonts w:ascii="Arial" w:cs="Arial" w:eastAsia="Arial" w:hAnsi="Arial"/>
          <w:sz w:val="16"/>
          <w:szCs w:val="16"/>
          <w:b w:val="1"/>
          <w:bCs w:val="1"/>
          <w:color w:val="auto"/>
        </w:rPr>
        <w:t>Risk and insurance</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With effect from exchange of this contract, the Property is at the Buyer’s risk and the Seller is under no obligation to the Buyer to insure the Property.</w:t>
      </w:r>
    </w:p>
    <w:p>
      <w:pPr>
        <w:spacing w:after="0" w:line="207" w:lineRule="exact"/>
        <w:rPr>
          <w:sz w:val="20"/>
          <w:szCs w:val="20"/>
          <w:color w:val="auto"/>
        </w:rPr>
      </w:pPr>
    </w:p>
    <w:p>
      <w:pPr>
        <w:ind w:left="582" w:right="360" w:hanging="586"/>
        <w:spacing w:after="0" w:line="285" w:lineRule="auto"/>
        <w:tabs>
          <w:tab w:leader="none" w:pos="562"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No damage to or destruction of the Property, nor any deterioration in its condition, however caused, will entitle the Buyer either to any reduction of the Purchase Price or to refuse to complete or to delay completion.</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color w:val="auto"/>
        </w:rPr>
        <w:t>Conditions 8.2.2, 8.2.3 and 8.2.4(b) do not apply to this contract.</w:t>
      </w:r>
    </w:p>
    <w:p>
      <w:pPr>
        <w:spacing w:after="0" w:line="203" w:lineRule="exact"/>
        <w:rPr>
          <w:sz w:val="20"/>
          <w:szCs w:val="20"/>
          <w:color w:val="auto"/>
        </w:rPr>
      </w:pPr>
    </w:p>
    <w:p>
      <w:pPr>
        <w:ind w:left="582" w:hanging="582"/>
        <w:spacing w:after="0"/>
        <w:tabs>
          <w:tab w:leader="none" w:pos="582" w:val="left"/>
        </w:tabs>
        <w:numPr>
          <w:ilvl w:val="0"/>
          <w:numId w:val="396"/>
        </w:numPr>
        <w:rPr>
          <w:rFonts w:ascii="Arial" w:cs="Arial" w:eastAsia="Arial" w:hAnsi="Arial"/>
          <w:sz w:val="16"/>
          <w:szCs w:val="16"/>
          <w:b w:val="1"/>
          <w:bCs w:val="1"/>
          <w:color w:val="auto"/>
        </w:rPr>
      </w:pPr>
      <w:r>
        <w:rPr>
          <w:rFonts w:ascii="Arial" w:cs="Arial" w:eastAsia="Arial" w:hAnsi="Arial"/>
          <w:sz w:val="16"/>
          <w:szCs w:val="16"/>
          <w:b w:val="1"/>
          <w:bCs w:val="1"/>
          <w:color w:val="auto"/>
        </w:rPr>
        <w:t>Deposit</w:t>
      </w:r>
    </w:p>
    <w:p>
      <w:pPr>
        <w:spacing w:after="0" w:line="211" w:lineRule="exact"/>
        <w:rPr>
          <w:sz w:val="20"/>
          <w:szCs w:val="20"/>
          <w:color w:val="auto"/>
        </w:rPr>
      </w:pPr>
    </w:p>
    <w:p>
      <w:pPr>
        <w:ind w:left="582" w:right="220" w:hanging="586"/>
        <w:spacing w:after="0" w:line="285" w:lineRule="auto"/>
        <w:tabs>
          <w:tab w:leader="none" w:pos="562"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On the date of this contract, the Buyer will pay the Deposit to the Seller’s Conveyancer as stakeholder on terms that on completion the Deposit is paid to the Seller with accrued interest.</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color w:val="auto"/>
        </w:rPr>
        <w:t>The Deposit must be paid by Electronic Payment.</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59" w:name="page460"/>
    <w:bookmarkEnd w:id="459"/>
    <w:p>
      <w:pPr>
        <w:ind w:left="2"/>
        <w:spacing w:after="0"/>
        <w:tabs>
          <w:tab w:leader="none" w:pos="562"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4"/>
          <w:szCs w:val="14"/>
          <w:color w:val="auto"/>
        </w:rPr>
        <w:t>Conditions 3.2.1, 3.2.2 and 9.8.3 do not apply to this contract.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4"/>
          <w:szCs w:val="14"/>
          <w:color w:val="auto"/>
        </w:rPr>
        <w:t>The provisions of clause 5.5, clause 5.6, clause 5.7 and clause 5.8 (inclusive) will only apply if:</w:t>
      </w:r>
    </w:p>
    <w:p>
      <w:pPr>
        <w:spacing w:after="0" w:line="207" w:lineRule="exact"/>
        <w:rPr>
          <w:sz w:val="20"/>
          <w:szCs w:val="20"/>
          <w:color w:val="auto"/>
        </w:rPr>
      </w:pPr>
    </w:p>
    <w:p>
      <w:pPr>
        <w:ind w:left="1182" w:hanging="360"/>
        <w:spacing w:after="0"/>
        <w:tabs>
          <w:tab w:leader="none" w:pos="1182" w:val="left"/>
        </w:tabs>
        <w:numPr>
          <w:ilvl w:val="0"/>
          <w:numId w:val="397"/>
        </w:numPr>
        <w:rPr>
          <w:rFonts w:ascii="Arial" w:cs="Arial" w:eastAsia="Arial" w:hAnsi="Arial"/>
          <w:sz w:val="16"/>
          <w:szCs w:val="16"/>
          <w:color w:val="auto"/>
        </w:rPr>
      </w:pPr>
      <w:r>
        <w:rPr>
          <w:rFonts w:ascii="Arial" w:cs="Arial" w:eastAsia="Arial" w:hAnsi="Arial"/>
          <w:sz w:val="16"/>
          <w:szCs w:val="16"/>
          <w:color w:val="auto"/>
        </w:rPr>
        <w:t>the Deposit is less than 10% of the Purchase Price; or</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397"/>
        </w:numPr>
        <w:rPr>
          <w:rFonts w:ascii="Arial" w:cs="Arial" w:eastAsia="Arial" w:hAnsi="Arial"/>
          <w:sz w:val="16"/>
          <w:szCs w:val="16"/>
          <w:color w:val="auto"/>
        </w:rPr>
      </w:pPr>
      <w:r>
        <w:rPr>
          <w:rFonts w:ascii="Arial" w:cs="Arial" w:eastAsia="Arial" w:hAnsi="Arial"/>
          <w:sz w:val="16"/>
          <w:szCs w:val="16"/>
          <w:color w:val="auto"/>
        </w:rPr>
        <w:t>no Deposit is payable on the date of this contract.</w:t>
      </w:r>
    </w:p>
    <w:p>
      <w:pPr>
        <w:spacing w:after="0" w:line="203"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4"/>
          <w:szCs w:val="14"/>
          <w:color w:val="auto"/>
        </w:rPr>
        <w:t xml:space="preserve">In this clause, the expression </w:t>
      </w:r>
      <w:r>
        <w:rPr>
          <w:rFonts w:ascii="Arial" w:cs="Arial" w:eastAsia="Arial" w:hAnsi="Arial"/>
          <w:sz w:val="14"/>
          <w:szCs w:val="14"/>
          <w:b w:val="1"/>
          <w:bCs w:val="1"/>
          <w:color w:val="auto"/>
        </w:rPr>
        <w:t>Deposit Balance</w:t>
      </w:r>
      <w:r>
        <w:rPr>
          <w:rFonts w:ascii="Arial" w:cs="Arial" w:eastAsia="Arial" w:hAnsi="Arial"/>
          <w:sz w:val="14"/>
          <w:szCs w:val="14"/>
          <w:color w:val="auto"/>
        </w:rPr>
        <w:t xml:space="preserve"> means:</w:t>
      </w:r>
    </w:p>
    <w:p>
      <w:pPr>
        <w:spacing w:after="0" w:line="211" w:lineRule="exact"/>
        <w:rPr>
          <w:sz w:val="20"/>
          <w:szCs w:val="20"/>
          <w:color w:val="auto"/>
        </w:rPr>
      </w:pPr>
    </w:p>
    <w:p>
      <w:pPr>
        <w:ind w:left="1182" w:hanging="360"/>
        <w:spacing w:after="0"/>
        <w:tabs>
          <w:tab w:leader="none" w:pos="1182" w:val="left"/>
        </w:tabs>
        <w:numPr>
          <w:ilvl w:val="0"/>
          <w:numId w:val="398"/>
        </w:numPr>
        <w:rPr>
          <w:rFonts w:ascii="Arial" w:cs="Arial" w:eastAsia="Arial" w:hAnsi="Arial"/>
          <w:sz w:val="16"/>
          <w:szCs w:val="16"/>
          <w:color w:val="auto"/>
        </w:rPr>
      </w:pPr>
      <w:r>
        <w:rPr>
          <w:rFonts w:ascii="Arial" w:cs="Arial" w:eastAsia="Arial" w:hAnsi="Arial"/>
          <w:sz w:val="16"/>
          <w:szCs w:val="16"/>
          <w:color w:val="auto"/>
        </w:rPr>
        <w:t>(where the Deposit is less than 10% of the Purchase Price) the sum calculated by deducting the Deposit from 10% of the Purchase Price; or</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398"/>
        </w:numPr>
        <w:rPr>
          <w:rFonts w:ascii="Arial" w:cs="Arial" w:eastAsia="Arial" w:hAnsi="Arial"/>
          <w:sz w:val="16"/>
          <w:szCs w:val="16"/>
          <w:color w:val="auto"/>
        </w:rPr>
      </w:pPr>
      <w:r>
        <w:rPr>
          <w:rFonts w:ascii="Arial" w:cs="Arial" w:eastAsia="Arial" w:hAnsi="Arial"/>
          <w:sz w:val="16"/>
          <w:szCs w:val="16"/>
          <w:color w:val="auto"/>
        </w:rPr>
        <w:t>(where no Deposit is payable on the date of this contract) a sum equal to 10% of the Purchase Price.</w:t>
      </w:r>
    </w:p>
    <w:p>
      <w:pPr>
        <w:spacing w:after="0" w:line="207" w:lineRule="exact"/>
        <w:rPr>
          <w:sz w:val="20"/>
          <w:szCs w:val="20"/>
          <w:color w:val="auto"/>
        </w:rPr>
      </w:pPr>
    </w:p>
    <w:p>
      <w:pPr>
        <w:ind w:left="582" w:hanging="586"/>
        <w:spacing w:after="0" w:line="270" w:lineRule="auto"/>
        <w:tabs>
          <w:tab w:leader="none" w:pos="562"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If completion does not take place on the Completion Date due to the default of the Buyer, the Buyer will immediately pay to the Seller’s Conveyancer the Deposit Balance (together with interest on it at the Contract Rate for the period from and including the Completion Date to and including the date of actual payment) by Electronic Payment.</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4"/>
          <w:szCs w:val="14"/>
          <w:color w:val="auto"/>
        </w:rPr>
        <w:t>After the Deposit Balance has been paid pursuant to clause 5.6, it will be treated as forming part of the Deposit for all purposes of this contract.</w:t>
      </w:r>
    </w:p>
    <w:p>
      <w:pPr>
        <w:spacing w:after="0" w:line="207" w:lineRule="exact"/>
        <w:rPr>
          <w:sz w:val="20"/>
          <w:szCs w:val="20"/>
          <w:color w:val="auto"/>
        </w:rPr>
      </w:pPr>
    </w:p>
    <w:p>
      <w:pPr>
        <w:ind w:left="582" w:right="240" w:hanging="586"/>
        <w:spacing w:after="0" w:line="285" w:lineRule="auto"/>
        <w:tabs>
          <w:tab w:leader="none" w:pos="562"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6"/>
          <w:szCs w:val="16"/>
          <w:color w:val="auto"/>
        </w:rPr>
        <w:t>The provisions of clause 5.5, clause 5.6, and clause 5.7 (inclusive) are without prejudice to any other rights or remedies of the Seller in relation to any delay in completion.</w:t>
      </w:r>
    </w:p>
    <w:p>
      <w:pPr>
        <w:spacing w:after="0" w:line="146" w:lineRule="exact"/>
        <w:rPr>
          <w:sz w:val="20"/>
          <w:szCs w:val="20"/>
          <w:color w:val="auto"/>
        </w:rPr>
      </w:pPr>
    </w:p>
    <w:p>
      <w:pPr>
        <w:ind w:left="582" w:hanging="582"/>
        <w:spacing w:after="0"/>
        <w:tabs>
          <w:tab w:leader="none" w:pos="582" w:val="left"/>
        </w:tabs>
        <w:numPr>
          <w:ilvl w:val="0"/>
          <w:numId w:val="399"/>
        </w:numPr>
        <w:rPr>
          <w:rFonts w:ascii="Arial" w:cs="Arial" w:eastAsia="Arial" w:hAnsi="Arial"/>
          <w:sz w:val="16"/>
          <w:szCs w:val="16"/>
          <w:b w:val="1"/>
          <w:bCs w:val="1"/>
          <w:color w:val="auto"/>
        </w:rPr>
      </w:pPr>
      <w:r>
        <w:rPr>
          <w:rFonts w:ascii="Arial" w:cs="Arial" w:eastAsia="Arial" w:hAnsi="Arial"/>
          <w:sz w:val="16"/>
          <w:szCs w:val="16"/>
          <w:b w:val="1"/>
          <w:bCs w:val="1"/>
          <w:color w:val="auto"/>
        </w:rPr>
        <w:t>Deducing title</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4"/>
          <w:szCs w:val="14"/>
          <w:color w:val="auto"/>
        </w:rPr>
        <w:t>The Seller’s title to the Lease has been deduced to the Buyer’s Conveyancer before the date of this contract.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5"/>
          <w:szCs w:val="15"/>
          <w:color w:val="auto"/>
        </w:rPr>
        <w:t>The Buyer is deemed to have full knowledge of the title and is not entitled to raise any objection, enquiry or requisition in relation to it.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4"/>
          <w:szCs w:val="14"/>
          <w:color w:val="auto"/>
        </w:rPr>
        <w:t>Conditions 7.1, 7.2, 7.3.1 and 7.4.2 do not apply to this contract.</w:t>
      </w:r>
    </w:p>
    <w:p>
      <w:pPr>
        <w:spacing w:after="0" w:line="203" w:lineRule="exact"/>
        <w:rPr>
          <w:sz w:val="20"/>
          <w:szCs w:val="20"/>
          <w:color w:val="auto"/>
        </w:rPr>
      </w:pPr>
    </w:p>
    <w:p>
      <w:pPr>
        <w:ind w:left="582" w:hanging="582"/>
        <w:spacing w:after="0"/>
        <w:tabs>
          <w:tab w:leader="none" w:pos="582" w:val="left"/>
        </w:tabs>
        <w:numPr>
          <w:ilvl w:val="0"/>
          <w:numId w:val="400"/>
        </w:numPr>
        <w:rPr>
          <w:rFonts w:ascii="Arial" w:cs="Arial" w:eastAsia="Arial" w:hAnsi="Arial"/>
          <w:sz w:val="16"/>
          <w:szCs w:val="16"/>
          <w:b w:val="1"/>
          <w:bCs w:val="1"/>
          <w:color w:val="auto"/>
        </w:rPr>
      </w:pPr>
      <w:r>
        <w:rPr>
          <w:rFonts w:ascii="Arial" w:cs="Arial" w:eastAsia="Arial" w:hAnsi="Arial"/>
          <w:sz w:val="16"/>
          <w:szCs w:val="16"/>
          <w:b w:val="1"/>
          <w:bCs w:val="1"/>
          <w:color w:val="auto"/>
        </w:rPr>
        <w:t>Vacant possession</w:t>
      </w:r>
    </w:p>
    <w:p>
      <w:pPr>
        <w:spacing w:after="0" w:line="211"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The Property will be sold with vacant possession on completion subject to the Equipment, which will remain in the Property.</w:t>
      </w:r>
    </w:p>
    <w:p>
      <w:pPr>
        <w:spacing w:after="0" w:line="207" w:lineRule="exact"/>
        <w:rPr>
          <w:sz w:val="20"/>
          <w:szCs w:val="20"/>
          <w:color w:val="auto"/>
        </w:rPr>
      </w:pPr>
    </w:p>
    <w:p>
      <w:pPr>
        <w:jc w:val="center"/>
        <w:ind w:right="-28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162"/>
          </w:cols>
          <w:pgMar w:left="238" w:top="322" w:right="499" w:bottom="1440" w:gutter="0" w:footer="0" w:header="0"/>
        </w:sectPr>
      </w:pPr>
    </w:p>
    <w:bookmarkStart w:id="460" w:name="page461"/>
    <w:bookmarkEnd w:id="460"/>
    <w:p>
      <w:pPr>
        <w:ind w:left="582" w:hanging="582"/>
        <w:spacing w:after="0"/>
        <w:tabs>
          <w:tab w:leader="none" w:pos="582" w:val="left"/>
        </w:tabs>
        <w:numPr>
          <w:ilvl w:val="0"/>
          <w:numId w:val="401"/>
        </w:numPr>
        <w:rPr>
          <w:rFonts w:ascii="Arial" w:cs="Arial" w:eastAsia="Arial" w:hAnsi="Arial"/>
          <w:sz w:val="16"/>
          <w:szCs w:val="16"/>
          <w:b w:val="1"/>
          <w:bCs w:val="1"/>
          <w:color w:val="auto"/>
        </w:rPr>
      </w:pPr>
      <w:r>
        <w:rPr>
          <w:rFonts w:ascii="Arial" w:cs="Arial" w:eastAsia="Arial" w:hAnsi="Arial"/>
          <w:sz w:val="16"/>
          <w:szCs w:val="16"/>
          <w:b w:val="1"/>
          <w:bCs w:val="1"/>
          <w:color w:val="auto"/>
        </w:rPr>
        <w:t>Title guarantee</w:t>
      </w:r>
    </w:p>
    <w:p>
      <w:pPr>
        <w:spacing w:after="0" w:line="211" w:lineRule="exact"/>
        <w:rPr>
          <w:sz w:val="20"/>
          <w:szCs w:val="20"/>
          <w:color w:val="auto"/>
        </w:rPr>
      </w:pPr>
    </w:p>
    <w:p>
      <w:pPr>
        <w:jc w:val="both"/>
        <w:ind w:left="582" w:right="40" w:hanging="586"/>
        <w:spacing w:after="0" w:line="270" w:lineRule="auto"/>
        <w:tabs>
          <w:tab w:leader="none" w:pos="562"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color w:val="auto"/>
        </w:rPr>
        <w:t>The Seller will assign the Lease with full title guarantee but the covenants implied by sections 3 and 4(1)(b) of the Law of Property (Miscellaneous Provisions) Act 1994 shall be limited so that the Seller will have no liability under them for the consequences of any breach of the terms of the Lease relating to the physical state or condition of the Property.</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4"/>
          <w:szCs w:val="14"/>
          <w:color w:val="auto"/>
        </w:rPr>
        <w:t>Condition 7.6.2 does not apply to this contract.</w:t>
      </w:r>
    </w:p>
    <w:p>
      <w:pPr>
        <w:spacing w:after="0" w:line="203" w:lineRule="exact"/>
        <w:rPr>
          <w:sz w:val="20"/>
          <w:szCs w:val="20"/>
          <w:color w:val="auto"/>
        </w:rPr>
      </w:pPr>
    </w:p>
    <w:p>
      <w:pPr>
        <w:ind w:left="582" w:hanging="582"/>
        <w:spacing w:after="0"/>
        <w:tabs>
          <w:tab w:leader="none" w:pos="582" w:val="left"/>
        </w:tabs>
        <w:numPr>
          <w:ilvl w:val="0"/>
          <w:numId w:val="402"/>
        </w:numPr>
        <w:rPr>
          <w:rFonts w:ascii="Arial" w:cs="Arial" w:eastAsia="Arial" w:hAnsi="Arial"/>
          <w:sz w:val="16"/>
          <w:szCs w:val="16"/>
          <w:b w:val="1"/>
          <w:bCs w:val="1"/>
          <w:color w:val="auto"/>
        </w:rPr>
      </w:pPr>
      <w:r>
        <w:rPr>
          <w:rFonts w:ascii="Arial" w:cs="Arial" w:eastAsia="Arial" w:hAnsi="Arial"/>
          <w:sz w:val="16"/>
          <w:szCs w:val="16"/>
          <w:b w:val="1"/>
          <w:bCs w:val="1"/>
          <w:color w:val="auto"/>
        </w:rPr>
        <w:t>Matters affecting the Property</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4"/>
          <w:szCs w:val="14"/>
          <w:color w:val="auto"/>
        </w:rPr>
        <w:t>The Seller will assign the residue of the term of years granted by the Lease free from incumbrances other than:</w:t>
      </w:r>
    </w:p>
    <w:p>
      <w:pPr>
        <w:spacing w:after="0" w:line="207" w:lineRule="exact"/>
        <w:rPr>
          <w:sz w:val="20"/>
          <w:szCs w:val="20"/>
          <w:color w:val="auto"/>
        </w:rPr>
      </w:pPr>
    </w:p>
    <w:p>
      <w:pPr>
        <w:ind w:left="1182" w:hanging="360"/>
        <w:spacing w:after="0"/>
        <w:tabs>
          <w:tab w:leader="none" w:pos="1182"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the tenant covenants and all terms and conditions contained or referred to in the Lease;</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403"/>
        </w:numPr>
        <w:rPr>
          <w:rFonts w:ascii="Arial" w:cs="Arial" w:eastAsia="Arial" w:hAnsi="Arial"/>
          <w:sz w:val="16"/>
          <w:szCs w:val="16"/>
          <w:color w:val="auto"/>
        </w:rPr>
      </w:pPr>
      <w:r>
        <w:rPr>
          <w:rFonts w:ascii="Arial" w:cs="Arial" w:eastAsia="Arial" w:hAnsi="Arial"/>
          <w:sz w:val="16"/>
          <w:szCs w:val="16"/>
          <w:color w:val="auto"/>
        </w:rPr>
        <w:t>any matters discoverable by inspection of the Property before the date of this contract;</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403"/>
        </w:numPr>
        <w:rPr>
          <w:rFonts w:ascii="Arial" w:cs="Arial" w:eastAsia="Arial" w:hAnsi="Arial"/>
          <w:sz w:val="16"/>
          <w:szCs w:val="16"/>
          <w:color w:val="auto"/>
        </w:rPr>
      </w:pPr>
      <w:r>
        <w:rPr>
          <w:rFonts w:ascii="Arial" w:cs="Arial" w:eastAsia="Arial" w:hAnsi="Arial"/>
          <w:sz w:val="16"/>
          <w:szCs w:val="16"/>
          <w:color w:val="auto"/>
        </w:rPr>
        <w:t>any matters which the Seller does not and could not reasonably know about;</w:t>
      </w:r>
    </w:p>
    <w:p>
      <w:pPr>
        <w:spacing w:after="0" w:line="207" w:lineRule="exact"/>
        <w:rPr>
          <w:rFonts w:ascii="Arial" w:cs="Arial" w:eastAsia="Arial" w:hAnsi="Arial"/>
          <w:sz w:val="16"/>
          <w:szCs w:val="16"/>
          <w:color w:val="auto"/>
        </w:rPr>
      </w:pPr>
    </w:p>
    <w:p>
      <w:pPr>
        <w:ind w:left="1182" w:right="100" w:hanging="360"/>
        <w:spacing w:after="0" w:line="285" w:lineRule="auto"/>
        <w:tabs>
          <w:tab w:leader="none" w:pos="1191" w:val="left"/>
        </w:tabs>
        <w:numPr>
          <w:ilvl w:val="0"/>
          <w:numId w:val="403"/>
        </w:numPr>
        <w:rPr>
          <w:rFonts w:ascii="Arial" w:cs="Arial" w:eastAsia="Arial" w:hAnsi="Arial"/>
          <w:sz w:val="16"/>
          <w:szCs w:val="16"/>
          <w:color w:val="auto"/>
        </w:rPr>
      </w:pPr>
      <w:r>
        <w:rPr>
          <w:rFonts w:ascii="Arial" w:cs="Arial" w:eastAsia="Arial" w:hAnsi="Arial"/>
          <w:sz w:val="16"/>
          <w:szCs w:val="16"/>
          <w:color w:val="auto"/>
        </w:rPr>
        <w:t>any matters disclosed or which would have been disclosed by the searches and enquiries which a prudent buyer would have made before entering into this contract;</w:t>
      </w:r>
    </w:p>
    <w:p>
      <w:pPr>
        <w:spacing w:after="0" w:line="149" w:lineRule="exact"/>
        <w:rPr>
          <w:rFonts w:ascii="Arial" w:cs="Arial" w:eastAsia="Arial" w:hAnsi="Arial"/>
          <w:sz w:val="16"/>
          <w:szCs w:val="16"/>
          <w:color w:val="auto"/>
        </w:rPr>
      </w:pPr>
    </w:p>
    <w:p>
      <w:pPr>
        <w:ind w:left="1182" w:hanging="360"/>
        <w:spacing w:after="0"/>
        <w:tabs>
          <w:tab w:leader="none" w:pos="1182" w:val="left"/>
        </w:tabs>
        <w:numPr>
          <w:ilvl w:val="0"/>
          <w:numId w:val="403"/>
        </w:numPr>
        <w:rPr>
          <w:rFonts w:ascii="Arial" w:cs="Arial" w:eastAsia="Arial" w:hAnsi="Arial"/>
          <w:sz w:val="16"/>
          <w:szCs w:val="16"/>
          <w:color w:val="auto"/>
        </w:rPr>
      </w:pPr>
      <w:r>
        <w:rPr>
          <w:rFonts w:ascii="Arial" w:cs="Arial" w:eastAsia="Arial" w:hAnsi="Arial"/>
          <w:sz w:val="16"/>
          <w:szCs w:val="16"/>
          <w:color w:val="auto"/>
        </w:rPr>
        <w:t>public requirements.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4"/>
          <w:szCs w:val="14"/>
          <w:color w:val="auto"/>
        </w:rPr>
        <w:t>Conditions 4.1.1, 4.1.2 and 4.1.3 do not apply to this contract.</w:t>
      </w:r>
    </w:p>
    <w:p>
      <w:pPr>
        <w:spacing w:after="0" w:line="207"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The Buyer is deemed to have full knowledge of the matters referred to in clause 9.1 and will not raise any enquiry, objection, requisition or claim in respect of any of them.</w:t>
      </w:r>
    </w:p>
    <w:p>
      <w:pPr>
        <w:spacing w:after="0" w:line="146" w:lineRule="exact"/>
        <w:rPr>
          <w:sz w:val="20"/>
          <w:szCs w:val="20"/>
          <w:color w:val="auto"/>
        </w:rPr>
      </w:pPr>
    </w:p>
    <w:p>
      <w:pPr>
        <w:ind w:left="582" w:hanging="582"/>
        <w:spacing w:after="0"/>
        <w:tabs>
          <w:tab w:leader="none" w:pos="582" w:val="left"/>
        </w:tabs>
        <w:numPr>
          <w:ilvl w:val="0"/>
          <w:numId w:val="404"/>
        </w:numPr>
        <w:rPr>
          <w:rFonts w:ascii="Arial" w:cs="Arial" w:eastAsia="Arial" w:hAnsi="Arial"/>
          <w:sz w:val="16"/>
          <w:szCs w:val="16"/>
          <w:b w:val="1"/>
          <w:bCs w:val="1"/>
          <w:color w:val="auto"/>
        </w:rPr>
      </w:pPr>
      <w:r>
        <w:rPr>
          <w:rFonts w:ascii="Arial" w:cs="Arial" w:eastAsia="Arial" w:hAnsi="Arial"/>
          <w:sz w:val="16"/>
          <w:szCs w:val="16"/>
          <w:b w:val="1"/>
          <w:bCs w:val="1"/>
          <w:color w:val="auto"/>
        </w:rPr>
        <w:t>Consent</w:t>
      </w:r>
    </w:p>
    <w:p>
      <w:pPr>
        <w:spacing w:after="0" w:line="211" w:lineRule="exact"/>
        <w:rPr>
          <w:sz w:val="20"/>
          <w:szCs w:val="20"/>
          <w:color w:val="auto"/>
        </w:rPr>
      </w:pPr>
    </w:p>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Completion is conditional on every Consent required under the Lease or any Superior Lease, being obtained on reasonable terms, each Consent being evidenced in a written, formal licence to assign, dated and signed or executed by or on behalf of each of the parties to it.</w:t>
      </w:r>
    </w:p>
    <w:p>
      <w:pPr>
        <w:spacing w:after="0" w:line="150" w:lineRule="exact"/>
        <w:rPr>
          <w:sz w:val="20"/>
          <w:szCs w:val="20"/>
          <w:color w:val="auto"/>
        </w:rPr>
      </w:pPr>
    </w:p>
    <w:p>
      <w:pPr>
        <w:ind w:left="582" w:right="420" w:hanging="586"/>
        <w:spacing w:after="0" w:line="285" w:lineRule="auto"/>
        <w:tabs>
          <w:tab w:leader="none" w:pos="562"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The Seller will apply for and use all reasonable endeavours to obtain every Consent as required by the Lease and any Superior Lease, but the Seller will not be obliged to seek any declaration of the Court that a Consent has been or is being unreasonably withheld.</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5"/>
          <w:szCs w:val="15"/>
          <w:color w:val="auto"/>
        </w:rPr>
        <w:t>The Buyer will, without delay:</w:t>
      </w:r>
    </w:p>
    <w:p>
      <w:pPr>
        <w:spacing w:after="0" w:line="207"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42"/>
          </w:cols>
          <w:pgMar w:left="238" w:top="318" w:right="319" w:bottom="1440" w:gutter="0" w:footer="0" w:header="0"/>
        </w:sectPr>
      </w:pPr>
    </w:p>
    <w:bookmarkStart w:id="461" w:name="page462"/>
    <w:bookmarkEnd w:id="461"/>
    <w:p>
      <w:pPr>
        <w:ind w:left="1182" w:right="280" w:hanging="360"/>
        <w:spacing w:after="0" w:line="285" w:lineRule="auto"/>
        <w:tabs>
          <w:tab w:leader="none" w:pos="1182" w:val="left"/>
        </w:tabs>
        <w:numPr>
          <w:ilvl w:val="0"/>
          <w:numId w:val="405"/>
        </w:numPr>
        <w:rPr>
          <w:rFonts w:ascii="Arial" w:cs="Arial" w:eastAsia="Arial" w:hAnsi="Arial"/>
          <w:sz w:val="16"/>
          <w:szCs w:val="16"/>
          <w:color w:val="auto"/>
        </w:rPr>
      </w:pPr>
      <w:r>
        <w:rPr>
          <w:rFonts w:ascii="Arial" w:cs="Arial" w:eastAsia="Arial" w:hAnsi="Arial"/>
          <w:sz w:val="16"/>
          <w:szCs w:val="16"/>
          <w:color w:val="auto"/>
        </w:rPr>
        <w:t>supply all reasonable and necessary information, accounts and references as the Landlord, any Superior Landlord or the Seller may reasonably require in connection with an application for or consideration of any Consent;</w:t>
      </w:r>
    </w:p>
    <w:p>
      <w:pPr>
        <w:spacing w:after="0" w:line="149" w:lineRule="exact"/>
        <w:rPr>
          <w:rFonts w:ascii="Arial" w:cs="Arial" w:eastAsia="Arial" w:hAnsi="Arial"/>
          <w:sz w:val="16"/>
          <w:szCs w:val="16"/>
          <w:color w:val="auto"/>
        </w:rPr>
      </w:pPr>
    </w:p>
    <w:p>
      <w:pPr>
        <w:ind w:left="1182" w:right="640" w:hanging="360"/>
        <w:spacing w:after="0" w:line="285" w:lineRule="auto"/>
        <w:tabs>
          <w:tab w:leader="none" w:pos="1191" w:val="left"/>
        </w:tabs>
        <w:numPr>
          <w:ilvl w:val="0"/>
          <w:numId w:val="405"/>
        </w:numPr>
        <w:rPr>
          <w:rFonts w:ascii="Arial" w:cs="Arial" w:eastAsia="Arial" w:hAnsi="Arial"/>
          <w:sz w:val="16"/>
          <w:szCs w:val="16"/>
          <w:color w:val="auto"/>
        </w:rPr>
      </w:pPr>
      <w:r>
        <w:rPr>
          <w:rFonts w:ascii="Arial" w:cs="Arial" w:eastAsia="Arial" w:hAnsi="Arial"/>
          <w:sz w:val="16"/>
          <w:szCs w:val="16"/>
          <w:color w:val="auto"/>
        </w:rPr>
        <w:t>ensure that any amendments that the Buyer proposes to make to any form of Consent or to any document mentioned in clause 10.3(c) that has been submitted to the Buyer or to the Buyer’s Conveyancer, are communicated promptly to the Seller’s Conveyancer;</w:t>
      </w:r>
    </w:p>
    <w:p>
      <w:pPr>
        <w:spacing w:after="0" w:line="149" w:lineRule="exact"/>
        <w:rPr>
          <w:rFonts w:ascii="Arial" w:cs="Arial" w:eastAsia="Arial" w:hAnsi="Arial"/>
          <w:sz w:val="16"/>
          <w:szCs w:val="16"/>
          <w:color w:val="auto"/>
        </w:rPr>
      </w:pPr>
    </w:p>
    <w:p>
      <w:pPr>
        <w:ind w:left="1182" w:hanging="360"/>
        <w:spacing w:after="0"/>
        <w:tabs>
          <w:tab w:leader="none" w:pos="1182" w:val="left"/>
        </w:tabs>
        <w:numPr>
          <w:ilvl w:val="0"/>
          <w:numId w:val="405"/>
        </w:numPr>
        <w:rPr>
          <w:rFonts w:ascii="Arial" w:cs="Arial" w:eastAsia="Arial" w:hAnsi="Arial"/>
          <w:sz w:val="16"/>
          <w:szCs w:val="16"/>
          <w:color w:val="auto"/>
        </w:rPr>
      </w:pPr>
      <w:r>
        <w:rPr>
          <w:rFonts w:ascii="Arial" w:cs="Arial" w:eastAsia="Arial" w:hAnsi="Arial"/>
          <w:sz w:val="16"/>
          <w:szCs w:val="16"/>
          <w:color w:val="auto"/>
        </w:rPr>
        <w:t>enter into a rental deposit with the Seller as security for the performance of the tenant covenants of the Lease; and</w:t>
      </w:r>
    </w:p>
    <w:p>
      <w:pPr>
        <w:spacing w:after="0" w:line="207" w:lineRule="exact"/>
        <w:rPr>
          <w:rFonts w:ascii="Arial" w:cs="Arial" w:eastAsia="Arial" w:hAnsi="Arial"/>
          <w:sz w:val="16"/>
          <w:szCs w:val="16"/>
          <w:color w:val="auto"/>
        </w:rPr>
      </w:pPr>
    </w:p>
    <w:p>
      <w:pPr>
        <w:ind w:left="1182" w:hanging="360"/>
        <w:spacing w:after="0" w:line="270" w:lineRule="auto"/>
        <w:tabs>
          <w:tab w:leader="none" w:pos="1191" w:val="left"/>
        </w:tabs>
        <w:numPr>
          <w:ilvl w:val="0"/>
          <w:numId w:val="405"/>
        </w:numPr>
        <w:rPr>
          <w:rFonts w:ascii="Arial" w:cs="Arial" w:eastAsia="Arial" w:hAnsi="Arial"/>
          <w:sz w:val="16"/>
          <w:szCs w:val="16"/>
          <w:color w:val="auto"/>
        </w:rPr>
      </w:pPr>
      <w:r>
        <w:rPr>
          <w:rFonts w:ascii="Arial" w:cs="Arial" w:eastAsia="Arial" w:hAnsi="Arial"/>
          <w:sz w:val="16"/>
          <w:szCs w:val="16"/>
          <w:color w:val="auto"/>
        </w:rPr>
        <w:t>execute the document containing a Consent and execute or procure the execution of the document required to be entered into pursuant to clause 10.3(c), each in the form reasonably required by the Landlord or by any Superior Landlord. The Buyer will return all such documents duly executed to the Seller’s Conveyancer within five working days after the engrossment(s) have been submitted to the Buyer’s Conveyancer.</w:t>
      </w:r>
    </w:p>
    <w:p>
      <w:pPr>
        <w:spacing w:after="0" w:line="162" w:lineRule="exact"/>
        <w:rPr>
          <w:sz w:val="20"/>
          <w:szCs w:val="20"/>
          <w:color w:val="auto"/>
        </w:rPr>
      </w:pPr>
    </w:p>
    <w:p>
      <w:pPr>
        <w:ind w:left="582" w:right="320" w:hanging="586"/>
        <w:spacing w:after="0" w:line="285" w:lineRule="auto"/>
        <w:tabs>
          <w:tab w:leader="none" w:pos="562"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If any Consent required under the Lease or any Superior Lease has not been obtained on reasonable terms by 4.00 pm on 24 November 2017 this contract may be rescinded:</w:t>
      </w:r>
    </w:p>
    <w:p>
      <w:pPr>
        <w:spacing w:after="0" w:line="150" w:lineRule="exact"/>
        <w:rPr>
          <w:sz w:val="20"/>
          <w:szCs w:val="20"/>
          <w:color w:val="auto"/>
        </w:rPr>
      </w:pPr>
    </w:p>
    <w:p>
      <w:pPr>
        <w:ind w:left="1182" w:hanging="360"/>
        <w:spacing w:after="0"/>
        <w:tabs>
          <w:tab w:leader="none" w:pos="1182" w:val="left"/>
        </w:tabs>
        <w:numPr>
          <w:ilvl w:val="0"/>
          <w:numId w:val="406"/>
        </w:numPr>
        <w:rPr>
          <w:rFonts w:ascii="Arial" w:cs="Arial" w:eastAsia="Arial" w:hAnsi="Arial"/>
          <w:sz w:val="16"/>
          <w:szCs w:val="16"/>
          <w:color w:val="auto"/>
        </w:rPr>
      </w:pPr>
      <w:r>
        <w:rPr>
          <w:rFonts w:ascii="Arial" w:cs="Arial" w:eastAsia="Arial" w:hAnsi="Arial"/>
          <w:sz w:val="16"/>
          <w:szCs w:val="16"/>
          <w:color w:val="auto"/>
        </w:rPr>
        <w:t>by the Seller giving notice to the Buyer; or</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406"/>
        </w:numPr>
        <w:rPr>
          <w:rFonts w:ascii="Arial" w:cs="Arial" w:eastAsia="Arial" w:hAnsi="Arial"/>
          <w:sz w:val="16"/>
          <w:szCs w:val="16"/>
          <w:color w:val="auto"/>
        </w:rPr>
      </w:pPr>
      <w:r>
        <w:rPr>
          <w:rFonts w:ascii="Arial" w:cs="Arial" w:eastAsia="Arial" w:hAnsi="Arial"/>
          <w:sz w:val="16"/>
          <w:szCs w:val="16"/>
          <w:color w:val="auto"/>
        </w:rPr>
        <w:t>by the Buyer giving notice to the Seller.</w:t>
      </w:r>
    </w:p>
    <w:p>
      <w:pPr>
        <w:spacing w:after="0" w:line="207" w:lineRule="exact"/>
        <w:rPr>
          <w:sz w:val="20"/>
          <w:szCs w:val="20"/>
          <w:color w:val="auto"/>
        </w:rPr>
      </w:pPr>
    </w:p>
    <w:p>
      <w:pPr>
        <w:ind w:left="582" w:right="460" w:hanging="586"/>
        <w:spacing w:after="0" w:line="285" w:lineRule="auto"/>
        <w:tabs>
          <w:tab w:leader="none" w:pos="562"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color w:val="auto"/>
        </w:rPr>
        <w:t>Without prejudice to Condition 10.2, if a notice to rescind is served under this clause, neither of the parties will have any further rights or obligations under this contract except that:</w:t>
      </w:r>
    </w:p>
    <w:p>
      <w:pPr>
        <w:spacing w:after="0" w:line="150" w:lineRule="exact"/>
        <w:rPr>
          <w:sz w:val="20"/>
          <w:szCs w:val="20"/>
          <w:color w:val="auto"/>
        </w:rPr>
      </w:pPr>
    </w:p>
    <w:p>
      <w:pPr>
        <w:ind w:left="1182" w:hanging="360"/>
        <w:spacing w:after="0"/>
        <w:tabs>
          <w:tab w:leader="none" w:pos="1182" w:val="left"/>
        </w:tabs>
        <w:numPr>
          <w:ilvl w:val="0"/>
          <w:numId w:val="407"/>
        </w:numPr>
        <w:rPr>
          <w:rFonts w:ascii="Arial" w:cs="Arial" w:eastAsia="Arial" w:hAnsi="Arial"/>
          <w:sz w:val="16"/>
          <w:szCs w:val="16"/>
          <w:color w:val="auto"/>
        </w:rPr>
      </w:pPr>
      <w:r>
        <w:rPr>
          <w:rFonts w:ascii="Arial" w:cs="Arial" w:eastAsia="Arial" w:hAnsi="Arial"/>
          <w:sz w:val="16"/>
          <w:szCs w:val="16"/>
          <w:color w:val="auto"/>
        </w:rPr>
        <w:t>the Buyer will continue to be liable to pay or refund any costs that the Buyer is liable to pay or refund under this contract;</w:t>
      </w:r>
    </w:p>
    <w:p>
      <w:pPr>
        <w:spacing w:after="0" w:line="207" w:lineRule="exact"/>
        <w:rPr>
          <w:rFonts w:ascii="Arial" w:cs="Arial" w:eastAsia="Arial" w:hAnsi="Arial"/>
          <w:sz w:val="16"/>
          <w:szCs w:val="16"/>
          <w:color w:val="auto"/>
        </w:rPr>
      </w:pPr>
    </w:p>
    <w:p>
      <w:pPr>
        <w:ind w:left="1182" w:right="480" w:hanging="360"/>
        <w:spacing w:after="0" w:line="285" w:lineRule="auto"/>
        <w:tabs>
          <w:tab w:leader="none" w:pos="1191" w:val="left"/>
        </w:tabs>
        <w:numPr>
          <w:ilvl w:val="0"/>
          <w:numId w:val="407"/>
        </w:numPr>
        <w:rPr>
          <w:rFonts w:ascii="Arial" w:cs="Arial" w:eastAsia="Arial" w:hAnsi="Arial"/>
          <w:sz w:val="16"/>
          <w:szCs w:val="16"/>
          <w:color w:val="auto"/>
        </w:rPr>
      </w:pPr>
      <w:r>
        <w:rPr>
          <w:rFonts w:ascii="Arial" w:cs="Arial" w:eastAsia="Arial" w:hAnsi="Arial"/>
          <w:sz w:val="16"/>
          <w:szCs w:val="16"/>
          <w:color w:val="auto"/>
        </w:rPr>
        <w:t>the Seller’s rights in connection with any breach of this contract by the Buyer which may have occurred before service of the notice to rescind will be unaffected;</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4"/>
          <w:szCs w:val="14"/>
          <w:color w:val="auto"/>
        </w:rPr>
        <w:t>Condition 11.3 does not apply to this contract.</w:t>
      </w:r>
    </w:p>
    <w:p>
      <w:pPr>
        <w:spacing w:after="0" w:line="203" w:lineRule="exact"/>
        <w:rPr>
          <w:sz w:val="20"/>
          <w:szCs w:val="20"/>
          <w:color w:val="auto"/>
        </w:rPr>
      </w:pPr>
    </w:p>
    <w:p>
      <w:pPr>
        <w:ind w:left="582" w:hanging="582"/>
        <w:spacing w:after="0"/>
        <w:tabs>
          <w:tab w:leader="none" w:pos="582" w:val="left"/>
        </w:tabs>
        <w:numPr>
          <w:ilvl w:val="0"/>
          <w:numId w:val="408"/>
        </w:numPr>
        <w:rPr>
          <w:rFonts w:ascii="Arial" w:cs="Arial" w:eastAsia="Arial" w:hAnsi="Arial"/>
          <w:sz w:val="16"/>
          <w:szCs w:val="16"/>
          <w:b w:val="1"/>
          <w:bCs w:val="1"/>
          <w:color w:val="auto"/>
        </w:rPr>
      </w:pPr>
      <w:r>
        <w:rPr>
          <w:rFonts w:ascii="Arial" w:cs="Arial" w:eastAsia="Arial" w:hAnsi="Arial"/>
          <w:sz w:val="16"/>
          <w:szCs w:val="16"/>
          <w:b w:val="1"/>
          <w:bCs w:val="1"/>
          <w:color w:val="auto"/>
        </w:rPr>
        <w:t>Assignment</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4"/>
          <w:szCs w:val="14"/>
          <w:color w:val="auto"/>
        </w:rPr>
        <w:t>The assignment to the Buyer will be in the agreed form annexed to this contract.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color w:val="auto"/>
        </w:rPr>
        <w:t>The Buyer and the Seller will execute the assignment in original and counterpart.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4"/>
          <w:szCs w:val="14"/>
          <w:color w:val="auto"/>
        </w:rPr>
        <w:t>Condition 7.6.5(b) does not apply to this contract.</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62" w:name="page463"/>
    <w:bookmarkEnd w:id="462"/>
    <w:p>
      <w:pPr>
        <w:ind w:left="582" w:hanging="582"/>
        <w:spacing w:after="0"/>
        <w:tabs>
          <w:tab w:leader="none" w:pos="582" w:val="left"/>
        </w:tabs>
        <w:numPr>
          <w:ilvl w:val="0"/>
          <w:numId w:val="409"/>
        </w:numPr>
        <w:rPr>
          <w:rFonts w:ascii="Arial" w:cs="Arial" w:eastAsia="Arial" w:hAnsi="Arial"/>
          <w:sz w:val="16"/>
          <w:szCs w:val="16"/>
          <w:b w:val="1"/>
          <w:bCs w:val="1"/>
          <w:color w:val="auto"/>
        </w:rPr>
      </w:pPr>
      <w:r>
        <w:rPr>
          <w:rFonts w:ascii="Arial" w:cs="Arial" w:eastAsia="Arial" w:hAnsi="Arial"/>
          <w:sz w:val="16"/>
          <w:szCs w:val="16"/>
          <w:b w:val="1"/>
          <w:bCs w:val="1"/>
          <w:color w:val="auto"/>
        </w:rPr>
        <w:t>VAT</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4"/>
          <w:szCs w:val="14"/>
          <w:color w:val="auto"/>
        </w:rPr>
        <w:t>Each amount stated to be payable by the Buyer to the Seller under or pursuant to this contract is exclusive of VAT (if any).</w:t>
      </w:r>
    </w:p>
    <w:p>
      <w:pPr>
        <w:spacing w:after="0" w:line="207" w:lineRule="exact"/>
        <w:rPr>
          <w:sz w:val="20"/>
          <w:szCs w:val="20"/>
          <w:color w:val="auto"/>
        </w:rPr>
      </w:pPr>
    </w:p>
    <w:p>
      <w:pPr>
        <w:ind w:left="582" w:right="80" w:hanging="586"/>
        <w:spacing w:after="0" w:line="285" w:lineRule="auto"/>
        <w:tabs>
          <w:tab w:leader="none" w:pos="562"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If any VAT is chargeable on any supply made by the Seller under or pursuant to this contract, the Buyer will on receipt of a valid VAT invoice, pay the Seller an amount equal to that VAT as additional consideration on completion.</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4"/>
          <w:szCs w:val="14"/>
          <w:color w:val="auto"/>
        </w:rPr>
        <w:t>Conditions 2.1 and 2.2 do not apply to this contract.</w:t>
      </w:r>
    </w:p>
    <w:p>
      <w:pPr>
        <w:spacing w:after="0" w:line="203" w:lineRule="exact"/>
        <w:rPr>
          <w:sz w:val="20"/>
          <w:szCs w:val="20"/>
          <w:color w:val="auto"/>
        </w:rPr>
      </w:pPr>
    </w:p>
    <w:p>
      <w:pPr>
        <w:ind w:left="582" w:hanging="582"/>
        <w:spacing w:after="0"/>
        <w:tabs>
          <w:tab w:leader="none" w:pos="582" w:val="left"/>
        </w:tabs>
        <w:numPr>
          <w:ilvl w:val="0"/>
          <w:numId w:val="410"/>
        </w:numPr>
        <w:rPr>
          <w:rFonts w:ascii="Arial" w:cs="Arial" w:eastAsia="Arial" w:hAnsi="Arial"/>
          <w:sz w:val="16"/>
          <w:szCs w:val="16"/>
          <w:b w:val="1"/>
          <w:bCs w:val="1"/>
          <w:color w:val="auto"/>
        </w:rPr>
      </w:pPr>
      <w:r>
        <w:rPr>
          <w:rFonts w:ascii="Arial" w:cs="Arial" w:eastAsia="Arial" w:hAnsi="Arial"/>
          <w:sz w:val="16"/>
          <w:szCs w:val="16"/>
          <w:b w:val="1"/>
          <w:bCs w:val="1"/>
          <w:color w:val="auto"/>
        </w:rPr>
        <w:t>Completion</w:t>
      </w:r>
    </w:p>
    <w:p>
      <w:pPr>
        <w:spacing w:after="0" w:line="211" w:lineRule="exact"/>
        <w:rPr>
          <w:sz w:val="20"/>
          <w:szCs w:val="20"/>
          <w:color w:val="auto"/>
        </w:rPr>
      </w:pPr>
    </w:p>
    <w:p>
      <w:pPr>
        <w:ind w:left="582" w:right="40" w:hanging="586"/>
        <w:spacing w:after="0" w:line="285" w:lineRule="auto"/>
        <w:tabs>
          <w:tab w:leader="none" w:pos="562"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6"/>
          <w:szCs w:val="16"/>
          <w:color w:val="auto"/>
        </w:rPr>
        <w:t>Completion will take place on the Completion Date or, if later, on the date which is five working days after every Consent has been obtained in accordance with clause 10 but time is not of the essence of the contract unless a notice to complete has been served.</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4"/>
          <w:szCs w:val="14"/>
          <w:color w:val="auto"/>
        </w:rPr>
        <w:t>Condition 9.1.1 does not apply to this contract.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4"/>
          <w:szCs w:val="14"/>
          <w:color w:val="auto"/>
        </w:rPr>
        <w:t>Condition 9.4 is amended to add, “(d) any other sum which the parties agree under the terms of the contract should be paid or allowed on completion”.</w:t>
      </w:r>
    </w:p>
    <w:p>
      <w:pPr>
        <w:spacing w:after="0" w:line="207"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Condition 9.7 is amended to read: “The buyer is to pay the money due on completion by Electronic Payment and, if appropriate, by an unconditional release of a deposit held by a stakeholder”.</w:t>
      </w:r>
    </w:p>
    <w:p>
      <w:pPr>
        <w:spacing w:after="0" w:line="146" w:lineRule="exact"/>
        <w:rPr>
          <w:sz w:val="20"/>
          <w:szCs w:val="20"/>
          <w:color w:val="auto"/>
        </w:rPr>
      </w:pPr>
    </w:p>
    <w:p>
      <w:pPr>
        <w:ind w:left="582" w:hanging="582"/>
        <w:spacing w:after="0"/>
        <w:tabs>
          <w:tab w:leader="none" w:pos="582" w:val="left"/>
        </w:tabs>
        <w:numPr>
          <w:ilvl w:val="0"/>
          <w:numId w:val="411"/>
        </w:numPr>
        <w:rPr>
          <w:rFonts w:ascii="Arial" w:cs="Arial" w:eastAsia="Arial" w:hAnsi="Arial"/>
          <w:sz w:val="16"/>
          <w:szCs w:val="16"/>
          <w:b w:val="1"/>
          <w:bCs w:val="1"/>
          <w:color w:val="auto"/>
        </w:rPr>
      </w:pPr>
      <w:r>
        <w:rPr>
          <w:rFonts w:ascii="Arial" w:cs="Arial" w:eastAsia="Arial" w:hAnsi="Arial"/>
          <w:sz w:val="16"/>
          <w:szCs w:val="16"/>
          <w:b w:val="1"/>
          <w:bCs w:val="1"/>
          <w:color w:val="auto"/>
        </w:rPr>
        <w:t>Apportionment of rent payable under the Lease</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5"/>
          <w:szCs w:val="15"/>
          <w:color w:val="auto"/>
        </w:rPr>
        <w:t>In this clause the following definitions apply:</w:t>
      </w:r>
    </w:p>
    <w:p>
      <w:pPr>
        <w:spacing w:after="0" w:line="203" w:lineRule="exact"/>
        <w:rPr>
          <w:sz w:val="20"/>
          <w:szCs w:val="20"/>
          <w:color w:val="auto"/>
        </w:rPr>
      </w:pPr>
    </w:p>
    <w:p>
      <w:pPr>
        <w:ind w:left="542" w:hanging="542"/>
        <w:spacing w:after="0"/>
        <w:tabs>
          <w:tab w:leader="none" w:pos="542" w:val="left"/>
        </w:tabs>
        <w:numPr>
          <w:ilvl w:val="0"/>
          <w:numId w:val="412"/>
        </w:numPr>
        <w:rPr>
          <w:rFonts w:ascii="Arial" w:cs="Arial" w:eastAsia="Arial" w:hAnsi="Arial"/>
          <w:sz w:val="16"/>
          <w:szCs w:val="16"/>
          <w:b w:val="1"/>
          <w:bCs w:val="1"/>
          <w:color w:val="auto"/>
        </w:rPr>
      </w:pPr>
      <w:r>
        <w:rPr>
          <w:rFonts w:ascii="Arial" w:cs="Arial" w:eastAsia="Arial" w:hAnsi="Arial"/>
          <w:sz w:val="16"/>
          <w:szCs w:val="16"/>
          <w:b w:val="1"/>
          <w:bCs w:val="1"/>
          <w:color w:val="auto"/>
        </w:rPr>
        <w:t>Lease Rent</w:t>
      </w:r>
      <w:r>
        <w:rPr>
          <w:rFonts w:ascii="Arial" w:cs="Arial" w:eastAsia="Arial" w:hAnsi="Arial"/>
          <w:sz w:val="16"/>
          <w:szCs w:val="16"/>
          <w:color w:val="auto"/>
        </w:rPr>
        <w:t>: the annual rent first reserved by the Lease excluding any VAT paid in respect of it.</w:t>
      </w:r>
    </w:p>
    <w:p>
      <w:pPr>
        <w:spacing w:after="0" w:line="207" w:lineRule="exact"/>
        <w:rPr>
          <w:rFonts w:ascii="Arial" w:cs="Arial" w:eastAsia="Arial" w:hAnsi="Arial"/>
          <w:sz w:val="16"/>
          <w:szCs w:val="16"/>
          <w:b w:val="1"/>
          <w:bCs w:val="1"/>
          <w:color w:val="auto"/>
        </w:rPr>
      </w:pPr>
    </w:p>
    <w:p>
      <w:pPr>
        <w:ind w:left="542" w:hanging="542"/>
        <w:spacing w:after="0"/>
        <w:tabs>
          <w:tab w:leader="none" w:pos="542" w:val="left"/>
        </w:tabs>
        <w:numPr>
          <w:ilvl w:val="0"/>
          <w:numId w:val="412"/>
        </w:numPr>
        <w:rPr>
          <w:rFonts w:ascii="Arial" w:cs="Arial" w:eastAsia="Arial" w:hAnsi="Arial"/>
          <w:sz w:val="16"/>
          <w:szCs w:val="16"/>
          <w:b w:val="1"/>
          <w:bCs w:val="1"/>
          <w:color w:val="auto"/>
        </w:rPr>
      </w:pPr>
      <w:r>
        <w:rPr>
          <w:rFonts w:ascii="Arial" w:cs="Arial" w:eastAsia="Arial" w:hAnsi="Arial"/>
          <w:sz w:val="16"/>
          <w:szCs w:val="16"/>
          <w:b w:val="1"/>
          <w:bCs w:val="1"/>
          <w:color w:val="auto"/>
        </w:rPr>
        <w:t>Lease Rent Payment Day</w:t>
      </w:r>
      <w:r>
        <w:rPr>
          <w:rFonts w:ascii="Arial" w:cs="Arial" w:eastAsia="Arial" w:hAnsi="Arial"/>
          <w:sz w:val="16"/>
          <w:szCs w:val="16"/>
          <w:color w:val="auto"/>
        </w:rPr>
        <w:t>: a day under the Lease for payment of the Lease Rent or an instalment of the Lease Rent.</w:t>
      </w:r>
    </w:p>
    <w:p>
      <w:pPr>
        <w:spacing w:after="0" w:line="211" w:lineRule="exact"/>
        <w:rPr>
          <w:rFonts w:ascii="Arial" w:cs="Arial" w:eastAsia="Arial" w:hAnsi="Arial"/>
          <w:sz w:val="16"/>
          <w:szCs w:val="16"/>
          <w:b w:val="1"/>
          <w:bCs w:val="1"/>
          <w:color w:val="auto"/>
        </w:rPr>
      </w:pPr>
    </w:p>
    <w:p>
      <w:pPr>
        <w:ind w:left="2"/>
        <w:spacing w:after="0"/>
        <w:rPr>
          <w:rFonts w:ascii="Arial" w:cs="Arial" w:eastAsia="Arial" w:hAnsi="Arial"/>
          <w:sz w:val="16"/>
          <w:szCs w:val="16"/>
          <w:b w:val="1"/>
          <w:bCs w:val="1"/>
          <w:color w:val="auto"/>
        </w:rPr>
      </w:pPr>
      <w:r>
        <w:rPr>
          <w:rFonts w:ascii="Arial" w:cs="Arial" w:eastAsia="Arial" w:hAnsi="Arial"/>
          <w:sz w:val="16"/>
          <w:szCs w:val="16"/>
          <w:color w:val="auto"/>
        </w:rPr>
        <w:t>14.2    The Lease Rent will be apportioned so that on completion the Buyer will pay or allow the Seller:</w:t>
      </w:r>
    </w:p>
    <w:p>
      <w:pPr>
        <w:spacing w:after="0" w:line="203" w:lineRule="exact"/>
        <w:rPr>
          <w:rFonts w:ascii="Arial" w:cs="Arial" w:eastAsia="Arial" w:hAnsi="Arial"/>
          <w:sz w:val="16"/>
          <w:szCs w:val="16"/>
          <w:b w:val="1"/>
          <w:bCs w:val="1"/>
          <w:color w:val="auto"/>
        </w:rPr>
      </w:pPr>
    </w:p>
    <w:p>
      <w:pPr>
        <w:ind w:left="582" w:right="9680"/>
        <w:spacing w:after="0" w:line="544" w:lineRule="auto"/>
        <w:rPr>
          <w:rFonts w:ascii="Arial" w:cs="Arial" w:eastAsia="Arial" w:hAnsi="Arial"/>
          <w:sz w:val="16"/>
          <w:szCs w:val="16"/>
          <w:b w:val="1"/>
          <w:bCs w:val="1"/>
          <w:color w:val="auto"/>
        </w:rPr>
      </w:pPr>
      <w:r>
        <w:rPr>
          <w:rFonts w:ascii="Arial" w:cs="Arial" w:eastAsia="Arial" w:hAnsi="Arial"/>
          <w:sz w:val="15"/>
          <w:szCs w:val="15"/>
          <w:b w:val="1"/>
          <w:bCs w:val="1"/>
          <w:color w:val="auto"/>
        </w:rPr>
        <w:t xml:space="preserve">(A x B)/365 </w:t>
      </w:r>
      <w:r>
        <w:rPr>
          <w:rFonts w:ascii="Arial" w:cs="Arial" w:eastAsia="Arial" w:hAnsi="Arial"/>
          <w:sz w:val="15"/>
          <w:szCs w:val="15"/>
          <w:color w:val="auto"/>
        </w:rPr>
        <w:t>where:</w:t>
      </w:r>
    </w:p>
    <w:p>
      <w:pPr>
        <w:ind w:left="58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is the Lease Rent payable at the date of completion; and</w:t>
      </w:r>
    </w:p>
    <w:p>
      <w:pPr>
        <w:spacing w:after="0" w:line="211" w:lineRule="exact"/>
        <w:rPr>
          <w:sz w:val="20"/>
          <w:szCs w:val="20"/>
          <w:color w:val="auto"/>
        </w:rPr>
      </w:pPr>
    </w:p>
    <w:p>
      <w:pPr>
        <w:jc w:val="center"/>
        <w:ind w:right="-38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062"/>
          </w:cols>
          <w:pgMar w:left="238" w:top="318" w:right="599" w:bottom="1440" w:gutter="0" w:footer="0" w:header="0"/>
        </w:sectPr>
      </w:pPr>
    </w:p>
    <w:bookmarkStart w:id="463" w:name="page464"/>
    <w:bookmarkEnd w:id="463"/>
    <w:p>
      <w:pPr>
        <w:ind w:left="582"/>
        <w:spacing w:after="0"/>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is the number of days from and including the day of completion to but excluding the next Lease Rent Payment Day.</w:t>
      </w:r>
    </w:p>
    <w:p>
      <w:pPr>
        <w:spacing w:after="0" w:line="207" w:lineRule="exact"/>
        <w:rPr>
          <w:sz w:val="20"/>
          <w:szCs w:val="20"/>
          <w:color w:val="auto"/>
        </w:rPr>
      </w:pPr>
    </w:p>
    <w:p>
      <w:pPr>
        <w:ind w:left="582" w:hanging="582"/>
        <w:spacing w:after="0"/>
        <w:tabs>
          <w:tab w:leader="none" w:pos="582" w:val="left"/>
        </w:tabs>
        <w:numPr>
          <w:ilvl w:val="0"/>
          <w:numId w:val="413"/>
        </w:numPr>
        <w:rPr>
          <w:rFonts w:ascii="Arial" w:cs="Arial" w:eastAsia="Arial" w:hAnsi="Arial"/>
          <w:sz w:val="16"/>
          <w:szCs w:val="16"/>
          <w:b w:val="1"/>
          <w:bCs w:val="1"/>
          <w:color w:val="auto"/>
        </w:rPr>
      </w:pPr>
      <w:r>
        <w:rPr>
          <w:rFonts w:ascii="Arial" w:cs="Arial" w:eastAsia="Arial" w:hAnsi="Arial"/>
          <w:sz w:val="16"/>
          <w:szCs w:val="16"/>
          <w:b w:val="1"/>
          <w:bCs w:val="1"/>
          <w:color w:val="auto"/>
        </w:rPr>
        <w:t>Service charge and insurance due under the Lease</w:t>
      </w:r>
    </w:p>
    <w:p>
      <w:pPr>
        <w:spacing w:after="0" w:line="211" w:lineRule="exact"/>
        <w:rPr>
          <w:sz w:val="20"/>
          <w:szCs w:val="20"/>
          <w:color w:val="auto"/>
        </w:rPr>
      </w:pPr>
    </w:p>
    <w:p>
      <w:pPr>
        <w:jc w:val="both"/>
        <w:ind w:left="582" w:right="260" w:hanging="586"/>
        <w:spacing w:after="0" w:line="265" w:lineRule="auto"/>
        <w:tabs>
          <w:tab w:leader="none" w:pos="562" w:val="left"/>
        </w:tabs>
        <w:rPr>
          <w:sz w:val="20"/>
          <w:szCs w:val="20"/>
          <w:color w:val="auto"/>
        </w:rPr>
      </w:pPr>
      <w:r>
        <w:rPr>
          <w:rFonts w:ascii="Arial" w:cs="Arial" w:eastAsia="Arial" w:hAnsi="Arial"/>
          <w:sz w:val="16"/>
          <w:szCs w:val="16"/>
          <w:color w:val="auto"/>
        </w:rPr>
        <w:t>15.1</w:t>
      </w:r>
      <w:r>
        <w:rPr>
          <w:sz w:val="20"/>
          <w:szCs w:val="20"/>
          <w:color w:val="auto"/>
        </w:rPr>
        <w:tab/>
      </w:r>
      <w:r>
        <w:rPr>
          <w:rFonts w:ascii="Arial" w:cs="Arial" w:eastAsia="Arial" w:hAnsi="Arial"/>
          <w:sz w:val="16"/>
          <w:szCs w:val="16"/>
          <w:color w:val="auto"/>
        </w:rPr>
        <w:t>The Service Charge and Estate Service Charge (as defined in and payable under the Lease) will be apportioned in accordance with Condition 9.3. The Seller will remain liable for and will indemnify the Buyer in respect of any balancing payments of Service Charge or Estate Service Charge or any costs associated with the provision of any additional services provided to the Seller under the Lease which are levied on the Buyer by the Landlord and which relate to a period prior to the Completion Date.</w:t>
      </w:r>
    </w:p>
    <w:p>
      <w:pPr>
        <w:spacing w:after="0" w:line="166" w:lineRule="exact"/>
        <w:rPr>
          <w:sz w:val="20"/>
          <w:szCs w:val="20"/>
          <w:color w:val="auto"/>
        </w:rPr>
      </w:pPr>
    </w:p>
    <w:p>
      <w:pPr>
        <w:ind w:left="582" w:hanging="586"/>
        <w:spacing w:after="0" w:line="270" w:lineRule="auto"/>
        <w:tabs>
          <w:tab w:leader="none" w:pos="562"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6"/>
          <w:szCs w:val="16"/>
          <w:color w:val="auto"/>
        </w:rPr>
        <w:t>The Buyer hereby agrees to repay to the Seller as soon as reasonably practicable any sums received from the Landlord by way of reimbursement for any overpayment of Service Charge and Estate Service Charge made by the Seller during their period of ownership following final reconciliation of the Service Charge and Estate Service Charge by the Landlord and the Superior Landlord at the end of the current service charge year</w:t>
      </w:r>
    </w:p>
    <w:p>
      <w:pPr>
        <w:spacing w:after="0" w:line="162" w:lineRule="exact"/>
        <w:rPr>
          <w:sz w:val="20"/>
          <w:szCs w:val="20"/>
          <w:color w:val="auto"/>
        </w:rPr>
      </w:pPr>
    </w:p>
    <w:p>
      <w:pPr>
        <w:ind w:left="582" w:right="100" w:hanging="586"/>
        <w:spacing w:after="0" w:line="270" w:lineRule="auto"/>
        <w:tabs>
          <w:tab w:leader="none" w:pos="562" w:val="left"/>
        </w:tabs>
        <w:rPr>
          <w:sz w:val="20"/>
          <w:szCs w:val="20"/>
          <w:color w:val="auto"/>
        </w:rPr>
      </w:pPr>
      <w:r>
        <w:rPr>
          <w:rFonts w:ascii="Arial" w:cs="Arial" w:eastAsia="Arial" w:hAnsi="Arial"/>
          <w:sz w:val="16"/>
          <w:szCs w:val="16"/>
          <w:color w:val="auto"/>
        </w:rPr>
        <w:t>15.3</w:t>
      </w:r>
      <w:r>
        <w:rPr>
          <w:sz w:val="20"/>
          <w:szCs w:val="20"/>
          <w:color w:val="auto"/>
        </w:rPr>
        <w:tab/>
      </w:r>
      <w:r>
        <w:rPr>
          <w:rFonts w:ascii="Arial" w:cs="Arial" w:eastAsia="Arial" w:hAnsi="Arial"/>
          <w:sz w:val="16"/>
          <w:szCs w:val="16"/>
          <w:color w:val="auto"/>
        </w:rPr>
        <w:t>To the extent that the Insurance Rent (as defined in the Lease) does not form part of the Service Charge the Insurance Rent shall be apportioned in accordance with Condition 9.3 and the Seller will remain liable for any Insurance Rent due in respect of its period of ownership and shall promptly indemnify the Buyer in respect of any such sums charged to the Buyer.</w:t>
      </w:r>
    </w:p>
    <w:p>
      <w:pPr>
        <w:spacing w:after="0" w:line="158" w:lineRule="exact"/>
        <w:rPr>
          <w:sz w:val="20"/>
          <w:szCs w:val="20"/>
          <w:color w:val="auto"/>
        </w:rPr>
      </w:pPr>
    </w:p>
    <w:p>
      <w:pPr>
        <w:ind w:left="582" w:hanging="582"/>
        <w:spacing w:after="0"/>
        <w:tabs>
          <w:tab w:leader="none" w:pos="582" w:val="left"/>
        </w:tabs>
        <w:numPr>
          <w:ilvl w:val="0"/>
          <w:numId w:val="414"/>
        </w:numPr>
        <w:rPr>
          <w:rFonts w:ascii="Arial" w:cs="Arial" w:eastAsia="Arial" w:hAnsi="Arial"/>
          <w:sz w:val="16"/>
          <w:szCs w:val="16"/>
          <w:b w:val="1"/>
          <w:bCs w:val="1"/>
          <w:color w:val="auto"/>
        </w:rPr>
      </w:pPr>
      <w:r>
        <w:rPr>
          <w:rFonts w:ascii="Arial" w:cs="Arial" w:eastAsia="Arial" w:hAnsi="Arial"/>
          <w:sz w:val="16"/>
          <w:szCs w:val="16"/>
          <w:b w:val="1"/>
          <w:bCs w:val="1"/>
          <w:color w:val="auto"/>
        </w:rPr>
        <w:t>Business rates</w:t>
      </w:r>
    </w:p>
    <w:p>
      <w:pPr>
        <w:spacing w:after="0" w:line="211" w:lineRule="exact"/>
        <w:rPr>
          <w:sz w:val="20"/>
          <w:szCs w:val="20"/>
          <w:color w:val="auto"/>
        </w:rPr>
      </w:pPr>
    </w:p>
    <w:p>
      <w:pPr>
        <w:ind w:left="2" w:right="60"/>
        <w:spacing w:after="0" w:line="285" w:lineRule="auto"/>
        <w:rPr>
          <w:sz w:val="20"/>
          <w:szCs w:val="20"/>
          <w:color w:val="auto"/>
        </w:rPr>
      </w:pPr>
      <w:r>
        <w:rPr>
          <w:rFonts w:ascii="Arial" w:cs="Arial" w:eastAsia="Arial" w:hAnsi="Arial"/>
          <w:sz w:val="16"/>
          <w:szCs w:val="16"/>
          <w:color w:val="auto"/>
        </w:rPr>
        <w:t>The Seller will remain liable for any business rates payable in respect of its period of ownership of the Property and will promptly indemnify the Buyer in respect of any such sums charged to the Buyer by the local rating authority.</w:t>
      </w:r>
    </w:p>
    <w:p>
      <w:pPr>
        <w:spacing w:after="0" w:line="146" w:lineRule="exact"/>
        <w:rPr>
          <w:sz w:val="20"/>
          <w:szCs w:val="20"/>
          <w:color w:val="auto"/>
        </w:rPr>
      </w:pPr>
    </w:p>
    <w:p>
      <w:pPr>
        <w:ind w:left="582" w:hanging="582"/>
        <w:spacing w:after="0"/>
        <w:tabs>
          <w:tab w:leader="none" w:pos="582" w:val="left"/>
        </w:tabs>
        <w:numPr>
          <w:ilvl w:val="0"/>
          <w:numId w:val="415"/>
        </w:numPr>
        <w:rPr>
          <w:rFonts w:ascii="Arial" w:cs="Arial" w:eastAsia="Arial" w:hAnsi="Arial"/>
          <w:sz w:val="16"/>
          <w:szCs w:val="16"/>
          <w:b w:val="1"/>
          <w:bCs w:val="1"/>
          <w:color w:val="auto"/>
        </w:rPr>
      </w:pPr>
      <w:r>
        <w:rPr>
          <w:rFonts w:ascii="Arial" w:cs="Arial" w:eastAsia="Arial" w:hAnsi="Arial"/>
          <w:sz w:val="16"/>
          <w:szCs w:val="16"/>
          <w:b w:val="1"/>
          <w:bCs w:val="1"/>
          <w:color w:val="auto"/>
        </w:rPr>
        <w:t>Capital allowances election</w:t>
      </w:r>
    </w:p>
    <w:p>
      <w:pPr>
        <w:spacing w:after="0" w:line="211" w:lineRule="exact"/>
        <w:rPr>
          <w:rFonts w:ascii="Arial" w:cs="Arial" w:eastAsia="Arial" w:hAnsi="Arial"/>
          <w:sz w:val="16"/>
          <w:szCs w:val="16"/>
          <w:b w:val="1"/>
          <w:bCs w:val="1"/>
          <w:color w:val="auto"/>
        </w:rPr>
      </w:pPr>
    </w:p>
    <w:p>
      <w:pPr>
        <w:ind w:left="582" w:right="36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The Seller and the Buyer shall, on Completion, make a joint election under section 198 of the CAA 2001 in accordance with the provisions of Schedule 2 of this agreement.(2)</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415"/>
        </w:numPr>
        <w:rPr>
          <w:rFonts w:ascii="Arial" w:cs="Arial" w:eastAsia="Arial" w:hAnsi="Arial"/>
          <w:sz w:val="16"/>
          <w:szCs w:val="16"/>
          <w:b w:val="1"/>
          <w:bCs w:val="1"/>
          <w:color w:val="auto"/>
        </w:rPr>
      </w:pPr>
      <w:r>
        <w:rPr>
          <w:rFonts w:ascii="Arial" w:cs="Arial" w:eastAsia="Arial" w:hAnsi="Arial"/>
          <w:sz w:val="16"/>
          <w:szCs w:val="16"/>
          <w:b w:val="1"/>
          <w:bCs w:val="1"/>
          <w:color w:val="auto"/>
        </w:rPr>
        <w:t>Buyer’s acknowledgement of condition</w:t>
      </w:r>
    </w:p>
    <w:p>
      <w:pPr>
        <w:spacing w:after="0" w:line="211" w:lineRule="exact"/>
        <w:rPr>
          <w:rFonts w:ascii="Arial" w:cs="Arial" w:eastAsia="Arial" w:hAnsi="Arial"/>
          <w:sz w:val="16"/>
          <w:szCs w:val="16"/>
          <w:b w:val="1"/>
          <w:bCs w:val="1"/>
          <w:color w:val="auto"/>
        </w:rPr>
      </w:pPr>
    </w:p>
    <w:p>
      <w:pPr>
        <w:ind w:left="582" w:right="22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The Buyer acknowledges that before the date of this contract, the Seller has given the Buyer and others authorised by the Buyer, permission and the opportunity to inspect, survey and carry out investigations as to the condition of the Property. The Buyer has</w:t>
      </w:r>
    </w:p>
    <w:p>
      <w:pPr>
        <w:spacing w:after="0" w:line="1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82"/>
        <w:spacing w:after="0"/>
        <w:rPr>
          <w:sz w:val="20"/>
          <w:szCs w:val="20"/>
          <w:color w:val="auto"/>
        </w:rPr>
      </w:pPr>
      <w:r>
        <w:rPr>
          <w:rFonts w:ascii="Arial" w:cs="Arial" w:eastAsia="Arial" w:hAnsi="Arial"/>
          <w:sz w:val="16"/>
          <w:szCs w:val="16"/>
          <w:color w:val="auto"/>
        </w:rPr>
        <w:t>formed the Buyer’s own view as to the condition of the Property and the suitability of the Property for the Buyer’s purposes.</w:t>
      </w:r>
    </w:p>
    <w:p>
      <w:pPr>
        <w:spacing w:after="0" w:line="203" w:lineRule="exact"/>
        <w:rPr>
          <w:sz w:val="20"/>
          <w:szCs w:val="20"/>
          <w:color w:val="auto"/>
        </w:rPr>
      </w:pPr>
    </w:p>
    <w:p>
      <w:pPr>
        <w:ind w:left="602" w:hanging="602"/>
        <w:spacing w:after="0"/>
        <w:tabs>
          <w:tab w:leader="none" w:pos="602" w:val="left"/>
        </w:tabs>
        <w:numPr>
          <w:ilvl w:val="0"/>
          <w:numId w:val="416"/>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p>
    <w:p>
      <w:pPr>
        <w:spacing w:after="0" w:line="211" w:lineRule="exact"/>
        <w:rPr>
          <w:sz w:val="20"/>
          <w:szCs w:val="20"/>
          <w:color w:val="auto"/>
        </w:rPr>
      </w:pPr>
    </w:p>
    <w:p>
      <w:pPr>
        <w:ind w:left="582" w:right="940" w:hanging="586"/>
        <w:spacing w:after="0" w:line="285" w:lineRule="auto"/>
        <w:tabs>
          <w:tab w:leader="none" w:pos="562" w:val="left"/>
        </w:tabs>
        <w:rPr>
          <w:sz w:val="20"/>
          <w:szCs w:val="20"/>
          <w:color w:val="auto"/>
        </w:rPr>
      </w:pPr>
      <w:r>
        <w:rPr>
          <w:rFonts w:ascii="Arial" w:cs="Arial" w:eastAsia="Arial" w:hAnsi="Arial"/>
          <w:sz w:val="16"/>
          <w:szCs w:val="16"/>
          <w:color w:val="auto"/>
        </w:rPr>
        <w:t>19.1</w:t>
      </w:r>
      <w:r>
        <w:rPr>
          <w:sz w:val="20"/>
          <w:szCs w:val="20"/>
          <w:color w:val="auto"/>
        </w:rPr>
        <w:tab/>
      </w:r>
      <w:r>
        <w:rPr>
          <w:rFonts w:ascii="Arial" w:cs="Arial" w:eastAsia="Arial" w:hAnsi="Arial"/>
          <w:sz w:val="16"/>
          <w:szCs w:val="16"/>
          <w:color w:val="auto"/>
        </w:rPr>
        <w:t>This contract constitutes the whole agreement between the parties and supersedes all previous discussions, correspondence, negotiations, arrangements, understandings and agreements between them relating to its subject matter</w:t>
      </w:r>
    </w:p>
    <w:p>
      <w:pPr>
        <w:spacing w:after="0" w:line="150" w:lineRule="exact"/>
        <w:rPr>
          <w:sz w:val="20"/>
          <w:szCs w:val="20"/>
          <w:color w:val="auto"/>
        </w:rPr>
      </w:pPr>
    </w:p>
    <w:p>
      <w:pPr>
        <w:ind w:left="582" w:right="460" w:hanging="586"/>
        <w:spacing w:after="0" w:line="285" w:lineRule="auto"/>
        <w:tabs>
          <w:tab w:leader="none" w:pos="562" w:val="left"/>
        </w:tabs>
        <w:rPr>
          <w:sz w:val="20"/>
          <w:szCs w:val="20"/>
          <w:color w:val="auto"/>
        </w:rPr>
      </w:pPr>
      <w:r>
        <w:rPr>
          <w:rFonts w:ascii="Arial" w:cs="Arial" w:eastAsia="Arial" w:hAnsi="Arial"/>
          <w:sz w:val="16"/>
          <w:szCs w:val="16"/>
          <w:color w:val="auto"/>
        </w:rPr>
        <w:t>19.2</w:t>
      </w:r>
      <w:r>
        <w:rPr>
          <w:sz w:val="20"/>
          <w:szCs w:val="20"/>
          <w:color w:val="auto"/>
        </w:rPr>
        <w:tab/>
      </w:r>
      <w:r>
        <w:rPr>
          <w:rFonts w:ascii="Arial" w:cs="Arial" w:eastAsia="Arial" w:hAnsi="Arial"/>
          <w:sz w:val="16"/>
          <w:szCs w:val="16"/>
          <w:color w:val="auto"/>
        </w:rPr>
        <w:t>The Buyer acknowledges that in entering into this contract the Buyer does not rely on, and shall have no remedies in respect of, any representation or warranty (whether made innocently or negligently) other than those:</w:t>
      </w:r>
    </w:p>
    <w:p>
      <w:pPr>
        <w:spacing w:after="0" w:line="150" w:lineRule="exact"/>
        <w:rPr>
          <w:sz w:val="20"/>
          <w:szCs w:val="20"/>
          <w:color w:val="auto"/>
        </w:rPr>
      </w:pPr>
    </w:p>
    <w:p>
      <w:pPr>
        <w:ind w:left="1182" w:hanging="360"/>
        <w:spacing w:after="0"/>
        <w:tabs>
          <w:tab w:leader="none" w:pos="1182" w:val="left"/>
        </w:tabs>
        <w:numPr>
          <w:ilvl w:val="0"/>
          <w:numId w:val="417"/>
        </w:numPr>
        <w:rPr>
          <w:rFonts w:ascii="Arial" w:cs="Arial" w:eastAsia="Arial" w:hAnsi="Arial"/>
          <w:sz w:val="16"/>
          <w:szCs w:val="16"/>
          <w:color w:val="auto"/>
        </w:rPr>
      </w:pPr>
      <w:r>
        <w:rPr>
          <w:rFonts w:ascii="Arial" w:cs="Arial" w:eastAsia="Arial" w:hAnsi="Arial"/>
          <w:sz w:val="16"/>
          <w:szCs w:val="16"/>
          <w:color w:val="auto"/>
        </w:rPr>
        <w:t>set out in this contract]; or</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417"/>
        </w:numPr>
        <w:rPr>
          <w:rFonts w:ascii="Arial" w:cs="Arial" w:eastAsia="Arial" w:hAnsi="Arial"/>
          <w:sz w:val="16"/>
          <w:szCs w:val="16"/>
          <w:color w:val="auto"/>
        </w:rPr>
      </w:pPr>
      <w:r>
        <w:rPr>
          <w:rFonts w:ascii="Arial" w:cs="Arial" w:eastAsia="Arial" w:hAnsi="Arial"/>
          <w:sz w:val="16"/>
          <w:szCs w:val="16"/>
          <w:color w:val="auto"/>
        </w:rPr>
        <w:t>contained in any Written Replies.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19.3</w:t>
      </w:r>
      <w:r>
        <w:rPr>
          <w:sz w:val="20"/>
          <w:szCs w:val="20"/>
          <w:color w:val="auto"/>
        </w:rPr>
        <w:tab/>
      </w:r>
      <w:r>
        <w:rPr>
          <w:rFonts w:ascii="Arial" w:cs="Arial" w:eastAsia="Arial" w:hAnsi="Arial"/>
          <w:sz w:val="15"/>
          <w:szCs w:val="15"/>
          <w:color w:val="auto"/>
        </w:rPr>
        <w:t>Nothing in this clause shall limit or exclude any liability for fraud.</w:t>
      </w:r>
    </w:p>
    <w:p>
      <w:pPr>
        <w:spacing w:after="0" w:line="207" w:lineRule="exact"/>
        <w:rPr>
          <w:sz w:val="20"/>
          <w:szCs w:val="20"/>
          <w:color w:val="auto"/>
        </w:rPr>
      </w:pPr>
    </w:p>
    <w:p>
      <w:pPr>
        <w:ind w:left="582" w:right="300" w:hanging="586"/>
        <w:spacing w:after="0" w:line="285" w:lineRule="auto"/>
        <w:tabs>
          <w:tab w:leader="none" w:pos="562" w:val="left"/>
        </w:tabs>
        <w:rPr>
          <w:sz w:val="20"/>
          <w:szCs w:val="20"/>
          <w:color w:val="auto"/>
        </w:rPr>
      </w:pPr>
      <w:r>
        <w:rPr>
          <w:rFonts w:ascii="Arial" w:cs="Arial" w:eastAsia="Arial" w:hAnsi="Arial"/>
          <w:sz w:val="16"/>
          <w:szCs w:val="16"/>
          <w:color w:val="auto"/>
        </w:rPr>
        <w:t>19.4</w:t>
      </w:r>
      <w:r>
        <w:rPr>
          <w:sz w:val="20"/>
          <w:szCs w:val="20"/>
          <w:color w:val="auto"/>
        </w:rPr>
        <w:tab/>
      </w:r>
      <w:r>
        <w:rPr>
          <w:rFonts w:ascii="Arial" w:cs="Arial" w:eastAsia="Arial" w:hAnsi="Arial"/>
          <w:sz w:val="16"/>
          <w:szCs w:val="16"/>
          <w:color w:val="auto"/>
        </w:rPr>
        <w:t>Condition 10.1 is varied to read, “If any plan or statement in the contract, or in Written Replies, is or was misleading or inaccurate due to an error or omission the remedies available are as follows.”</w:t>
      </w:r>
    </w:p>
    <w:p>
      <w:pPr>
        <w:spacing w:after="0" w:line="146" w:lineRule="exact"/>
        <w:rPr>
          <w:sz w:val="20"/>
          <w:szCs w:val="20"/>
          <w:color w:val="auto"/>
        </w:rPr>
      </w:pPr>
    </w:p>
    <w:p>
      <w:pPr>
        <w:ind w:left="602" w:hanging="602"/>
        <w:spacing w:after="0"/>
        <w:tabs>
          <w:tab w:leader="none" w:pos="602" w:val="left"/>
        </w:tabs>
        <w:numPr>
          <w:ilvl w:val="0"/>
          <w:numId w:val="418"/>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20.1</w:t>
      </w:r>
      <w:r>
        <w:rPr>
          <w:sz w:val="20"/>
          <w:szCs w:val="20"/>
          <w:color w:val="auto"/>
        </w:rPr>
        <w:tab/>
      </w:r>
      <w:r>
        <w:rPr>
          <w:rFonts w:ascii="Arial" w:cs="Arial" w:eastAsia="Arial" w:hAnsi="Arial"/>
          <w:sz w:val="15"/>
          <w:szCs w:val="15"/>
          <w:color w:val="auto"/>
        </w:rPr>
        <w:t>Any notice given under this contract must be in writing and signed by or on behalf of the party giving it.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20.2</w:t>
      </w:r>
      <w:r>
        <w:rPr>
          <w:sz w:val="20"/>
          <w:szCs w:val="20"/>
          <w:color w:val="auto"/>
        </w:rPr>
        <w:tab/>
      </w:r>
      <w:r>
        <w:rPr>
          <w:rFonts w:ascii="Arial" w:cs="Arial" w:eastAsia="Arial" w:hAnsi="Arial"/>
          <w:sz w:val="14"/>
          <w:szCs w:val="14"/>
          <w:color w:val="auto"/>
        </w:rPr>
        <w:t>Any notice or document to be given or delivered under this contract must be:</w:t>
      </w:r>
    </w:p>
    <w:p>
      <w:pPr>
        <w:spacing w:after="0" w:line="207" w:lineRule="exact"/>
        <w:rPr>
          <w:sz w:val="20"/>
          <w:szCs w:val="20"/>
          <w:color w:val="auto"/>
        </w:rPr>
      </w:pPr>
    </w:p>
    <w:p>
      <w:pPr>
        <w:ind w:left="1182" w:hanging="360"/>
        <w:spacing w:after="0"/>
        <w:tabs>
          <w:tab w:leader="none" w:pos="118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delivered by hand; or</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sent by pre-paid first class post or other next working day delivery service; or</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sent through the document exchange (DX); or</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sent by fax.</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20.3</w:t>
      </w:r>
      <w:r>
        <w:rPr>
          <w:sz w:val="20"/>
          <w:szCs w:val="20"/>
          <w:color w:val="auto"/>
        </w:rPr>
        <w:tab/>
      </w:r>
      <w:r>
        <w:rPr>
          <w:rFonts w:ascii="Arial" w:cs="Arial" w:eastAsia="Arial" w:hAnsi="Arial"/>
          <w:sz w:val="14"/>
          <w:szCs w:val="14"/>
          <w:color w:val="auto"/>
        </w:rPr>
        <w:t>Any notice or document to be given or delivered under this contract must be sent to the relevant party as follows:</w:t>
      </w:r>
    </w:p>
    <w:p>
      <w:pPr>
        <w:spacing w:after="0" w:line="207" w:lineRule="exact"/>
        <w:rPr>
          <w:sz w:val="20"/>
          <w:szCs w:val="20"/>
          <w:color w:val="auto"/>
        </w:rPr>
      </w:pPr>
    </w:p>
    <w:p>
      <w:pPr>
        <w:ind w:left="1182" w:hanging="360"/>
        <w:spacing w:after="0"/>
        <w:tabs>
          <w:tab w:leader="none" w:pos="1182" w:val="left"/>
        </w:tabs>
        <w:numPr>
          <w:ilvl w:val="0"/>
          <w:numId w:val="420"/>
        </w:numPr>
        <w:rPr>
          <w:rFonts w:ascii="Arial" w:cs="Arial" w:eastAsia="Arial" w:hAnsi="Arial"/>
          <w:sz w:val="16"/>
          <w:szCs w:val="16"/>
          <w:color w:val="auto"/>
        </w:rPr>
      </w:pPr>
      <w:r>
        <w:rPr>
          <w:rFonts w:ascii="Arial" w:cs="Arial" w:eastAsia="Arial" w:hAnsi="Arial"/>
          <w:sz w:val="16"/>
          <w:szCs w:val="16"/>
          <w:color w:val="auto"/>
        </w:rPr>
        <w:t>to the Seller at:</w:t>
      </w:r>
    </w:p>
    <w:p>
      <w:pPr>
        <w:spacing w:after="0" w:line="207" w:lineRule="exact"/>
        <w:rPr>
          <w:rFonts w:ascii="Arial" w:cs="Arial" w:eastAsia="Arial" w:hAnsi="Arial"/>
          <w:sz w:val="16"/>
          <w:szCs w:val="16"/>
          <w:color w:val="auto"/>
        </w:rPr>
      </w:pPr>
    </w:p>
    <w:p>
      <w:pPr>
        <w:ind w:left="1182" w:right="6900"/>
        <w:spacing w:after="0" w:line="510" w:lineRule="auto"/>
        <w:rPr>
          <w:rFonts w:ascii="Arial" w:cs="Arial" w:eastAsia="Arial" w:hAnsi="Arial"/>
          <w:sz w:val="16"/>
          <w:szCs w:val="16"/>
          <w:color w:val="auto"/>
        </w:rPr>
      </w:pPr>
      <w:r>
        <w:rPr>
          <w:rFonts w:ascii="Arial" w:cs="Arial" w:eastAsia="Arial" w:hAnsi="Arial"/>
          <w:sz w:val="16"/>
          <w:szCs w:val="16"/>
          <w:color w:val="auto"/>
        </w:rPr>
        <w:t>70 Norden Road, Maidenhead, Berkshire SL6 4AY marked for the attention of: Rajita Sharma</w:t>
      </w:r>
    </w:p>
    <w:p>
      <w:pPr>
        <w:ind w:left="1182"/>
        <w:spacing w:after="0"/>
        <w:rPr>
          <w:rFonts w:ascii="Arial" w:cs="Arial" w:eastAsia="Arial" w:hAnsi="Arial"/>
          <w:sz w:val="16"/>
          <w:szCs w:val="16"/>
          <w:color w:val="auto"/>
        </w:rPr>
      </w:pPr>
      <w:r>
        <w:rPr>
          <w:rFonts w:ascii="Arial" w:cs="Arial" w:eastAsia="Arial" w:hAnsi="Arial"/>
          <w:sz w:val="16"/>
          <w:szCs w:val="16"/>
          <w:color w:val="auto"/>
        </w:rPr>
        <w:t>or at the Seller’s Conveyancer, quoting the reference Bhaminee Sharma</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18" w:right="259" w:bottom="471" w:gutter="0" w:footer="0" w:header="0"/>
        </w:sectPr>
      </w:pPr>
    </w:p>
    <w:bookmarkStart w:id="464" w:name="page465"/>
    <w:bookmarkEnd w:id="464"/>
    <w:p>
      <w:pPr>
        <w:ind w:left="1180" w:hanging="360"/>
        <w:spacing w:after="0"/>
        <w:tabs>
          <w:tab w:leader="none" w:pos="1180" w:val="left"/>
        </w:tabs>
        <w:numPr>
          <w:ilvl w:val="0"/>
          <w:numId w:val="421"/>
        </w:numPr>
        <w:rPr>
          <w:rFonts w:ascii="Arial" w:cs="Arial" w:eastAsia="Arial" w:hAnsi="Arial"/>
          <w:sz w:val="16"/>
          <w:szCs w:val="16"/>
          <w:color w:val="auto"/>
        </w:rPr>
      </w:pPr>
      <w:r>
        <w:rPr>
          <w:rFonts w:ascii="Arial" w:cs="Arial" w:eastAsia="Arial" w:hAnsi="Arial"/>
          <w:sz w:val="16"/>
          <w:szCs w:val="16"/>
          <w:color w:val="auto"/>
        </w:rPr>
        <w:t>to the Buyer at:</w:t>
      </w:r>
    </w:p>
    <w:p>
      <w:pPr>
        <w:spacing w:after="0" w:line="207" w:lineRule="exact"/>
        <w:rPr>
          <w:rFonts w:ascii="Arial" w:cs="Arial" w:eastAsia="Arial" w:hAnsi="Arial"/>
          <w:sz w:val="16"/>
          <w:szCs w:val="16"/>
          <w:color w:val="auto"/>
        </w:rPr>
      </w:pPr>
    </w:p>
    <w:p>
      <w:pPr>
        <w:ind w:left="1180" w:right="5420"/>
        <w:spacing w:after="0" w:line="510" w:lineRule="auto"/>
        <w:rPr>
          <w:rFonts w:ascii="Arial" w:cs="Arial" w:eastAsia="Arial" w:hAnsi="Arial"/>
          <w:sz w:val="16"/>
          <w:szCs w:val="16"/>
          <w:color w:val="auto"/>
        </w:rPr>
      </w:pPr>
      <w:r>
        <w:rPr>
          <w:rFonts w:ascii="Arial" w:cs="Arial" w:eastAsia="Arial" w:hAnsi="Arial"/>
          <w:sz w:val="16"/>
          <w:szCs w:val="16"/>
          <w:color w:val="auto"/>
        </w:rPr>
        <w:t>Meditrina Building, Babraham Research Campus, Cambridge, CB22 3AT marked for the attention of: Kevin Leee</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or at the Buyer’s Conveyancer, quoting the reference 961267/157280</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or as otherwise specified by the relevant party by notice in writing to the other party.</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20.4</w:t>
      </w:r>
      <w:r>
        <w:rPr>
          <w:sz w:val="20"/>
          <w:szCs w:val="20"/>
          <w:color w:val="auto"/>
        </w:rPr>
        <w:tab/>
      </w:r>
      <w:r>
        <w:rPr>
          <w:rFonts w:ascii="Arial" w:cs="Arial" w:eastAsia="Arial" w:hAnsi="Arial"/>
          <w:sz w:val="14"/>
          <w:szCs w:val="14"/>
          <w:color w:val="auto"/>
        </w:rPr>
        <w:t>Any change of the details in clause 20.3 specified in accordance with that clause shall take effect for the party notified of the change at 9.00 am on the later of:</w:t>
      </w:r>
    </w:p>
    <w:p>
      <w:pPr>
        <w:spacing w:after="0" w:line="207" w:lineRule="exact"/>
        <w:rPr>
          <w:sz w:val="20"/>
          <w:szCs w:val="20"/>
          <w:color w:val="auto"/>
        </w:rPr>
      </w:pPr>
    </w:p>
    <w:p>
      <w:pPr>
        <w:ind w:left="1180" w:hanging="360"/>
        <w:spacing w:after="0"/>
        <w:tabs>
          <w:tab w:leader="none" w:pos="118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date, if any, specified in the notice as the effective date for the change; or</w:t>
      </w:r>
    </w:p>
    <w:p>
      <w:pPr>
        <w:spacing w:after="0" w:line="207" w:lineRule="exact"/>
        <w:rPr>
          <w:rFonts w:ascii="Arial" w:cs="Arial" w:eastAsia="Arial" w:hAnsi="Arial"/>
          <w:sz w:val="16"/>
          <w:szCs w:val="16"/>
          <w:color w:val="auto"/>
        </w:rPr>
      </w:pPr>
    </w:p>
    <w:p>
      <w:pPr>
        <w:ind w:left="1180" w:hanging="360"/>
        <w:spacing w:after="0"/>
        <w:tabs>
          <w:tab w:leader="none" w:pos="118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date five working days after deemed receipt of the notice.</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20.5</w:t>
      </w:r>
      <w:r>
        <w:rPr>
          <w:sz w:val="20"/>
          <w:szCs w:val="20"/>
          <w:color w:val="auto"/>
        </w:rPr>
        <w:tab/>
      </w:r>
      <w:r>
        <w:rPr>
          <w:rFonts w:ascii="Arial" w:cs="Arial" w:eastAsia="Arial" w:hAnsi="Arial"/>
          <w:sz w:val="14"/>
          <w:szCs w:val="14"/>
          <w:color w:val="auto"/>
        </w:rPr>
        <w:t>Giving or delivering a notice or a document to a party’s conveyancer has the same effect as giving or delivering it to that party.</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20.6</w:t>
      </w:r>
      <w:r>
        <w:rPr>
          <w:sz w:val="20"/>
          <w:szCs w:val="20"/>
          <w:color w:val="auto"/>
        </w:rPr>
        <w:tab/>
      </w:r>
      <w:r>
        <w:rPr>
          <w:rFonts w:ascii="Arial" w:cs="Arial" w:eastAsia="Arial" w:hAnsi="Arial"/>
          <w:sz w:val="14"/>
          <w:szCs w:val="14"/>
          <w:color w:val="auto"/>
        </w:rPr>
        <w:t>Any notice or document given or delivered in accordance with clause 20.1, clause 20.2 and clause 20.3 will be deemed to have been received:</w:t>
      </w:r>
    </w:p>
    <w:p>
      <w:pPr>
        <w:spacing w:after="0" w:line="207" w:lineRule="exact"/>
        <w:rPr>
          <w:sz w:val="20"/>
          <w:szCs w:val="20"/>
          <w:color w:val="auto"/>
        </w:rPr>
      </w:pPr>
    </w:p>
    <w:p>
      <w:pPr>
        <w:jc w:val="both"/>
        <w:ind w:left="1180" w:right="40" w:hanging="360"/>
        <w:spacing w:after="0" w:line="296" w:lineRule="auto"/>
        <w:tabs>
          <w:tab w:leader="none" w:pos="1180" w:val="left"/>
        </w:tabs>
        <w:numPr>
          <w:ilvl w:val="0"/>
          <w:numId w:val="423"/>
        </w:numPr>
        <w:rPr>
          <w:rFonts w:ascii="Arial" w:cs="Arial" w:eastAsia="Arial" w:hAnsi="Arial"/>
          <w:sz w:val="15"/>
          <w:szCs w:val="15"/>
          <w:color w:val="auto"/>
        </w:rPr>
      </w:pPr>
      <w:r>
        <w:rPr>
          <w:rFonts w:ascii="Arial" w:cs="Arial" w:eastAsia="Arial" w:hAnsi="Arial"/>
          <w:sz w:val="15"/>
          <w:szCs w:val="15"/>
          <w:color w:val="auto"/>
        </w:rPr>
        <w:t>if delivered by hand, on signature of a delivery receipt or at the time the notice or document is left at the address provided that if delivery occurs before 9.00 am on a working day, the notice will be deemed to have been received at 9.00 am on that day, and if delivery occurs after 5.00 pm on a working day, or on a day which is not a working day, the notice will be deemed to have been received at 9.00 am on the next working day; or</w:t>
      </w:r>
    </w:p>
    <w:p>
      <w:pPr>
        <w:spacing w:after="0" w:line="144" w:lineRule="exact"/>
        <w:rPr>
          <w:rFonts w:ascii="Arial" w:cs="Arial" w:eastAsia="Arial" w:hAnsi="Arial"/>
          <w:sz w:val="15"/>
          <w:szCs w:val="15"/>
          <w:color w:val="auto"/>
        </w:rPr>
      </w:pPr>
    </w:p>
    <w:p>
      <w:pPr>
        <w:ind w:left="1180" w:hanging="360"/>
        <w:spacing w:after="0"/>
        <w:tabs>
          <w:tab w:leader="none" w:pos="1180" w:val="left"/>
        </w:tabs>
        <w:numPr>
          <w:ilvl w:val="0"/>
          <w:numId w:val="423"/>
        </w:numPr>
        <w:rPr>
          <w:rFonts w:ascii="Arial" w:cs="Arial" w:eastAsia="Arial" w:hAnsi="Arial"/>
          <w:sz w:val="16"/>
          <w:szCs w:val="16"/>
          <w:color w:val="auto"/>
        </w:rPr>
      </w:pPr>
      <w:r>
        <w:rPr>
          <w:rFonts w:ascii="Arial" w:cs="Arial" w:eastAsia="Arial" w:hAnsi="Arial"/>
          <w:sz w:val="16"/>
          <w:szCs w:val="16"/>
          <w:color w:val="auto"/>
        </w:rPr>
        <w:t>if sent by pre-paid first class post or other next working day delivery service, at 9.00 am on the working day after posting ; or</w:t>
      </w:r>
    </w:p>
    <w:p>
      <w:pPr>
        <w:spacing w:after="0" w:line="207" w:lineRule="exact"/>
        <w:rPr>
          <w:rFonts w:ascii="Arial" w:cs="Arial" w:eastAsia="Arial" w:hAnsi="Arial"/>
          <w:sz w:val="16"/>
          <w:szCs w:val="16"/>
          <w:color w:val="auto"/>
        </w:rPr>
      </w:pPr>
    </w:p>
    <w:p>
      <w:pPr>
        <w:ind w:left="1180" w:hanging="360"/>
        <w:spacing w:after="0"/>
        <w:tabs>
          <w:tab w:leader="none" w:pos="1180" w:val="left"/>
        </w:tabs>
        <w:numPr>
          <w:ilvl w:val="0"/>
          <w:numId w:val="423"/>
        </w:numPr>
        <w:rPr>
          <w:rFonts w:ascii="Arial" w:cs="Arial" w:eastAsia="Arial" w:hAnsi="Arial"/>
          <w:sz w:val="16"/>
          <w:szCs w:val="16"/>
          <w:color w:val="auto"/>
        </w:rPr>
      </w:pPr>
      <w:r>
        <w:rPr>
          <w:rFonts w:ascii="Arial" w:cs="Arial" w:eastAsia="Arial" w:hAnsi="Arial"/>
          <w:sz w:val="16"/>
          <w:szCs w:val="16"/>
          <w:color w:val="auto"/>
        </w:rPr>
        <w:t>if sent through the DX, at 9.00 am on the second working day after being put into the DX ; or</w:t>
      </w:r>
    </w:p>
    <w:p>
      <w:pPr>
        <w:spacing w:after="0" w:line="207" w:lineRule="exact"/>
        <w:rPr>
          <w:rFonts w:ascii="Arial" w:cs="Arial" w:eastAsia="Arial" w:hAnsi="Arial"/>
          <w:sz w:val="16"/>
          <w:szCs w:val="16"/>
          <w:color w:val="auto"/>
        </w:rPr>
      </w:pPr>
    </w:p>
    <w:p>
      <w:pPr>
        <w:ind w:left="1180" w:hanging="360"/>
        <w:spacing w:after="0" w:line="270" w:lineRule="auto"/>
        <w:tabs>
          <w:tab w:leader="none" w:pos="1189" w:val="left"/>
        </w:tabs>
        <w:numPr>
          <w:ilvl w:val="0"/>
          <w:numId w:val="423"/>
        </w:numPr>
        <w:rPr>
          <w:rFonts w:ascii="Arial" w:cs="Arial" w:eastAsia="Arial" w:hAnsi="Arial"/>
          <w:sz w:val="16"/>
          <w:szCs w:val="16"/>
          <w:color w:val="auto"/>
        </w:rPr>
      </w:pPr>
      <w:r>
        <w:rPr>
          <w:rFonts w:ascii="Arial" w:cs="Arial" w:eastAsia="Arial" w:hAnsi="Arial"/>
          <w:sz w:val="16"/>
          <w:szCs w:val="16"/>
          <w:color w:val="auto"/>
        </w:rPr>
        <w:t>if sent by fax, at the time of transmission provided that if transmission occurs before 9.00 am on a working day, the notice or document will be deemed to have been received at 9.00 am on that day, and if transmission occurs after 5.00 pm on a working day, or on a day which is not a working day, the notice will be deemed to have been received at 9.00 am on the next working day.</w:t>
      </w:r>
    </w:p>
    <w:p>
      <w:pPr>
        <w:spacing w:after="0" w:line="16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20.7</w:t>
      </w:r>
      <w:r>
        <w:rPr>
          <w:sz w:val="20"/>
          <w:szCs w:val="20"/>
          <w:color w:val="auto"/>
        </w:rPr>
        <w:tab/>
      </w:r>
      <w:r>
        <w:rPr>
          <w:rFonts w:ascii="Arial" w:cs="Arial" w:eastAsia="Arial" w:hAnsi="Arial"/>
          <w:sz w:val="15"/>
          <w:szCs w:val="15"/>
          <w:color w:val="auto"/>
        </w:rPr>
        <w:t>In proving delivery of a notice or document, it will be sufficient to prove that:</w:t>
      </w:r>
    </w:p>
    <w:p>
      <w:pPr>
        <w:spacing w:after="0" w:line="207" w:lineRule="exact"/>
        <w:rPr>
          <w:sz w:val="20"/>
          <w:szCs w:val="20"/>
          <w:color w:val="auto"/>
        </w:rPr>
      </w:pPr>
    </w:p>
    <w:p>
      <w:pPr>
        <w:ind w:left="1180" w:hanging="360"/>
        <w:spacing w:after="0"/>
        <w:tabs>
          <w:tab w:leader="none" w:pos="118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a delivery receipt was signed or that the notice or document was left at the address; or</w:t>
      </w:r>
    </w:p>
    <w:p>
      <w:pPr>
        <w:spacing w:after="0" w:line="207" w:lineRule="exact"/>
        <w:rPr>
          <w:rFonts w:ascii="Arial" w:cs="Arial" w:eastAsia="Arial" w:hAnsi="Arial"/>
          <w:sz w:val="16"/>
          <w:szCs w:val="16"/>
          <w:color w:val="auto"/>
        </w:rPr>
      </w:pPr>
    </w:p>
    <w:p>
      <w:pPr>
        <w:ind w:left="5640" w:right="20" w:hanging="4820"/>
        <w:spacing w:after="0" w:line="540" w:lineRule="auto"/>
        <w:tabs>
          <w:tab w:leader="none" w:pos="1188"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the envelope containing the notice or document was properly addressed and posted by pre-paid first class post or other next working day delivery service; or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80275" cy="279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sectPr>
      </w:pPr>
    </w:p>
    <w:bookmarkStart w:id="465" w:name="page466"/>
    <w:bookmarkEnd w:id="465"/>
    <w:p>
      <w:pPr>
        <w:ind w:left="1182" w:hanging="360"/>
        <w:spacing w:after="0"/>
        <w:tabs>
          <w:tab w:leader="none" w:pos="1182" w:val="left"/>
        </w:tabs>
        <w:numPr>
          <w:ilvl w:val="0"/>
          <w:numId w:val="425"/>
        </w:numPr>
        <w:rPr>
          <w:rFonts w:ascii="Arial" w:cs="Arial" w:eastAsia="Arial" w:hAnsi="Arial"/>
          <w:sz w:val="16"/>
          <w:szCs w:val="16"/>
          <w:color w:val="auto"/>
        </w:rPr>
      </w:pPr>
      <w:r>
        <w:rPr>
          <w:rFonts w:ascii="Arial" w:cs="Arial" w:eastAsia="Arial" w:hAnsi="Arial"/>
          <w:sz w:val="16"/>
          <w:szCs w:val="16"/>
          <w:color w:val="auto"/>
        </w:rPr>
        <w:t>the envelope containing the notice or document was properly addressed and was put in the DX; or</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0"/>
          <w:numId w:val="425"/>
        </w:numPr>
        <w:rPr>
          <w:rFonts w:ascii="Arial" w:cs="Arial" w:eastAsia="Arial" w:hAnsi="Arial"/>
          <w:sz w:val="16"/>
          <w:szCs w:val="16"/>
          <w:color w:val="auto"/>
        </w:rPr>
      </w:pPr>
      <w:r>
        <w:rPr>
          <w:rFonts w:ascii="Arial" w:cs="Arial" w:eastAsia="Arial" w:hAnsi="Arial"/>
          <w:sz w:val="16"/>
          <w:szCs w:val="16"/>
          <w:color w:val="auto"/>
        </w:rPr>
        <w:t>the fax was properly addressed and transmitted.</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20.8</w:t>
      </w:r>
      <w:r>
        <w:rPr>
          <w:sz w:val="20"/>
          <w:szCs w:val="20"/>
          <w:color w:val="auto"/>
        </w:rPr>
        <w:tab/>
      </w:r>
      <w:r>
        <w:rPr>
          <w:rFonts w:ascii="Arial" w:cs="Arial" w:eastAsia="Arial" w:hAnsi="Arial"/>
          <w:sz w:val="15"/>
          <w:szCs w:val="15"/>
          <w:color w:val="auto"/>
        </w:rPr>
        <w:t>A notice or document given or delivered under this contract shall not be validly given or delivered if sent by email.</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20.9</w:t>
      </w:r>
      <w:r>
        <w:rPr>
          <w:sz w:val="20"/>
          <w:szCs w:val="20"/>
          <w:color w:val="auto"/>
        </w:rPr>
        <w:tab/>
      </w:r>
      <w:r>
        <w:rPr>
          <w:rFonts w:ascii="Arial" w:cs="Arial" w:eastAsia="Arial" w:hAnsi="Arial"/>
          <w:sz w:val="14"/>
          <w:szCs w:val="14"/>
          <w:color w:val="auto"/>
        </w:rPr>
        <w:t>Condition 1.3 does not apply to this contract.</w:t>
      </w:r>
    </w:p>
    <w:p>
      <w:pPr>
        <w:spacing w:after="0" w:line="207" w:lineRule="exact"/>
        <w:rPr>
          <w:sz w:val="20"/>
          <w:szCs w:val="20"/>
          <w:color w:val="auto"/>
        </w:rPr>
      </w:pPr>
    </w:p>
    <w:p>
      <w:pPr>
        <w:ind w:left="582" w:right="160" w:hanging="586"/>
        <w:spacing w:after="0" w:line="285" w:lineRule="auto"/>
        <w:tabs>
          <w:tab w:leader="none" w:pos="562" w:val="left"/>
        </w:tabs>
        <w:rPr>
          <w:sz w:val="20"/>
          <w:szCs w:val="20"/>
          <w:color w:val="auto"/>
        </w:rPr>
      </w:pPr>
      <w:r>
        <w:rPr>
          <w:rFonts w:ascii="Arial" w:cs="Arial" w:eastAsia="Arial" w:hAnsi="Arial"/>
          <w:sz w:val="16"/>
          <w:szCs w:val="16"/>
          <w:color w:val="auto"/>
        </w:rPr>
        <w:t>20.10</w:t>
        <w:tab/>
        <w:t>This clause does not apply to the service of any proceedings or other documents in any legal action or, where applicable, any arbitration or other method of dispute resolution.</w:t>
      </w:r>
    </w:p>
    <w:p>
      <w:pPr>
        <w:spacing w:after="0" w:line="146" w:lineRule="exact"/>
        <w:rPr>
          <w:sz w:val="20"/>
          <w:szCs w:val="20"/>
          <w:color w:val="auto"/>
        </w:rPr>
      </w:pPr>
    </w:p>
    <w:p>
      <w:pPr>
        <w:ind w:left="582" w:hanging="582"/>
        <w:spacing w:after="0"/>
        <w:tabs>
          <w:tab w:leader="none" w:pos="582" w:val="left"/>
        </w:tabs>
        <w:numPr>
          <w:ilvl w:val="0"/>
          <w:numId w:val="426"/>
        </w:numPr>
        <w:rPr>
          <w:rFonts w:ascii="Arial" w:cs="Arial" w:eastAsia="Arial" w:hAnsi="Arial"/>
          <w:sz w:val="16"/>
          <w:szCs w:val="16"/>
          <w:b w:val="1"/>
          <w:bCs w:val="1"/>
          <w:color w:val="auto"/>
        </w:rPr>
      </w:pPr>
      <w:r>
        <w:rPr>
          <w:rFonts w:ascii="Arial" w:cs="Arial" w:eastAsia="Arial" w:hAnsi="Arial"/>
          <w:sz w:val="16"/>
          <w:szCs w:val="16"/>
          <w:b w:val="1"/>
          <w:bCs w:val="1"/>
          <w:color w:val="auto"/>
        </w:rPr>
        <w:t>Warranties</w:t>
      </w:r>
    </w:p>
    <w:p>
      <w:pPr>
        <w:spacing w:after="0" w:line="211" w:lineRule="exact"/>
        <w:rPr>
          <w:sz w:val="20"/>
          <w:szCs w:val="20"/>
          <w:color w:val="auto"/>
        </w:rPr>
      </w:pPr>
    </w:p>
    <w:p>
      <w:pPr>
        <w:ind w:left="582" w:right="560" w:hanging="586"/>
        <w:spacing w:after="0" w:line="285" w:lineRule="auto"/>
        <w:tabs>
          <w:tab w:leader="none" w:pos="562"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6"/>
          <w:szCs w:val="16"/>
          <w:color w:val="auto"/>
        </w:rPr>
        <w:t>On or, in the case of the 4 see Risk Management warranty, as soon as reasonably possible after completion the Seller shall assign the benefit of the following warranties to the Buyer:-</w:t>
      </w:r>
    </w:p>
    <w:p>
      <w:pPr>
        <w:spacing w:after="0" w:line="150" w:lineRule="exact"/>
        <w:rPr>
          <w:sz w:val="20"/>
          <w:szCs w:val="20"/>
          <w:color w:val="auto"/>
        </w:rPr>
      </w:pPr>
    </w:p>
    <w:p>
      <w:pPr>
        <w:ind w:left="582"/>
        <w:spacing w:after="0"/>
        <w:rPr>
          <w:sz w:val="20"/>
          <w:szCs w:val="20"/>
          <w:color w:val="auto"/>
        </w:rPr>
      </w:pPr>
      <w:r>
        <w:rPr>
          <w:rFonts w:ascii="Arial" w:cs="Arial" w:eastAsia="Arial" w:hAnsi="Arial"/>
          <w:sz w:val="16"/>
          <w:szCs w:val="16"/>
          <w:color w:val="auto"/>
        </w:rPr>
        <w:t>De Grey Management limited (as Certifying Officer) dated 31 October 2017;</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B3 – Architect dated 31 October 2017</w:t>
      </w:r>
    </w:p>
    <w:p>
      <w:pPr>
        <w:spacing w:after="0" w:line="12" w:lineRule="exact"/>
        <w:rPr>
          <w:sz w:val="20"/>
          <w:szCs w:val="20"/>
          <w:color w:val="auto"/>
        </w:rPr>
      </w:pPr>
    </w:p>
    <w:p>
      <w:pPr>
        <w:ind w:left="582"/>
        <w:spacing w:after="0"/>
        <w:rPr>
          <w:sz w:val="20"/>
          <w:szCs w:val="20"/>
          <w:color w:val="auto"/>
        </w:rPr>
      </w:pPr>
      <w:r>
        <w:rPr>
          <w:rFonts w:ascii="Arial" w:cs="Arial" w:eastAsia="Arial" w:hAnsi="Arial"/>
          <w:sz w:val="16"/>
          <w:szCs w:val="16"/>
          <w:color w:val="auto"/>
        </w:rPr>
        <w:t>TWS – Structural Engineer dated 31 October 2017</w:t>
      </w:r>
    </w:p>
    <w:p>
      <w:pPr>
        <w:spacing w:after="0" w:line="12" w:lineRule="exact"/>
        <w:rPr>
          <w:sz w:val="20"/>
          <w:szCs w:val="20"/>
          <w:color w:val="auto"/>
        </w:rPr>
      </w:pPr>
    </w:p>
    <w:p>
      <w:pPr>
        <w:ind w:left="582"/>
        <w:spacing w:after="0"/>
        <w:rPr>
          <w:sz w:val="20"/>
          <w:szCs w:val="20"/>
          <w:color w:val="auto"/>
        </w:rPr>
      </w:pPr>
      <w:r>
        <w:rPr>
          <w:rFonts w:ascii="Arial" w:cs="Arial" w:eastAsia="Arial" w:hAnsi="Arial"/>
          <w:sz w:val="16"/>
          <w:szCs w:val="16"/>
          <w:color w:val="auto"/>
        </w:rPr>
        <w:t>MLM – M&amp;E Engineer dated 31 October 2017</w:t>
      </w:r>
    </w:p>
    <w:p>
      <w:pPr>
        <w:spacing w:after="0" w:line="12" w:lineRule="exact"/>
        <w:rPr>
          <w:sz w:val="20"/>
          <w:szCs w:val="20"/>
          <w:color w:val="auto"/>
        </w:rPr>
      </w:pPr>
    </w:p>
    <w:p>
      <w:pPr>
        <w:ind w:left="582"/>
        <w:spacing w:after="0"/>
        <w:rPr>
          <w:sz w:val="20"/>
          <w:szCs w:val="20"/>
          <w:color w:val="auto"/>
        </w:rPr>
      </w:pPr>
      <w:r>
        <w:rPr>
          <w:rFonts w:ascii="Arial" w:cs="Arial" w:eastAsia="Arial" w:hAnsi="Arial"/>
          <w:sz w:val="16"/>
          <w:szCs w:val="16"/>
          <w:color w:val="auto"/>
        </w:rPr>
        <w:t>4See Risk Management – CDM Co-ordinator to be completed</w:t>
      </w:r>
    </w:p>
    <w:p>
      <w:pPr>
        <w:spacing w:after="0" w:line="12" w:lineRule="exact"/>
        <w:rPr>
          <w:sz w:val="20"/>
          <w:szCs w:val="20"/>
          <w:color w:val="auto"/>
        </w:rPr>
      </w:pPr>
    </w:p>
    <w:p>
      <w:pPr>
        <w:ind w:left="582"/>
        <w:spacing w:after="0"/>
        <w:rPr>
          <w:sz w:val="20"/>
          <w:szCs w:val="20"/>
          <w:color w:val="auto"/>
        </w:rPr>
      </w:pPr>
      <w:r>
        <w:rPr>
          <w:rFonts w:ascii="Arial" w:cs="Arial" w:eastAsia="Arial" w:hAnsi="Arial"/>
          <w:sz w:val="16"/>
          <w:szCs w:val="16"/>
          <w:color w:val="auto"/>
        </w:rPr>
        <w:t>Hutton Construction Limited dated 31 October 2017</w:t>
      </w:r>
    </w:p>
    <w:p>
      <w:pPr>
        <w:spacing w:after="0" w:line="192" w:lineRule="exact"/>
        <w:rPr>
          <w:sz w:val="20"/>
          <w:szCs w:val="20"/>
          <w:color w:val="auto"/>
        </w:rPr>
      </w:pPr>
    </w:p>
    <w:p>
      <w:pPr>
        <w:ind w:left="582" w:hanging="582"/>
        <w:spacing w:after="0"/>
        <w:tabs>
          <w:tab w:leader="none" w:pos="582" w:val="left"/>
        </w:tabs>
        <w:numPr>
          <w:ilvl w:val="0"/>
          <w:numId w:val="427"/>
        </w:numPr>
        <w:rPr>
          <w:rFonts w:ascii="Arial" w:cs="Arial" w:eastAsia="Arial" w:hAnsi="Arial"/>
          <w:sz w:val="16"/>
          <w:szCs w:val="16"/>
          <w:b w:val="1"/>
          <w:bCs w:val="1"/>
          <w:color w:val="auto"/>
        </w:rPr>
      </w:pPr>
      <w:r>
        <w:rPr>
          <w:rFonts w:ascii="Arial" w:cs="Arial" w:eastAsia="Arial" w:hAnsi="Arial"/>
          <w:sz w:val="16"/>
          <w:szCs w:val="16"/>
          <w:b w:val="1"/>
          <w:bCs w:val="1"/>
          <w:color w:val="auto"/>
        </w:rPr>
        <w:t>Third party rights</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22.1</w:t>
      </w:r>
      <w:r>
        <w:rPr>
          <w:sz w:val="20"/>
          <w:szCs w:val="20"/>
          <w:color w:val="auto"/>
        </w:rPr>
        <w:tab/>
      </w:r>
      <w:r>
        <w:rPr>
          <w:rFonts w:ascii="Arial" w:cs="Arial" w:eastAsia="Arial" w:hAnsi="Arial"/>
          <w:sz w:val="14"/>
          <w:szCs w:val="14"/>
          <w:color w:val="auto"/>
        </w:rPr>
        <w:t>A person who is not a party to this contract shall not have any rights under the Contracts (Rights of Third Parties) Act 1999 to enforce any term of this contract.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4"/>
          <w:szCs w:val="14"/>
          <w:color w:val="auto"/>
        </w:rPr>
        <w:t>Condition 1.5 does not apply to this contract.</w:t>
      </w:r>
    </w:p>
    <w:p>
      <w:pPr>
        <w:spacing w:after="0" w:line="203" w:lineRule="exact"/>
        <w:rPr>
          <w:sz w:val="20"/>
          <w:szCs w:val="20"/>
          <w:color w:val="auto"/>
        </w:rPr>
      </w:pPr>
    </w:p>
    <w:p>
      <w:pPr>
        <w:ind w:left="582" w:hanging="582"/>
        <w:spacing w:after="0"/>
        <w:tabs>
          <w:tab w:leader="none" w:pos="582" w:val="left"/>
        </w:tabs>
        <w:numPr>
          <w:ilvl w:val="0"/>
          <w:numId w:val="428"/>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p>
    <w:p>
      <w:pPr>
        <w:spacing w:after="0" w:line="211" w:lineRule="exact"/>
        <w:rPr>
          <w:rFonts w:ascii="Arial" w:cs="Arial" w:eastAsia="Arial" w:hAnsi="Arial"/>
          <w:sz w:val="16"/>
          <w:szCs w:val="16"/>
          <w:b w:val="1"/>
          <w:bCs w:val="1"/>
          <w:color w:val="auto"/>
        </w:rPr>
      </w:pPr>
    </w:p>
    <w:p>
      <w:pPr>
        <w:ind w:left="582" w:right="2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This contract and any dispute or claim arising out of or in connection with it or its subject matter or formation (including non-contractual disputes or claims) shall be governed by and construed in accordance with the law of England and Wales.</w:t>
      </w:r>
    </w:p>
    <w:p>
      <w:pPr>
        <w:spacing w:after="0" w:line="145" w:lineRule="exact"/>
        <w:rPr>
          <w:rFonts w:ascii="Arial" w:cs="Arial" w:eastAsia="Arial" w:hAnsi="Arial"/>
          <w:sz w:val="16"/>
          <w:szCs w:val="16"/>
          <w:b w:val="1"/>
          <w:bCs w:val="1"/>
          <w:color w:val="auto"/>
        </w:rPr>
      </w:pPr>
    </w:p>
    <w:p>
      <w:pPr>
        <w:ind w:left="582" w:hanging="582"/>
        <w:spacing w:after="0"/>
        <w:tabs>
          <w:tab w:leader="none" w:pos="582" w:val="left"/>
        </w:tabs>
        <w:numPr>
          <w:ilvl w:val="0"/>
          <w:numId w:val="428"/>
        </w:numPr>
        <w:rPr>
          <w:rFonts w:ascii="Arial" w:cs="Arial" w:eastAsia="Arial" w:hAnsi="Arial"/>
          <w:sz w:val="16"/>
          <w:szCs w:val="16"/>
          <w:b w:val="1"/>
          <w:bCs w:val="1"/>
          <w:color w:val="auto"/>
        </w:rPr>
      </w:pPr>
      <w:r>
        <w:rPr>
          <w:rFonts w:ascii="Arial" w:cs="Arial" w:eastAsia="Arial" w:hAnsi="Arial"/>
          <w:sz w:val="16"/>
          <w:szCs w:val="16"/>
          <w:b w:val="1"/>
          <w:bCs w:val="1"/>
          <w:color w:val="auto"/>
        </w:rPr>
        <w:t>Jurisdiction</w:t>
      </w:r>
    </w:p>
    <w:p>
      <w:pPr>
        <w:spacing w:after="0" w:line="211" w:lineRule="exact"/>
        <w:rPr>
          <w:rFonts w:ascii="Arial" w:cs="Arial" w:eastAsia="Arial" w:hAnsi="Arial"/>
          <w:sz w:val="16"/>
          <w:szCs w:val="16"/>
          <w:b w:val="1"/>
          <w:bCs w:val="1"/>
          <w:color w:val="auto"/>
        </w:rPr>
      </w:pPr>
    </w:p>
    <w:p>
      <w:pPr>
        <w:ind w:left="582"/>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Each party irrevocably agrees that the courts of England and Wales shall have exclusive jurisdiction to settle any dispute or claim arising out of or in connection with this contract or its subject matter or formation (including non-contractual disputes or claims).</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This contract has been entered into on the date stated at the beginning of it.</w:t>
      </w:r>
    </w:p>
    <w:p>
      <w:pPr>
        <w:spacing w:after="0" w:line="207"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2"/>
          </w:cols>
          <w:pgMar w:left="238" w:top="322" w:right="299" w:bottom="1440" w:gutter="0" w:footer="0" w:header="0"/>
        </w:sectPr>
      </w:pPr>
    </w:p>
    <w:bookmarkStart w:id="466" w:name="page467"/>
    <w:bookmarkEnd w:id="466"/>
    <w:p>
      <w:pPr>
        <w:spacing w:after="0"/>
        <w:rPr>
          <w:sz w:val="20"/>
          <w:szCs w:val="20"/>
          <w:color w:val="auto"/>
        </w:rPr>
      </w:pPr>
      <w:r>
        <w:rPr>
          <w:rFonts w:ascii="Arial" w:cs="Arial" w:eastAsia="Arial" w:hAnsi="Arial"/>
          <w:sz w:val="16"/>
          <w:szCs w:val="16"/>
          <w:b w:val="1"/>
          <w:bCs w:val="1"/>
          <w:color w:val="auto"/>
        </w:rPr>
        <w:t>Schedule 1 Equipment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400 MHz Bruker NMR;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 Biotage automated purifyers;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 Waters Xevo LCMS;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 Agilent HPLC;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 Agilent preparative HPLC;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 Agilent LCMS;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 Julabo Chiller;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 Huber Chiller;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An Asynt large scale reactor with two vessels;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an ozonizer;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 Buckingham and Stanley polarimeter;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 Parr hydrogenation apparatus;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 vaccum oven.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Ice machine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Autoclaves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Glasswash</w:t>
      </w:r>
    </w:p>
    <w:p>
      <w:pPr>
        <w:spacing w:after="0" w:line="196"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219"/>
          </w:cols>
          <w:pgMar w:left="240" w:top="319" w:right="1440" w:bottom="1440" w:gutter="0" w:footer="0" w:header="0"/>
        </w:sectPr>
      </w:pPr>
    </w:p>
    <w:bookmarkStart w:id="467" w:name="page468"/>
    <w:bookmarkEnd w:id="467"/>
    <w:p>
      <w:pPr>
        <w:ind w:left="2"/>
        <w:spacing w:after="0"/>
        <w:rPr>
          <w:sz w:val="20"/>
          <w:szCs w:val="20"/>
          <w:color w:val="auto"/>
        </w:rPr>
      </w:pPr>
      <w:r>
        <w:rPr>
          <w:rFonts w:ascii="Arial" w:cs="Arial" w:eastAsia="Arial" w:hAnsi="Arial"/>
          <w:sz w:val="16"/>
          <w:szCs w:val="16"/>
          <w:b w:val="1"/>
          <w:bCs w:val="1"/>
          <w:color w:val="auto"/>
        </w:rPr>
        <w:t>Schedule 2 Capital allowances election</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Part 1 </w:t>
      </w:r>
      <w:r>
        <w:rPr>
          <w:rFonts w:ascii="Arial" w:cs="Arial" w:eastAsia="Arial" w:hAnsi="Arial"/>
          <w:sz w:val="15"/>
          <w:szCs w:val="15"/>
          <w:b w:val="1"/>
          <w:bCs w:val="1"/>
          <w:color w:val="auto"/>
        </w:rPr>
        <w:t>Making of an election</w:t>
      </w:r>
    </w:p>
    <w:p>
      <w:pPr>
        <w:spacing w:after="0" w:line="211" w:lineRule="exact"/>
        <w:rPr>
          <w:sz w:val="20"/>
          <w:szCs w:val="20"/>
          <w:color w:val="auto"/>
        </w:rPr>
      </w:pPr>
    </w:p>
    <w:p>
      <w:pPr>
        <w:ind w:left="582" w:hanging="582"/>
        <w:spacing w:after="0"/>
        <w:tabs>
          <w:tab w:leader="none" w:pos="582"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following definitions apply in this Schedule 2.</w:t>
      </w:r>
    </w:p>
    <w:p>
      <w:pPr>
        <w:spacing w:after="0" w:line="203"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b w:val="1"/>
          <w:bCs w:val="1"/>
          <w:color w:val="auto"/>
        </w:rPr>
        <w:t xml:space="preserve">Election: </w:t>
      </w:r>
      <w:r>
        <w:rPr>
          <w:rFonts w:ascii="Arial" w:cs="Arial" w:eastAsia="Arial" w:hAnsi="Arial"/>
          <w:sz w:val="16"/>
          <w:szCs w:val="16"/>
          <w:color w:val="auto"/>
        </w:rPr>
        <w:t>a capital allowances election pursuant to section 198 of the CAA 2001.</w:t>
      </w:r>
    </w:p>
    <w:p>
      <w:pPr>
        <w:spacing w:after="0" w:line="207"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b w:val="1"/>
          <w:bCs w:val="1"/>
          <w:color w:val="auto"/>
        </w:rPr>
        <w:t xml:space="preserve">Elected Figure: </w:t>
      </w:r>
      <w:r>
        <w:rPr>
          <w:rFonts w:ascii="Arial" w:cs="Arial" w:eastAsia="Arial" w:hAnsi="Arial"/>
          <w:sz w:val="16"/>
          <w:szCs w:val="16"/>
          <w:color w:val="auto"/>
        </w:rPr>
        <w:t>the value of the Fixed Plant in accordance with the apportionment set out in the Election.</w:t>
      </w:r>
    </w:p>
    <w:p>
      <w:pPr>
        <w:spacing w:after="0" w:line="207" w:lineRule="exact"/>
        <w:rPr>
          <w:rFonts w:ascii="Arial" w:cs="Arial" w:eastAsia="Arial" w:hAnsi="Arial"/>
          <w:sz w:val="16"/>
          <w:szCs w:val="16"/>
          <w:color w:val="auto"/>
        </w:rPr>
      </w:pPr>
    </w:p>
    <w:p>
      <w:pPr>
        <w:ind w:left="582" w:right="260"/>
        <w:spacing w:after="0" w:line="290" w:lineRule="auto"/>
        <w:rPr>
          <w:rFonts w:ascii="Arial" w:cs="Arial" w:eastAsia="Arial" w:hAnsi="Arial"/>
          <w:sz w:val="16"/>
          <w:szCs w:val="16"/>
          <w:color w:val="auto"/>
        </w:rPr>
      </w:pPr>
      <w:r>
        <w:rPr>
          <w:rFonts w:ascii="Arial" w:cs="Arial" w:eastAsia="Arial" w:hAnsi="Arial"/>
          <w:sz w:val="16"/>
          <w:szCs w:val="16"/>
          <w:b w:val="1"/>
          <w:bCs w:val="1"/>
          <w:color w:val="auto"/>
        </w:rPr>
        <w:t xml:space="preserve">Fixed Plant: </w:t>
      </w:r>
      <w:r>
        <w:rPr>
          <w:rFonts w:ascii="Arial" w:cs="Arial" w:eastAsia="Arial" w:hAnsi="Arial"/>
          <w:sz w:val="16"/>
          <w:szCs w:val="16"/>
          <w:color w:val="auto"/>
        </w:rPr>
        <w:t>such plant and machinery (within the meaning of CAA 2001) as constitutes a fixture or fixtures on which the Seller is, or will be, required to bring a</w:t>
      </w:r>
      <w:r>
        <w:rPr>
          <w:rFonts w:ascii="Arial" w:cs="Arial" w:eastAsia="Arial" w:hAnsi="Arial"/>
          <w:sz w:val="16"/>
          <w:szCs w:val="16"/>
          <w:b w:val="1"/>
          <w:bCs w:val="1"/>
          <w:color w:val="auto"/>
        </w:rPr>
        <w:t xml:space="preserve"> </w:t>
      </w:r>
      <w:r>
        <w:rPr>
          <w:rFonts w:ascii="Arial" w:cs="Arial" w:eastAsia="Arial" w:hAnsi="Arial"/>
          <w:sz w:val="16"/>
          <w:szCs w:val="16"/>
          <w:color w:val="auto"/>
        </w:rPr>
        <w:t>disposal value into account on the sale of the Property as detailed in the Election.</w:t>
      </w:r>
    </w:p>
    <w:p>
      <w:pPr>
        <w:spacing w:after="0" w:line="146" w:lineRule="exact"/>
        <w:rPr>
          <w:rFonts w:ascii="Arial" w:cs="Arial" w:eastAsia="Arial" w:hAnsi="Arial"/>
          <w:sz w:val="16"/>
          <w:szCs w:val="16"/>
          <w:color w:val="auto"/>
        </w:rPr>
      </w:pPr>
    </w:p>
    <w:p>
      <w:pPr>
        <w:ind w:left="582" w:right="60" w:hanging="582"/>
        <w:spacing w:after="0" w:line="320" w:lineRule="auto"/>
        <w:tabs>
          <w:tab w:leader="none" w:pos="582" w:val="left"/>
        </w:tabs>
        <w:numPr>
          <w:ilvl w:val="0"/>
          <w:numId w:val="429"/>
        </w:numPr>
        <w:rPr>
          <w:rFonts w:ascii="Arial" w:cs="Arial" w:eastAsia="Arial" w:hAnsi="Arial"/>
          <w:sz w:val="15"/>
          <w:szCs w:val="15"/>
          <w:color w:val="auto"/>
        </w:rPr>
      </w:pPr>
      <w:r>
        <w:rPr>
          <w:rFonts w:ascii="Arial" w:cs="Arial" w:eastAsia="Arial" w:hAnsi="Arial"/>
          <w:sz w:val="15"/>
          <w:szCs w:val="15"/>
          <w:color w:val="auto"/>
        </w:rPr>
        <w:t>On Completion, the Seller and the Buyer shall sign in respect of the Property in duplicate the Election agreeing to the Elected Figure, being the disposal value for the Fixed Plant required to be brought into account by the Seller and falling to be treated as expenditure incurred by the Buyer on the provision of the Fixed Plant.</w:t>
      </w:r>
    </w:p>
    <w:p>
      <w:pPr>
        <w:spacing w:after="0" w:line="126" w:lineRule="exact"/>
        <w:rPr>
          <w:rFonts w:ascii="Arial" w:cs="Arial" w:eastAsia="Arial" w:hAnsi="Arial"/>
          <w:sz w:val="15"/>
          <w:szCs w:val="15"/>
          <w:color w:val="auto"/>
        </w:rPr>
      </w:pPr>
    </w:p>
    <w:p>
      <w:pPr>
        <w:ind w:left="582" w:hanging="582"/>
        <w:spacing w:after="0" w:line="285" w:lineRule="auto"/>
        <w:tabs>
          <w:tab w:leader="none" w:pos="582"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Seller and the Buyer shall each submit the Election in the form set out in Part 2 of this Schedule 2 to HM Revenue &amp; Customs within the time limit prescribed by law and take all reasonable steps to procure that the Elected Figure is accepted by HM Revenue &amp; Customs.</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Seller and the Buyer agree to reflect the Elected Figure in their respective tax (capital allowances) computations and returns.</w:t>
      </w:r>
    </w:p>
    <w:p>
      <w:pPr>
        <w:spacing w:after="0" w:line="207" w:lineRule="exact"/>
        <w:rPr>
          <w:rFonts w:ascii="Arial" w:cs="Arial" w:eastAsia="Arial" w:hAnsi="Arial"/>
          <w:sz w:val="16"/>
          <w:szCs w:val="16"/>
          <w:color w:val="auto"/>
        </w:rPr>
      </w:pPr>
    </w:p>
    <w:p>
      <w:pPr>
        <w:ind w:left="582" w:right="460" w:hanging="582"/>
        <w:spacing w:after="0" w:line="285" w:lineRule="auto"/>
        <w:tabs>
          <w:tab w:leader="none" w:pos="582"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To enable the Buyer to make and substantiate claims under CAA 2001 in respect of the Property, the Seller shall use its reasonable endeavours to provide, or to procure that its agents provide:</w:t>
      </w:r>
    </w:p>
    <w:p>
      <w:pPr>
        <w:spacing w:after="0" w:line="149" w:lineRule="exact"/>
        <w:rPr>
          <w:rFonts w:ascii="Arial" w:cs="Arial" w:eastAsia="Arial" w:hAnsi="Arial"/>
          <w:sz w:val="16"/>
          <w:szCs w:val="16"/>
          <w:color w:val="auto"/>
        </w:rPr>
      </w:pPr>
    </w:p>
    <w:p>
      <w:pPr>
        <w:ind w:left="1182" w:hanging="360"/>
        <w:spacing w:after="0"/>
        <w:tabs>
          <w:tab w:leader="none" w:pos="1182" w:val="left"/>
        </w:tabs>
        <w:numPr>
          <w:ilvl w:val="1"/>
          <w:numId w:val="429"/>
        </w:numPr>
        <w:rPr>
          <w:rFonts w:ascii="Arial" w:cs="Arial" w:eastAsia="Arial" w:hAnsi="Arial"/>
          <w:sz w:val="16"/>
          <w:szCs w:val="16"/>
          <w:color w:val="auto"/>
        </w:rPr>
      </w:pPr>
      <w:r>
        <w:rPr>
          <w:rFonts w:ascii="Arial" w:cs="Arial" w:eastAsia="Arial" w:hAnsi="Arial"/>
          <w:sz w:val="16"/>
          <w:szCs w:val="16"/>
          <w:color w:val="auto"/>
        </w:rPr>
        <w:t>copies of all relevant information in its possession or that of its agents; and</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1"/>
          <w:numId w:val="429"/>
        </w:numPr>
        <w:rPr>
          <w:rFonts w:ascii="Arial" w:cs="Arial" w:eastAsia="Arial" w:hAnsi="Arial"/>
          <w:sz w:val="16"/>
          <w:szCs w:val="16"/>
          <w:color w:val="auto"/>
        </w:rPr>
      </w:pPr>
      <w:r>
        <w:rPr>
          <w:rFonts w:ascii="Arial" w:cs="Arial" w:eastAsia="Arial" w:hAnsi="Arial"/>
          <w:sz w:val="16"/>
          <w:szCs w:val="16"/>
          <w:color w:val="auto"/>
        </w:rPr>
        <w:t>such cooperation and assistance as the Buyer may reasonably require.</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Buyer agrees that:</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1"/>
          <w:numId w:val="429"/>
        </w:numPr>
        <w:rPr>
          <w:rFonts w:ascii="Arial" w:cs="Arial" w:eastAsia="Arial" w:hAnsi="Arial"/>
          <w:sz w:val="16"/>
          <w:szCs w:val="16"/>
          <w:color w:val="auto"/>
        </w:rPr>
      </w:pPr>
      <w:r>
        <w:rPr>
          <w:rFonts w:ascii="Arial" w:cs="Arial" w:eastAsia="Arial" w:hAnsi="Arial"/>
          <w:sz w:val="16"/>
          <w:szCs w:val="16"/>
          <w:color w:val="auto"/>
        </w:rPr>
        <w:t>it will only use such information as is provided pursuant to paragraph 5 for the stated purpose; and</w:t>
      </w:r>
    </w:p>
    <w:p>
      <w:pPr>
        <w:spacing w:after="0" w:line="207" w:lineRule="exact"/>
        <w:rPr>
          <w:rFonts w:ascii="Arial" w:cs="Arial" w:eastAsia="Arial" w:hAnsi="Arial"/>
          <w:sz w:val="16"/>
          <w:szCs w:val="16"/>
          <w:color w:val="auto"/>
        </w:rPr>
      </w:pPr>
    </w:p>
    <w:p>
      <w:pPr>
        <w:ind w:left="1182" w:hanging="360"/>
        <w:spacing w:after="0"/>
        <w:tabs>
          <w:tab w:leader="none" w:pos="1182" w:val="left"/>
        </w:tabs>
        <w:numPr>
          <w:ilvl w:val="1"/>
          <w:numId w:val="429"/>
        </w:numPr>
        <w:rPr>
          <w:rFonts w:ascii="Arial" w:cs="Arial" w:eastAsia="Arial" w:hAnsi="Arial"/>
          <w:sz w:val="16"/>
          <w:szCs w:val="16"/>
          <w:color w:val="auto"/>
        </w:rPr>
      </w:pPr>
      <w:r>
        <w:rPr>
          <w:rFonts w:ascii="Arial" w:cs="Arial" w:eastAsia="Arial" w:hAnsi="Arial"/>
          <w:sz w:val="16"/>
          <w:szCs w:val="16"/>
          <w:color w:val="auto"/>
        </w:rPr>
        <w:t>it will not disclose, without the consent of the Seller, any such information which the Seller expressly provides on a confidential basis.</w:t>
      </w:r>
    </w:p>
    <w:p>
      <w:pPr>
        <w:spacing w:after="0" w:line="207" w:lineRule="exact"/>
        <w:rPr>
          <w:rFonts w:ascii="Arial" w:cs="Arial" w:eastAsia="Arial" w:hAnsi="Arial"/>
          <w:sz w:val="16"/>
          <w:szCs w:val="16"/>
          <w:color w:val="auto"/>
        </w:rPr>
      </w:pPr>
    </w:p>
    <w:p>
      <w:pPr>
        <w:ind w:left="582" w:right="180" w:hanging="582"/>
        <w:spacing w:after="0" w:line="285" w:lineRule="auto"/>
        <w:tabs>
          <w:tab w:leader="none" w:pos="582" w:val="left"/>
        </w:tabs>
        <w:numPr>
          <w:ilvl w:val="0"/>
          <w:numId w:val="429"/>
        </w:numPr>
        <w:rPr>
          <w:rFonts w:ascii="Arial" w:cs="Arial" w:eastAsia="Arial" w:hAnsi="Arial"/>
          <w:sz w:val="16"/>
          <w:szCs w:val="16"/>
          <w:color w:val="auto"/>
        </w:rPr>
      </w:pPr>
      <w:r>
        <w:rPr>
          <w:rFonts w:ascii="Arial" w:cs="Arial" w:eastAsia="Arial" w:hAnsi="Arial"/>
          <w:sz w:val="16"/>
          <w:szCs w:val="16"/>
          <w:color w:val="auto"/>
        </w:rPr>
        <w:t xml:space="preserve">If for any reason the Election, or the notification of it, is deficient, ineffective or otherwise not accepted by HM Revenue &amp; Customs, the Seller and the Buyer shall each take all reasonable steps necessary to obtain the agreement of HM Revenue </w:t>
      </w:r>
      <w:r>
        <w:rPr>
          <w:rFonts w:ascii="Arial" w:cs="Arial" w:eastAsia="Arial" w:hAnsi="Arial"/>
          <w:sz w:val="16"/>
          <w:szCs w:val="16"/>
          <w:i w:val="1"/>
          <w:iCs w:val="1"/>
          <w:color w:val="auto"/>
        </w:rPr>
        <w:t>&amp;</w:t>
      </w:r>
      <w:r>
        <w:rPr>
          <w:rFonts w:ascii="Arial" w:cs="Arial" w:eastAsia="Arial" w:hAnsi="Arial"/>
          <w:sz w:val="16"/>
          <w:szCs w:val="16"/>
          <w:color w:val="auto"/>
        </w:rPr>
        <w:t xml:space="preserve"> Customs to</w:t>
      </w:r>
    </w:p>
    <w:p>
      <w:pPr>
        <w:spacing w:after="0" w:line="1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9" w:right="239" w:bottom="1440" w:gutter="0" w:footer="0" w:header="0"/>
        </w:sectPr>
      </w:pPr>
    </w:p>
    <w:bookmarkStart w:id="468" w:name="page469"/>
    <w:bookmarkEnd w:id="468"/>
    <w:p>
      <w:pPr>
        <w:ind w:left="580" w:right="20"/>
        <w:spacing w:after="0" w:line="285" w:lineRule="auto"/>
        <w:rPr>
          <w:sz w:val="20"/>
          <w:szCs w:val="20"/>
          <w:color w:val="auto"/>
        </w:rPr>
      </w:pPr>
      <w:r>
        <w:rPr>
          <w:rFonts w:ascii="Arial" w:cs="Arial" w:eastAsia="Arial" w:hAnsi="Arial"/>
          <w:sz w:val="16"/>
          <w:szCs w:val="16"/>
          <w:color w:val="auto"/>
        </w:rPr>
        <w:t>the apportionment specified in the Election for the purposes of capital allowances including making any amendments to the Election or the signing of a replacement election (in either case, to the extent possible).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2 Notice of an election to use an alternative apportionment in accordance with section 198 of the Capital Allowances Act 2001</w:t>
      </w:r>
    </w:p>
    <w:p>
      <w:pPr>
        <w:sectPr>
          <w:pgSz w:w="11900" w:h="16838" w:orient="portrait"/>
          <w:cols w:equalWidth="0" w:num="1">
            <w:col w:w="11300"/>
          </w:cols>
          <w:pgMar w:left="240" w:top="322" w:right="35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address: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Ground &amp; First Floor Premises Building 900, Babraham Research Campus, Babraham, Cambridge</w:t>
      </w:r>
    </w:p>
    <w:p>
      <w:pPr>
        <w:spacing w:after="0" w:line="200" w:lineRule="exact"/>
        <w:rPr>
          <w:sz w:val="20"/>
          <w:szCs w:val="20"/>
          <w:color w:val="auto"/>
        </w:rPr>
      </w:pPr>
    </w:p>
    <w:p>
      <w:pPr>
        <w:sectPr>
          <w:pgSz w:w="11900" w:h="16838" w:orient="portrait"/>
          <w:cols w:equalWidth="0" w:num="2">
            <w:col w:w="3860" w:space="720"/>
            <w:col w:w="6720"/>
          </w:cols>
          <w:pgMar w:left="240" w:top="322" w:right="35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Leasehold</w:t>
      </w:r>
    </w:p>
    <w:p>
      <w:pPr>
        <w:spacing w:after="0" w:line="207" w:lineRule="exact"/>
        <w:rPr>
          <w:sz w:val="20"/>
          <w:szCs w:val="20"/>
          <w:color w:val="auto"/>
        </w:rPr>
      </w:pPr>
    </w:p>
    <w:p>
      <w:pPr>
        <w:sectPr>
          <w:pgSz w:w="11900" w:h="16838" w:orient="portrait"/>
          <w:cols w:equalWidth="0" w:num="2">
            <w:col w:w="3860" w:space="720"/>
            <w:col w:w="6720"/>
          </w:cols>
          <w:pgMar w:left="240" w:top="322" w:right="35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Title number: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ectPr>
          <w:pgSz w:w="11900" w:h="16838" w:orient="portrait"/>
          <w:cols w:equalWidth="0" w:num="2">
            <w:col w:w="3860" w:space="720"/>
            <w:col w:w="6720"/>
          </w:cols>
          <w:pgMar w:left="240" w:top="322" w:right="35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Seller’s name and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Convergence Pharmaceuticals Limited, 70 Norden Road, Maidenhead, Berkshire SL6 4AY</w:t>
      </w:r>
    </w:p>
    <w:p>
      <w:pPr>
        <w:spacing w:after="0" w:line="200" w:lineRule="exact"/>
        <w:rPr>
          <w:sz w:val="20"/>
          <w:szCs w:val="20"/>
          <w:color w:val="auto"/>
        </w:rPr>
      </w:pPr>
    </w:p>
    <w:p>
      <w:pPr>
        <w:sectPr>
          <w:pgSz w:w="11900" w:h="16838" w:orient="portrait"/>
          <w:cols w:equalWidth="0" w:num="2">
            <w:col w:w="3860" w:space="720"/>
            <w:col w:w="6720"/>
          </w:cols>
          <w:pgMar w:left="240" w:top="322" w:right="35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Seller’s Unique Taxpayer Reference Number:</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9213911910</w:t>
      </w:r>
    </w:p>
    <w:p>
      <w:pPr>
        <w:spacing w:after="0" w:line="200" w:lineRule="exact"/>
        <w:rPr>
          <w:sz w:val="20"/>
          <w:szCs w:val="20"/>
          <w:color w:val="auto"/>
        </w:rPr>
      </w:pPr>
    </w:p>
    <w:p>
      <w:pPr>
        <w:sectPr>
          <w:pgSz w:w="11900" w:h="16838" w:orient="portrait"/>
          <w:cols w:equalWidth="0" w:num="2">
            <w:col w:w="3860" w:space="720"/>
            <w:col w:w="6720"/>
          </w:cols>
          <w:pgMar w:left="240" w:top="322" w:right="35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Buyer’s name and address: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Bicycle RD Limited, Meditrina Building, Babraham Research Campus, Cambridge CB22 3AT</w:t>
      </w:r>
    </w:p>
    <w:p>
      <w:pPr>
        <w:spacing w:after="0" w:line="200" w:lineRule="exact"/>
        <w:rPr>
          <w:sz w:val="20"/>
          <w:szCs w:val="20"/>
          <w:color w:val="auto"/>
        </w:rPr>
      </w:pPr>
    </w:p>
    <w:p>
      <w:pPr>
        <w:sectPr>
          <w:pgSz w:w="11900" w:h="16838" w:orient="portrait"/>
          <w:cols w:equalWidth="0" w:num="2">
            <w:col w:w="3860" w:space="720"/>
            <w:col w:w="6720"/>
          </w:cols>
          <w:pgMar w:left="240" w:top="322" w:right="35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Buyer’s Unique Taxpayer Reference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4680725770</w:t>
      </w:r>
    </w:p>
    <w:p>
      <w:pPr>
        <w:spacing w:after="0" w:line="200" w:lineRule="exact"/>
        <w:rPr>
          <w:sz w:val="20"/>
          <w:szCs w:val="20"/>
          <w:color w:val="auto"/>
        </w:rPr>
      </w:pPr>
    </w:p>
    <w:p>
      <w:pPr>
        <w:sectPr>
          <w:pgSz w:w="11900" w:h="16838" w:orient="portrait"/>
          <w:cols w:equalWidth="0" w:num="2">
            <w:col w:w="3860" w:space="720"/>
            <w:col w:w="6720"/>
          </w:cols>
          <w:pgMar w:left="240" w:top="322" w:right="35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 of completion of sale:</w:t>
      </w:r>
    </w:p>
    <w:p>
      <w:pPr>
        <w:sectPr>
          <w:pgSz w:w="11900" w:h="16838" w:orient="portrait"/>
          <w:cols w:equalWidth="0" w:num="1">
            <w:col w:w="11300"/>
          </w:cols>
          <w:pgMar w:left="240" w:top="322" w:right="35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 apportioned to machinery and plant fixtures in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Seller’s special rate pool:</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Nil</w:t>
      </w:r>
    </w:p>
    <w:p>
      <w:pPr>
        <w:spacing w:after="0" w:line="399" w:lineRule="exact"/>
        <w:rPr>
          <w:sz w:val="20"/>
          <w:szCs w:val="20"/>
          <w:color w:val="auto"/>
        </w:rPr>
      </w:pPr>
    </w:p>
    <w:p>
      <w:pPr>
        <w:sectPr>
          <w:pgSz w:w="11900" w:h="16838" w:orient="portrait"/>
          <w:cols w:equalWidth="0" w:num="2">
            <w:col w:w="4140" w:space="440"/>
            <w:col w:w="6720"/>
          </w:cols>
          <w:pgMar w:left="240" w:top="322" w:right="35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Amount apportioned to machinery and plant fixtures in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Seller’s main pool: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£ 349,999.00</w:t>
      </w:r>
    </w:p>
    <w:p>
      <w:pPr>
        <w:spacing w:after="0" w:line="422" w:lineRule="exact"/>
        <w:rPr>
          <w:sz w:val="20"/>
          <w:szCs w:val="20"/>
          <w:color w:val="auto"/>
        </w:rPr>
      </w:pPr>
    </w:p>
    <w:p>
      <w:pPr>
        <w:sectPr>
          <w:pgSz w:w="11900" w:h="16838" w:orient="portrait"/>
          <w:cols w:equalWidth="0" w:num="2">
            <w:col w:w="4140" w:space="440"/>
            <w:col w:w="6720"/>
          </w:cols>
          <w:pgMar w:left="240" w:top="322" w:right="35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Sale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£ 350,000.00</w:t>
      </w:r>
    </w:p>
    <w:p>
      <w:pPr>
        <w:spacing w:after="0" w:line="200" w:lineRule="exact"/>
        <w:rPr>
          <w:sz w:val="20"/>
          <w:szCs w:val="20"/>
          <w:color w:val="auto"/>
        </w:rPr>
      </w:pPr>
    </w:p>
    <w:p>
      <w:pPr>
        <w:sectPr>
          <w:pgSz w:w="11900" w:h="16838" w:orient="portrait"/>
          <w:cols w:equalWidth="0" w:num="2">
            <w:col w:w="3860" w:space="720"/>
            <w:col w:w="6720"/>
          </w:cols>
          <w:pgMar w:left="240" w:top="322" w:right="359" w:bottom="1440" w:gutter="0" w:footer="0" w:header="0"/>
          <w:type w:val="continuous"/>
        </w:sectPr>
      </w:pPr>
    </w:p>
    <w:p>
      <w:pPr>
        <w:spacing w:after="0" w:line="3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Seller and the Buyer hereby jointly and severally elect pursuant to the provisions of section 198 of the CAA 2001 that the amount which, for all purposes of Part 2 of the CAA 2001, is to be taken as the portion of the sale price of the interest specified above which falls to be included as expenditure incurred by the Buyer on the provision of plant and machinery fixtures is £ 349,999.00. A list of the fixtures and the amount to be apportioned to them is set out below.</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00"/>
          </w:cols>
          <w:pgMar w:left="240" w:top="322" w:right="359" w:bottom="1440" w:gutter="0" w:footer="0" w:header="0"/>
          <w:type w:val="continuous"/>
        </w:sectPr>
      </w:pPr>
    </w:p>
    <w:bookmarkStart w:id="469" w:name="page470"/>
    <w:bookmarkEnd w:id="469"/>
    <w:p>
      <w:pPr>
        <w:spacing w:after="0"/>
        <w:rPr>
          <w:sz w:val="20"/>
          <w:szCs w:val="20"/>
          <w:color w:val="auto"/>
        </w:rPr>
      </w:pPr>
      <w:r>
        <w:rPr>
          <w:rFonts w:ascii="Arial" w:cs="Arial" w:eastAsia="Arial" w:hAnsi="Arial"/>
          <w:sz w:val="16"/>
          <w:szCs w:val="16"/>
          <w:b w:val="1"/>
          <w:bCs w:val="1"/>
          <w:color w:val="auto"/>
        </w:rPr>
        <w:t>Integral features and other plant and machinery fixtures in the special rate pool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50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0"/>
              </w:rPr>
              <w:t>Apportioned amount</w:t>
            </w:r>
          </w:p>
        </w:tc>
        <w:tc>
          <w:tcPr>
            <w:tcW w:w="0" w:type="dxa"/>
            <w:vAlign w:val="bottom"/>
          </w:tcPr>
          <w:p>
            <w:pPr>
              <w:spacing w:after="0"/>
              <w:rPr>
                <w:sz w:val="1"/>
                <w:szCs w:val="1"/>
                <w:color w:val="auto"/>
              </w:rPr>
            </w:pPr>
          </w:p>
        </w:tc>
      </w:tr>
      <w:tr>
        <w:trPr>
          <w:trHeight w:val="107"/>
        </w:trPr>
        <w:tc>
          <w:tcPr>
            <w:tcW w:w="5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480" w:type="dxa"/>
            <w:vAlign w:val="bottom"/>
            <w:tcBorders>
              <w:top w:val="single" w:sz="8" w:color="auto"/>
            </w:tcBorders>
          </w:tcPr>
          <w:p>
            <w:pPr>
              <w:jc w:val="center"/>
              <w:ind w:right="612"/>
              <w:spacing w:after="0" w:line="107" w:lineRule="exact"/>
              <w:rPr>
                <w:sz w:val="20"/>
                <w:szCs w:val="20"/>
                <w:color w:val="auto"/>
              </w:rPr>
            </w:pPr>
            <w:r>
              <w:rPr>
                <w:rFonts w:ascii="Arial" w:cs="Arial" w:eastAsia="Arial" w:hAnsi="Arial"/>
                <w:sz w:val="12"/>
                <w:szCs w:val="12"/>
                <w:b w:val="1"/>
                <w:bCs w:val="1"/>
                <w:color w:val="auto"/>
                <w:w w:val="99"/>
              </w:rPr>
              <w:t>Integral features (for the Seller) and other plant and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5480" w:type="dxa"/>
            <w:vAlign w:val="bottom"/>
            <w:vMerge w:val="restart"/>
          </w:tcPr>
          <w:p>
            <w:pPr>
              <w:spacing w:after="0"/>
              <w:rPr>
                <w:sz w:val="20"/>
                <w:szCs w:val="20"/>
                <w:color w:val="auto"/>
              </w:rPr>
            </w:pPr>
            <w:r>
              <w:rPr>
                <w:rFonts w:ascii="Arial" w:cs="Arial" w:eastAsia="Arial" w:hAnsi="Arial"/>
                <w:sz w:val="13"/>
                <w:szCs w:val="13"/>
                <w:b w:val="1"/>
                <w:bCs w:val="1"/>
                <w:color w:val="auto"/>
              </w:rPr>
              <w:t>Items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500" w:type="dxa"/>
            <w:vAlign w:val="bottom"/>
            <w:gridSpan w:val="2"/>
          </w:tcPr>
          <w:p>
            <w:pPr>
              <w:jc w:val="center"/>
              <w:ind w:right="700"/>
              <w:spacing w:after="0" w:line="134" w:lineRule="exact"/>
              <w:rPr>
                <w:sz w:val="20"/>
                <w:szCs w:val="20"/>
                <w:color w:val="auto"/>
              </w:rPr>
            </w:pPr>
            <w:r>
              <w:rPr>
                <w:rFonts w:ascii="Arial" w:cs="Arial" w:eastAsia="Arial" w:hAnsi="Arial"/>
                <w:sz w:val="13"/>
                <w:szCs w:val="13"/>
                <w:b w:val="1"/>
                <w:bCs w:val="1"/>
                <w:color w:val="auto"/>
                <w:w w:val="89"/>
              </w:rPr>
              <w:t>machinery fixtures allocated to the special rate pool</w:t>
            </w:r>
          </w:p>
        </w:tc>
        <w:tc>
          <w:tcPr>
            <w:tcW w:w="0" w:type="dxa"/>
            <w:vAlign w:val="bottom"/>
          </w:tcPr>
          <w:p>
            <w:pPr>
              <w:spacing w:after="0"/>
              <w:rPr>
                <w:sz w:val="1"/>
                <w:szCs w:val="1"/>
                <w:color w:val="auto"/>
              </w:rPr>
            </w:pPr>
          </w:p>
        </w:tc>
      </w:tr>
      <w:tr>
        <w:trPr>
          <w:trHeight w:val="155"/>
        </w:trPr>
        <w:tc>
          <w:tcPr>
            <w:tcW w:w="548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tcPr>
          <w:p>
            <w:pPr>
              <w:jc w:val="center"/>
              <w:ind w:right="612"/>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Electrical systems (including lighting systems)</w:t>
            </w: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20"/>
                <w:szCs w:val="20"/>
                <w:color w:val="auto"/>
              </w:rPr>
            </w:pPr>
            <w:r>
              <w:rPr>
                <w:rFonts w:ascii="Arial" w:cs="Arial" w:eastAsia="Arial" w:hAnsi="Arial"/>
                <w:sz w:val="16"/>
                <w:szCs w:val="16"/>
                <w:color w:val="auto"/>
              </w:rPr>
              <w:t>Cold water systems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w w:val="94"/>
              </w:rPr>
              <w:t>Space or water heating systems, powered systems of ventilation, air cooling or air</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purification, and any floor or ceiling comprised of such systems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20"/>
                <w:szCs w:val="20"/>
                <w:color w:val="auto"/>
              </w:rPr>
            </w:pPr>
            <w:r>
              <w:rPr>
                <w:rFonts w:ascii="Arial" w:cs="Arial" w:eastAsia="Arial" w:hAnsi="Arial"/>
                <w:sz w:val="16"/>
                <w:szCs w:val="16"/>
                <w:color w:val="auto"/>
              </w:rPr>
              <w:t>Lifts, escalators and moving walkways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External solar shading (i.e. brise soleil)</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4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80" w:type="dxa"/>
            <w:vAlign w:val="bottom"/>
          </w:tcPr>
          <w:p>
            <w:pPr>
              <w:spacing w:after="0"/>
              <w:rPr>
                <w:sz w:val="20"/>
                <w:szCs w:val="20"/>
                <w:color w:val="auto"/>
              </w:rPr>
            </w:pPr>
            <w:r>
              <w:rPr>
                <w:rFonts w:ascii="Arial" w:cs="Arial" w:eastAsia="Arial" w:hAnsi="Arial"/>
                <w:sz w:val="16"/>
                <w:szCs w:val="16"/>
                <w:color w:val="auto"/>
              </w:rPr>
              <w:t>TOTAL</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Nil</w:t>
            </w:r>
          </w:p>
        </w:tc>
        <w:tc>
          <w:tcPr>
            <w:tcW w:w="4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5480" w:type="dxa"/>
            <w:vAlign w:val="bottom"/>
          </w:tcPr>
          <w:p>
            <w:pPr>
              <w:spacing w:after="0"/>
              <w:rPr>
                <w:sz w:val="20"/>
                <w:szCs w:val="20"/>
                <w:color w:val="auto"/>
              </w:rPr>
            </w:pPr>
            <w:r>
              <w:rPr>
                <w:rFonts w:ascii="Arial" w:cs="Arial" w:eastAsia="Arial" w:hAnsi="Arial"/>
                <w:sz w:val="16"/>
                <w:szCs w:val="16"/>
                <w:b w:val="1"/>
                <w:bCs w:val="1"/>
                <w:color w:val="auto"/>
                <w:w w:val="99"/>
              </w:rPr>
              <w:t>Integral features and other plant and machinery fixtures in the main pool</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0"/>
              </w:rPr>
              <w:t>Apportioned amount</w:t>
            </w:r>
          </w:p>
        </w:tc>
        <w:tc>
          <w:tcPr>
            <w:tcW w:w="0" w:type="dxa"/>
            <w:vAlign w:val="bottom"/>
          </w:tcPr>
          <w:p>
            <w:pPr>
              <w:spacing w:after="0"/>
              <w:rPr>
                <w:sz w:val="1"/>
                <w:szCs w:val="1"/>
                <w:color w:val="auto"/>
              </w:rPr>
            </w:pPr>
          </w:p>
        </w:tc>
      </w:tr>
      <w:tr>
        <w:trPr>
          <w:trHeight w:val="107"/>
        </w:trPr>
        <w:tc>
          <w:tcPr>
            <w:tcW w:w="5480" w:type="dxa"/>
            <w:vAlign w:val="bottom"/>
            <w:vMerge w:val="restart"/>
          </w:tcPr>
          <w:p>
            <w:pPr>
              <w:spacing w:after="0"/>
              <w:rPr>
                <w:sz w:val="20"/>
                <w:szCs w:val="20"/>
                <w:color w:val="auto"/>
              </w:rPr>
            </w:pPr>
            <w:r>
              <w:rPr>
                <w:rFonts w:ascii="Arial" w:cs="Arial" w:eastAsia="Arial" w:hAnsi="Arial"/>
                <w:sz w:val="13"/>
                <w:szCs w:val="13"/>
                <w:b w:val="1"/>
                <w:bCs w:val="1"/>
                <w:color w:val="auto"/>
              </w:rPr>
              <w:t>Items</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480" w:type="dxa"/>
            <w:vAlign w:val="bottom"/>
            <w:tcBorders>
              <w:top w:val="single" w:sz="8" w:color="auto"/>
            </w:tcBorders>
          </w:tcPr>
          <w:p>
            <w:pPr>
              <w:jc w:val="center"/>
              <w:ind w:right="612"/>
              <w:spacing w:after="0" w:line="107" w:lineRule="exact"/>
              <w:rPr>
                <w:sz w:val="20"/>
                <w:szCs w:val="20"/>
                <w:color w:val="auto"/>
              </w:rPr>
            </w:pPr>
            <w:r>
              <w:rPr>
                <w:rFonts w:ascii="Arial" w:cs="Arial" w:eastAsia="Arial" w:hAnsi="Arial"/>
                <w:sz w:val="12"/>
                <w:szCs w:val="12"/>
                <w:b w:val="1"/>
                <w:bCs w:val="1"/>
                <w:color w:val="auto"/>
                <w:w w:val="99"/>
              </w:rPr>
              <w:t>Integral features (for the Seller) and other plant and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4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50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0"/>
              </w:rPr>
              <w:t>machinery fixtures allocated to the main pool (£)</w:t>
            </w:r>
          </w:p>
        </w:tc>
        <w:tc>
          <w:tcPr>
            <w:tcW w:w="0" w:type="dxa"/>
            <w:vAlign w:val="bottom"/>
          </w:tcPr>
          <w:p>
            <w:pPr>
              <w:spacing w:after="0"/>
              <w:rPr>
                <w:sz w:val="1"/>
                <w:szCs w:val="1"/>
                <w:color w:val="auto"/>
              </w:rPr>
            </w:pPr>
          </w:p>
        </w:tc>
      </w:tr>
      <w:tr>
        <w:trPr>
          <w:trHeight w:val="188"/>
        </w:trPr>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Electrical systems (including lighting systems)</w:t>
            </w: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48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20"/>
                <w:szCs w:val="20"/>
                <w:color w:val="auto"/>
              </w:rPr>
            </w:pPr>
            <w:r>
              <w:rPr>
                <w:rFonts w:ascii="Arial" w:cs="Arial" w:eastAsia="Arial" w:hAnsi="Arial"/>
                <w:sz w:val="16"/>
                <w:szCs w:val="16"/>
                <w:color w:val="auto"/>
              </w:rPr>
              <w:t>Cold water systems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w w:val="94"/>
              </w:rPr>
              <w:t>Space or water heating systems, powered systems of ventilation, air cooling or air</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purification, and any floor or ceiling comprised of such systems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20"/>
                <w:szCs w:val="20"/>
                <w:color w:val="auto"/>
              </w:rPr>
            </w:pPr>
            <w:r>
              <w:rPr>
                <w:rFonts w:ascii="Arial" w:cs="Arial" w:eastAsia="Arial" w:hAnsi="Arial"/>
                <w:sz w:val="16"/>
                <w:szCs w:val="16"/>
                <w:color w:val="auto"/>
              </w:rPr>
              <w:t>Lifts, escalators and moving walkways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External solar shading (i.e. brise soleil)</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4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Laboratory Equipment</w:t>
            </w:r>
          </w:p>
        </w:tc>
        <w:tc>
          <w:tcPr>
            <w:tcW w:w="820" w:type="dxa"/>
            <w:vAlign w:val="bottom"/>
            <w:tcBorders>
              <w:bottom w:val="single" w:sz="8" w:color="CCEEFF"/>
            </w:tcBorders>
            <w:gridSpan w:val="2"/>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4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349,999.00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820" w:type="dxa"/>
            <w:vAlign w:val="bottom"/>
            <w:gridSpan w:val="2"/>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349,999.00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5480" w:type="dxa"/>
            <w:vAlign w:val="bottom"/>
          </w:tcPr>
          <w:p>
            <w:pPr>
              <w:spacing w:after="0"/>
              <w:rPr>
                <w:sz w:val="24"/>
                <w:szCs w:val="24"/>
                <w:color w:val="auto"/>
              </w:rPr>
            </w:pPr>
          </w:p>
        </w:tc>
        <w:tc>
          <w:tcPr>
            <w:tcW w:w="580" w:type="dxa"/>
            <w:vAlign w:val="bottom"/>
          </w:tcPr>
          <w:p>
            <w:pPr>
              <w:jc w:val="right"/>
              <w:ind w:right="179"/>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4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8" w:right="199" w:bottom="1440" w:gutter="0" w:footer="0" w:header="0"/>
        </w:sectPr>
      </w:pPr>
    </w:p>
    <w:bookmarkStart w:id="470" w:name="page471"/>
    <w:bookmarkEnd w:id="470"/>
    <w:p>
      <w:pPr>
        <w:spacing w:after="0"/>
        <w:rPr>
          <w:sz w:val="20"/>
          <w:szCs w:val="20"/>
          <w:color w:val="auto"/>
        </w:rPr>
      </w:pPr>
      <w:r>
        <w:rPr>
          <w:rFonts w:ascii="Arial" w:cs="Arial" w:eastAsia="Arial" w:hAnsi="Arial"/>
          <w:sz w:val="16"/>
          <w:szCs w:val="16"/>
          <w:color w:val="auto"/>
        </w:rPr>
        <w:t>Signed by</w:t>
      </w:r>
    </w:p>
    <w:p>
      <w:pPr>
        <w:spacing w:after="0" w:line="24" w:lineRule="exact"/>
        <w:rPr>
          <w:sz w:val="20"/>
          <w:szCs w:val="20"/>
          <w:color w:val="auto"/>
        </w:rPr>
      </w:pPr>
    </w:p>
    <w:p>
      <w:pPr>
        <w:jc w:val="right"/>
        <w:ind w:right="3959"/>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-116205</wp:posOffset>
            </wp:positionV>
            <wp:extent cx="362585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for and on behalf of</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CONVERGENCE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PHARMACEUTICALS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LIMITED</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-108585</wp:posOffset>
            </wp:positionV>
            <wp:extent cx="745490" cy="652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45490" cy="65214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BICYCLE RD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LIMITED</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219"/>
          </w:cols>
          <w:pgMar w:left="240" w:top="322" w:right="1440" w:bottom="1440" w:gutter="0" w:footer="0" w:header="0"/>
        </w:sectPr>
      </w:pPr>
    </w:p>
    <w:bookmarkStart w:id="471" w:name="page472"/>
    <w:bookmarkEnd w:id="4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Execution Date</w:t>
      </w:r>
      <w:r>
        <w:rPr>
          <w:rFonts w:ascii="Arial" w:cs="Arial" w:eastAsia="Arial" w:hAnsi="Arial"/>
          <w:sz w:val="16"/>
          <w:szCs w:val="16"/>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Tenant</w:t>
      </w:r>
      <w:r>
        <w:rPr>
          <w:rFonts w:ascii="Arial" w:cs="Arial" w:eastAsia="Arial" w:hAnsi="Arial"/>
          <w:sz w:val="16"/>
          <w:szCs w:val="16"/>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Tenant’s Mailing Address Prior 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Occupancy</w:t>
      </w:r>
      <w:r>
        <w:rPr>
          <w:rFonts w:ascii="Arial" w:cs="Arial" w:eastAsia="Arial" w:hAnsi="Arial"/>
          <w:sz w:val="16"/>
          <w:szCs w:val="16"/>
          <w:b w:val="1"/>
          <w:bCs w:val="1"/>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Landlord</w:t>
      </w:r>
      <w:r>
        <w:rPr>
          <w:rFonts w:ascii="Arial" w:cs="Arial" w:eastAsia="Arial" w:hAnsi="Arial"/>
          <w:sz w:val="16"/>
          <w:szCs w:val="16"/>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Campus</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Building</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Premises</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Term Commencement Date</w:t>
      </w:r>
      <w:r>
        <w:rPr>
          <w:rFonts w:ascii="Arial" w:cs="Arial" w:eastAsia="Arial" w:hAnsi="Arial"/>
          <w:sz w:val="16"/>
          <w:szCs w:val="16"/>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Rent Commencement Date</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Exhibit 10.14</w:t>
      </w:r>
    </w:p>
    <w:p>
      <w:pPr>
        <w:spacing w:after="0" w:line="211" w:lineRule="exact"/>
        <w:rPr>
          <w:sz w:val="20"/>
          <w:szCs w:val="20"/>
          <w:color w:val="auto"/>
        </w:rPr>
      </w:pPr>
    </w:p>
    <w:p>
      <w:pPr>
        <w:jc w:val="center"/>
        <w:ind w:right="3160"/>
        <w:spacing w:after="0"/>
        <w:rPr>
          <w:sz w:val="20"/>
          <w:szCs w:val="20"/>
          <w:color w:val="auto"/>
        </w:rPr>
      </w:pPr>
      <w:r>
        <w:rPr>
          <w:rFonts w:ascii="Arial" w:cs="Arial" w:eastAsia="Arial" w:hAnsi="Arial"/>
          <w:sz w:val="16"/>
          <w:szCs w:val="16"/>
          <w:color w:val="auto"/>
        </w:rPr>
        <w:t>4 HARTWELL PLACE</w:t>
      </w:r>
    </w:p>
    <w:p>
      <w:pPr>
        <w:spacing w:after="0" w:line="23" w:lineRule="exact"/>
        <w:rPr>
          <w:sz w:val="20"/>
          <w:szCs w:val="20"/>
          <w:color w:val="auto"/>
        </w:rPr>
      </w:pPr>
    </w:p>
    <w:p>
      <w:pPr>
        <w:jc w:val="center"/>
        <w:ind w:right="3160"/>
        <w:spacing w:after="0"/>
        <w:rPr>
          <w:sz w:val="20"/>
          <w:szCs w:val="20"/>
          <w:color w:val="auto"/>
        </w:rPr>
      </w:pPr>
      <w:r>
        <w:rPr>
          <w:rFonts w:ascii="Arial" w:cs="Arial" w:eastAsia="Arial" w:hAnsi="Arial"/>
          <w:sz w:val="16"/>
          <w:szCs w:val="16"/>
          <w:color w:val="auto"/>
        </w:rPr>
        <w:t>LEXINGTON, MASSACHUSETTS 02421</w:t>
      </w:r>
    </w:p>
    <w:p>
      <w:pPr>
        <w:spacing w:after="0" w:line="12" w:lineRule="exact"/>
        <w:rPr>
          <w:sz w:val="20"/>
          <w:szCs w:val="20"/>
          <w:color w:val="auto"/>
        </w:rPr>
      </w:pPr>
    </w:p>
    <w:p>
      <w:pPr>
        <w:jc w:val="center"/>
        <w:ind w:right="3160"/>
        <w:spacing w:after="0"/>
        <w:rPr>
          <w:sz w:val="20"/>
          <w:szCs w:val="20"/>
          <w:color w:val="auto"/>
        </w:rPr>
      </w:pPr>
      <w:r>
        <w:rPr>
          <w:rFonts w:ascii="Arial" w:cs="Arial" w:eastAsia="Arial" w:hAnsi="Arial"/>
          <w:sz w:val="16"/>
          <w:szCs w:val="16"/>
          <w:color w:val="auto"/>
        </w:rPr>
        <w:t>LEASE SUMMARY SHEET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September 26, 2017</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Bicycle Therapeutics Inc., a Delaware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200 CambridgePark Drive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Cambridge, MA 02140</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King 4 Hartwell Place, LLC, a Delaware limited liability company</w:t>
      </w:r>
    </w:p>
    <w:p>
      <w:pPr>
        <w:spacing w:after="0" w:line="207" w:lineRule="exact"/>
        <w:rPr>
          <w:sz w:val="20"/>
          <w:szCs w:val="20"/>
          <w:color w:val="auto"/>
        </w:rPr>
      </w:pPr>
    </w:p>
    <w:p>
      <w:pPr>
        <w:jc w:val="both"/>
        <w:ind w:right="20"/>
        <w:spacing w:after="0" w:line="314" w:lineRule="auto"/>
        <w:rPr>
          <w:sz w:val="20"/>
          <w:szCs w:val="20"/>
          <w:color w:val="auto"/>
        </w:rPr>
      </w:pPr>
      <w:r>
        <w:rPr>
          <w:rFonts w:ascii="Arial" w:cs="Arial" w:eastAsia="Arial" w:hAnsi="Arial"/>
          <w:sz w:val="14"/>
          <w:szCs w:val="14"/>
          <w:color w:val="auto"/>
        </w:rPr>
        <w:t xml:space="preserve">Those certain parcels of land and the buildings thereon, as shown on </w:t>
      </w:r>
      <w:r>
        <w:rPr>
          <w:rFonts w:ascii="Arial" w:cs="Arial" w:eastAsia="Arial" w:hAnsi="Arial"/>
          <w:sz w:val="14"/>
          <w:szCs w:val="14"/>
          <w:u w:val="single" w:color="auto"/>
          <w:color w:val="auto"/>
        </w:rPr>
        <w:t>Exhibit 13</w:t>
      </w:r>
      <w:r>
        <w:rPr>
          <w:rFonts w:ascii="Arial" w:cs="Arial" w:eastAsia="Arial" w:hAnsi="Arial"/>
          <w:sz w:val="14"/>
          <w:szCs w:val="14"/>
          <w:color w:val="auto"/>
        </w:rPr>
        <w:t xml:space="preserve"> attached hereto, including, without limitation, the parking areas, Parking Garage, the buildings known as and located at 4 Hartwell Place, 101 Hartwell Avenue, 113 Hartwell Avenue, and 115 Hartwell Avenue, Lexington, Massachusetts, and other improvements thereon, including, without limitation, the Future Pavilion, as well as any additional buildings or amenities that may be constructed on the Campus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The aggregate total rentable area of the buildings located on the Campus is 276,469 rentable square feet.</w:t>
      </w:r>
    </w:p>
    <w:p>
      <w:pPr>
        <w:spacing w:after="0" w:line="207"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4 Hartwell Place, Lexington, Massachusetts 02421. The Building consists of approximately 40,123 rentable square feet. The land on which the Building is located (the “</w:t>
      </w:r>
      <w:r>
        <w:rPr>
          <w:rFonts w:ascii="Arial" w:cs="Arial" w:eastAsia="Arial" w:hAnsi="Arial"/>
          <w:sz w:val="15"/>
          <w:szCs w:val="15"/>
          <w:b w:val="1"/>
          <w:bCs w:val="1"/>
          <w:u w:val="single" w:color="auto"/>
          <w:color w:val="auto"/>
        </w:rPr>
        <w:t>Land</w:t>
      </w:r>
      <w:r>
        <w:rPr>
          <w:rFonts w:ascii="Arial" w:cs="Arial" w:eastAsia="Arial" w:hAnsi="Arial"/>
          <w:sz w:val="15"/>
          <w:szCs w:val="15"/>
          <w:color w:val="auto"/>
        </w:rPr>
        <w:t xml:space="preserve">”) is more particularly described in </w:t>
      </w:r>
      <w:r>
        <w:rPr>
          <w:rFonts w:ascii="Arial" w:cs="Arial" w:eastAsia="Arial" w:hAnsi="Arial"/>
          <w:sz w:val="15"/>
          <w:szCs w:val="15"/>
          <w:u w:val="single" w:color="auto"/>
          <w:color w:val="auto"/>
        </w:rPr>
        <w:t>Exhibit 2</w:t>
      </w:r>
      <w:r>
        <w:rPr>
          <w:rFonts w:ascii="Arial" w:cs="Arial" w:eastAsia="Arial" w:hAnsi="Arial"/>
          <w:sz w:val="15"/>
          <w:szCs w:val="15"/>
          <w:color w:val="auto"/>
        </w:rPr>
        <w:t xml:space="preserve"> attached hereto and made a part hereof (such land, together with the Building, are hereinafter collectively referred to as the “</w:t>
      </w:r>
      <w:r>
        <w:rPr>
          <w:rFonts w:ascii="Arial" w:cs="Arial" w:eastAsia="Arial" w:hAnsi="Arial"/>
          <w:sz w:val="15"/>
          <w:szCs w:val="15"/>
          <w:b w:val="1"/>
          <w:bCs w:val="1"/>
          <w:u w:val="single" w:color="auto"/>
          <w:color w:val="auto"/>
        </w:rPr>
        <w:t>Property</w:t>
      </w:r>
      <w:r>
        <w:rPr>
          <w:rFonts w:ascii="Arial" w:cs="Arial" w:eastAsia="Arial" w:hAnsi="Arial"/>
          <w:sz w:val="15"/>
          <w:szCs w:val="15"/>
          <w:color w:val="auto"/>
        </w:rPr>
        <w:t>”).</w:t>
      </w:r>
    </w:p>
    <w:p>
      <w:pPr>
        <w:spacing w:after="0" w:line="144"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 xml:space="preserve">Approximately 10,724 rentable square feet of space in the Building, as more particularly shown as hatched, highlighted or outlined on the plan attached hereto as </w:t>
      </w:r>
      <w:r>
        <w:rPr>
          <w:rFonts w:ascii="Arial" w:cs="Arial" w:eastAsia="Arial" w:hAnsi="Arial"/>
          <w:sz w:val="16"/>
          <w:szCs w:val="16"/>
          <w:u w:val="single" w:color="auto"/>
          <w:color w:val="auto"/>
        </w:rPr>
        <w:t>Exhibit 1</w:t>
      </w:r>
      <w:r>
        <w:rPr>
          <w:rFonts w:ascii="Arial" w:cs="Arial" w:eastAsia="Arial" w:hAnsi="Arial"/>
          <w:sz w:val="16"/>
          <w:szCs w:val="16"/>
          <w:color w:val="auto"/>
        </w:rPr>
        <w:t xml:space="preserve"> and made a part hereof (the “</w:t>
      </w:r>
      <w:r>
        <w:rPr>
          <w:rFonts w:ascii="Arial" w:cs="Arial" w:eastAsia="Arial" w:hAnsi="Arial"/>
          <w:sz w:val="16"/>
          <w:szCs w:val="16"/>
          <w:b w:val="1"/>
          <w:bCs w:val="1"/>
          <w:u w:val="single" w:color="auto"/>
          <w:color w:val="auto"/>
        </w:rPr>
        <w:t>Lease Plan</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See Section 3.1(c). The parties estimate that the Term Commencement Date will occur on January 1, 2018</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Term Commencement Date</w:t>
      </w:r>
    </w:p>
    <w:p>
      <w:pPr>
        <w:spacing w:after="0" w:line="207"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74930</wp:posOffset>
            </wp:positionV>
            <wp:extent cx="7280275" cy="279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2">
            <w:col w:w="2440" w:space="720"/>
            <w:col w:w="8280"/>
          </w:cols>
          <w:pgMar w:left="240" w:top="343" w:right="219" w:bottom="1440" w:gutter="0" w:footer="0" w:header="0"/>
        </w:sectPr>
      </w:pPr>
    </w:p>
    <w:bookmarkStart w:id="472" w:name="page473"/>
    <w:bookmarkEnd w:id="472"/>
    <w:tbl>
      <w:tblPr>
        <w:tblLayout w:type="fixed"/>
        <w:tblInd w:w="0" w:type="dxa"/>
        <w:tblCellMar>
          <w:top w:w="0" w:type="dxa"/>
          <w:left w:w="0" w:type="dxa"/>
          <w:bottom w:w="0" w:type="dxa"/>
          <w:right w:w="0" w:type="dxa"/>
        </w:tblCellMar>
      </w:tblPr>
      <w:tr>
        <w:trPr>
          <w:trHeight w:val="184"/>
        </w:trPr>
        <w:tc>
          <w:tcPr>
            <w:tcW w:w="2460" w:type="dxa"/>
            <w:vAlign w:val="bottom"/>
            <w:gridSpan w:val="3"/>
          </w:tcPr>
          <w:p>
            <w:pPr>
              <w:spacing w:after="0"/>
              <w:rPr>
                <w:sz w:val="20"/>
                <w:szCs w:val="20"/>
                <w:color w:val="auto"/>
              </w:rPr>
            </w:pPr>
            <w:r>
              <w:rPr>
                <w:rFonts w:ascii="Arial" w:cs="Arial" w:eastAsia="Arial" w:hAnsi="Arial"/>
                <w:sz w:val="16"/>
                <w:szCs w:val="16"/>
                <w:b w:val="1"/>
                <w:bCs w:val="1"/>
                <w:color w:val="auto"/>
              </w:rPr>
              <w:t>Expiration Date:</w:t>
            </w:r>
          </w:p>
        </w:tc>
        <w:tc>
          <w:tcPr>
            <w:tcW w:w="8760" w:type="dxa"/>
            <w:vAlign w:val="bottom"/>
          </w:tcPr>
          <w:p>
            <w:pPr>
              <w:ind w:left="700"/>
              <w:spacing w:after="0"/>
              <w:rPr>
                <w:sz w:val="20"/>
                <w:szCs w:val="20"/>
                <w:color w:val="auto"/>
              </w:rPr>
            </w:pPr>
            <w:r>
              <w:rPr>
                <w:rFonts w:ascii="Arial" w:cs="Arial" w:eastAsia="Arial" w:hAnsi="Arial"/>
                <w:sz w:val="16"/>
                <w:szCs w:val="16"/>
                <w:color w:val="auto"/>
              </w:rPr>
              <w:t>The last day of the sixtieth (60th) full calendar month following the Term Commencement Date.</w:t>
            </w:r>
          </w:p>
        </w:tc>
      </w:tr>
      <w:tr>
        <w:trPr>
          <w:trHeight w:val="20"/>
        </w:trPr>
        <w:tc>
          <w:tcPr>
            <w:tcW w:w="1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371"/>
        </w:trPr>
        <w:tc>
          <w:tcPr>
            <w:tcW w:w="2460" w:type="dxa"/>
            <w:vAlign w:val="bottom"/>
            <w:gridSpan w:val="3"/>
          </w:tcPr>
          <w:p>
            <w:pPr>
              <w:spacing w:after="0"/>
              <w:rPr>
                <w:sz w:val="20"/>
                <w:szCs w:val="20"/>
                <w:color w:val="auto"/>
              </w:rPr>
            </w:pPr>
            <w:r>
              <w:rPr>
                <w:rFonts w:ascii="Arial" w:cs="Arial" w:eastAsia="Arial" w:hAnsi="Arial"/>
                <w:sz w:val="16"/>
                <w:szCs w:val="16"/>
                <w:b w:val="1"/>
                <w:bCs w:val="1"/>
                <w:color w:val="auto"/>
              </w:rPr>
              <w:t>Extension Term:</w:t>
            </w:r>
          </w:p>
        </w:tc>
        <w:tc>
          <w:tcPr>
            <w:tcW w:w="8760" w:type="dxa"/>
            <w:vAlign w:val="bottom"/>
          </w:tcPr>
          <w:p>
            <w:pPr>
              <w:ind w:left="700"/>
              <w:spacing w:after="0"/>
              <w:rPr>
                <w:sz w:val="20"/>
                <w:szCs w:val="20"/>
                <w:color w:val="auto"/>
              </w:rPr>
            </w:pPr>
            <w:r>
              <w:rPr>
                <w:rFonts w:ascii="Arial" w:cs="Arial" w:eastAsia="Arial" w:hAnsi="Arial"/>
                <w:sz w:val="16"/>
                <w:szCs w:val="16"/>
                <w:color w:val="auto"/>
              </w:rPr>
              <w:t>Subject to Section 1.3 below, one (1) extension term of five (5) years.</w:t>
            </w:r>
          </w:p>
        </w:tc>
      </w:tr>
      <w:tr>
        <w:trPr>
          <w:trHeight w:val="20"/>
        </w:trPr>
        <w:tc>
          <w:tcPr>
            <w:tcW w:w="1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371"/>
        </w:trPr>
        <w:tc>
          <w:tcPr>
            <w:tcW w:w="2460" w:type="dxa"/>
            <w:vAlign w:val="bottom"/>
            <w:gridSpan w:val="3"/>
          </w:tcPr>
          <w:p>
            <w:pPr>
              <w:spacing w:after="0"/>
              <w:rPr>
                <w:sz w:val="20"/>
                <w:szCs w:val="20"/>
                <w:color w:val="auto"/>
              </w:rPr>
            </w:pPr>
            <w:r>
              <w:rPr>
                <w:rFonts w:ascii="Arial" w:cs="Arial" w:eastAsia="Arial" w:hAnsi="Arial"/>
                <w:sz w:val="16"/>
                <w:szCs w:val="16"/>
                <w:b w:val="1"/>
                <w:bCs w:val="1"/>
                <w:color w:val="auto"/>
              </w:rPr>
              <w:t>Landlord’s Contribution:</w:t>
            </w:r>
          </w:p>
        </w:tc>
        <w:tc>
          <w:tcPr>
            <w:tcW w:w="8760" w:type="dxa"/>
            <w:vAlign w:val="bottom"/>
          </w:tcPr>
          <w:p>
            <w:pPr>
              <w:ind w:left="700"/>
              <w:spacing w:after="0"/>
              <w:rPr>
                <w:sz w:val="20"/>
                <w:szCs w:val="20"/>
                <w:color w:val="auto"/>
              </w:rPr>
            </w:pPr>
            <w:r>
              <w:rPr>
                <w:rFonts w:ascii="Arial" w:cs="Arial" w:eastAsia="Arial" w:hAnsi="Arial"/>
                <w:sz w:val="16"/>
                <w:szCs w:val="16"/>
                <w:color w:val="auto"/>
              </w:rPr>
              <w:t>None.</w:t>
            </w:r>
          </w:p>
        </w:tc>
      </w:tr>
      <w:tr>
        <w:trPr>
          <w:trHeight w:val="371"/>
        </w:trPr>
        <w:tc>
          <w:tcPr>
            <w:tcW w:w="17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Permitted Uses:</w:t>
            </w:r>
          </w:p>
        </w:tc>
        <w:tc>
          <w:tcPr>
            <w:tcW w:w="740" w:type="dxa"/>
            <w:vAlign w:val="bottom"/>
          </w:tcPr>
          <w:p>
            <w:pPr>
              <w:spacing w:after="0"/>
              <w:rPr>
                <w:sz w:val="24"/>
                <w:szCs w:val="24"/>
                <w:color w:val="auto"/>
              </w:rPr>
            </w:pPr>
          </w:p>
        </w:tc>
        <w:tc>
          <w:tcPr>
            <w:tcW w:w="8760" w:type="dxa"/>
            <w:vAlign w:val="bottom"/>
          </w:tcPr>
          <w:p>
            <w:pPr>
              <w:ind w:left="700"/>
              <w:spacing w:after="0"/>
              <w:rPr>
                <w:sz w:val="20"/>
                <w:szCs w:val="20"/>
                <w:color w:val="auto"/>
              </w:rPr>
            </w:pPr>
            <w:r>
              <w:rPr>
                <w:rFonts w:ascii="Arial" w:cs="Arial" w:eastAsia="Arial" w:hAnsi="Arial"/>
                <w:sz w:val="16"/>
                <w:szCs w:val="16"/>
                <w:color w:val="auto"/>
                <w:w w:val="91"/>
              </w:rPr>
              <w:t>Subject to Legal Requirements, general office, research, development and laboratory use, and other ancillary uses related to</w:t>
            </w:r>
          </w:p>
        </w:tc>
      </w:tr>
      <w:tr>
        <w:trPr>
          <w:trHeight w:val="211"/>
        </w:trPr>
        <w:tc>
          <w:tcPr>
            <w:tcW w:w="11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6"/>
                <w:szCs w:val="16"/>
                <w:color w:val="auto"/>
              </w:rPr>
              <w:t>the foregoing.</w:t>
            </w: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6"/>
              </w:rPr>
              <w:t>Base Rent:</w:t>
            </w:r>
          </w:p>
        </w:tc>
        <w:tc>
          <w:tcPr>
            <w:tcW w:w="58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ANNUAL BASE</w:t>
            </w:r>
          </w:p>
        </w:tc>
        <w:tc>
          <w:tcPr>
            <w:tcW w:w="400" w:type="dxa"/>
            <w:vAlign w:val="bottom"/>
          </w:tcPr>
          <w:p>
            <w:pPr>
              <w:spacing w:after="0"/>
              <w:rPr>
                <w:sz w:val="17"/>
                <w:szCs w:val="17"/>
                <w:color w:val="auto"/>
              </w:rPr>
            </w:pPr>
          </w:p>
        </w:tc>
        <w:tc>
          <w:tcPr>
            <w:tcW w:w="1960" w:type="dxa"/>
            <w:vAlign w:val="bottom"/>
            <w:gridSpan w:val="2"/>
          </w:tcPr>
          <w:p>
            <w:pPr>
              <w:jc w:val="right"/>
              <w:ind w:right="940"/>
              <w:spacing w:after="0"/>
              <w:rPr>
                <w:sz w:val="20"/>
                <w:szCs w:val="20"/>
                <w:color w:val="auto"/>
              </w:rPr>
            </w:pPr>
            <w:r>
              <w:rPr>
                <w:rFonts w:ascii="Arial" w:cs="Arial" w:eastAsia="Arial" w:hAnsi="Arial"/>
                <w:sz w:val="13"/>
                <w:szCs w:val="13"/>
                <w:b w:val="1"/>
                <w:bCs w:val="1"/>
                <w:color w:val="auto"/>
              </w:rPr>
              <w:t>MONTHLY</w:t>
            </w:r>
          </w:p>
        </w:tc>
      </w:tr>
      <w:tr>
        <w:trPr>
          <w:trHeight w:val="15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b w:val="1"/>
                <w:bCs w:val="1"/>
                <w:color w:val="auto"/>
              </w:rPr>
              <w:t>PERIOD</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3"/>
                <w:szCs w:val="13"/>
                <w:b w:val="1"/>
                <w:bCs w:val="1"/>
                <w:color w:val="auto"/>
              </w:rPr>
              <w:t>RENT</w:t>
            </w:r>
          </w:p>
        </w:tc>
        <w:tc>
          <w:tcPr>
            <w:tcW w:w="400" w:type="dxa"/>
            <w:vAlign w:val="bottom"/>
          </w:tcPr>
          <w:p>
            <w:pPr>
              <w:spacing w:after="0"/>
              <w:rPr>
                <w:sz w:val="13"/>
                <w:szCs w:val="13"/>
                <w:color w:val="auto"/>
              </w:rPr>
            </w:pPr>
          </w:p>
        </w:tc>
        <w:tc>
          <w:tcPr>
            <w:tcW w:w="1960" w:type="dxa"/>
            <w:vAlign w:val="bottom"/>
            <w:gridSpan w:val="2"/>
          </w:tcPr>
          <w:p>
            <w:pPr>
              <w:jc w:val="right"/>
              <w:ind w:right="960"/>
              <w:spacing w:after="0"/>
              <w:rPr>
                <w:sz w:val="20"/>
                <w:szCs w:val="20"/>
                <w:color w:val="auto"/>
              </w:rPr>
            </w:pPr>
            <w:r>
              <w:rPr>
                <w:rFonts w:ascii="Arial" w:cs="Arial" w:eastAsia="Arial" w:hAnsi="Arial"/>
                <w:sz w:val="13"/>
                <w:szCs w:val="13"/>
                <w:b w:val="1"/>
                <w:bCs w:val="1"/>
                <w:color w:val="auto"/>
              </w:rPr>
              <w:t>PAYMENT</w:t>
            </w: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Lease Year 1</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428,960.00</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35,746.67</w:t>
            </w: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Lease Year 2</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300"/>
              <w:spacing w:after="0"/>
              <w:rPr>
                <w:sz w:val="20"/>
                <w:szCs w:val="20"/>
                <w:color w:val="auto"/>
              </w:rPr>
            </w:pPr>
            <w:r>
              <w:rPr>
                <w:rFonts w:ascii="Arial" w:cs="Arial" w:eastAsia="Arial" w:hAnsi="Arial"/>
                <w:sz w:val="16"/>
                <w:szCs w:val="16"/>
                <w:color w:val="auto"/>
              </w:rPr>
              <w:t>441,828.80</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0"/>
              <w:spacing w:after="0"/>
              <w:rPr>
                <w:sz w:val="20"/>
                <w:szCs w:val="20"/>
                <w:color w:val="auto"/>
              </w:rPr>
            </w:pPr>
            <w:r>
              <w:rPr>
                <w:rFonts w:ascii="Arial" w:cs="Arial" w:eastAsia="Arial" w:hAnsi="Arial"/>
                <w:sz w:val="16"/>
                <w:szCs w:val="16"/>
                <w:color w:val="auto"/>
              </w:rPr>
              <w:t>36,819.07</w:t>
            </w: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Lease Year 3</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455,083.66</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37,923.64</w:t>
            </w: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Lease Year 4</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300"/>
              <w:spacing w:after="0"/>
              <w:rPr>
                <w:sz w:val="20"/>
                <w:szCs w:val="20"/>
                <w:color w:val="auto"/>
              </w:rPr>
            </w:pPr>
            <w:r>
              <w:rPr>
                <w:rFonts w:ascii="Arial" w:cs="Arial" w:eastAsia="Arial" w:hAnsi="Arial"/>
                <w:sz w:val="16"/>
                <w:szCs w:val="16"/>
                <w:color w:val="auto"/>
              </w:rPr>
              <w:t>468,736.17</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0"/>
              <w:spacing w:after="0"/>
              <w:rPr>
                <w:sz w:val="20"/>
                <w:szCs w:val="20"/>
                <w:color w:val="auto"/>
              </w:rPr>
            </w:pPr>
            <w:r>
              <w:rPr>
                <w:rFonts w:ascii="Arial" w:cs="Arial" w:eastAsia="Arial" w:hAnsi="Arial"/>
                <w:sz w:val="16"/>
                <w:szCs w:val="16"/>
                <w:color w:val="auto"/>
              </w:rPr>
              <w:t>39,061.35</w:t>
            </w: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Lease Year 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482,798.26</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40,233.19</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gridSpan w:val="6"/>
          </w:tcPr>
          <w:p>
            <w:pPr>
              <w:spacing w:after="0"/>
              <w:rPr>
                <w:sz w:val="20"/>
                <w:szCs w:val="20"/>
                <w:color w:val="auto"/>
              </w:rPr>
            </w:pPr>
            <w:r>
              <w:rPr>
                <w:rFonts w:ascii="Arial" w:cs="Arial" w:eastAsia="Arial" w:hAnsi="Arial"/>
                <w:sz w:val="16"/>
                <w:szCs w:val="16"/>
                <w:b w:val="1"/>
                <w:bCs w:val="1"/>
                <w:color w:val="auto"/>
              </w:rPr>
              <w:t>Lease Year:</w:t>
            </w:r>
          </w:p>
        </w:tc>
        <w:tc>
          <w:tcPr>
            <w:tcW w:w="8720" w:type="dxa"/>
            <w:vAlign w:val="bottom"/>
          </w:tcPr>
          <w:p>
            <w:pPr>
              <w:ind w:left="420"/>
              <w:spacing w:after="0"/>
              <w:rPr>
                <w:sz w:val="20"/>
                <w:szCs w:val="20"/>
                <w:color w:val="auto"/>
              </w:rPr>
            </w:pPr>
            <w:r>
              <w:rPr>
                <w:rFonts w:ascii="Arial" w:cs="Arial" w:eastAsia="Arial" w:hAnsi="Arial"/>
                <w:sz w:val="16"/>
                <w:szCs w:val="16"/>
                <w:color w:val="auto"/>
                <w:w w:val="95"/>
              </w:rPr>
              <w:t>The first “</w:t>
            </w:r>
            <w:r>
              <w:rPr>
                <w:rFonts w:ascii="Arial" w:cs="Arial" w:eastAsia="Arial" w:hAnsi="Arial"/>
                <w:sz w:val="16"/>
                <w:szCs w:val="16"/>
                <w:b w:val="1"/>
                <w:bCs w:val="1"/>
                <w:color w:val="auto"/>
                <w:w w:val="95"/>
              </w:rPr>
              <w:t>Lease Year</w:t>
            </w:r>
            <w:r>
              <w:rPr>
                <w:rFonts w:ascii="Arial" w:cs="Arial" w:eastAsia="Arial" w:hAnsi="Arial"/>
                <w:sz w:val="16"/>
                <w:szCs w:val="16"/>
                <w:color w:val="auto"/>
                <w:w w:val="95"/>
              </w:rPr>
              <w:t>” shall begin on the Term Commencement Date and shall end on the last day of the twelfth (12th) full</w:t>
            </w:r>
          </w:p>
        </w:tc>
      </w:tr>
      <w:tr>
        <w:trPr>
          <w:trHeight w:val="200"/>
        </w:trPr>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720" w:type="dxa"/>
            <w:vAlign w:val="bottom"/>
          </w:tcPr>
          <w:p>
            <w:pPr>
              <w:ind w:left="420"/>
              <w:spacing w:after="0"/>
              <w:rPr>
                <w:sz w:val="20"/>
                <w:szCs w:val="20"/>
                <w:color w:val="auto"/>
              </w:rPr>
            </w:pPr>
            <w:r>
              <w:rPr>
                <w:rFonts w:ascii="Arial" w:cs="Arial" w:eastAsia="Arial" w:hAnsi="Arial"/>
                <w:sz w:val="16"/>
                <w:szCs w:val="16"/>
                <w:color w:val="auto"/>
                <w:w w:val="92"/>
              </w:rPr>
              <w:t>calendar month following the Term Commencement Date. Each Lease Year thereafter shall consist of twelve (12) consecutive</w:t>
            </w:r>
          </w:p>
        </w:tc>
      </w:tr>
      <w:tr>
        <w:trPr>
          <w:trHeight w:val="207"/>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6"/>
                <w:szCs w:val="16"/>
                <w:color w:val="auto"/>
              </w:rPr>
              <w:t>calendar months following the end of the immediately preceding Lease Year.</w:t>
            </w:r>
          </w:p>
        </w:tc>
      </w:tr>
      <w:tr>
        <w:trPr>
          <w:trHeight w:val="355"/>
        </w:trPr>
        <w:tc>
          <w:tcPr>
            <w:tcW w:w="2740" w:type="dxa"/>
            <w:vAlign w:val="bottom"/>
            <w:gridSpan w:val="6"/>
          </w:tcPr>
          <w:p>
            <w:pPr>
              <w:spacing w:after="0"/>
              <w:rPr>
                <w:sz w:val="20"/>
                <w:szCs w:val="20"/>
                <w:color w:val="auto"/>
              </w:rPr>
            </w:pPr>
            <w:r>
              <w:rPr>
                <w:rFonts w:ascii="Arial" w:cs="Arial" w:eastAsia="Arial" w:hAnsi="Arial"/>
                <w:sz w:val="16"/>
                <w:szCs w:val="16"/>
                <w:b w:val="1"/>
                <w:bCs w:val="1"/>
                <w:color w:val="auto"/>
              </w:rPr>
              <w:t>Operating Costs and Taxes:</w:t>
            </w:r>
          </w:p>
        </w:tc>
        <w:tc>
          <w:tcPr>
            <w:tcW w:w="8720" w:type="dxa"/>
            <w:vAlign w:val="bottom"/>
          </w:tcPr>
          <w:p>
            <w:pPr>
              <w:ind w:left="420"/>
              <w:spacing w:after="0"/>
              <w:rPr>
                <w:sz w:val="20"/>
                <w:szCs w:val="20"/>
                <w:color w:val="auto"/>
              </w:rPr>
            </w:pPr>
            <w:r>
              <w:rPr>
                <w:rFonts w:ascii="Arial" w:cs="Arial" w:eastAsia="Arial" w:hAnsi="Arial"/>
                <w:sz w:val="16"/>
                <w:szCs w:val="16"/>
                <w:color w:val="auto"/>
              </w:rPr>
              <w:t>See Section 5.2 and 5.3</w:t>
            </w:r>
          </w:p>
        </w:tc>
      </w:tr>
      <w:tr>
        <w:trPr>
          <w:trHeight w:val="371"/>
        </w:trPr>
        <w:tc>
          <w:tcPr>
            <w:tcW w:w="1880" w:type="dxa"/>
            <w:vAlign w:val="bottom"/>
            <w:tcBorders>
              <w:top w:val="single" w:sz="8" w:color="auto"/>
            </w:tcBorders>
            <w:gridSpan w:val="4"/>
          </w:tcPr>
          <w:p>
            <w:pPr>
              <w:spacing w:after="0"/>
              <w:rPr>
                <w:sz w:val="20"/>
                <w:szCs w:val="20"/>
                <w:color w:val="auto"/>
              </w:rPr>
            </w:pPr>
            <w:r>
              <w:rPr>
                <w:rFonts w:ascii="Arial" w:cs="Arial" w:eastAsia="Arial" w:hAnsi="Arial"/>
                <w:sz w:val="16"/>
                <w:szCs w:val="16"/>
                <w:b w:val="1"/>
                <w:bCs w:val="1"/>
                <w:color w:val="auto"/>
              </w:rPr>
              <w:t>Tenant’s Share:</w:t>
            </w:r>
          </w:p>
        </w:tc>
        <w:tc>
          <w:tcPr>
            <w:tcW w:w="860" w:type="dxa"/>
            <w:vAlign w:val="bottom"/>
            <w:gridSpan w:val="2"/>
          </w:tcPr>
          <w:p>
            <w:pPr>
              <w:spacing w:after="0"/>
              <w:rPr>
                <w:sz w:val="24"/>
                <w:szCs w:val="24"/>
                <w:color w:val="auto"/>
              </w:rPr>
            </w:pPr>
          </w:p>
        </w:tc>
        <w:tc>
          <w:tcPr>
            <w:tcW w:w="8720" w:type="dxa"/>
            <w:vAlign w:val="bottom"/>
          </w:tcPr>
          <w:p>
            <w:pPr>
              <w:ind w:left="420"/>
              <w:spacing w:after="0"/>
              <w:rPr>
                <w:sz w:val="20"/>
                <w:szCs w:val="20"/>
                <w:color w:val="auto"/>
              </w:rPr>
            </w:pPr>
            <w:r>
              <w:rPr>
                <w:rFonts w:ascii="Arial" w:cs="Arial" w:eastAsia="Arial" w:hAnsi="Arial"/>
                <w:sz w:val="16"/>
                <w:szCs w:val="16"/>
                <w:color w:val="auto"/>
                <w:w w:val="94"/>
              </w:rPr>
              <w:t>A fraction, the numerator of which is the number of rentable square feet in the Premises and the denominator of which is the</w:t>
            </w:r>
          </w:p>
        </w:tc>
      </w:tr>
      <w:tr>
        <w:trPr>
          <w:trHeight w:val="211"/>
        </w:trPr>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6"/>
                <w:szCs w:val="16"/>
                <w:color w:val="auto"/>
              </w:rPr>
              <w:t>number of rentable square feet in the Building. As of the Execution Date, Tenant’s Share is 26.73%.</w:t>
            </w:r>
          </w:p>
        </w:tc>
      </w:tr>
      <w:tr>
        <w:trPr>
          <w:trHeight w:val="355"/>
        </w:trPr>
        <w:tc>
          <w:tcPr>
            <w:tcW w:w="2740" w:type="dxa"/>
            <w:vAlign w:val="bottom"/>
            <w:gridSpan w:val="6"/>
          </w:tcPr>
          <w:p>
            <w:pPr>
              <w:spacing w:after="0"/>
              <w:rPr>
                <w:sz w:val="20"/>
                <w:szCs w:val="20"/>
                <w:color w:val="auto"/>
              </w:rPr>
            </w:pPr>
            <w:r>
              <w:rPr>
                <w:rFonts w:ascii="Arial" w:cs="Arial" w:eastAsia="Arial" w:hAnsi="Arial"/>
                <w:sz w:val="16"/>
                <w:szCs w:val="16"/>
                <w:b w:val="1"/>
                <w:bCs w:val="1"/>
                <w:color w:val="auto"/>
              </w:rPr>
              <w:t>Security Deposit/Letter of Credit:</w:t>
            </w:r>
          </w:p>
        </w:tc>
        <w:tc>
          <w:tcPr>
            <w:tcW w:w="8720" w:type="dxa"/>
            <w:vAlign w:val="bottom"/>
          </w:tcPr>
          <w:p>
            <w:pPr>
              <w:ind w:left="420"/>
              <w:spacing w:after="0"/>
              <w:rPr>
                <w:sz w:val="20"/>
                <w:szCs w:val="20"/>
                <w:color w:val="auto"/>
              </w:rPr>
            </w:pPr>
            <w:r>
              <w:rPr>
                <w:rFonts w:ascii="Arial" w:cs="Arial" w:eastAsia="Arial" w:hAnsi="Arial"/>
                <w:sz w:val="16"/>
                <w:szCs w:val="16"/>
                <w:color w:val="auto"/>
              </w:rPr>
              <w:t>$214,480.00</w:t>
            </w:r>
          </w:p>
        </w:tc>
      </w:tr>
      <w:tr>
        <w:trPr>
          <w:trHeight w:val="371"/>
        </w:trPr>
        <w:tc>
          <w:tcPr>
            <w:tcW w:w="2280" w:type="dxa"/>
            <w:vAlign w:val="bottom"/>
            <w:tcBorders>
              <w:top w:val="single" w:sz="8" w:color="auto"/>
            </w:tcBorders>
            <w:gridSpan w:val="5"/>
          </w:tcPr>
          <w:p>
            <w:pPr>
              <w:spacing w:after="0"/>
              <w:rPr>
                <w:sz w:val="20"/>
                <w:szCs w:val="20"/>
                <w:color w:val="auto"/>
              </w:rPr>
            </w:pPr>
            <w:r>
              <w:rPr>
                <w:rFonts w:ascii="Arial" w:cs="Arial" w:eastAsia="Arial" w:hAnsi="Arial"/>
                <w:sz w:val="16"/>
                <w:szCs w:val="16"/>
                <w:b w:val="1"/>
                <w:bCs w:val="1"/>
                <w:color w:val="auto"/>
              </w:rPr>
              <w:t>Prepaid Rent:</w:t>
            </w:r>
          </w:p>
        </w:tc>
        <w:tc>
          <w:tcPr>
            <w:tcW w:w="460" w:type="dxa"/>
            <w:vAlign w:val="bottom"/>
          </w:tcPr>
          <w:p>
            <w:pPr>
              <w:spacing w:after="0"/>
              <w:rPr>
                <w:sz w:val="24"/>
                <w:szCs w:val="24"/>
                <w:color w:val="auto"/>
              </w:rPr>
            </w:pPr>
          </w:p>
        </w:tc>
        <w:tc>
          <w:tcPr>
            <w:tcW w:w="8720" w:type="dxa"/>
            <w:vAlign w:val="bottom"/>
          </w:tcPr>
          <w:p>
            <w:pPr>
              <w:ind w:left="420"/>
              <w:spacing w:after="0"/>
              <w:rPr>
                <w:sz w:val="20"/>
                <w:szCs w:val="20"/>
                <w:color w:val="auto"/>
              </w:rPr>
            </w:pPr>
            <w:r>
              <w:rPr>
                <w:rFonts w:ascii="Arial" w:cs="Arial" w:eastAsia="Arial" w:hAnsi="Arial"/>
                <w:sz w:val="16"/>
                <w:szCs w:val="16"/>
                <w:color w:val="auto"/>
              </w:rPr>
              <w:t>$117,218.18</w:t>
            </w:r>
          </w:p>
        </w:tc>
      </w:tr>
      <w:tr>
        <w:trPr>
          <w:trHeight w:val="407"/>
        </w:trPr>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20" w:type="dxa"/>
            <w:vAlign w:val="bottom"/>
          </w:tcPr>
          <w:p>
            <w:pPr>
              <w:ind w:left="2940"/>
              <w:spacing w:after="0"/>
              <w:rPr>
                <w:sz w:val="20"/>
                <w:szCs w:val="20"/>
                <w:color w:val="auto"/>
              </w:rPr>
            </w:pPr>
            <w:r>
              <w:rPr>
                <w:rFonts w:ascii="Arial" w:cs="Arial" w:eastAsia="Arial" w:hAnsi="Arial"/>
                <w:sz w:val="16"/>
                <w:szCs w:val="16"/>
                <w:color w:val="auto"/>
              </w:rPr>
              <w:t>2</w:t>
            </w:r>
          </w:p>
        </w:tc>
      </w:tr>
      <w:tr>
        <w:trPr>
          <w:trHeight w:val="119"/>
        </w:trPr>
        <w:tc>
          <w:tcPr>
            <w:tcW w:w="7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0" w:right="199" w:bottom="1440" w:gutter="0" w:footer="0" w:header="0"/>
        </w:sectPr>
      </w:pPr>
    </w:p>
    <w:bookmarkStart w:id="473" w:name="page474"/>
    <w:bookmarkEnd w:id="473"/>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6480" w:type="dxa"/>
            <w:vAlign w:val="bottom"/>
            <w:gridSpan w:val="2"/>
          </w:tcPr>
          <w:p>
            <w:pPr>
              <w:spacing w:after="0"/>
              <w:rPr>
                <w:sz w:val="20"/>
                <w:szCs w:val="20"/>
                <w:color w:val="auto"/>
              </w:rPr>
            </w:pPr>
            <w:r>
              <w:rPr>
                <w:rFonts w:ascii="Arial" w:cs="Arial" w:eastAsia="Arial" w:hAnsi="Arial"/>
                <w:sz w:val="16"/>
                <w:szCs w:val="16"/>
                <w:b w:val="1"/>
                <w:bCs w:val="1"/>
                <w:color w:val="auto"/>
              </w:rPr>
              <w:t>LIST OF EXHIBITS</w:t>
            </w:r>
          </w:p>
        </w:tc>
      </w:tr>
      <w:tr>
        <w:trPr>
          <w:trHeight w:val="395"/>
        </w:trPr>
        <w:tc>
          <w:tcPr>
            <w:tcW w:w="1180" w:type="dxa"/>
            <w:vAlign w:val="bottom"/>
          </w:tcPr>
          <w:p>
            <w:pPr>
              <w:spacing w:after="0"/>
              <w:rPr>
                <w:sz w:val="20"/>
                <w:szCs w:val="20"/>
                <w:color w:val="auto"/>
              </w:rPr>
            </w:pPr>
            <w:r>
              <w:rPr>
                <w:rFonts w:ascii="Arial" w:cs="Arial" w:eastAsia="Arial" w:hAnsi="Arial"/>
                <w:sz w:val="16"/>
                <w:szCs w:val="16"/>
                <w:color w:val="auto"/>
              </w:rPr>
              <w:t>EXHIBIT 1</w:t>
            </w:r>
          </w:p>
        </w:tc>
        <w:tc>
          <w:tcPr>
            <w:tcW w:w="3800" w:type="dxa"/>
            <w:vAlign w:val="bottom"/>
          </w:tcPr>
          <w:p>
            <w:pPr>
              <w:ind w:left="300"/>
              <w:spacing w:after="0"/>
              <w:rPr>
                <w:sz w:val="20"/>
                <w:szCs w:val="20"/>
                <w:color w:val="auto"/>
              </w:rPr>
            </w:pPr>
            <w:r>
              <w:rPr>
                <w:rFonts w:ascii="Arial" w:cs="Arial" w:eastAsia="Arial" w:hAnsi="Arial"/>
                <w:sz w:val="16"/>
                <w:szCs w:val="16"/>
                <w:color w:val="auto"/>
              </w:rPr>
              <w:t>LEASE PLAN</w:t>
            </w:r>
          </w:p>
        </w:tc>
        <w:tc>
          <w:tcPr>
            <w:tcW w:w="146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1A</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CONTROL AREAS</w:t>
            </w: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2</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LEGAL DESCRIPTION</w:t>
            </w: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3</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INTENTIONALLY OMITTED</w:t>
            </w: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4</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INTENTIONALLY OMITTED</w:t>
            </w: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5</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FORM OF LETTER OF CREDIT</w:t>
            </w: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6</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LANDLORD’S SERVICES</w:t>
            </w: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7</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TENANT’S HAZARDOUS MATERIALS</w:t>
            </w: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7A</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ENVIRONMENTAL ASSESSMENT REPORT</w:t>
            </w: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8</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RULES AND REGULATIONS</w:t>
            </w: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9</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INSURANCE REQUIREMENTS FOR TENANT’S CONTRACTORS</w:t>
            </w: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10</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PTDM</w:t>
            </w: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11</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INVENTORY OF FURNITURE. FIXTURES AND EQUIPMENT</w:t>
            </w:r>
          </w:p>
        </w:tc>
      </w:tr>
      <w:tr>
        <w:trPr>
          <w:trHeight w:val="196"/>
        </w:trPr>
        <w:tc>
          <w:tcPr>
            <w:tcW w:w="1180" w:type="dxa"/>
            <w:vAlign w:val="bottom"/>
          </w:tcPr>
          <w:p>
            <w:pPr>
              <w:spacing w:after="0"/>
              <w:rPr>
                <w:sz w:val="20"/>
                <w:szCs w:val="20"/>
                <w:color w:val="auto"/>
              </w:rPr>
            </w:pPr>
            <w:r>
              <w:rPr>
                <w:rFonts w:ascii="Arial" w:cs="Arial" w:eastAsia="Arial" w:hAnsi="Arial"/>
                <w:sz w:val="16"/>
                <w:szCs w:val="16"/>
                <w:color w:val="auto"/>
              </w:rPr>
              <w:t>EXHIBIT 12</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SIGNAGE GUIDELINES</w:t>
            </w:r>
          </w:p>
        </w:tc>
      </w:tr>
      <w:tr>
        <w:trPr>
          <w:trHeight w:val="207"/>
        </w:trPr>
        <w:tc>
          <w:tcPr>
            <w:tcW w:w="1180" w:type="dxa"/>
            <w:vAlign w:val="bottom"/>
          </w:tcPr>
          <w:p>
            <w:pPr>
              <w:spacing w:after="0"/>
              <w:rPr>
                <w:sz w:val="20"/>
                <w:szCs w:val="20"/>
                <w:color w:val="auto"/>
              </w:rPr>
            </w:pPr>
            <w:r>
              <w:rPr>
                <w:rFonts w:ascii="Arial" w:cs="Arial" w:eastAsia="Arial" w:hAnsi="Arial"/>
                <w:sz w:val="16"/>
                <w:szCs w:val="16"/>
                <w:color w:val="auto"/>
              </w:rPr>
              <w:t>EXHIBIT 13</w:t>
            </w:r>
          </w:p>
        </w:tc>
        <w:tc>
          <w:tcPr>
            <w:tcW w:w="10280" w:type="dxa"/>
            <w:vAlign w:val="bottom"/>
            <w:gridSpan w:val="3"/>
          </w:tcPr>
          <w:p>
            <w:pPr>
              <w:ind w:left="300"/>
              <w:spacing w:after="0"/>
              <w:rPr>
                <w:sz w:val="20"/>
                <w:szCs w:val="20"/>
                <w:color w:val="auto"/>
              </w:rPr>
            </w:pPr>
            <w:r>
              <w:rPr>
                <w:rFonts w:ascii="Arial" w:cs="Arial" w:eastAsia="Arial" w:hAnsi="Arial"/>
                <w:sz w:val="16"/>
                <w:szCs w:val="16"/>
                <w:color w:val="auto"/>
              </w:rPr>
              <w:t>CAMPUS PLAN</w:t>
            </w:r>
          </w:p>
        </w:tc>
      </w:tr>
      <w:tr>
        <w:trPr>
          <w:trHeight w:val="391"/>
        </w:trPr>
        <w:tc>
          <w:tcPr>
            <w:tcW w:w="1180" w:type="dxa"/>
            <w:vAlign w:val="bottom"/>
          </w:tcPr>
          <w:p>
            <w:pPr>
              <w:spacing w:after="0"/>
              <w:rPr>
                <w:sz w:val="24"/>
                <w:szCs w:val="24"/>
                <w:color w:val="auto"/>
              </w:rPr>
            </w:pPr>
          </w:p>
        </w:tc>
        <w:tc>
          <w:tcPr>
            <w:tcW w:w="5260" w:type="dxa"/>
            <w:vAlign w:val="bottom"/>
            <w:gridSpan w:val="2"/>
          </w:tcPr>
          <w:p>
            <w:pPr>
              <w:ind w:left="4500"/>
              <w:spacing w:after="0"/>
              <w:rPr>
                <w:sz w:val="20"/>
                <w:szCs w:val="20"/>
                <w:color w:val="auto"/>
              </w:rPr>
            </w:pPr>
            <w:r>
              <w:rPr>
                <w:rFonts w:ascii="Arial" w:cs="Arial" w:eastAsia="Arial" w:hAnsi="Arial"/>
                <w:sz w:val="16"/>
                <w:szCs w:val="16"/>
                <w:color w:val="auto"/>
              </w:rPr>
              <w:t>3</w:t>
            </w:r>
          </w:p>
        </w:tc>
        <w:tc>
          <w:tcPr>
            <w:tcW w:w="5020" w:type="dxa"/>
            <w:vAlign w:val="bottom"/>
          </w:tcPr>
          <w:p>
            <w:pPr>
              <w:spacing w:after="0"/>
              <w:rPr>
                <w:sz w:val="24"/>
                <w:szCs w:val="24"/>
                <w:color w:val="auto"/>
              </w:rPr>
            </w:pPr>
          </w:p>
        </w:tc>
      </w:tr>
      <w:tr>
        <w:trPr>
          <w:trHeight w:val="119"/>
        </w:trPr>
        <w:tc>
          <w:tcPr>
            <w:tcW w:w="1180" w:type="dxa"/>
            <w:vAlign w:val="bottom"/>
            <w:tcBorders>
              <w:bottom w:val="single" w:sz="8" w:color="808080"/>
            </w:tcBorders>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0" w:right="199" w:bottom="1440" w:gutter="0" w:footer="0" w:header="0"/>
        </w:sectPr>
      </w:pPr>
    </w:p>
    <w:bookmarkStart w:id="474" w:name="page475"/>
    <w:bookmarkEnd w:id="474"/>
    <w:p>
      <w:pPr>
        <w:ind w:left="582"/>
        <w:spacing w:after="0"/>
        <w:rPr>
          <w:sz w:val="20"/>
          <w:szCs w:val="20"/>
          <w:color w:val="auto"/>
        </w:rPr>
      </w:pPr>
      <w:r>
        <w:rPr>
          <w:rFonts w:ascii="Arial" w:cs="Arial" w:eastAsia="Arial" w:hAnsi="Arial"/>
          <w:sz w:val="16"/>
          <w:szCs w:val="16"/>
          <w:color w:val="auto"/>
        </w:rPr>
        <w:t>THIS INDENTURE OF LEASE (this “</w:t>
      </w:r>
      <w:r>
        <w:rPr>
          <w:rFonts w:ascii="Arial" w:cs="Arial" w:eastAsia="Arial" w:hAnsi="Arial"/>
          <w:sz w:val="16"/>
          <w:szCs w:val="16"/>
          <w:b w:val="1"/>
          <w:bCs w:val="1"/>
          <w:u w:val="single" w:color="auto"/>
          <w:color w:val="auto"/>
        </w:rPr>
        <w:t>Lease</w:t>
      </w:r>
      <w:r>
        <w:rPr>
          <w:rFonts w:ascii="Arial" w:cs="Arial" w:eastAsia="Arial" w:hAnsi="Arial"/>
          <w:sz w:val="16"/>
          <w:szCs w:val="16"/>
          <w:color w:val="auto"/>
        </w:rPr>
        <w:t>”) is hereby made and entered into on the Execution Date by and between Landlord and Tenant.</w:t>
      </w:r>
    </w:p>
    <w:p>
      <w:pPr>
        <w:spacing w:after="0" w:line="211" w:lineRule="exact"/>
        <w:rPr>
          <w:sz w:val="20"/>
          <w:szCs w:val="20"/>
          <w:color w:val="auto"/>
        </w:rPr>
      </w:pPr>
    </w:p>
    <w:p>
      <w:pPr>
        <w:ind w:left="2" w:right="40" w:firstLine="587"/>
        <w:spacing w:after="0" w:line="270" w:lineRule="auto"/>
        <w:rPr>
          <w:sz w:val="20"/>
          <w:szCs w:val="20"/>
          <w:color w:val="auto"/>
        </w:rPr>
      </w:pPr>
      <w:r>
        <w:rPr>
          <w:rFonts w:ascii="Arial" w:cs="Arial" w:eastAsia="Arial" w:hAnsi="Arial"/>
          <w:sz w:val="16"/>
          <w:szCs w:val="16"/>
          <w:color w:val="auto"/>
        </w:rPr>
        <w:t>Each reference in this Lease to any of the terms and titles contained in any Exhibit attached to this Lease shall be deemed and construed to incorporate the data stated under that term or title in such Exhibit. All capitalized terms not otherwise defined herein shall have the meanings ascribed to them as set forth in the Lease Summary Sheet which is attached hereto and incorporated herein by reference.</w:t>
      </w:r>
    </w:p>
    <w:p>
      <w:pPr>
        <w:spacing w:after="0" w:line="158" w:lineRule="exact"/>
        <w:rPr>
          <w:sz w:val="20"/>
          <w:szCs w:val="20"/>
          <w:color w:val="auto"/>
        </w:rPr>
      </w:pPr>
    </w:p>
    <w:p>
      <w:pPr>
        <w:ind w:left="582" w:hanging="582"/>
        <w:spacing w:after="0"/>
        <w:tabs>
          <w:tab w:leader="none" w:pos="582" w:val="left"/>
        </w:tabs>
        <w:numPr>
          <w:ilvl w:val="0"/>
          <w:numId w:val="430"/>
        </w:numPr>
        <w:rPr>
          <w:rFonts w:ascii="Arial" w:cs="Arial" w:eastAsia="Arial" w:hAnsi="Arial"/>
          <w:sz w:val="16"/>
          <w:szCs w:val="16"/>
          <w:b w:val="1"/>
          <w:bCs w:val="1"/>
          <w:color w:val="auto"/>
        </w:rPr>
      </w:pPr>
      <w:r>
        <w:rPr>
          <w:rFonts w:ascii="Arial" w:cs="Arial" w:eastAsia="Arial" w:hAnsi="Arial"/>
          <w:sz w:val="16"/>
          <w:szCs w:val="16"/>
          <w:b w:val="1"/>
          <w:bCs w:val="1"/>
          <w:color w:val="auto"/>
        </w:rPr>
        <w:t>LEASE GRANT; TERM; APPURTENANT RIGHTS; EXCLUSIONS</w:t>
      </w:r>
    </w:p>
    <w:p>
      <w:pPr>
        <w:spacing w:after="0" w:line="207" w:lineRule="exact"/>
        <w:rPr>
          <w:sz w:val="20"/>
          <w:szCs w:val="20"/>
          <w:color w:val="auto"/>
        </w:rPr>
      </w:pPr>
    </w:p>
    <w:p>
      <w:pPr>
        <w:ind w:left="2" w:right="240" w:firstLine="587"/>
        <w:spacing w:after="0" w:line="299" w:lineRule="auto"/>
        <w:rPr>
          <w:sz w:val="20"/>
          <w:szCs w:val="20"/>
          <w:color w:val="auto"/>
        </w:rPr>
      </w:pPr>
      <w:r>
        <w:rPr>
          <w:rFonts w:ascii="Arial" w:cs="Arial" w:eastAsia="Arial" w:hAnsi="Arial"/>
          <w:sz w:val="15"/>
          <w:szCs w:val="15"/>
          <w:b w:val="1"/>
          <w:bCs w:val="1"/>
          <w:color w:val="auto"/>
        </w:rPr>
        <w:t xml:space="preserve">1.1 Lease Grant. </w:t>
      </w:r>
      <w:r>
        <w:rPr>
          <w:rFonts w:ascii="Arial" w:cs="Arial" w:eastAsia="Arial" w:hAnsi="Arial"/>
          <w:sz w:val="15"/>
          <w:szCs w:val="15"/>
          <w:color w:val="auto"/>
        </w:rPr>
        <w:t>Landlord hereby leases to Tenant, and Tenant hereby leases from Landlord, the Premises upon and subject to terms and conditions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Lease, for a term of years commencing on the Term Commencement Date and, unless earlier terminated or extended pursuant to the terms hereof, ending on the Expiration Date (the “</w:t>
      </w:r>
      <w:r>
        <w:rPr>
          <w:rFonts w:ascii="Arial" w:cs="Arial" w:eastAsia="Arial" w:hAnsi="Arial"/>
          <w:sz w:val="15"/>
          <w:szCs w:val="15"/>
          <w:b w:val="1"/>
          <w:bCs w:val="1"/>
          <w:u w:val="single" w:color="auto"/>
          <w:color w:val="auto"/>
        </w:rPr>
        <w:t>Initial Term</w:t>
      </w:r>
      <w:r>
        <w:rPr>
          <w:rFonts w:ascii="Arial" w:cs="Arial" w:eastAsia="Arial" w:hAnsi="Arial"/>
          <w:sz w:val="15"/>
          <w:szCs w:val="15"/>
          <w:color w:val="auto"/>
        </w:rPr>
        <w:t>”; the Initial Term and any duly exercised Extension Terms are hereinafter collectively referred to as the “</w:t>
      </w:r>
      <w:r>
        <w:rPr>
          <w:rFonts w:ascii="Arial" w:cs="Arial" w:eastAsia="Arial" w:hAnsi="Arial"/>
          <w:sz w:val="15"/>
          <w:szCs w:val="15"/>
          <w:b w:val="1"/>
          <w:bCs w:val="1"/>
          <w:u w:val="single" w:color="auto"/>
          <w:color w:val="auto"/>
        </w:rPr>
        <w:t>Term</w:t>
      </w:r>
      <w:r>
        <w:rPr>
          <w:rFonts w:ascii="Arial" w:cs="Arial" w:eastAsia="Arial" w:hAnsi="Arial"/>
          <w:sz w:val="15"/>
          <w:szCs w:val="15"/>
          <w:color w:val="auto"/>
        </w:rPr>
        <w:t>”).</w:t>
      </w:r>
    </w:p>
    <w:p>
      <w:pPr>
        <w:spacing w:after="0" w:line="138"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u w:val="single" w:color="auto"/>
          <w:color w:val="auto"/>
        </w:rPr>
        <w:t>Extension Terms</w:t>
      </w:r>
      <w:r>
        <w:rPr>
          <w:rFonts w:ascii="Arial" w:cs="Arial" w:eastAsia="Arial" w:hAnsi="Arial"/>
          <w:sz w:val="14"/>
          <w:szCs w:val="14"/>
          <w:b w:val="1"/>
          <w:bCs w:val="1"/>
          <w:color w:val="auto"/>
        </w:rPr>
        <w:t>.</w:t>
      </w:r>
    </w:p>
    <w:p>
      <w:pPr>
        <w:spacing w:after="0" w:line="211" w:lineRule="exact"/>
        <w:rPr>
          <w:sz w:val="20"/>
          <w:szCs w:val="20"/>
          <w:color w:val="auto"/>
        </w:rPr>
      </w:pPr>
    </w:p>
    <w:p>
      <w:pPr>
        <w:ind w:left="2" w:firstLine="1172"/>
        <w:spacing w:after="0" w:line="277" w:lineRule="auto"/>
        <w:tabs>
          <w:tab w:leader="none" w:pos="1760" w:val="left"/>
        </w:tabs>
        <w:numPr>
          <w:ilvl w:val="0"/>
          <w:numId w:val="431"/>
        </w:numPr>
        <w:rPr>
          <w:rFonts w:ascii="Arial" w:cs="Arial" w:eastAsia="Arial" w:hAnsi="Arial"/>
          <w:sz w:val="15"/>
          <w:szCs w:val="15"/>
          <w:color w:val="auto"/>
        </w:rPr>
      </w:pPr>
      <w:r>
        <w:rPr>
          <w:rFonts w:ascii="Arial" w:cs="Arial" w:eastAsia="Arial" w:hAnsi="Arial"/>
          <w:sz w:val="15"/>
          <w:szCs w:val="15"/>
          <w:color w:val="auto"/>
        </w:rPr>
        <w:t>Provided that the following conditions, which may be waived by Landlord in its sole discretion, are satisfied, (i) Tenant, an Affiliated Entity (hereinafter defined) and/or a Successor (hereinafter defined) is/are then occupying at least seventy-five percent (75%) of the Premises then leased to Tenant; and (ii) no Event of Default has occurred and is continuing (1) as of the date of the Extension Notice (hereinafter defined), and (2) at the commencement of the applicable Extension Term (hereinafter defined), Tenant shall have the option to extend the Term for one (1) additional term of five (5) years (the “</w:t>
      </w:r>
      <w:r>
        <w:rPr>
          <w:rFonts w:ascii="Arial" w:cs="Arial" w:eastAsia="Arial" w:hAnsi="Arial"/>
          <w:sz w:val="15"/>
          <w:szCs w:val="15"/>
          <w:b w:val="1"/>
          <w:bCs w:val="1"/>
          <w:u w:val="single" w:color="auto"/>
          <w:color w:val="auto"/>
        </w:rPr>
        <w:t>Extension Term</w:t>
      </w:r>
      <w:r>
        <w:rPr>
          <w:rFonts w:ascii="Arial" w:cs="Arial" w:eastAsia="Arial" w:hAnsi="Arial"/>
          <w:sz w:val="15"/>
          <w:szCs w:val="15"/>
          <w:color w:val="auto"/>
        </w:rPr>
        <w:t>”), commencing as of the expiration of the Initial Term. Tenant must exercise such option to extend, if at all, by giving Landlord written notice (the “</w:t>
      </w:r>
      <w:r>
        <w:rPr>
          <w:rFonts w:ascii="Arial" w:cs="Arial" w:eastAsia="Arial" w:hAnsi="Arial"/>
          <w:sz w:val="15"/>
          <w:szCs w:val="15"/>
          <w:b w:val="1"/>
          <w:bCs w:val="1"/>
          <w:u w:val="single" w:color="auto"/>
          <w:color w:val="auto"/>
        </w:rPr>
        <w:t>Extension Notice</w:t>
      </w:r>
      <w:r>
        <w:rPr>
          <w:rFonts w:ascii="Arial" w:cs="Arial" w:eastAsia="Arial" w:hAnsi="Arial"/>
          <w:sz w:val="15"/>
          <w:szCs w:val="15"/>
          <w:color w:val="auto"/>
        </w:rPr>
        <w:t>”) on or before the date that is nine (9) months prior to the expiration of the Initial Term of this Lease, time being of the essence. Upon the timely giving of such notice, the Term shall be deemed extended upon all of the terms and conditions of this Lease, except that Base Rent during the Extension Term shall be calculated in accordance with this Section 1.2, Landlord shall have no obligation to construct or renovate the Premises and Tenant shall have no further right to extend the Term. If Tenant fails to give timely notice, as aforesaid, Tenant shall have no further right to extend the Term. Notwithstanding the fact that Tenant’s proper and timely exercise of such option to extend the Term shall be self-executing, the parties shall promptly execute a lease amendment reflecting such Extension Term after Tenant exercises such option. The execution of such lease amendment shall not be deemed to waive any of the conditions to Tenant’s exercise of its rights under this Section 1.2.</w:t>
      </w:r>
    </w:p>
    <w:p>
      <w:pPr>
        <w:spacing w:after="0" w:line="153" w:lineRule="exact"/>
        <w:rPr>
          <w:rFonts w:ascii="Arial" w:cs="Arial" w:eastAsia="Arial" w:hAnsi="Arial"/>
          <w:sz w:val="15"/>
          <w:szCs w:val="15"/>
          <w:color w:val="auto"/>
        </w:rPr>
      </w:pPr>
    </w:p>
    <w:p>
      <w:pPr>
        <w:ind w:left="2" w:right="400" w:firstLine="1172"/>
        <w:spacing w:after="0" w:line="264" w:lineRule="auto"/>
        <w:tabs>
          <w:tab w:leader="none" w:pos="1769" w:val="left"/>
        </w:tabs>
        <w:numPr>
          <w:ilvl w:val="0"/>
          <w:numId w:val="431"/>
        </w:numPr>
        <w:rPr>
          <w:rFonts w:ascii="Arial" w:cs="Arial" w:eastAsia="Arial" w:hAnsi="Arial"/>
          <w:sz w:val="16"/>
          <w:szCs w:val="16"/>
          <w:color w:val="auto"/>
        </w:rPr>
      </w:pPr>
      <w:r>
        <w:rPr>
          <w:rFonts w:ascii="Arial" w:cs="Arial" w:eastAsia="Arial" w:hAnsi="Arial"/>
          <w:sz w:val="16"/>
          <w:szCs w:val="16"/>
          <w:color w:val="auto"/>
        </w:rPr>
        <w:t>The Base Rent during the Extension Term (the “</w:t>
      </w:r>
      <w:r>
        <w:rPr>
          <w:rFonts w:ascii="Arial" w:cs="Arial" w:eastAsia="Arial" w:hAnsi="Arial"/>
          <w:sz w:val="16"/>
          <w:szCs w:val="16"/>
          <w:b w:val="1"/>
          <w:bCs w:val="1"/>
          <w:u w:val="single" w:color="auto"/>
          <w:color w:val="auto"/>
        </w:rPr>
        <w:t>Extension Term Base Rent</w:t>
      </w:r>
      <w:r>
        <w:rPr>
          <w:rFonts w:ascii="Arial" w:cs="Arial" w:eastAsia="Arial" w:hAnsi="Arial"/>
          <w:sz w:val="16"/>
          <w:szCs w:val="16"/>
          <w:color w:val="auto"/>
        </w:rPr>
        <w:t>”) shall be determined in accordance with the process described hereafter. Extension Term Base Rent shall be the fair market rental value of the Premises then demised to Tenant as of the commencement of the Extension Term as determined in accordance with the process described below, for renewals of combination laboratory and office space in the vicinity of equivalent quality, size, utility and location, with the length of the Extension Term, the credit standing of Tenant and all other relevant factors to be taken into account, including, without limitation, any concessions granted to tenants in the marketplace (such as, without limitation, free rent, free</w:t>
      </w:r>
    </w:p>
    <w:p>
      <w:pPr>
        <w:spacing w:after="0" w:line="16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18" w:right="259" w:bottom="1440" w:gutter="0" w:footer="0" w:header="0"/>
        </w:sectPr>
      </w:pPr>
    </w:p>
    <w:bookmarkStart w:id="475" w:name="page476"/>
    <w:bookmarkEnd w:id="475"/>
    <w:p>
      <w:pPr>
        <w:ind w:left="2" w:right="40"/>
        <w:spacing w:after="0" w:line="295" w:lineRule="auto"/>
        <w:rPr>
          <w:sz w:val="20"/>
          <w:szCs w:val="20"/>
          <w:color w:val="auto"/>
        </w:rPr>
      </w:pPr>
      <w:r>
        <w:rPr>
          <w:rFonts w:ascii="Arial" w:cs="Arial" w:eastAsia="Arial" w:hAnsi="Arial"/>
          <w:sz w:val="14"/>
          <w:szCs w:val="14"/>
          <w:color w:val="auto"/>
        </w:rPr>
        <w:t>parking, tenant improvement allowances, lease assumptions, and moving and other allowances). Within thirty (30) days after receipt of the Extension Notice, Landlord shall deliver to Tenant written notice of its determination of the Extension Term Base Rent for the Extension Term. Tenant shall, within thirty (30) days after receipt of such notice, notify Landlord in writing whether Tenant accepts or rejects Landlord’s determination of the Extension Term Base Rent (“</w:t>
      </w:r>
      <w:r>
        <w:rPr>
          <w:rFonts w:ascii="Arial" w:cs="Arial" w:eastAsia="Arial" w:hAnsi="Arial"/>
          <w:sz w:val="14"/>
          <w:szCs w:val="14"/>
          <w:b w:val="1"/>
          <w:bCs w:val="1"/>
          <w:u w:val="single" w:color="auto"/>
          <w:color w:val="auto"/>
        </w:rPr>
        <w:t>Tenant’s Response Notice</w:t>
      </w:r>
      <w:r>
        <w:rPr>
          <w:rFonts w:ascii="Arial" w:cs="Arial" w:eastAsia="Arial" w:hAnsi="Arial"/>
          <w:sz w:val="14"/>
          <w:szCs w:val="14"/>
          <w:color w:val="auto"/>
        </w:rPr>
        <w:t>”). If Tenant fails timely to deliver Tenant’s Response Notice, then Landlord shall send Tenant a written reminder notice (“</w:t>
      </w:r>
      <w:r>
        <w:rPr>
          <w:rFonts w:ascii="Arial" w:cs="Arial" w:eastAsia="Arial" w:hAnsi="Arial"/>
          <w:sz w:val="14"/>
          <w:szCs w:val="14"/>
          <w:b w:val="1"/>
          <w:bCs w:val="1"/>
          <w:u w:val="single" w:color="auto"/>
          <w:color w:val="auto"/>
        </w:rPr>
        <w:t>Reminder Notice</w:t>
      </w:r>
      <w:r>
        <w:rPr>
          <w:rFonts w:ascii="Arial" w:cs="Arial" w:eastAsia="Arial" w:hAnsi="Arial"/>
          <w:sz w:val="14"/>
          <w:szCs w:val="14"/>
          <w:color w:val="auto"/>
        </w:rPr>
        <w:t>”) specifically referring to this Section 1.2(b) and advising Tenant of the effect of failing to send a timely Tenant’s Response Notice, and if Tenant fails to deliver a Tenant’s Response Notice to Landlord on or before the date ten</w:t>
      </w:r>
    </w:p>
    <w:p>
      <w:pPr>
        <w:ind w:left="322" w:hanging="322"/>
        <w:spacing w:after="0"/>
        <w:tabs>
          <w:tab w:leader="none" w:pos="322" w:val="left"/>
        </w:tabs>
        <w:numPr>
          <w:ilvl w:val="0"/>
          <w:numId w:val="432"/>
        </w:numPr>
        <w:rPr>
          <w:rFonts w:ascii="Arial" w:cs="Arial" w:eastAsia="Arial" w:hAnsi="Arial"/>
          <w:sz w:val="16"/>
          <w:szCs w:val="16"/>
          <w:color w:val="auto"/>
        </w:rPr>
      </w:pPr>
      <w:r>
        <w:rPr>
          <w:rFonts w:ascii="Arial" w:cs="Arial" w:eastAsia="Arial" w:hAnsi="Arial"/>
          <w:sz w:val="16"/>
          <w:szCs w:val="16"/>
          <w:color w:val="auto"/>
        </w:rPr>
        <w:t>days after Tenant receives a Reminder Notice, then Landlord’s determination of the Extension Term Base Rent shall be binding on Tenant.</w:t>
      </w:r>
    </w:p>
    <w:p>
      <w:pPr>
        <w:spacing w:after="0" w:line="195" w:lineRule="exact"/>
        <w:rPr>
          <w:rFonts w:ascii="Arial" w:cs="Arial" w:eastAsia="Arial" w:hAnsi="Arial"/>
          <w:sz w:val="16"/>
          <w:szCs w:val="16"/>
          <w:color w:val="auto"/>
        </w:rPr>
      </w:pPr>
    </w:p>
    <w:p>
      <w:pPr>
        <w:ind w:left="2" w:firstLine="1172"/>
        <w:spacing w:after="0" w:line="275" w:lineRule="auto"/>
        <w:tabs>
          <w:tab w:leader="none" w:pos="1772" w:val="left"/>
        </w:tabs>
        <w:numPr>
          <w:ilvl w:val="1"/>
          <w:numId w:val="432"/>
        </w:numPr>
        <w:rPr>
          <w:rFonts w:ascii="Arial" w:cs="Arial" w:eastAsia="Arial" w:hAnsi="Arial"/>
          <w:sz w:val="15"/>
          <w:szCs w:val="15"/>
          <w:color w:val="auto"/>
        </w:rPr>
      </w:pPr>
      <w:r>
        <w:rPr>
          <w:rFonts w:ascii="Arial" w:cs="Arial" w:eastAsia="Arial" w:hAnsi="Arial"/>
          <w:sz w:val="15"/>
          <w:szCs w:val="15"/>
          <w:color w:val="auto"/>
        </w:rPr>
        <w:t>If and only if Tenant’s Response Notice is timely delivered to Landlord and indicates both that Tenant rejects Landlord’s determination of the Extension Term Base Rent and desires to submit the matter to arbitration, then the Extension Term Base Rent shall be determined in accordance with the procedure set forth in this Section 1.2(c). In such event, within ten (10) days after receipt by Landlord of Tenant’s Response Notice indicating Tenant’s desire to submit the determination of the Extension Term Base Rent to arbitration, Tenant and Landlord shall each notify the other, in writing, of their respective selections of an appraiser (respectively, “</w:t>
      </w:r>
      <w:r>
        <w:rPr>
          <w:rFonts w:ascii="Arial" w:cs="Arial" w:eastAsia="Arial" w:hAnsi="Arial"/>
          <w:sz w:val="15"/>
          <w:szCs w:val="15"/>
          <w:b w:val="1"/>
          <w:bCs w:val="1"/>
          <w:u w:val="single" w:color="auto"/>
          <w:color w:val="auto"/>
        </w:rPr>
        <w:t>Landlord’s</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Appraiser</w:t>
      </w:r>
      <w:r>
        <w:rPr>
          <w:rFonts w:ascii="Arial" w:cs="Arial" w:eastAsia="Arial" w:hAnsi="Arial"/>
          <w:sz w:val="15"/>
          <w:szCs w:val="15"/>
          <w:color w:val="auto"/>
        </w:rPr>
        <w:t>” and “</w:t>
      </w:r>
      <w:r>
        <w:rPr>
          <w:rFonts w:ascii="Arial" w:cs="Arial" w:eastAsia="Arial" w:hAnsi="Arial"/>
          <w:sz w:val="15"/>
          <w:szCs w:val="15"/>
          <w:b w:val="1"/>
          <w:bCs w:val="1"/>
          <w:u w:val="single" w:color="auto"/>
          <w:color w:val="auto"/>
        </w:rPr>
        <w:t>Tenant’s Appraiser</w:t>
      </w:r>
      <w:r>
        <w:rPr>
          <w:rFonts w:ascii="Arial" w:cs="Arial" w:eastAsia="Arial" w:hAnsi="Arial"/>
          <w:sz w:val="15"/>
          <w:szCs w:val="15"/>
          <w:color w:val="auto"/>
        </w:rPr>
        <w:t>”). Landlord’s Appraiser and Tenant’s Appraiser shall then jointly select a third appraiser (the “</w:t>
      </w:r>
      <w:r>
        <w:rPr>
          <w:rFonts w:ascii="Arial" w:cs="Arial" w:eastAsia="Arial" w:hAnsi="Arial"/>
          <w:sz w:val="15"/>
          <w:szCs w:val="15"/>
          <w:b w:val="1"/>
          <w:bCs w:val="1"/>
          <w:u w:val="single" w:color="auto"/>
          <w:color w:val="auto"/>
        </w:rPr>
        <w:t>Third Appraiser</w:t>
      </w:r>
      <w:r>
        <w:rPr>
          <w:rFonts w:ascii="Arial" w:cs="Arial" w:eastAsia="Arial" w:hAnsi="Arial"/>
          <w:sz w:val="15"/>
          <w:szCs w:val="15"/>
          <w:color w:val="auto"/>
        </w:rPr>
        <w:t>”) within ten (10) days</w:t>
      </w:r>
      <w:r>
        <w:rPr>
          <w:rFonts w:ascii="Arial" w:cs="Arial" w:eastAsia="Arial" w:hAnsi="Arial"/>
          <w:sz w:val="15"/>
          <w:szCs w:val="15"/>
          <w:b w:val="1"/>
          <w:bCs w:val="1"/>
          <w:color w:val="auto"/>
        </w:rPr>
        <w:t xml:space="preserve"> </w:t>
      </w:r>
      <w:r>
        <w:rPr>
          <w:rFonts w:ascii="Arial" w:cs="Arial" w:eastAsia="Arial" w:hAnsi="Arial"/>
          <w:sz w:val="15"/>
          <w:szCs w:val="15"/>
          <w:color w:val="auto"/>
        </w:rPr>
        <w:t>of their appointment. All of the appraisers selected shall be individuals with at least five (5) consecutive years’ commercial appraisal experience in the area in which the Premises are located, shall be members of the Appraisal Institute (M.A.I.), and, in the case of the Third Appraiser, shall not have acted in any capacity for either Landlord or Tenant within five (5) years of his or her selection. The three appraisers shall determine the Extension Term Base Rent in accordance with the requirements and criteria set forth in Section 1.2(b) above, employing the method commonly known as Baseball Arbitration, whereby Landlord’s Appraiser and Tenant’s Appraiser each sets forth its determination of the Extension Term Base Rent as defined above, and the Third Appraiser must select one or the other (it being understood that the Third Appraiser shall be expressly prohibited from selecting a compromise figure). Landlord’s Appraiser and Tenant’s Appraiser shall deliver their determinations of the Extension Term Base Rent to the Third Appraiser within five (5) days of the appointment of the Third Appraiser and the Third Appraiser shall render his or her decision within ten (10) days after receipt of both of the other two determinations of the Extension Term Base Rent. The Third Appraiser’s decision shall be binding on both Landlord and Tenant. Each party shall bear the cost of its own appraiser and the cost of the Third Appraiser shall be shared equally by the parties.</w:t>
      </w:r>
    </w:p>
    <w:p>
      <w:pPr>
        <w:spacing w:after="0" w:line="164"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color w:val="auto"/>
        </w:rPr>
        <w:t>Appurtenant Rights.</w:t>
      </w:r>
    </w:p>
    <w:p>
      <w:pPr>
        <w:spacing w:after="0" w:line="207" w:lineRule="exact"/>
        <w:rPr>
          <w:sz w:val="20"/>
          <w:szCs w:val="20"/>
          <w:color w:val="auto"/>
        </w:rPr>
      </w:pPr>
    </w:p>
    <w:p>
      <w:pPr>
        <w:ind w:left="2" w:right="160" w:firstLine="1172"/>
        <w:spacing w:after="0" w:line="316" w:lineRule="auto"/>
        <w:tabs>
          <w:tab w:leader="none" w:pos="1760" w:val="left"/>
        </w:tabs>
        <w:numPr>
          <w:ilvl w:val="0"/>
          <w:numId w:val="433"/>
        </w:numPr>
        <w:rPr>
          <w:rFonts w:ascii="Arial" w:cs="Arial" w:eastAsia="Arial" w:hAnsi="Arial"/>
          <w:sz w:val="14"/>
          <w:szCs w:val="14"/>
          <w:color w:val="auto"/>
        </w:rPr>
      </w:pPr>
      <w:r>
        <w:rPr>
          <w:rFonts w:ascii="Arial" w:cs="Arial" w:eastAsia="Arial" w:hAnsi="Arial"/>
          <w:sz w:val="14"/>
          <w:szCs w:val="14"/>
          <w:b w:val="1"/>
          <w:bCs w:val="1"/>
          <w:u w:val="single" w:color="auto"/>
          <w:color w:val="auto"/>
        </w:rPr>
        <w:t>Common Areas</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the terms of this Lease and the Rules and Regulations (hereinafter defined), Tenant and its employees, invitees and</w:t>
      </w:r>
      <w:r>
        <w:rPr>
          <w:rFonts w:ascii="Arial" w:cs="Arial" w:eastAsia="Arial" w:hAnsi="Arial"/>
          <w:sz w:val="14"/>
          <w:szCs w:val="14"/>
          <w:b w:val="1"/>
          <w:bCs w:val="1"/>
          <w:color w:val="auto"/>
        </w:rPr>
        <w:t xml:space="preserve"> </w:t>
      </w:r>
      <w:r>
        <w:rPr>
          <w:rFonts w:ascii="Arial" w:cs="Arial" w:eastAsia="Arial" w:hAnsi="Arial"/>
          <w:sz w:val="14"/>
          <w:szCs w:val="14"/>
          <w:color w:val="auto"/>
        </w:rPr>
        <w:t>licensees who are permitted to occupy the Premises pursuant to Section 13 of the Lease (“</w:t>
      </w:r>
      <w:r>
        <w:rPr>
          <w:rFonts w:ascii="Arial" w:cs="Arial" w:eastAsia="Arial" w:hAnsi="Arial"/>
          <w:sz w:val="14"/>
          <w:szCs w:val="14"/>
          <w:b w:val="1"/>
          <w:bCs w:val="1"/>
          <w:u w:val="single" w:color="auto"/>
          <w:color w:val="auto"/>
        </w:rPr>
        <w:t>Permitted Licensees</w:t>
      </w:r>
      <w:r>
        <w:rPr>
          <w:rFonts w:ascii="Arial" w:cs="Arial" w:eastAsia="Arial" w:hAnsi="Arial"/>
          <w:sz w:val="14"/>
          <w:szCs w:val="14"/>
          <w:color w:val="auto"/>
        </w:rPr>
        <w:t>”), shall have, as appurtenant to the Premises, rights to use in common with others entitled thereto, the areas in the Building, on the Land and elsewhere on the Campus designated from time to time for the common use of Tenant and other tenants of the Property and/or Campus (such areas are hereinafter referred to as the “</w:t>
      </w:r>
      <w:r>
        <w:rPr>
          <w:rFonts w:ascii="Arial" w:cs="Arial" w:eastAsia="Arial" w:hAnsi="Arial"/>
          <w:sz w:val="14"/>
          <w:szCs w:val="14"/>
          <w:b w:val="1"/>
          <w:bCs w:val="1"/>
          <w:u w:val="single" w:color="auto"/>
          <w:color w:val="auto"/>
        </w:rPr>
        <w:t>Common Areas</w:t>
      </w:r>
      <w:r>
        <w:rPr>
          <w:rFonts w:ascii="Arial" w:cs="Arial" w:eastAsia="Arial" w:hAnsi="Arial"/>
          <w:sz w:val="14"/>
          <w:szCs w:val="14"/>
          <w:color w:val="auto"/>
        </w:rPr>
        <w:t>”). The Common Areas include: (i) the common</w:t>
      </w:r>
    </w:p>
    <w:p>
      <w:pPr>
        <w:spacing w:after="0" w:line="134"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476" w:name="page477"/>
    <w:bookmarkEnd w:id="476"/>
    <w:p>
      <w:pPr>
        <w:ind w:left="2"/>
        <w:spacing w:after="0"/>
        <w:rPr>
          <w:sz w:val="20"/>
          <w:szCs w:val="20"/>
          <w:color w:val="auto"/>
        </w:rPr>
      </w:pPr>
      <w:r>
        <w:rPr>
          <w:rFonts w:ascii="Arial" w:cs="Arial" w:eastAsia="Arial" w:hAnsi="Arial"/>
          <w:sz w:val="15"/>
          <w:szCs w:val="15"/>
          <w:color w:val="auto"/>
        </w:rPr>
        <w:t>lobbies (if any), loading docks, hallways and stairways of the Building serving the Premises, (ii) common walkways and driveways necessary for access to the Building,</w:t>
      </w:r>
    </w:p>
    <w:p>
      <w:pPr>
        <w:spacing w:after="0" w:line="35" w:lineRule="exact"/>
        <w:rPr>
          <w:sz w:val="20"/>
          <w:szCs w:val="20"/>
          <w:color w:val="auto"/>
        </w:rPr>
      </w:pPr>
    </w:p>
    <w:p>
      <w:pPr>
        <w:ind w:left="2" w:right="120" w:hanging="2"/>
        <w:spacing w:after="0" w:line="270" w:lineRule="auto"/>
        <w:tabs>
          <w:tab w:leader="none" w:pos="287" w:val="left"/>
        </w:tabs>
        <w:numPr>
          <w:ilvl w:val="0"/>
          <w:numId w:val="434"/>
        </w:numPr>
        <w:rPr>
          <w:rFonts w:ascii="Arial" w:cs="Arial" w:eastAsia="Arial" w:hAnsi="Arial"/>
          <w:sz w:val="16"/>
          <w:szCs w:val="16"/>
          <w:color w:val="auto"/>
        </w:rPr>
      </w:pPr>
      <w:r>
        <w:rPr>
          <w:rFonts w:ascii="Arial" w:cs="Arial" w:eastAsia="Arial" w:hAnsi="Arial"/>
          <w:sz w:val="16"/>
          <w:szCs w:val="16"/>
          <w:color w:val="auto"/>
        </w:rPr>
        <w:t>the common toilets and other common facilities, if any; and (iv) other areas designated by Landlord from time to time for the common use of Tenant and other tenants of the Building; and no other appurtenant rights or easements.</w:t>
      </w:r>
    </w:p>
    <w:p>
      <w:pPr>
        <w:spacing w:after="0" w:line="157" w:lineRule="exact"/>
        <w:rPr>
          <w:rFonts w:ascii="Arial" w:cs="Arial" w:eastAsia="Arial" w:hAnsi="Arial"/>
          <w:sz w:val="16"/>
          <w:szCs w:val="16"/>
          <w:color w:val="auto"/>
        </w:rPr>
      </w:pPr>
    </w:p>
    <w:p>
      <w:pPr>
        <w:ind w:left="2" w:firstLine="1172"/>
        <w:spacing w:after="0" w:line="294" w:lineRule="auto"/>
        <w:tabs>
          <w:tab w:leader="none" w:pos="1769" w:val="left"/>
        </w:tabs>
        <w:numPr>
          <w:ilvl w:val="1"/>
          <w:numId w:val="434"/>
        </w:numPr>
        <w:rPr>
          <w:rFonts w:ascii="Arial" w:cs="Arial" w:eastAsia="Arial" w:hAnsi="Arial"/>
          <w:sz w:val="14"/>
          <w:szCs w:val="14"/>
          <w:color w:val="auto"/>
        </w:rPr>
      </w:pPr>
      <w:r>
        <w:rPr>
          <w:rFonts w:ascii="Arial" w:cs="Arial" w:eastAsia="Arial" w:hAnsi="Arial"/>
          <w:sz w:val="14"/>
          <w:szCs w:val="14"/>
          <w:b w:val="1"/>
          <w:bCs w:val="1"/>
          <w:u w:val="single" w:color="auto"/>
          <w:color w:val="auto"/>
        </w:rPr>
        <w:t>Parking</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Term, Landlord shall, subject to the terms hereof, make available up to twenty-seven (27) parking spaces for Tenant’s use in</w:t>
      </w:r>
      <w:r>
        <w:rPr>
          <w:rFonts w:ascii="Arial" w:cs="Arial" w:eastAsia="Arial" w:hAnsi="Arial"/>
          <w:sz w:val="14"/>
          <w:szCs w:val="14"/>
          <w:b w:val="1"/>
          <w:bCs w:val="1"/>
          <w:color w:val="auto"/>
        </w:rPr>
        <w:t xml:space="preserve"> </w:t>
      </w:r>
      <w:r>
        <w:rPr>
          <w:rFonts w:ascii="Arial" w:cs="Arial" w:eastAsia="Arial" w:hAnsi="Arial"/>
          <w:sz w:val="14"/>
          <w:szCs w:val="14"/>
          <w:color w:val="auto"/>
        </w:rPr>
        <w:t>the parking areas serving the Building. The number of parking spaces in the parking areas reserved for Tenant, as modified pursuant to this Lease or as otherwise permitted by Landlord, are hereinafter referred to as the “</w:t>
      </w:r>
      <w:r>
        <w:rPr>
          <w:rFonts w:ascii="Arial" w:cs="Arial" w:eastAsia="Arial" w:hAnsi="Arial"/>
          <w:sz w:val="14"/>
          <w:szCs w:val="14"/>
          <w:b w:val="1"/>
          <w:bCs w:val="1"/>
          <w:u w:val="single" w:color="auto"/>
          <w:color w:val="auto"/>
        </w:rPr>
        <w:t>Parking Spaces</w:t>
      </w:r>
      <w:r>
        <w:rPr>
          <w:rFonts w:ascii="Arial" w:cs="Arial" w:eastAsia="Arial" w:hAnsi="Arial"/>
          <w:sz w:val="14"/>
          <w:szCs w:val="14"/>
          <w:color w:val="auto"/>
        </w:rPr>
        <w:t>.” Tenant and its employees, invitees and Permitted Licensees shall have the right to use the Parking Spaces without any fee or charge. Tenant shall have no right to hypothecate or encumber the Parking Spaces, and shall not sublet, assign, or otherwise transfer the Parking Spaces other than to employees, guests and other invitees of Tenant occupying the Premises or to a Successor (hereinafter defined), an Affiliated Entity (hereinafter defined) or a transferee pursuant to an approved Transfer under Section 13 of this Lease. Subject to Landlord’s right to reserve parking for other tenants of the Building, said Parking Spaces will be on an unassigned, non-reserved basis, and shall be subject to such reasonable rules and regulations as may be in effect for the use of the parking areas from time to time. Reserved and handicap parking spaces must be honored. Notwithstanding anything to the contrary contained herein, Landlord shall have the right, upon at least three</w:t>
      </w:r>
    </w:p>
    <w:p>
      <w:pPr>
        <w:spacing w:after="0" w:line="2" w:lineRule="exact"/>
        <w:rPr>
          <w:rFonts w:ascii="Arial" w:cs="Arial" w:eastAsia="Arial" w:hAnsi="Arial"/>
          <w:sz w:val="14"/>
          <w:szCs w:val="14"/>
          <w:color w:val="auto"/>
        </w:rPr>
      </w:pPr>
    </w:p>
    <w:p>
      <w:pPr>
        <w:ind w:left="2" w:right="160"/>
        <w:spacing w:after="0" w:line="262" w:lineRule="auto"/>
        <w:rPr>
          <w:rFonts w:ascii="Arial" w:cs="Arial" w:eastAsia="Arial" w:hAnsi="Arial"/>
          <w:sz w:val="14"/>
          <w:szCs w:val="14"/>
          <w:color w:val="auto"/>
        </w:rPr>
      </w:pPr>
      <w:r>
        <w:rPr>
          <w:rFonts w:ascii="Arial" w:cs="Arial" w:eastAsia="Arial" w:hAnsi="Arial"/>
          <w:sz w:val="16"/>
          <w:szCs w:val="16"/>
          <w:color w:val="auto"/>
        </w:rPr>
        <w:t>(3) months’ written notice to Tenant, to temporarily relocate all or any portion of the Parking Spaces in to other parking areas owned, controlled or leased by Landlord in the vicinity of the Property (Landlord and Tenant hereby agreeing that the parking areas located at 101 Hartwell Avenue, 113 Hartwell Avenue and/or 91 Hartwell Avenue are acceptable).</w:t>
      </w:r>
    </w:p>
    <w:p>
      <w:pPr>
        <w:spacing w:after="0" w:line="164" w:lineRule="exact"/>
        <w:rPr>
          <w:rFonts w:ascii="Arial" w:cs="Arial" w:eastAsia="Arial" w:hAnsi="Arial"/>
          <w:sz w:val="14"/>
          <w:szCs w:val="14"/>
          <w:color w:val="auto"/>
        </w:rPr>
      </w:pPr>
    </w:p>
    <w:p>
      <w:pPr>
        <w:ind w:left="2" w:right="40" w:firstLine="1172"/>
        <w:spacing w:after="0" w:line="272" w:lineRule="auto"/>
        <w:tabs>
          <w:tab w:leader="none" w:pos="1772" w:val="left"/>
        </w:tabs>
        <w:numPr>
          <w:ilvl w:val="1"/>
          <w:numId w:val="434"/>
        </w:numPr>
        <w:rPr>
          <w:rFonts w:ascii="Arial" w:cs="Arial" w:eastAsia="Arial" w:hAnsi="Arial"/>
          <w:sz w:val="16"/>
          <w:szCs w:val="16"/>
          <w:color w:val="auto"/>
        </w:rPr>
      </w:pPr>
      <w:r>
        <w:rPr>
          <w:rFonts w:ascii="Arial" w:cs="Arial" w:eastAsia="Arial" w:hAnsi="Arial"/>
          <w:sz w:val="16"/>
          <w:szCs w:val="16"/>
          <w:color w:val="auto"/>
        </w:rPr>
        <w:t>Pavilion. Tenant acknowledges that Landlord may construct a common building (the “</w:t>
      </w:r>
      <w:r>
        <w:rPr>
          <w:rFonts w:ascii="Arial" w:cs="Arial" w:eastAsia="Arial" w:hAnsi="Arial"/>
          <w:sz w:val="16"/>
          <w:szCs w:val="16"/>
          <w:b w:val="1"/>
          <w:bCs w:val="1"/>
          <w:u w:val="single" w:color="auto"/>
          <w:color w:val="auto"/>
        </w:rPr>
        <w:t>Pavilion</w:t>
      </w:r>
      <w:r>
        <w:rPr>
          <w:rFonts w:ascii="Arial" w:cs="Arial" w:eastAsia="Arial" w:hAnsi="Arial"/>
          <w:sz w:val="16"/>
          <w:szCs w:val="16"/>
          <w:color w:val="auto"/>
        </w:rPr>
        <w:t>”) located on the Campus for the common use of the tenants of the Campus. Landlord may cause a food service facility (“</w:t>
      </w:r>
      <w:r>
        <w:rPr>
          <w:rFonts w:ascii="Arial" w:cs="Arial" w:eastAsia="Arial" w:hAnsi="Arial"/>
          <w:sz w:val="16"/>
          <w:szCs w:val="16"/>
          <w:b w:val="1"/>
          <w:bCs w:val="1"/>
          <w:u w:val="single" w:color="auto"/>
          <w:color w:val="auto"/>
        </w:rPr>
        <w:t>Cafeteria</w:t>
      </w:r>
      <w:r>
        <w:rPr>
          <w:rFonts w:ascii="Arial" w:cs="Arial" w:eastAsia="Arial" w:hAnsi="Arial"/>
          <w:sz w:val="16"/>
          <w:szCs w:val="16"/>
          <w:color w:val="auto"/>
        </w:rPr>
        <w:t>”) to be operated in the Pavilion. So long as the Cafeteria is in operation, Tenant, in common with other tenants of the Campus, shall have the right, during the Term of this Lease, to use the Cafeteria.</w:t>
      </w:r>
    </w:p>
    <w:p>
      <w:pPr>
        <w:spacing w:after="0" w:line="157"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3"/>
          <w:szCs w:val="13"/>
          <w:b w:val="1"/>
          <w:bCs w:val="1"/>
          <w:u w:val="single" w:color="auto"/>
          <w:color w:val="auto"/>
        </w:rPr>
        <w:t>Tenant’s Access</w:t>
      </w:r>
      <w:r>
        <w:rPr>
          <w:rFonts w:ascii="Arial" w:cs="Arial" w:eastAsia="Arial" w:hAnsi="Arial"/>
          <w:sz w:val="13"/>
          <w:szCs w:val="13"/>
          <w:b w:val="1"/>
          <w:bCs w:val="1"/>
          <w:color w:val="auto"/>
        </w:rPr>
        <w:t>.</w:t>
      </w:r>
    </w:p>
    <w:p>
      <w:pPr>
        <w:spacing w:after="0" w:line="211" w:lineRule="exact"/>
        <w:rPr>
          <w:sz w:val="20"/>
          <w:szCs w:val="20"/>
          <w:color w:val="auto"/>
        </w:rPr>
      </w:pPr>
    </w:p>
    <w:p>
      <w:pPr>
        <w:ind w:left="2" w:right="20" w:firstLine="1172"/>
        <w:spacing w:after="0" w:line="270" w:lineRule="auto"/>
        <w:tabs>
          <w:tab w:leader="none" w:pos="176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From and after the Term Commencement Date and until the end of the Term, Tenant shall have access to the Premises twenty-four (24) hours a day, seven (7) days a week, three hundred sixty-five (365) days per year, subject to Legal Requirements, the Rules and Regulations, the terms of this Lease, Force Majeure (hereinafter defined) and matters of record: (i) in effect as of the Execution Date, and (ii) as provided in Sections 2.2 and 22.</w:t>
      </w:r>
    </w:p>
    <w:p>
      <w:pPr>
        <w:spacing w:after="0" w:line="161" w:lineRule="exact"/>
        <w:rPr>
          <w:rFonts w:ascii="Arial" w:cs="Arial" w:eastAsia="Arial" w:hAnsi="Arial"/>
          <w:sz w:val="16"/>
          <w:szCs w:val="16"/>
          <w:color w:val="auto"/>
        </w:rPr>
      </w:pPr>
    </w:p>
    <w:p>
      <w:pPr>
        <w:ind w:left="2" w:right="140" w:firstLine="1172"/>
        <w:spacing w:after="0" w:line="314" w:lineRule="auto"/>
        <w:tabs>
          <w:tab w:leader="none" w:pos="1769" w:val="left"/>
        </w:tabs>
        <w:numPr>
          <w:ilvl w:val="0"/>
          <w:numId w:val="435"/>
        </w:numPr>
        <w:rPr>
          <w:rFonts w:ascii="Arial" w:cs="Arial" w:eastAsia="Arial" w:hAnsi="Arial"/>
          <w:sz w:val="14"/>
          <w:szCs w:val="14"/>
          <w:color w:val="auto"/>
        </w:rPr>
      </w:pPr>
      <w:r>
        <w:rPr>
          <w:rFonts w:ascii="Arial" w:cs="Arial" w:eastAsia="Arial" w:hAnsi="Arial"/>
          <w:sz w:val="14"/>
          <w:szCs w:val="14"/>
          <w:color w:val="auto"/>
        </w:rPr>
        <w:t>With Landlord’s approval (which approval shall not be unreasonably withheld, conditioned or delayed), Tenant shall, subject to the provisions of this Section 1.4(b), have the right to access the Premises for purposes (“</w:t>
      </w:r>
      <w:r>
        <w:rPr>
          <w:rFonts w:ascii="Arial" w:cs="Arial" w:eastAsia="Arial" w:hAnsi="Arial"/>
          <w:sz w:val="14"/>
          <w:szCs w:val="14"/>
          <w:b w:val="1"/>
          <w:bCs w:val="1"/>
          <w:u w:val="single" w:color="auto"/>
          <w:color w:val="auto"/>
        </w:rPr>
        <w:t>Premises Preparation Purposes</w:t>
      </w:r>
      <w:r>
        <w:rPr>
          <w:rFonts w:ascii="Arial" w:cs="Arial" w:eastAsia="Arial" w:hAnsi="Arial"/>
          <w:sz w:val="14"/>
          <w:szCs w:val="14"/>
          <w:color w:val="auto"/>
        </w:rPr>
        <w:t>”) reasonably related to the planning, design and installation of Tenant’s Property (including, without limitation, Tenant’s furniture, fixtures and telecommunications and other equipment) during the Premises Preparation Period, as hereinafter defined, provided that such entry: (i) shall be at Tenant’s sole risk, except (subject to Section 14.5) to the extent of damage to property or injury to persons caused</w:t>
      </w:r>
    </w:p>
    <w:p>
      <w:pPr>
        <w:spacing w:after="0" w:line="13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77" w:name="page478"/>
    <w:bookmarkEnd w:id="477"/>
    <w:p>
      <w:pPr>
        <w:ind w:left="2" w:right="120"/>
        <w:spacing w:after="0" w:line="281" w:lineRule="auto"/>
        <w:rPr>
          <w:sz w:val="20"/>
          <w:szCs w:val="20"/>
          <w:color w:val="auto"/>
        </w:rPr>
      </w:pPr>
      <w:r>
        <w:rPr>
          <w:rFonts w:ascii="Arial" w:cs="Arial" w:eastAsia="Arial" w:hAnsi="Arial"/>
          <w:sz w:val="15"/>
          <w:szCs w:val="15"/>
          <w:color w:val="auto"/>
        </w:rPr>
        <w:t>by the negligence or willful misconduct of the Landlord Parties (hereinafter defined), and (ii) may only be made in accordance with, and subject to, the provisions of this Lease, except that Tenant shall have no obligation to pay Base Rent, Operating Expenses or Taxes during such entry. Tenant shall, prior to the first entry to the Premises pursuant to this Section 1.4(b), provide Landlord with certificates of insurance evidencing that the insurance required in Section 14 hereof is in full force and effect and covering any person or entity entering the Building. The “</w:t>
      </w:r>
      <w:r>
        <w:rPr>
          <w:rFonts w:ascii="Arial" w:cs="Arial" w:eastAsia="Arial" w:hAnsi="Arial"/>
          <w:sz w:val="15"/>
          <w:szCs w:val="15"/>
          <w:b w:val="1"/>
          <w:bCs w:val="1"/>
          <w:color w:val="auto"/>
        </w:rPr>
        <w:t>Premises Preparation Period</w:t>
      </w:r>
      <w:r>
        <w:rPr>
          <w:rFonts w:ascii="Arial" w:cs="Arial" w:eastAsia="Arial" w:hAnsi="Arial"/>
          <w:sz w:val="15"/>
          <w:szCs w:val="15"/>
          <w:color w:val="auto"/>
        </w:rPr>
        <w:t>” shall be the shorter of: (i) the thirty (30) day period immediately prior to the Term Commencement Date, or (ii) the period commencing as of the Delivery Date, as defined in Section 3.1(c) and ending as of the Term Commencement Date. Tenant shall coordinate any access to the Premises prior to the Term Commencement Date with Landlord’s property manager.</w:t>
      </w:r>
    </w:p>
    <w:p>
      <w:pPr>
        <w:spacing w:after="0" w:line="154" w:lineRule="exact"/>
        <w:rPr>
          <w:sz w:val="20"/>
          <w:szCs w:val="20"/>
          <w:color w:val="auto"/>
        </w:rPr>
      </w:pPr>
    </w:p>
    <w:p>
      <w:pPr>
        <w:ind w:left="2" w:right="40" w:firstLine="587"/>
        <w:spacing w:after="0" w:line="282" w:lineRule="auto"/>
        <w:rPr>
          <w:sz w:val="20"/>
          <w:szCs w:val="20"/>
          <w:color w:val="auto"/>
        </w:rPr>
      </w:pPr>
      <w:r>
        <w:rPr>
          <w:rFonts w:ascii="Arial" w:cs="Arial" w:eastAsia="Arial" w:hAnsi="Arial"/>
          <w:sz w:val="15"/>
          <w:szCs w:val="15"/>
          <w:b w:val="1"/>
          <w:bCs w:val="1"/>
          <w:color w:val="auto"/>
        </w:rPr>
        <w:t xml:space="preserve">1.5 </w:t>
      </w:r>
      <w:r>
        <w:rPr>
          <w:rFonts w:ascii="Arial" w:cs="Arial" w:eastAsia="Arial" w:hAnsi="Arial"/>
          <w:sz w:val="15"/>
          <w:szCs w:val="15"/>
          <w:b w:val="1"/>
          <w:bCs w:val="1"/>
          <w:u w:val="single" w:color="auto"/>
          <w:color w:val="auto"/>
        </w:rPr>
        <w:t>Notice of Lease</w:t>
      </w:r>
      <w:r>
        <w:rPr>
          <w:rFonts w:ascii="Arial" w:cs="Arial" w:eastAsia="Arial" w:hAnsi="Arial"/>
          <w:sz w:val="15"/>
          <w:szCs w:val="15"/>
          <w:b w:val="1"/>
          <w:bCs w:val="1"/>
          <w:color w:val="auto"/>
        </w:rPr>
        <w:t xml:space="preserve">. </w:t>
      </w:r>
      <w:r>
        <w:rPr>
          <w:rFonts w:ascii="Arial" w:cs="Arial" w:eastAsia="Arial" w:hAnsi="Arial"/>
          <w:sz w:val="15"/>
          <w:szCs w:val="15"/>
          <w:color w:val="auto"/>
        </w:rPr>
        <w:t>Neither party shall record this Lease, but each of the parties hereto agrees to join in the execution, in recordable form, of a statutory notice</w:t>
      </w:r>
      <w:r>
        <w:rPr>
          <w:rFonts w:ascii="Arial" w:cs="Arial" w:eastAsia="Arial" w:hAnsi="Arial"/>
          <w:sz w:val="15"/>
          <w:szCs w:val="15"/>
          <w:b w:val="1"/>
          <w:bCs w:val="1"/>
          <w:color w:val="auto"/>
        </w:rPr>
        <w:t xml:space="preserve"> </w:t>
      </w:r>
      <w:r>
        <w:rPr>
          <w:rFonts w:ascii="Arial" w:cs="Arial" w:eastAsia="Arial" w:hAnsi="Arial"/>
          <w:sz w:val="15"/>
          <w:szCs w:val="15"/>
          <w:color w:val="auto"/>
        </w:rPr>
        <w:t>of lease and/or written declaration in which shall be stated the Term Commencement Date, the Rent Commencement Date, the number and length of the Extension Term and the Expiration Date, which notice of lease may be recorded by Tenant with the Middlesex South Registry of Deeds and/or filed with the Middlesex South Registry District of the Land Court, as appropriate (collectively, the “</w:t>
      </w:r>
      <w:r>
        <w:rPr>
          <w:rFonts w:ascii="Arial" w:cs="Arial" w:eastAsia="Arial" w:hAnsi="Arial"/>
          <w:sz w:val="15"/>
          <w:szCs w:val="15"/>
          <w:b w:val="1"/>
          <w:bCs w:val="1"/>
          <w:u w:val="single" w:color="auto"/>
          <w:color w:val="auto"/>
        </w:rPr>
        <w:t>Registry</w:t>
      </w:r>
      <w:r>
        <w:rPr>
          <w:rFonts w:ascii="Arial" w:cs="Arial" w:eastAsia="Arial" w:hAnsi="Arial"/>
          <w:sz w:val="15"/>
          <w:szCs w:val="15"/>
          <w:color w:val="auto"/>
        </w:rPr>
        <w:t>”) at Tenant’s sole cost and expense. If a notice of lease was previously recorded with the Registry, upon the expiration or earlier termination of this Lease, Landlord shall deliver to Tenant a notice of termination of lease and Tenant shall promptly execute and deliver the same to Landlord for Landlord’s execution and recordation with the Registry, which obligation shall survive the expiration or earlier termination of the Lease.</w:t>
      </w:r>
    </w:p>
    <w:p>
      <w:pPr>
        <w:spacing w:after="0" w:line="153" w:lineRule="exact"/>
        <w:rPr>
          <w:sz w:val="20"/>
          <w:szCs w:val="20"/>
          <w:color w:val="auto"/>
        </w:rPr>
      </w:pPr>
    </w:p>
    <w:p>
      <w:pPr>
        <w:ind w:left="2" w:right="180" w:firstLine="587"/>
        <w:spacing w:after="0" w:line="290" w:lineRule="auto"/>
        <w:rPr>
          <w:sz w:val="20"/>
          <w:szCs w:val="20"/>
          <w:color w:val="auto"/>
        </w:rPr>
      </w:pPr>
      <w:r>
        <w:rPr>
          <w:rFonts w:ascii="Arial" w:cs="Arial" w:eastAsia="Arial" w:hAnsi="Arial"/>
          <w:sz w:val="15"/>
          <w:szCs w:val="15"/>
          <w:b w:val="1"/>
          <w:bCs w:val="1"/>
          <w:color w:val="auto"/>
        </w:rPr>
        <w:t xml:space="preserve">1.6 </w:t>
      </w:r>
      <w:r>
        <w:rPr>
          <w:rFonts w:ascii="Arial" w:cs="Arial" w:eastAsia="Arial" w:hAnsi="Arial"/>
          <w:sz w:val="15"/>
          <w:szCs w:val="15"/>
          <w:b w:val="1"/>
          <w:bCs w:val="1"/>
          <w:u w:val="single" w:color="auto"/>
          <w:color w:val="auto"/>
        </w:rPr>
        <w:t>Exclusions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following are expressly excluded from the Premises and reserved to Landlord: all the perimeter walls of the Premises (except the inner</w:t>
      </w:r>
      <w:r>
        <w:rPr>
          <w:rFonts w:ascii="Arial" w:cs="Arial" w:eastAsia="Arial" w:hAnsi="Arial"/>
          <w:sz w:val="15"/>
          <w:szCs w:val="15"/>
          <w:b w:val="1"/>
          <w:bCs w:val="1"/>
          <w:color w:val="auto"/>
        </w:rPr>
        <w:t xml:space="preserve"> </w:t>
      </w:r>
      <w:r>
        <w:rPr>
          <w:rFonts w:ascii="Arial" w:cs="Arial" w:eastAsia="Arial" w:hAnsi="Arial"/>
          <w:sz w:val="15"/>
          <w:szCs w:val="15"/>
          <w:color w:val="auto"/>
        </w:rPr>
        <w:t>surfaces thereof), the Common Areas, and any space in or adjacent to the Premises used for shafts, stacks, pipes, conduits, wires and appurtenant fixtures, fan rooms, ducts, electric or other utilities, sinks or other Building facilities, and the use of all of the foregoing, except as expressly permitted pursuant to Section 1.3(a) above, provided however, that such exclusions and reservations shall not adversely affect Tenant’s use of the Premises, other than in a de minimis manner.</w:t>
      </w:r>
    </w:p>
    <w:p>
      <w:pPr>
        <w:spacing w:after="0" w:line="145" w:lineRule="exact"/>
        <w:rPr>
          <w:sz w:val="20"/>
          <w:szCs w:val="20"/>
          <w:color w:val="auto"/>
        </w:rPr>
      </w:pPr>
    </w:p>
    <w:p>
      <w:pPr>
        <w:ind w:left="582" w:hanging="582"/>
        <w:spacing w:after="0"/>
        <w:tabs>
          <w:tab w:leader="none" w:pos="582" w:val="left"/>
        </w:tabs>
        <w:numPr>
          <w:ilvl w:val="0"/>
          <w:numId w:val="436"/>
        </w:numPr>
        <w:rPr>
          <w:rFonts w:ascii="Arial" w:cs="Arial" w:eastAsia="Arial" w:hAnsi="Arial"/>
          <w:sz w:val="16"/>
          <w:szCs w:val="16"/>
          <w:b w:val="1"/>
          <w:bCs w:val="1"/>
          <w:color w:val="auto"/>
        </w:rPr>
      </w:pPr>
      <w:r>
        <w:rPr>
          <w:rFonts w:ascii="Arial" w:cs="Arial" w:eastAsia="Arial" w:hAnsi="Arial"/>
          <w:sz w:val="16"/>
          <w:szCs w:val="16"/>
          <w:b w:val="1"/>
          <w:bCs w:val="1"/>
          <w:color w:val="auto"/>
        </w:rPr>
        <w:t>RIGHTS RESERVED TO LANDLORD</w:t>
      </w:r>
    </w:p>
    <w:p>
      <w:pPr>
        <w:spacing w:after="0" w:line="207" w:lineRule="exact"/>
        <w:rPr>
          <w:sz w:val="20"/>
          <w:szCs w:val="20"/>
          <w:color w:val="auto"/>
        </w:rPr>
      </w:pPr>
    </w:p>
    <w:p>
      <w:pPr>
        <w:ind w:left="2" w:firstLine="587"/>
        <w:spacing w:after="0" w:line="282" w:lineRule="auto"/>
        <w:rPr>
          <w:sz w:val="20"/>
          <w:szCs w:val="20"/>
          <w:color w:val="auto"/>
        </w:rPr>
      </w:pPr>
      <w:r>
        <w:rPr>
          <w:rFonts w:ascii="Arial" w:cs="Arial" w:eastAsia="Arial" w:hAnsi="Arial"/>
          <w:sz w:val="15"/>
          <w:szCs w:val="15"/>
          <w:b w:val="1"/>
          <w:bCs w:val="1"/>
          <w:color w:val="auto"/>
        </w:rPr>
        <w:t xml:space="preserve">2.1 Additions and Alterations. </w:t>
      </w:r>
      <w:r>
        <w:rPr>
          <w:rFonts w:ascii="Arial" w:cs="Arial" w:eastAsia="Arial" w:hAnsi="Arial"/>
          <w:sz w:val="15"/>
          <w:szCs w:val="15"/>
          <w:color w:val="auto"/>
        </w:rPr>
        <w:t>Landlord reserves the right, at any time and from time to time, but upon prior written or oral notice to Tenant (except that no</w:t>
      </w:r>
      <w:r>
        <w:rPr>
          <w:rFonts w:ascii="Arial" w:cs="Arial" w:eastAsia="Arial" w:hAnsi="Arial"/>
          <w:sz w:val="15"/>
          <w:szCs w:val="15"/>
          <w:b w:val="1"/>
          <w:bCs w:val="1"/>
          <w:color w:val="auto"/>
        </w:rPr>
        <w:t xml:space="preserve"> </w:t>
      </w:r>
      <w:r>
        <w:rPr>
          <w:rFonts w:ascii="Arial" w:cs="Arial" w:eastAsia="Arial" w:hAnsi="Arial"/>
          <w:sz w:val="15"/>
          <w:szCs w:val="15"/>
          <w:color w:val="auto"/>
        </w:rPr>
        <w:t>prior notice shall be required in an emergency) to make such changes, alterations, additions, improvements, repairs or replacements in or to the Property (including the Premises but, with respect to the Premises, only for purposes of repairs, maintenance, replacements and the exercise of any other rights expressly reserved to Landlord herein) and the fixtures and equipment therein, as well as in or to the street entrances and/or the Common Areas, as it may deem necessary or desirable, provided, however, that there be no material obstruction of permanent access to, or material interference with the use and enjoyment of, the Premises by Tenant. Subject to the foregoing, Landlord expressly reserves the right to temporarily close all, or any portion, of the Common Areas for the purpose of making repairs or changes thereto.</w:t>
      </w:r>
    </w:p>
    <w:p>
      <w:pPr>
        <w:spacing w:after="0" w:line="157"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2"/>
          </w:cols>
          <w:pgMar w:left="238" w:top="322" w:right="299" w:bottom="1440" w:gutter="0" w:footer="0" w:header="0"/>
        </w:sectPr>
      </w:pPr>
    </w:p>
    <w:bookmarkStart w:id="478" w:name="page479"/>
    <w:bookmarkEnd w:id="478"/>
    <w:p>
      <w:pPr>
        <w:ind w:left="582"/>
        <w:spacing w:after="0"/>
        <w:tabs>
          <w:tab w:leader="none" w:pos="1142"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4"/>
          <w:szCs w:val="14"/>
          <w:b w:val="1"/>
          <w:bCs w:val="1"/>
          <w:color w:val="auto"/>
        </w:rPr>
        <w:t>Additions to the Property.</w:t>
      </w:r>
    </w:p>
    <w:p>
      <w:pPr>
        <w:spacing w:after="0" w:line="207" w:lineRule="exact"/>
        <w:rPr>
          <w:sz w:val="20"/>
          <w:szCs w:val="20"/>
          <w:color w:val="auto"/>
        </w:rPr>
      </w:pPr>
    </w:p>
    <w:p>
      <w:pPr>
        <w:ind w:left="2" w:right="100" w:firstLine="1172"/>
        <w:spacing w:after="0" w:line="267" w:lineRule="auto"/>
        <w:tabs>
          <w:tab w:leader="none" w:pos="1760" w:val="left"/>
        </w:tabs>
        <w:numPr>
          <w:ilvl w:val="1"/>
          <w:numId w:val="437"/>
        </w:numPr>
        <w:rPr>
          <w:rFonts w:ascii="Arial" w:cs="Arial" w:eastAsia="Arial" w:hAnsi="Arial"/>
          <w:sz w:val="16"/>
          <w:szCs w:val="16"/>
          <w:color w:val="auto"/>
        </w:rPr>
      </w:pPr>
      <w:r>
        <w:rPr>
          <w:rFonts w:ascii="Arial" w:cs="Arial" w:eastAsia="Arial" w:hAnsi="Arial"/>
          <w:sz w:val="16"/>
          <w:szCs w:val="16"/>
          <w:color w:val="auto"/>
        </w:rPr>
        <w:t>Landlord may at any time or from time to time (i) construct additional improvements and related site improvements (collectively, “</w:t>
      </w:r>
      <w:r>
        <w:rPr>
          <w:rFonts w:ascii="Arial" w:cs="Arial" w:eastAsia="Arial" w:hAnsi="Arial"/>
          <w:sz w:val="16"/>
          <w:szCs w:val="16"/>
          <w:b w:val="1"/>
          <w:bCs w:val="1"/>
          <w:u w:val="single" w:color="auto"/>
          <w:color w:val="auto"/>
        </w:rPr>
        <w:t>Future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Development</w:t>
      </w:r>
      <w:r>
        <w:rPr>
          <w:rFonts w:ascii="Arial" w:cs="Arial" w:eastAsia="Arial" w:hAnsi="Arial"/>
          <w:sz w:val="16"/>
          <w:szCs w:val="16"/>
          <w:color w:val="auto"/>
        </w:rPr>
        <w:t>”) in all or any part of the Property and/or (ii) change the location or arrangement of any improvement outside the Building in or on the Property or all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the Common Areas, or add or deduct any land to or from the Property; provided that there shall be no material increase in Tenant’s obligations or material interference with Tenant’s rights under this Lease in connection with the exercise of the foregoing reserved rights.</w:t>
      </w:r>
    </w:p>
    <w:p>
      <w:pPr>
        <w:spacing w:after="0" w:line="163" w:lineRule="exact"/>
        <w:rPr>
          <w:rFonts w:ascii="Arial" w:cs="Arial" w:eastAsia="Arial" w:hAnsi="Arial"/>
          <w:sz w:val="16"/>
          <w:szCs w:val="16"/>
          <w:color w:val="auto"/>
        </w:rPr>
      </w:pPr>
    </w:p>
    <w:p>
      <w:pPr>
        <w:ind w:left="2" w:right="60" w:firstLine="1172"/>
        <w:spacing w:after="0" w:line="294" w:lineRule="auto"/>
        <w:tabs>
          <w:tab w:leader="none" w:pos="1769" w:val="left"/>
        </w:tabs>
        <w:numPr>
          <w:ilvl w:val="1"/>
          <w:numId w:val="437"/>
        </w:numPr>
        <w:rPr>
          <w:rFonts w:ascii="Arial" w:cs="Arial" w:eastAsia="Arial" w:hAnsi="Arial"/>
          <w:sz w:val="14"/>
          <w:szCs w:val="14"/>
          <w:color w:val="auto"/>
        </w:rPr>
      </w:pPr>
      <w:r>
        <w:rPr>
          <w:rFonts w:ascii="Arial" w:cs="Arial" w:eastAsia="Arial" w:hAnsi="Arial"/>
          <w:sz w:val="14"/>
          <w:szCs w:val="14"/>
          <w:color w:val="auto"/>
        </w:rPr>
        <w:t>Landlord and Tenant each hereby acknowledges and agrees that, in connection with any Future Development, (i) Landlord shall have the right to subject the Land and the improvements located now or in the future located thereon to a commercial condominium regime (“</w:t>
      </w:r>
      <w:r>
        <w:rPr>
          <w:rFonts w:ascii="Arial" w:cs="Arial" w:eastAsia="Arial" w:hAnsi="Arial"/>
          <w:sz w:val="14"/>
          <w:szCs w:val="14"/>
          <w:b w:val="1"/>
          <w:bCs w:val="1"/>
          <w:u w:val="single" w:color="auto"/>
          <w:color w:val="auto"/>
        </w:rPr>
        <w:t>Condominium</w:t>
      </w:r>
      <w:r>
        <w:rPr>
          <w:rFonts w:ascii="Arial" w:cs="Arial" w:eastAsia="Arial" w:hAnsi="Arial"/>
          <w:sz w:val="14"/>
          <w:szCs w:val="14"/>
          <w:color w:val="auto"/>
        </w:rPr>
        <w:t>”) on terms and conditions consistent with first class office and laboratory parks in the Route 128 area, in which the Building shall be a single unit; (ii) upon Landlord’s request in connection with the recording of the Master Deed for the Condominium, Tenant shall execute a reasonable instrument in recordable form making this Lease subject and subordinate to the Master Deed and other documents evidencing the Condominium (collectively, the “</w:t>
      </w:r>
      <w:r>
        <w:rPr>
          <w:rFonts w:ascii="Arial" w:cs="Arial" w:eastAsia="Arial" w:hAnsi="Arial"/>
          <w:sz w:val="14"/>
          <w:szCs w:val="14"/>
          <w:b w:val="1"/>
          <w:bCs w:val="1"/>
          <w:u w:val="single" w:color="auto"/>
          <w:color w:val="auto"/>
        </w:rPr>
        <w:t>Condo Documents</w:t>
      </w:r>
      <w:r>
        <w:rPr>
          <w:rFonts w:ascii="Arial" w:cs="Arial" w:eastAsia="Arial" w:hAnsi="Arial"/>
          <w:sz w:val="14"/>
          <w:szCs w:val="14"/>
          <w:color w:val="auto"/>
        </w:rPr>
        <w:t>”) provided that such Condo Documents continue to provide Tenant with all of the rights and obligations contained in this Lease (e.g. the appurtenant right to use all Common Areas) and the Condo Documents comply with the provisions of this Section 2.2 and provided that: (A) the Condo Documents shall not, other than in a de minimis manner, adversely affect (x) Tenant’s possession or use of the Premises, or</w:t>
      </w:r>
    </w:p>
    <w:p>
      <w:pPr>
        <w:ind w:left="2" w:hanging="2"/>
        <w:spacing w:after="0" w:line="291" w:lineRule="auto"/>
        <w:tabs>
          <w:tab w:leader="none" w:pos="230" w:val="left"/>
        </w:tabs>
        <w:numPr>
          <w:ilvl w:val="0"/>
          <w:numId w:val="438"/>
        </w:numPr>
        <w:rPr>
          <w:rFonts w:ascii="Arial" w:cs="Arial" w:eastAsia="Arial" w:hAnsi="Arial"/>
          <w:sz w:val="14"/>
          <w:szCs w:val="14"/>
          <w:color w:val="auto"/>
        </w:rPr>
      </w:pPr>
      <w:r>
        <w:rPr>
          <w:rFonts w:ascii="Arial" w:cs="Arial" w:eastAsia="Arial" w:hAnsi="Arial"/>
          <w:sz w:val="14"/>
          <w:szCs w:val="14"/>
          <w:color w:val="auto"/>
        </w:rPr>
        <w:t>Tenant’s other rights under this Lease; and (B) the Condo Documents shall not in any way increase, other than in a de minimis manner, Tenant’s monetary or other obligations hereunder; (iii) Landlord shall have the right to enter into, and subject the Property to the terms and conditions of, a reciprocal easement agreement with any one or more of the neighboring property owners in order to create a commercial campus-like setting (“</w:t>
      </w:r>
      <w:r>
        <w:rPr>
          <w:rFonts w:ascii="Arial" w:cs="Arial" w:eastAsia="Arial" w:hAnsi="Arial"/>
          <w:sz w:val="14"/>
          <w:szCs w:val="14"/>
          <w:b w:val="1"/>
          <w:bCs w:val="1"/>
          <w:u w:val="single" w:color="auto"/>
          <w:color w:val="auto"/>
        </w:rPr>
        <w:t>REA</w:t>
      </w:r>
      <w:r>
        <w:rPr>
          <w:rFonts w:ascii="Arial" w:cs="Arial" w:eastAsia="Arial" w:hAnsi="Arial"/>
          <w:sz w:val="14"/>
          <w:szCs w:val="14"/>
          <w:color w:val="auto"/>
        </w:rPr>
        <w:t>”) provided that such REA continues to provide Tenant with all of the rights and obligations contained in this Lease as of the Execution Date (e.g. the appurtenant right to use all Common Areas) and the REA complies with the provisions of this Section 2.2; (iv) Landlord shall submit to Tenant for Tenant’s approval drafts of the Condo Documents and the REA (and any amendments thereto) prior to their execution;</w:t>
      </w:r>
    </w:p>
    <w:p>
      <w:pPr>
        <w:spacing w:after="0" w:line="2" w:lineRule="exact"/>
        <w:rPr>
          <w:rFonts w:ascii="Arial" w:cs="Arial" w:eastAsia="Arial" w:hAnsi="Arial"/>
          <w:sz w:val="14"/>
          <w:szCs w:val="14"/>
          <w:color w:val="auto"/>
        </w:rPr>
      </w:pPr>
    </w:p>
    <w:p>
      <w:pPr>
        <w:ind w:left="2" w:hanging="2"/>
        <w:spacing w:after="0" w:line="275" w:lineRule="auto"/>
        <w:tabs>
          <w:tab w:leader="none" w:pos="230" w:val="left"/>
        </w:tabs>
        <w:numPr>
          <w:ilvl w:val="0"/>
          <w:numId w:val="439"/>
        </w:numPr>
        <w:rPr>
          <w:rFonts w:ascii="Arial" w:cs="Arial" w:eastAsia="Arial" w:hAnsi="Arial"/>
          <w:sz w:val="15"/>
          <w:szCs w:val="15"/>
          <w:color w:val="auto"/>
        </w:rPr>
      </w:pPr>
      <w:r>
        <w:rPr>
          <w:rFonts w:ascii="Arial" w:cs="Arial" w:eastAsia="Arial" w:hAnsi="Arial"/>
          <w:sz w:val="15"/>
          <w:szCs w:val="15"/>
          <w:color w:val="auto"/>
        </w:rPr>
        <w:t>Tenant shall have the right to notify Landlord within thirty (30) days after receipt of the draft Condo Documents and/or REA (or any amendments thereto) of Tenant’s disapproval thereof, but only to the extent such draft(s) fail to satisfy the following conditions (“</w:t>
      </w:r>
      <w:r>
        <w:rPr>
          <w:rFonts w:ascii="Arial" w:cs="Arial" w:eastAsia="Arial" w:hAnsi="Arial"/>
          <w:sz w:val="15"/>
          <w:szCs w:val="15"/>
          <w:b w:val="1"/>
          <w:bCs w:val="1"/>
          <w:color w:val="auto"/>
        </w:rPr>
        <w:t>Impact Conditions</w:t>
      </w:r>
      <w:r>
        <w:rPr>
          <w:rFonts w:ascii="Arial" w:cs="Arial" w:eastAsia="Arial" w:hAnsi="Arial"/>
          <w:sz w:val="15"/>
          <w:szCs w:val="15"/>
          <w:color w:val="auto"/>
        </w:rPr>
        <w:t>”) (A) no material adverse affect to Tenant’s use of, or access to, the Premises, (B) no material adverse affect to the operation of Tenant’s business from the Premises in accordance with the terms of this Lease, or Tenant’s rights under and pursuant to the terms of this Lease, including without limitation Tenant’s rights with respect to the Common Areas, and/or (C) no increase in Tenant’s payment or other obligations under this Lease in more than a de minimis manner; (vi) upon Landlord’s request in connection with the recording of the REA, Tenant shall execute a commercially reasonable instrument in recordable form making this Lease subject and subordinate to the REA, provided that the REA satisfies the Impact Conditions, as defined above; (vii) Landlord shall have the right to subdivide the Property so long as Tenant continues to have all of the rights and obligations contained in this Lease (e.g. the appurtenant right to use all Common Areas); and (viii) Tenant shall execute such reasonable documents (which may be in recordable form) evidencing the foregoing promptly upon Landlord’s request. Landlord shall, within fifteen (15) business days of demand, reimburse Tenant for the reasonable out-of-pocket costs incurred by Tenant, if any, to review and comment on any documents or instruments presented to Tenant pursuant to this paragraph.</w:t>
      </w:r>
    </w:p>
    <w:p>
      <w:pPr>
        <w:spacing w:after="0" w:line="16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479" w:name="page480"/>
    <w:bookmarkEnd w:id="479"/>
    <w:p>
      <w:pPr>
        <w:jc w:val="both"/>
        <w:ind w:right="60" w:firstLine="1172"/>
        <w:spacing w:after="0" w:line="314" w:lineRule="auto"/>
        <w:tabs>
          <w:tab w:leader="none" w:pos="1770" w:val="left"/>
        </w:tabs>
        <w:numPr>
          <w:ilvl w:val="0"/>
          <w:numId w:val="440"/>
        </w:numPr>
        <w:rPr>
          <w:rFonts w:ascii="Arial" w:cs="Arial" w:eastAsia="Arial" w:hAnsi="Arial"/>
          <w:sz w:val="14"/>
          <w:szCs w:val="14"/>
          <w:color w:val="auto"/>
        </w:rPr>
      </w:pPr>
      <w:r>
        <w:rPr>
          <w:rFonts w:ascii="Arial" w:cs="Arial" w:eastAsia="Arial" w:hAnsi="Arial"/>
          <w:sz w:val="14"/>
          <w:szCs w:val="14"/>
          <w:color w:val="auto"/>
        </w:rPr>
        <w:t>In case any excavation shall be made for building or improvements or for any other purpose upon the land adjacent to or near the Premises, Tenant will, upon written or oral notice to Tenant (except that no prior notice shall be required in an emergency) afford without charge to Landlord, or the person or persons, firms or corporations causing or making such excavation, license to enter upon the Premises for the purpose of doing such work as Landlord or such person or persons, firms or corporation shall deem to be necessary to preserve the walls or structures of the Building from injury, and to protect the Building by proper securing of foundations.</w:t>
      </w:r>
    </w:p>
    <w:p>
      <w:pPr>
        <w:spacing w:after="0" w:line="132" w:lineRule="exact"/>
        <w:rPr>
          <w:sz w:val="20"/>
          <w:szCs w:val="20"/>
          <w:color w:val="auto"/>
        </w:rPr>
      </w:pPr>
    </w:p>
    <w:p>
      <w:pPr>
        <w:ind w:right="300" w:firstLine="587"/>
        <w:spacing w:after="0" w:line="290" w:lineRule="auto"/>
        <w:rPr>
          <w:sz w:val="20"/>
          <w:szCs w:val="20"/>
          <w:color w:val="auto"/>
        </w:rPr>
      </w:pPr>
      <w:r>
        <w:rPr>
          <w:rFonts w:ascii="Arial" w:cs="Arial" w:eastAsia="Arial" w:hAnsi="Arial"/>
          <w:sz w:val="16"/>
          <w:szCs w:val="16"/>
          <w:b w:val="1"/>
          <w:bCs w:val="1"/>
          <w:color w:val="auto"/>
        </w:rPr>
        <w:t xml:space="preserve">2.3 Name and Address of Building. </w:t>
      </w:r>
      <w:r>
        <w:rPr>
          <w:rFonts w:ascii="Arial" w:cs="Arial" w:eastAsia="Arial" w:hAnsi="Arial"/>
          <w:sz w:val="16"/>
          <w:szCs w:val="16"/>
          <w:color w:val="auto"/>
        </w:rPr>
        <w:t>Landlord reserves the right at any time and from time to time to change the name or address of the Building and/or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provided Landlord gives Tenant at least three (3) months’ prior written notice thereof.</w:t>
      </w:r>
    </w:p>
    <w:p>
      <w:pPr>
        <w:spacing w:after="0" w:line="142" w:lineRule="exact"/>
        <w:rPr>
          <w:sz w:val="20"/>
          <w:szCs w:val="20"/>
          <w:color w:val="auto"/>
        </w:rPr>
      </w:pPr>
    </w:p>
    <w:p>
      <w:pPr>
        <w:ind w:firstLine="587"/>
        <w:spacing w:after="0" w:line="295" w:lineRule="auto"/>
        <w:rPr>
          <w:sz w:val="20"/>
          <w:szCs w:val="20"/>
          <w:color w:val="auto"/>
        </w:rPr>
      </w:pPr>
      <w:r>
        <w:rPr>
          <w:rFonts w:ascii="Arial" w:cs="Arial" w:eastAsia="Arial" w:hAnsi="Arial"/>
          <w:sz w:val="14"/>
          <w:szCs w:val="14"/>
          <w:b w:val="1"/>
          <w:bCs w:val="1"/>
          <w:color w:val="auto"/>
        </w:rPr>
        <w:t>2.4 Landlord’s Access</w:t>
      </w:r>
      <w:r>
        <w:rPr>
          <w:rFonts w:ascii="Arial" w:cs="Arial" w:eastAsia="Arial" w:hAnsi="Arial"/>
          <w:sz w:val="14"/>
          <w:szCs w:val="14"/>
          <w:color w:val="auto"/>
        </w:rPr>
        <w:t>. Subject to the terms of this Section 2.4, Tenant shall (a) upon reasonable advance written or oral notice (except that no notice shall be</w:t>
      </w:r>
      <w:r>
        <w:rPr>
          <w:rFonts w:ascii="Arial" w:cs="Arial" w:eastAsia="Arial" w:hAnsi="Arial"/>
          <w:sz w:val="14"/>
          <w:szCs w:val="14"/>
          <w:b w:val="1"/>
          <w:bCs w:val="1"/>
          <w:color w:val="auto"/>
        </w:rPr>
        <w:t xml:space="preserve"> </w:t>
      </w:r>
      <w:r>
        <w:rPr>
          <w:rFonts w:ascii="Arial" w:cs="Arial" w:eastAsia="Arial" w:hAnsi="Arial"/>
          <w:sz w:val="14"/>
          <w:szCs w:val="14"/>
          <w:color w:val="auto"/>
        </w:rPr>
        <w:t>required in emergency situations), permit Landlord and any holder of a Mortgage (hereinafter defined) (each such holder, a “</w:t>
      </w:r>
      <w:r>
        <w:rPr>
          <w:rFonts w:ascii="Arial" w:cs="Arial" w:eastAsia="Arial" w:hAnsi="Arial"/>
          <w:sz w:val="14"/>
          <w:szCs w:val="14"/>
          <w:b w:val="1"/>
          <w:bCs w:val="1"/>
          <w:u w:val="single" w:color="auto"/>
          <w:color w:val="auto"/>
        </w:rPr>
        <w:t>Mortgagee</w:t>
      </w:r>
      <w:r>
        <w:rPr>
          <w:rFonts w:ascii="Arial" w:cs="Arial" w:eastAsia="Arial" w:hAnsi="Arial"/>
          <w:sz w:val="14"/>
          <w:szCs w:val="14"/>
          <w:color w:val="auto"/>
        </w:rPr>
        <w:t>”), and their agents, representatives, employees and contractors, to have reasonable access to the Premises at all reasonable hours for the purposes of inspection, making repairs, replacements or improvements in or to the Premises or the Building or equipment therein (including, without limitation, sanitary, electrical, heating, air conditioning or other systems), complying with all applicable laws, ordinances, rules, regulations, statutes, by-laws, court decisions and orders and requirements of all public authorities, including the Americans with Disabilities Act (collectively, “</w:t>
      </w:r>
      <w:r>
        <w:rPr>
          <w:rFonts w:ascii="Arial" w:cs="Arial" w:eastAsia="Arial" w:hAnsi="Arial"/>
          <w:sz w:val="14"/>
          <w:szCs w:val="14"/>
          <w:b w:val="1"/>
          <w:bCs w:val="1"/>
          <w:u w:val="single" w:color="auto"/>
          <w:color w:val="auto"/>
        </w:rPr>
        <w:t>Legal Requirements</w:t>
      </w:r>
      <w:r>
        <w:rPr>
          <w:rFonts w:ascii="Arial" w:cs="Arial" w:eastAsia="Arial" w:hAnsi="Arial"/>
          <w:sz w:val="14"/>
          <w:szCs w:val="14"/>
          <w:color w:val="auto"/>
        </w:rPr>
        <w:t>”), or exercising any right reserved to Landlord under this Lease (including without limitation the right to take upon or through, or to keep and store within the Premises all necessary materials, tools and equipment); (b) permit Landlord and its agents and employees, at reasonable times, upon reasonable advance written or oral notice, to show the Premises during normal business hours (i.e. Monday - Friday 8 A.M. - 6 P.M., Saturday 8 A.M. - 1 P.M., excluding New Year’s Day, Memorial Day, Independence Day, Labor Day, Thanksgiving Day and Christmas Day to any prospective Mortgagee or purchaser of the Building and/or the Property or of the interest of Landlord therein, and, during the last twelve (12) months of the Term or at any time after the occurrence of an Event of Default, prospective tenants; and (c) upon reasonable prior written notice from Landlord, permit Landlord and its agents, at Landlord’s sole cost and expense, to perform environmental audits, environmental site investigations and environmental site assessments (“</w:t>
      </w:r>
      <w:r>
        <w:rPr>
          <w:rFonts w:ascii="Arial" w:cs="Arial" w:eastAsia="Arial" w:hAnsi="Arial"/>
          <w:sz w:val="14"/>
          <w:szCs w:val="14"/>
          <w:b w:val="1"/>
          <w:bCs w:val="1"/>
          <w:u w:val="single" w:color="auto"/>
          <w:color w:val="auto"/>
        </w:rPr>
        <w:t>Site Assessments</w:t>
      </w:r>
      <w:r>
        <w:rPr>
          <w:rFonts w:ascii="Arial" w:cs="Arial" w:eastAsia="Arial" w:hAnsi="Arial"/>
          <w:sz w:val="14"/>
          <w:szCs w:val="14"/>
          <w:color w:val="auto"/>
        </w:rPr>
        <w:t>”) in, on, under and at the Premises and the Land, it being understood that Landlord shall repair any damage arising as a result of the Site Assessments, and such Site Assessments may include both above and below the ground testing and such other tests as may be necessary or appropriate to conduct the Site Assessments. In addition, to the extent that it is necessary to enter the Premises in order to access any area that serves any portion of the Building outside the Premises, then Tenant shall, upon as much advance notice as is practical under the circumstances, and in any event at least 24 hours’ prior written notice (except that no notice shall be required in emergency situations), permit contractors engaged by other occupants of the Building to pass through the Premises in order to access such areas but only if accompanied by a representative of Landlord. Except when necessary in the event of an emergency: (i) a Tenant representative may accompany any persons entering the Premises, and (ii) such access may be prohibited with respect to Secure Areas, as hereinafter defined. “</w:t>
      </w:r>
      <w:r>
        <w:rPr>
          <w:rFonts w:ascii="Arial" w:cs="Arial" w:eastAsia="Arial" w:hAnsi="Arial"/>
          <w:sz w:val="14"/>
          <w:szCs w:val="14"/>
          <w:b w:val="1"/>
          <w:bCs w:val="1"/>
          <w:color w:val="auto"/>
        </w:rPr>
        <w:t>Secure Areas</w:t>
      </w:r>
      <w:r>
        <w:rPr>
          <w:rFonts w:ascii="Arial" w:cs="Arial" w:eastAsia="Arial" w:hAnsi="Arial"/>
          <w:sz w:val="14"/>
          <w:szCs w:val="14"/>
          <w:color w:val="auto"/>
        </w:rPr>
        <w:t>” shall be defined as certain portions of the Premises which are subject to regulated, confidential or proprietary operations and which are designated by Tenant, from time to</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sectPr>
      </w:pPr>
    </w:p>
    <w:bookmarkStart w:id="480" w:name="page481"/>
    <w:bookmarkEnd w:id="480"/>
    <w:p>
      <w:pPr>
        <w:ind w:left="2" w:right="80"/>
        <w:spacing w:after="0" w:line="265" w:lineRule="auto"/>
        <w:rPr>
          <w:sz w:val="20"/>
          <w:szCs w:val="20"/>
          <w:color w:val="auto"/>
        </w:rPr>
      </w:pPr>
      <w:r>
        <w:rPr>
          <w:rFonts w:ascii="Arial" w:cs="Arial" w:eastAsia="Arial" w:hAnsi="Arial"/>
          <w:sz w:val="16"/>
          <w:szCs w:val="16"/>
          <w:color w:val="auto"/>
        </w:rPr>
        <w:t>time, and approved by Landlord, which approval shall not be unreasonably withheld, conditioned, or delayed. The parties agree and acknowledge that, despite reasonable and customary precautions (which Landlord agrees it shall exercise), any property or equipment in the Premises of a delicate, fragile or vulnerable nature may nevertheless be damaged in the course of performing Landlord’s obligations. Accordingly, Tenant shall take reasonable protective precautions with unusually fragile, vulnerable or sensitive property and equipment.</w:t>
      </w:r>
    </w:p>
    <w:p>
      <w:pPr>
        <w:spacing w:after="0" w:line="162" w:lineRule="exact"/>
        <w:rPr>
          <w:sz w:val="20"/>
          <w:szCs w:val="20"/>
          <w:color w:val="auto"/>
        </w:rPr>
      </w:pPr>
    </w:p>
    <w:p>
      <w:pPr>
        <w:ind w:left="2" w:right="140" w:firstLine="587"/>
        <w:spacing w:after="0" w:line="272" w:lineRule="auto"/>
        <w:rPr>
          <w:sz w:val="20"/>
          <w:szCs w:val="20"/>
          <w:color w:val="auto"/>
        </w:rPr>
      </w:pPr>
      <w:r>
        <w:rPr>
          <w:rFonts w:ascii="Arial" w:cs="Arial" w:eastAsia="Arial" w:hAnsi="Arial"/>
          <w:sz w:val="16"/>
          <w:szCs w:val="16"/>
          <w:b w:val="1"/>
          <w:bCs w:val="1"/>
          <w:color w:val="auto"/>
        </w:rPr>
        <w:t xml:space="preserve">2.5 Pipes, Ducts and Conduits. </w:t>
      </w:r>
      <w:r>
        <w:rPr>
          <w:rFonts w:ascii="Arial" w:cs="Arial" w:eastAsia="Arial" w:hAnsi="Arial"/>
          <w:sz w:val="16"/>
          <w:szCs w:val="16"/>
          <w:color w:val="auto"/>
        </w:rPr>
        <w:t>Tenant shall permit Landlord to erect, use, maintain and relocate pipes, ducts and conduits in and through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the same do not materially reduce the floor area or materially adversely affect the appearance thereof and use and enjoyment of the Premises for Tenant’s Permitted Uses.</w:t>
      </w:r>
    </w:p>
    <w:p>
      <w:pPr>
        <w:spacing w:after="0" w:line="157" w:lineRule="exact"/>
        <w:rPr>
          <w:sz w:val="20"/>
          <w:szCs w:val="20"/>
          <w:color w:val="auto"/>
        </w:rPr>
      </w:pPr>
    </w:p>
    <w:p>
      <w:pPr>
        <w:ind w:left="2" w:firstLine="587"/>
        <w:spacing w:after="0" w:line="279" w:lineRule="auto"/>
        <w:rPr>
          <w:sz w:val="20"/>
          <w:szCs w:val="20"/>
          <w:color w:val="auto"/>
        </w:rPr>
      </w:pPr>
      <w:r>
        <w:rPr>
          <w:rFonts w:ascii="Arial" w:cs="Arial" w:eastAsia="Arial" w:hAnsi="Arial"/>
          <w:sz w:val="15"/>
          <w:szCs w:val="15"/>
          <w:b w:val="1"/>
          <w:bCs w:val="1"/>
          <w:color w:val="auto"/>
        </w:rPr>
        <w:t xml:space="preserve">2.6 Minimize Interference. </w:t>
      </w:r>
      <w:r>
        <w:rPr>
          <w:rFonts w:ascii="Arial" w:cs="Arial" w:eastAsia="Arial" w:hAnsi="Arial"/>
          <w:sz w:val="15"/>
          <w:szCs w:val="15"/>
          <w:color w:val="auto"/>
        </w:rPr>
        <w:t>Subject to the provisions of this Lease, Tenant agrees to cooperate with Landlord as reasonably necessary in connection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of Landlord’s rights under this Section 2. Tenant further agrees that dust, noise, vibration, temporary closures of Common Areas, or other inconvenience or annoyance resulting from the exercise of Landlord’s rights under Section 2.1 and 2.2 shall not be deemed to be a breach of Landlord’s obligations under the Lease, so long as Landlord shall, except in the event of an emergency, use reasonable efforts, consistent with accepted construction practice when applicable, to avoid unreasonably interfering with the conduct of Tenant’s business and Tenant’s use and occupancy of the Premises. Notwithstanding the foregoing, in no event shall any of the space leased by Tenant at the Property under this Lease be deprived of safe and reasonable access or rendered untenantable for the Permitted Uses by reason of Landlord’s exercise of its rights under this Section 2. Except when necessary in the event of an emergency, Tenant may require that any person entering the Premises abide by Tenant’s reasonable safety protocol including, without limitation, the obligation to wear personal protective equipment.</w:t>
      </w:r>
    </w:p>
    <w:p>
      <w:pPr>
        <w:spacing w:after="0" w:line="157" w:lineRule="exact"/>
        <w:rPr>
          <w:sz w:val="20"/>
          <w:szCs w:val="20"/>
          <w:color w:val="auto"/>
        </w:rPr>
      </w:pPr>
    </w:p>
    <w:p>
      <w:pPr>
        <w:ind w:left="582" w:hanging="582"/>
        <w:spacing w:after="0"/>
        <w:tabs>
          <w:tab w:leader="none" w:pos="582" w:val="left"/>
        </w:tabs>
        <w:numPr>
          <w:ilvl w:val="0"/>
          <w:numId w:val="441"/>
        </w:numPr>
        <w:rPr>
          <w:rFonts w:ascii="Arial" w:cs="Arial" w:eastAsia="Arial" w:hAnsi="Arial"/>
          <w:sz w:val="16"/>
          <w:szCs w:val="16"/>
          <w:b w:val="1"/>
          <w:bCs w:val="1"/>
          <w:color w:val="auto"/>
        </w:rPr>
      </w:pPr>
      <w:r>
        <w:rPr>
          <w:rFonts w:ascii="Arial" w:cs="Arial" w:eastAsia="Arial" w:hAnsi="Arial"/>
          <w:sz w:val="16"/>
          <w:szCs w:val="16"/>
          <w:b w:val="1"/>
          <w:bCs w:val="1"/>
          <w:color w:val="auto"/>
        </w:rPr>
        <w:t>CONDITION OF PREMISES</w:t>
      </w:r>
    </w:p>
    <w:p>
      <w:pPr>
        <w:spacing w:after="0" w:line="207"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3.1</w:t>
      </w:r>
      <w:r>
        <w:rPr>
          <w:rFonts w:ascii="Arial" w:cs="Arial" w:eastAsia="Arial" w:hAnsi="Arial"/>
          <w:sz w:val="14"/>
          <w:szCs w:val="14"/>
          <w:b w:val="1"/>
          <w:bCs w:val="1"/>
          <w:color w:val="auto"/>
        </w:rPr>
        <w:t>Condition of Premises.</w:t>
      </w:r>
    </w:p>
    <w:p>
      <w:pPr>
        <w:spacing w:after="0" w:line="207" w:lineRule="exact"/>
        <w:rPr>
          <w:rFonts w:ascii="Arial" w:cs="Arial" w:eastAsia="Arial" w:hAnsi="Arial"/>
          <w:sz w:val="16"/>
          <w:szCs w:val="16"/>
          <w:b w:val="1"/>
          <w:bCs w:val="1"/>
          <w:color w:val="auto"/>
        </w:rPr>
      </w:pPr>
    </w:p>
    <w:p>
      <w:pPr>
        <w:ind w:left="1762" w:hanging="588"/>
        <w:spacing w:after="0"/>
        <w:tabs>
          <w:tab w:leader="none" w:pos="1762" w:val="left"/>
        </w:tabs>
        <w:numPr>
          <w:ilvl w:val="1"/>
          <w:numId w:val="441"/>
        </w:numPr>
        <w:rPr>
          <w:rFonts w:ascii="Arial" w:cs="Arial" w:eastAsia="Arial" w:hAnsi="Arial"/>
          <w:sz w:val="15"/>
          <w:szCs w:val="15"/>
          <w:color w:val="auto"/>
        </w:rPr>
      </w:pPr>
      <w:r>
        <w:rPr>
          <w:rFonts w:ascii="Arial" w:cs="Arial" w:eastAsia="Arial" w:hAnsi="Arial"/>
          <w:sz w:val="15"/>
          <w:szCs w:val="15"/>
          <w:color w:val="auto"/>
        </w:rPr>
        <w:t>The Premises shall be delivered to Tenant with all Delivery Conditions, as hereinafter defined, having been satisfied. The “</w:t>
      </w:r>
      <w:r>
        <w:rPr>
          <w:rFonts w:ascii="Arial" w:cs="Arial" w:eastAsia="Arial" w:hAnsi="Arial"/>
          <w:sz w:val="15"/>
          <w:szCs w:val="15"/>
          <w:b w:val="1"/>
          <w:bCs w:val="1"/>
          <w:u w:val="single" w:color="auto"/>
          <w:color w:val="auto"/>
        </w:rPr>
        <w:t>Delivery Conditions</w:t>
      </w:r>
      <w:r>
        <w:rPr>
          <w:rFonts w:ascii="Arial" w:cs="Arial" w:eastAsia="Arial" w:hAnsi="Arial"/>
          <w:sz w:val="15"/>
          <w:szCs w:val="15"/>
          <w:color w:val="auto"/>
        </w:rPr>
        <w:t>”</w:t>
      </w:r>
    </w:p>
    <w:p>
      <w:pPr>
        <w:spacing w:after="0" w:line="38" w:lineRule="exact"/>
        <w:rPr>
          <w:rFonts w:ascii="Arial" w:cs="Arial" w:eastAsia="Arial" w:hAnsi="Arial"/>
          <w:sz w:val="15"/>
          <w:szCs w:val="15"/>
          <w:color w:val="auto"/>
        </w:rPr>
      </w:pPr>
    </w:p>
    <w:p>
      <w:pPr>
        <w:ind w:left="2"/>
        <w:spacing w:after="0" w:line="299" w:lineRule="auto"/>
        <w:rPr>
          <w:rFonts w:ascii="Arial" w:cs="Arial" w:eastAsia="Arial" w:hAnsi="Arial"/>
          <w:sz w:val="15"/>
          <w:szCs w:val="15"/>
          <w:color w:val="auto"/>
        </w:rPr>
      </w:pPr>
      <w:r>
        <w:rPr>
          <w:rFonts w:ascii="Arial" w:cs="Arial" w:eastAsia="Arial" w:hAnsi="Arial"/>
          <w:sz w:val="14"/>
          <w:szCs w:val="14"/>
          <w:color w:val="auto"/>
        </w:rPr>
        <w:t>shall be that: (i) except as otherwise provided in this Lease, the Premises are delivered to Tenant in “</w:t>
      </w:r>
      <w:r>
        <w:rPr>
          <w:rFonts w:ascii="Arial" w:cs="Arial" w:eastAsia="Arial" w:hAnsi="Arial"/>
          <w:sz w:val="14"/>
          <w:szCs w:val="14"/>
          <w:b w:val="1"/>
          <w:bCs w:val="1"/>
          <w:color w:val="auto"/>
        </w:rPr>
        <w:t>AS IS</w:t>
      </w:r>
      <w:r>
        <w:rPr>
          <w:rFonts w:ascii="Arial" w:cs="Arial" w:eastAsia="Arial" w:hAnsi="Arial"/>
          <w:sz w:val="14"/>
          <w:szCs w:val="14"/>
          <w:color w:val="auto"/>
        </w:rPr>
        <w:t>,” “</w:t>
      </w:r>
      <w:r>
        <w:rPr>
          <w:rFonts w:ascii="Arial" w:cs="Arial" w:eastAsia="Arial" w:hAnsi="Arial"/>
          <w:sz w:val="14"/>
          <w:szCs w:val="14"/>
          <w:b w:val="1"/>
          <w:bCs w:val="1"/>
          <w:color w:val="auto"/>
        </w:rPr>
        <w:t>WHERE IS</w:t>
      </w:r>
      <w:r>
        <w:rPr>
          <w:rFonts w:ascii="Arial" w:cs="Arial" w:eastAsia="Arial" w:hAnsi="Arial"/>
          <w:sz w:val="14"/>
          <w:szCs w:val="14"/>
          <w:color w:val="auto"/>
        </w:rPr>
        <w:t>” condition and with all faults on the Execution Date, without representations or warranties, express or implied, in fact or by law, of any kind, and without recourse to Landlord, (ii) the Premises shall be delivered to Tenant broom-clean and free and clear of all tenants and occupants, (iii) the Premises shall be delivered to Tenant free of all personal property and equipment, other than the FF&amp;E, as defined in Section 25.20, (iv) Landlord shall have delivered to Tenant a copy of the Surrender Report from the Existing Tenant, as provided in this Section 3.1(a), in form and content reasonably acceptable to Tenant, and (v) Landlord shall have delivered to Tenant a redacted copy of the Surrender Agreement from the Existing Tenant, as provided in Section 25.21. The condition of the Premises with respect to the existence of Hazardous Materials in the Premises, as described by the Surrender Report from the Existing Tenant, is referred to herein as the “</w:t>
      </w:r>
      <w:r>
        <w:rPr>
          <w:rFonts w:ascii="Arial" w:cs="Arial" w:eastAsia="Arial" w:hAnsi="Arial"/>
          <w:sz w:val="14"/>
          <w:szCs w:val="14"/>
          <w:b w:val="1"/>
          <w:bCs w:val="1"/>
          <w:color w:val="auto"/>
        </w:rPr>
        <w:t>HM Delivery Standard</w:t>
      </w:r>
      <w:r>
        <w:rPr>
          <w:rFonts w:ascii="Arial" w:cs="Arial" w:eastAsia="Arial" w:hAnsi="Arial"/>
          <w:sz w:val="14"/>
          <w:szCs w:val="14"/>
          <w:color w:val="auto"/>
        </w:rPr>
        <w:t>”. The parties hereby acknowledge that the Existing Tenant is required under its lease to clean and decommission the Premises in compliance with the same requirements and standards as set forth in Section 21 of this Lease, including the issuance of a Surrender Report which</w:t>
      </w:r>
    </w:p>
    <w:p>
      <w:pPr>
        <w:spacing w:after="0" w:line="1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81" w:name="page482"/>
    <w:bookmarkEnd w:id="481"/>
    <w:p>
      <w:pPr>
        <w:ind w:left="2" w:right="20"/>
        <w:spacing w:after="0" w:line="285" w:lineRule="auto"/>
        <w:rPr>
          <w:sz w:val="20"/>
          <w:szCs w:val="20"/>
          <w:color w:val="auto"/>
        </w:rPr>
      </w:pPr>
      <w:r>
        <w:rPr>
          <w:rFonts w:ascii="Arial" w:cs="Arial" w:eastAsia="Arial" w:hAnsi="Arial"/>
          <w:sz w:val="16"/>
          <w:szCs w:val="16"/>
          <w:color w:val="auto"/>
        </w:rPr>
        <w:t>evidences that the Existing Tenant has satisfied its obligations to clean and decommission the Premises, as aforesaid. Promptly after Landlord’s receipt of the Surrender Report from the Existing Tenant, Landlord shall forward a copy of the Surrender Report to Tenant.</w:t>
      </w:r>
    </w:p>
    <w:p>
      <w:pPr>
        <w:spacing w:after="0" w:line="150" w:lineRule="exact"/>
        <w:rPr>
          <w:sz w:val="20"/>
          <w:szCs w:val="20"/>
          <w:color w:val="auto"/>
        </w:rPr>
      </w:pPr>
    </w:p>
    <w:p>
      <w:pPr>
        <w:ind w:left="2" w:right="320" w:firstLine="1172"/>
        <w:spacing w:after="0" w:line="265" w:lineRule="auto"/>
        <w:tabs>
          <w:tab w:leader="none" w:pos="1769" w:val="left"/>
        </w:tabs>
        <w:numPr>
          <w:ilvl w:val="0"/>
          <w:numId w:val="442"/>
        </w:numPr>
        <w:rPr>
          <w:rFonts w:ascii="Arial" w:cs="Arial" w:eastAsia="Arial" w:hAnsi="Arial"/>
          <w:sz w:val="16"/>
          <w:szCs w:val="16"/>
          <w:color w:val="auto"/>
        </w:rPr>
      </w:pPr>
      <w:r>
        <w:rPr>
          <w:rFonts w:ascii="Arial" w:cs="Arial" w:eastAsia="Arial" w:hAnsi="Arial"/>
          <w:sz w:val="16"/>
          <w:szCs w:val="16"/>
          <w:color w:val="auto"/>
        </w:rPr>
        <w:t>Landlord represents and warrants to Tenant that, to the Best of Landlord’s Knowledge, as hereinafter defined, as of the Execution Date of this Lease, the Premises, the Building and all improvements located on the Property (including all Building systems serving the Premises) are: (i) in good condition, and (ii) in compliance with all applicable Legal Requirements. “</w:t>
      </w:r>
      <w:r>
        <w:rPr>
          <w:rFonts w:ascii="Arial" w:cs="Arial" w:eastAsia="Arial" w:hAnsi="Arial"/>
          <w:sz w:val="16"/>
          <w:szCs w:val="16"/>
          <w:b w:val="1"/>
          <w:bCs w:val="1"/>
          <w:color w:val="auto"/>
        </w:rPr>
        <w:t>To the Best of Landlord’s Knowledge</w:t>
      </w:r>
      <w:r>
        <w:rPr>
          <w:rFonts w:ascii="Arial" w:cs="Arial" w:eastAsia="Arial" w:hAnsi="Arial"/>
          <w:sz w:val="16"/>
          <w:szCs w:val="16"/>
          <w:color w:val="auto"/>
        </w:rPr>
        <w:t>” shall mean to the actual knowledge of Brian Grisaru, Landlord’s Asset Manager, without any duty of investigation on the part of Landlord.</w:t>
      </w:r>
    </w:p>
    <w:p>
      <w:pPr>
        <w:spacing w:after="0" w:line="161" w:lineRule="exact"/>
        <w:rPr>
          <w:rFonts w:ascii="Arial" w:cs="Arial" w:eastAsia="Arial" w:hAnsi="Arial"/>
          <w:sz w:val="16"/>
          <w:szCs w:val="16"/>
          <w:color w:val="auto"/>
        </w:rPr>
      </w:pPr>
    </w:p>
    <w:p>
      <w:pPr>
        <w:ind w:left="2" w:right="260" w:firstLine="1172"/>
        <w:spacing w:after="0" w:line="299" w:lineRule="auto"/>
        <w:tabs>
          <w:tab w:leader="none" w:pos="1772" w:val="left"/>
        </w:tabs>
        <w:numPr>
          <w:ilvl w:val="0"/>
          <w:numId w:val="442"/>
        </w:numPr>
        <w:rPr>
          <w:rFonts w:ascii="Arial" w:cs="Arial" w:eastAsia="Arial" w:hAnsi="Arial"/>
          <w:sz w:val="15"/>
          <w:szCs w:val="15"/>
          <w:color w:val="auto"/>
        </w:rPr>
      </w:pPr>
      <w:r>
        <w:rPr>
          <w:rFonts w:ascii="Arial" w:cs="Arial" w:eastAsia="Arial" w:hAnsi="Arial"/>
          <w:sz w:val="15"/>
          <w:szCs w:val="15"/>
          <w:b w:val="1"/>
          <w:bCs w:val="1"/>
          <w:color w:val="auto"/>
        </w:rPr>
        <w:t>Commencement Date</w:t>
      </w:r>
      <w:r>
        <w:rPr>
          <w:rFonts w:ascii="Arial" w:cs="Arial" w:eastAsia="Arial" w:hAnsi="Arial"/>
          <w:sz w:val="15"/>
          <w:szCs w:val="15"/>
          <w:color w:val="auto"/>
        </w:rPr>
        <w:t>. The “</w:t>
      </w:r>
      <w:r>
        <w:rPr>
          <w:rFonts w:ascii="Arial" w:cs="Arial" w:eastAsia="Arial" w:hAnsi="Arial"/>
          <w:sz w:val="15"/>
          <w:szCs w:val="15"/>
          <w:b w:val="1"/>
          <w:bCs w:val="1"/>
          <w:u w:val="single" w:color="auto"/>
          <w:color w:val="auto"/>
        </w:rPr>
        <w:t>Term Commencement Date</w:t>
      </w:r>
      <w:r>
        <w:rPr>
          <w:rFonts w:ascii="Arial" w:cs="Arial" w:eastAsia="Arial" w:hAnsi="Arial"/>
          <w:sz w:val="15"/>
          <w:szCs w:val="15"/>
          <w:color w:val="auto"/>
        </w:rPr>
        <w:t>” shall be defined as the earlier of: (i) the date that Tenant first commences to use the</w:t>
      </w:r>
      <w:r>
        <w:rPr>
          <w:rFonts w:ascii="Arial" w:cs="Arial" w:eastAsia="Arial" w:hAnsi="Arial"/>
          <w:sz w:val="15"/>
          <w:szCs w:val="15"/>
          <w:b w:val="1"/>
          <w:bCs w:val="1"/>
          <w:color w:val="auto"/>
        </w:rPr>
        <w:t xml:space="preserve"> </w:t>
      </w:r>
      <w:r>
        <w:rPr>
          <w:rFonts w:ascii="Arial" w:cs="Arial" w:eastAsia="Arial" w:hAnsi="Arial"/>
          <w:sz w:val="15"/>
          <w:szCs w:val="15"/>
          <w:color w:val="auto"/>
        </w:rPr>
        <w:t>Premises, or any portion thereof, for the Permitted Use (Landlord expressly agreeing that Tenant’s use of the Premises pursuant to Section 1.4 for Premises Preparation Purposes shall not, for the purposes of this Section 3.1(c), be deemed to be use of the Premises for the Permitted Use), or (ii) the later of:</w:t>
      </w:r>
    </w:p>
    <w:p>
      <w:pPr>
        <w:spacing w:after="0" w:line="142" w:lineRule="exact"/>
        <w:rPr>
          <w:sz w:val="20"/>
          <w:szCs w:val="20"/>
          <w:color w:val="auto"/>
        </w:rPr>
      </w:pPr>
    </w:p>
    <w:p>
      <w:pPr>
        <w:ind w:left="1762" w:hanging="588"/>
        <w:spacing w:after="0"/>
        <w:tabs>
          <w:tab w:leader="none" w:pos="1762" w:val="left"/>
        </w:tabs>
        <w:numPr>
          <w:ilvl w:val="0"/>
          <w:numId w:val="443"/>
        </w:numPr>
        <w:rPr>
          <w:rFonts w:ascii="Arial" w:cs="Arial" w:eastAsia="Arial" w:hAnsi="Arial"/>
          <w:sz w:val="16"/>
          <w:szCs w:val="16"/>
          <w:color w:val="auto"/>
        </w:rPr>
      </w:pPr>
      <w:r>
        <w:rPr>
          <w:rFonts w:ascii="Arial" w:cs="Arial" w:eastAsia="Arial" w:hAnsi="Arial"/>
          <w:sz w:val="16"/>
          <w:szCs w:val="16"/>
          <w:color w:val="auto"/>
        </w:rPr>
        <w:t>January 1, 2018, or</w:t>
      </w:r>
    </w:p>
    <w:p>
      <w:pPr>
        <w:spacing w:after="0" w:line="203" w:lineRule="exact"/>
        <w:rPr>
          <w:rFonts w:ascii="Arial" w:cs="Arial" w:eastAsia="Arial" w:hAnsi="Arial"/>
          <w:sz w:val="16"/>
          <w:szCs w:val="16"/>
          <w:color w:val="auto"/>
        </w:rPr>
      </w:pPr>
    </w:p>
    <w:p>
      <w:pPr>
        <w:ind w:left="1762" w:hanging="588"/>
        <w:spacing w:after="0"/>
        <w:tabs>
          <w:tab w:leader="none" w:pos="1762"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date (“</w:t>
      </w:r>
      <w:r>
        <w:rPr>
          <w:rFonts w:ascii="Arial" w:cs="Arial" w:eastAsia="Arial" w:hAnsi="Arial"/>
          <w:sz w:val="16"/>
          <w:szCs w:val="16"/>
          <w:b w:val="1"/>
          <w:bCs w:val="1"/>
          <w:color w:val="auto"/>
        </w:rPr>
        <w:t>Delivery Date</w:t>
      </w:r>
      <w:r>
        <w:rPr>
          <w:rFonts w:ascii="Arial" w:cs="Arial" w:eastAsia="Arial" w:hAnsi="Arial"/>
          <w:sz w:val="16"/>
          <w:szCs w:val="16"/>
          <w:color w:val="auto"/>
        </w:rPr>
        <w:t>”) that Landlord delivers the Premises to Tenant with all of the Delivery Conditions satisfied.</w:t>
      </w:r>
    </w:p>
    <w:p>
      <w:pPr>
        <w:spacing w:after="0" w:line="211" w:lineRule="exact"/>
        <w:rPr>
          <w:sz w:val="20"/>
          <w:szCs w:val="20"/>
          <w:color w:val="auto"/>
        </w:rPr>
      </w:pPr>
    </w:p>
    <w:p>
      <w:pPr>
        <w:ind w:left="2" w:right="640"/>
        <w:spacing w:after="0" w:line="320" w:lineRule="auto"/>
        <w:rPr>
          <w:sz w:val="20"/>
          <w:szCs w:val="20"/>
          <w:color w:val="auto"/>
        </w:rPr>
      </w:pPr>
      <w:r>
        <w:rPr>
          <w:rFonts w:ascii="Arial" w:cs="Arial" w:eastAsia="Arial" w:hAnsi="Arial"/>
          <w:sz w:val="15"/>
          <w:szCs w:val="15"/>
          <w:color w:val="auto"/>
        </w:rPr>
        <w:t>Upon determination of the Term Commencement Date, Landlord and Tenant shall execute a written statement setting forth the actual Term Commencement Date and Expiration Date; provided that failure to execute such acknowledgment shall not affect the actual Commencement Date or Expiration Date.</w:t>
      </w:r>
    </w:p>
    <w:p>
      <w:pPr>
        <w:spacing w:after="0" w:line="123" w:lineRule="exact"/>
        <w:rPr>
          <w:sz w:val="20"/>
          <w:szCs w:val="20"/>
          <w:color w:val="auto"/>
        </w:rPr>
      </w:pPr>
    </w:p>
    <w:p>
      <w:pPr>
        <w:ind w:left="582" w:hanging="582"/>
        <w:spacing w:after="0"/>
        <w:tabs>
          <w:tab w:leader="none" w:pos="582" w:val="left"/>
        </w:tabs>
        <w:numPr>
          <w:ilvl w:val="0"/>
          <w:numId w:val="444"/>
        </w:numPr>
        <w:rPr>
          <w:rFonts w:ascii="Arial" w:cs="Arial" w:eastAsia="Arial" w:hAnsi="Arial"/>
          <w:sz w:val="16"/>
          <w:szCs w:val="16"/>
          <w:b w:val="1"/>
          <w:bCs w:val="1"/>
          <w:color w:val="auto"/>
        </w:rPr>
      </w:pPr>
      <w:r>
        <w:rPr>
          <w:rFonts w:ascii="Arial" w:cs="Arial" w:eastAsia="Arial" w:hAnsi="Arial"/>
          <w:sz w:val="16"/>
          <w:szCs w:val="16"/>
          <w:b w:val="1"/>
          <w:bCs w:val="1"/>
          <w:color w:val="auto"/>
        </w:rPr>
        <w:t>USE OF PREMISES</w:t>
      </w:r>
    </w:p>
    <w:p>
      <w:pPr>
        <w:spacing w:after="0" w:line="207" w:lineRule="exact"/>
        <w:rPr>
          <w:sz w:val="20"/>
          <w:szCs w:val="20"/>
          <w:color w:val="auto"/>
        </w:rPr>
      </w:pPr>
    </w:p>
    <w:p>
      <w:pPr>
        <w:jc w:val="both"/>
        <w:ind w:left="2" w:firstLine="587"/>
        <w:spacing w:after="0" w:line="299" w:lineRule="auto"/>
        <w:rPr>
          <w:sz w:val="20"/>
          <w:szCs w:val="20"/>
          <w:color w:val="auto"/>
        </w:rPr>
      </w:pPr>
      <w:r>
        <w:rPr>
          <w:rFonts w:ascii="Arial" w:cs="Arial" w:eastAsia="Arial" w:hAnsi="Arial"/>
          <w:sz w:val="15"/>
          <w:szCs w:val="15"/>
          <w:b w:val="1"/>
          <w:bCs w:val="1"/>
          <w:color w:val="auto"/>
        </w:rPr>
        <w:t xml:space="preserve">4.1 Permitted Uses. </w:t>
      </w:r>
      <w:r>
        <w:rPr>
          <w:rFonts w:ascii="Arial" w:cs="Arial" w:eastAsia="Arial" w:hAnsi="Arial"/>
          <w:sz w:val="15"/>
          <w:szCs w:val="15"/>
          <w:color w:val="auto"/>
        </w:rPr>
        <w:t>During the Term, Tenant shall use the Premises only for the Permitted Uses and for no other purposes. Service and utility areas (whether or</w:t>
      </w:r>
      <w:r>
        <w:rPr>
          <w:rFonts w:ascii="Arial" w:cs="Arial" w:eastAsia="Arial" w:hAnsi="Arial"/>
          <w:sz w:val="15"/>
          <w:szCs w:val="15"/>
          <w:b w:val="1"/>
          <w:bCs w:val="1"/>
          <w:color w:val="auto"/>
        </w:rPr>
        <w:t xml:space="preserve"> </w:t>
      </w:r>
      <w:r>
        <w:rPr>
          <w:rFonts w:ascii="Arial" w:cs="Arial" w:eastAsia="Arial" w:hAnsi="Arial"/>
          <w:sz w:val="15"/>
          <w:szCs w:val="15"/>
          <w:color w:val="auto"/>
        </w:rPr>
        <w:t>not a part of the Premises) shall be used only for the particular purpose for which they are designed. All corridor doors, when not in use, shall be kept closed. Tenant shall keep the Premises equipped with appropriate safety appliances to the extent required by applicable Legal Requirements or insurance requirements.</w:t>
      </w:r>
    </w:p>
    <w:p>
      <w:pPr>
        <w:spacing w:after="0" w:line="138"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4"/>
          <w:szCs w:val="14"/>
          <w:b w:val="1"/>
          <w:bCs w:val="1"/>
          <w:color w:val="auto"/>
        </w:rPr>
        <w:t>Prohibited Uses.</w:t>
      </w:r>
    </w:p>
    <w:p>
      <w:pPr>
        <w:spacing w:after="0" w:line="211" w:lineRule="exact"/>
        <w:rPr>
          <w:sz w:val="20"/>
          <w:szCs w:val="20"/>
          <w:color w:val="auto"/>
        </w:rPr>
      </w:pPr>
    </w:p>
    <w:p>
      <w:pPr>
        <w:ind w:left="2" w:right="60" w:firstLine="1172"/>
        <w:spacing w:after="0" w:line="281" w:lineRule="auto"/>
        <w:tabs>
          <w:tab w:leader="none" w:pos="1760" w:val="left"/>
        </w:tabs>
        <w:numPr>
          <w:ilvl w:val="0"/>
          <w:numId w:val="445"/>
        </w:numPr>
        <w:rPr>
          <w:rFonts w:ascii="Arial" w:cs="Arial" w:eastAsia="Arial" w:hAnsi="Arial"/>
          <w:sz w:val="15"/>
          <w:szCs w:val="15"/>
          <w:color w:val="auto"/>
        </w:rPr>
      </w:pPr>
      <w:r>
        <w:rPr>
          <w:rFonts w:ascii="Arial" w:cs="Arial" w:eastAsia="Arial" w:hAnsi="Arial"/>
          <w:sz w:val="15"/>
          <w:szCs w:val="15"/>
          <w:color w:val="auto"/>
        </w:rPr>
        <w:t>Notwithstanding any other provision of this Lease, Tenant shall not use the Premises or the Building, or any part thereof, or suffer or permit the use or occupancy of the Premises or the Building or any part thereof by any of the Tenant Parties (i) in a manner which would violate any of the covenants, agreements, terms, provisions and conditions of this Lease or otherwise applicable to or binding upon the Premises; (ii) for any unlawful purposes or in any unlawful manner; (iii) which, in the reasonable judgment of Landlord (taking into account the use of the Building as a combination laboratory, research and development and office building and the Permitted Uses) shall (a) impair, other than in a de minimis manner, the appearance or reputation of the Building; (b) impair, interfere with or otherwise diminish, other than in a de minimis manner, the quality of any of the Building services or the proper and economic heating, cleaning,</w:t>
      </w:r>
    </w:p>
    <w:p>
      <w:pPr>
        <w:spacing w:after="0" w:line="15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482" w:name="page483"/>
    <w:bookmarkEnd w:id="482"/>
    <w:p>
      <w:pPr>
        <w:ind w:left="2" w:right="100"/>
        <w:spacing w:after="0" w:line="280" w:lineRule="auto"/>
        <w:rPr>
          <w:sz w:val="20"/>
          <w:szCs w:val="20"/>
          <w:color w:val="auto"/>
        </w:rPr>
      </w:pPr>
      <w:r>
        <w:rPr>
          <w:rFonts w:ascii="Arial" w:cs="Arial" w:eastAsia="Arial" w:hAnsi="Arial"/>
          <w:sz w:val="15"/>
          <w:szCs w:val="15"/>
          <w:color w:val="auto"/>
        </w:rPr>
        <w:t>ventilating, air conditioning or other servicing of the Building or Premises, or the use or occupancy of any of the Common Areas; (c) occasion material discomfort, inconvenience or annoyance in any material respect (and Tenant shall not install or use any electrical or other equipment of any kind, which, in the reasonable judgment of Landlord, will cause any such impairment, interference, discomfort, inconvenience, annoyance or injury), or cause any injury or damage to any occupants of the Premises or other tenants or occupants of the Building or their property; or (d) cause harmful air emissions, laboratory odors or noises or any unusual or other objectionable odors, noises or emissions to emanate from the Premises; (iv) in a manner which is inconsistent with the operation and/or maintenance of the Building as a first-class combination office, research, development and laboratory facility; (v) for any fermentation processes whatsoever; or (vi) in a manner which shall increase such insurance rates on the Building or on property located therein over that applicable when Tenant first took occupancy of the Premises hereunder.</w:t>
      </w:r>
    </w:p>
    <w:p>
      <w:pPr>
        <w:spacing w:after="0" w:line="156" w:lineRule="exact"/>
        <w:rPr>
          <w:sz w:val="20"/>
          <w:szCs w:val="20"/>
          <w:color w:val="auto"/>
        </w:rPr>
      </w:pPr>
    </w:p>
    <w:p>
      <w:pPr>
        <w:ind w:left="2" w:right="60" w:firstLine="1172"/>
        <w:spacing w:after="0" w:line="275" w:lineRule="auto"/>
        <w:tabs>
          <w:tab w:leader="none" w:pos="1769" w:val="left"/>
        </w:tabs>
        <w:numPr>
          <w:ilvl w:val="1"/>
          <w:numId w:val="446"/>
        </w:numPr>
        <w:rPr>
          <w:rFonts w:ascii="Arial" w:cs="Arial" w:eastAsia="Arial" w:hAnsi="Arial"/>
          <w:sz w:val="15"/>
          <w:szCs w:val="15"/>
          <w:color w:val="auto"/>
        </w:rPr>
      </w:pPr>
      <w:r>
        <w:rPr>
          <w:rFonts w:ascii="Arial" w:cs="Arial" w:eastAsia="Arial" w:hAnsi="Arial"/>
          <w:sz w:val="15"/>
          <w:szCs w:val="15"/>
          <w:color w:val="auto"/>
        </w:rPr>
        <w:t>With respect to the use and occupancy of the Premises and the Common Areas, Tenant will not: (i) place or maintain any signage (except as set forth in Section 12.2 below), trash, refuse or other articles in any vestibule or entry of the Premises, on the footwalks or corridors adjacent thereto or elsewhere on the exterior of the Premises, nor obstruct (other than in a de minimis manner) any driveway, corridor, footwalk, parking area, mall or any other Common Areas; (ii) permit undue accumulations of or burn garbage, trash, rubbish or other refuse within or without the Premises; (iii) permit the parking of vehicles so as to interfere with the use of any driveway, corridor, footwalk, parking area, or other Common Areas; (iv) receive or ship articles of any kind outside of those areas reasonably designated by Landlord;</w:t>
      </w:r>
    </w:p>
    <w:p>
      <w:pPr>
        <w:spacing w:after="0" w:line="1" w:lineRule="exact"/>
        <w:rPr>
          <w:rFonts w:ascii="Arial" w:cs="Arial" w:eastAsia="Arial" w:hAnsi="Arial"/>
          <w:sz w:val="15"/>
          <w:szCs w:val="15"/>
          <w:color w:val="auto"/>
        </w:rPr>
      </w:pPr>
    </w:p>
    <w:p>
      <w:pPr>
        <w:jc w:val="both"/>
        <w:ind w:left="2" w:right="100" w:hanging="2"/>
        <w:spacing w:after="0" w:line="260" w:lineRule="auto"/>
        <w:tabs>
          <w:tab w:leader="none" w:pos="233" w:val="left"/>
        </w:tabs>
        <w:numPr>
          <w:ilvl w:val="0"/>
          <w:numId w:val="447"/>
        </w:numPr>
        <w:rPr>
          <w:rFonts w:ascii="Arial" w:cs="Arial" w:eastAsia="Arial" w:hAnsi="Arial"/>
          <w:sz w:val="16"/>
          <w:szCs w:val="16"/>
          <w:color w:val="auto"/>
        </w:rPr>
      </w:pPr>
      <w:r>
        <w:rPr>
          <w:rFonts w:ascii="Arial" w:cs="Arial" w:eastAsia="Arial" w:hAnsi="Arial"/>
          <w:sz w:val="16"/>
          <w:szCs w:val="16"/>
          <w:color w:val="auto"/>
        </w:rPr>
        <w:t>conduct or permit to be conducted any auction, going out of business sale, bankruptcy sale (unless directed by court order), or other similar type sale in or connected with the Premises; (vi) use the name of Landlord, or any of Landlord’s affiliates in any publicity, promotion, trailer, press release, advertising, printed, or display materials without Landlord’s prior written consent; or (vii) except in connection with Alterations (hereinafter defined) approved by Landlord, cause or permit any hole to be drilled or made in any part of the Building.</w:t>
      </w:r>
    </w:p>
    <w:p>
      <w:pPr>
        <w:spacing w:after="0" w:line="169" w:lineRule="exact"/>
        <w:rPr>
          <w:rFonts w:ascii="Arial" w:cs="Arial" w:eastAsia="Arial" w:hAnsi="Arial"/>
          <w:sz w:val="16"/>
          <w:szCs w:val="16"/>
          <w:color w:val="auto"/>
        </w:rPr>
      </w:pPr>
    </w:p>
    <w:p>
      <w:pPr>
        <w:ind w:left="2" w:right="380" w:firstLine="1172"/>
        <w:spacing w:after="0" w:line="285" w:lineRule="auto"/>
        <w:tabs>
          <w:tab w:leader="none" w:pos="1772" w:val="left"/>
        </w:tabs>
        <w:numPr>
          <w:ilvl w:val="1"/>
          <w:numId w:val="447"/>
        </w:numPr>
        <w:rPr>
          <w:rFonts w:ascii="Arial" w:cs="Arial" w:eastAsia="Arial" w:hAnsi="Arial"/>
          <w:sz w:val="16"/>
          <w:szCs w:val="16"/>
          <w:color w:val="auto"/>
        </w:rPr>
      </w:pPr>
      <w:r>
        <w:rPr>
          <w:rFonts w:ascii="Arial" w:cs="Arial" w:eastAsia="Arial" w:hAnsi="Arial"/>
          <w:sz w:val="16"/>
          <w:szCs w:val="16"/>
          <w:color w:val="auto"/>
        </w:rPr>
        <w:t>For the purposes hereof, “Tenant, any subtenant (of any tier), any of their respective agents, employees, contractors, licensees, or invitees, and anyone else for whom Tenant is legally responsible are sometimes collectively referred to herein as “</w:t>
      </w:r>
      <w:r>
        <w:rPr>
          <w:rFonts w:ascii="Arial" w:cs="Arial" w:eastAsia="Arial" w:hAnsi="Arial"/>
          <w:sz w:val="16"/>
          <w:szCs w:val="16"/>
          <w:b w:val="1"/>
          <w:bCs w:val="1"/>
          <w:u w:val="single" w:color="auto"/>
          <w:color w:val="auto"/>
        </w:rPr>
        <w:t>Tenant Parties</w:t>
      </w:r>
      <w:r>
        <w:rPr>
          <w:rFonts w:ascii="Arial" w:cs="Arial" w:eastAsia="Arial" w:hAnsi="Arial"/>
          <w:sz w:val="16"/>
          <w:szCs w:val="16"/>
          <w:color w:val="auto"/>
        </w:rPr>
        <w:t>”.</w:t>
      </w:r>
    </w:p>
    <w:p>
      <w:pPr>
        <w:spacing w:after="0" w:line="146" w:lineRule="exact"/>
        <w:rPr>
          <w:sz w:val="20"/>
          <w:szCs w:val="20"/>
          <w:color w:val="auto"/>
        </w:rPr>
      </w:pPr>
    </w:p>
    <w:p>
      <w:pPr>
        <w:ind w:left="2" w:firstLine="587"/>
        <w:spacing w:after="0" w:line="279" w:lineRule="auto"/>
        <w:rPr>
          <w:sz w:val="20"/>
          <w:szCs w:val="20"/>
          <w:color w:val="auto"/>
        </w:rPr>
      </w:pPr>
      <w:r>
        <w:rPr>
          <w:rFonts w:ascii="Arial" w:cs="Arial" w:eastAsia="Arial" w:hAnsi="Arial"/>
          <w:sz w:val="15"/>
          <w:szCs w:val="15"/>
          <w:b w:val="1"/>
          <w:bCs w:val="1"/>
          <w:color w:val="auto"/>
        </w:rPr>
        <w:t>4.3 Chemical Safety Program</w:t>
      </w:r>
      <w:r>
        <w:rPr>
          <w:rFonts w:ascii="Arial" w:cs="Arial" w:eastAsia="Arial" w:hAnsi="Arial"/>
          <w:sz w:val="15"/>
          <w:szCs w:val="15"/>
          <w:color w:val="auto"/>
        </w:rPr>
        <w:t>. Tenant shall establish and maintain a chemical safety program administered by a licensed, qualified individual in accordance</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requirements of the Massachusetts Water Resources Authority (“</w:t>
      </w:r>
      <w:r>
        <w:rPr>
          <w:rFonts w:ascii="Arial" w:cs="Arial" w:eastAsia="Arial" w:hAnsi="Arial"/>
          <w:sz w:val="15"/>
          <w:szCs w:val="15"/>
          <w:b w:val="1"/>
          <w:bCs w:val="1"/>
          <w:color w:val="auto"/>
        </w:rPr>
        <w:t>MWRA</w:t>
      </w:r>
      <w:r>
        <w:rPr>
          <w:rFonts w:ascii="Arial" w:cs="Arial" w:eastAsia="Arial" w:hAnsi="Arial"/>
          <w:sz w:val="15"/>
          <w:szCs w:val="15"/>
          <w:color w:val="auto"/>
        </w:rPr>
        <w:t>”) and any other applicable governmental authority. Tenant shall be solely responsible for all costs incurred in connection with such chemical safety program, and Tenant shall provide Landlord with such documentation as Landlord may reasonably require evidencing Tenant’s compliance with the requirements of (a) the MWRA and any other applicable governmental authority with respect to such chemical safety program and (b) this Section 4.3. Tenant shall obtain and maintain during the Term (i) any permit required by the MWRA (“</w:t>
      </w:r>
      <w:r>
        <w:rPr>
          <w:rFonts w:ascii="Arial" w:cs="Arial" w:eastAsia="Arial" w:hAnsi="Arial"/>
          <w:sz w:val="15"/>
          <w:szCs w:val="15"/>
          <w:b w:val="1"/>
          <w:bCs w:val="1"/>
          <w:color w:val="auto"/>
        </w:rPr>
        <w:t>MWRA Permit</w:t>
      </w:r>
      <w:r>
        <w:rPr>
          <w:rFonts w:ascii="Arial" w:cs="Arial" w:eastAsia="Arial" w:hAnsi="Arial"/>
          <w:sz w:val="15"/>
          <w:szCs w:val="15"/>
          <w:color w:val="auto"/>
        </w:rPr>
        <w:t>”) and (ii) a wastewater treatment operator license from the Commonwealth of Massachusetts with respect to Tenant’s use of any acid neutralization tank serving the Building (as defined below) in the Building. Tenant shall not introduce anything into the acid neutralization tank serving the Premises, if any (x) in violation of the terms of the MWRA Permit, (y) in violation of Legal Requirements or (z) that interferes with the proper functioning of any such acid neutralization tank.</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82" w:hanging="582"/>
        <w:spacing w:after="0"/>
        <w:tabs>
          <w:tab w:leader="none" w:pos="582" w:val="left"/>
        </w:tabs>
        <w:numPr>
          <w:ilvl w:val="0"/>
          <w:numId w:val="448"/>
        </w:numPr>
        <w:rPr>
          <w:rFonts w:ascii="Arial" w:cs="Arial" w:eastAsia="Arial" w:hAnsi="Arial"/>
          <w:sz w:val="16"/>
          <w:szCs w:val="16"/>
          <w:b w:val="1"/>
          <w:bCs w:val="1"/>
          <w:color w:val="auto"/>
        </w:rPr>
      </w:pPr>
      <w:r>
        <w:rPr>
          <w:rFonts w:ascii="Arial" w:cs="Arial" w:eastAsia="Arial" w:hAnsi="Arial"/>
          <w:sz w:val="16"/>
          <w:szCs w:val="16"/>
          <w:b w:val="1"/>
          <w:bCs w:val="1"/>
          <w:color w:val="auto"/>
        </w:rPr>
        <w:t>RENT; ADDITIONAL RENT</w:t>
      </w:r>
    </w:p>
    <w:p>
      <w:pPr>
        <w:spacing w:after="0" w:line="207"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5.1</w:t>
      </w:r>
      <w:r>
        <w:rPr>
          <w:rFonts w:ascii="Arial" w:cs="Arial" w:eastAsia="Arial" w:hAnsi="Arial"/>
          <w:sz w:val="14"/>
          <w:szCs w:val="14"/>
          <w:b w:val="1"/>
          <w:bCs w:val="1"/>
          <w:color w:val="auto"/>
        </w:rPr>
        <w:t>Base Rent.</w:t>
      </w:r>
    </w:p>
    <w:p>
      <w:pPr>
        <w:spacing w:after="0" w:line="207" w:lineRule="exact"/>
        <w:rPr>
          <w:rFonts w:ascii="Arial" w:cs="Arial" w:eastAsia="Arial" w:hAnsi="Arial"/>
          <w:sz w:val="16"/>
          <w:szCs w:val="16"/>
          <w:b w:val="1"/>
          <w:bCs w:val="1"/>
          <w:color w:val="auto"/>
        </w:rPr>
      </w:pPr>
    </w:p>
    <w:p>
      <w:pPr>
        <w:ind w:left="2" w:right="80" w:firstLine="1172"/>
        <w:spacing w:after="0" w:line="278" w:lineRule="auto"/>
        <w:tabs>
          <w:tab w:leader="none" w:pos="1760" w:val="left"/>
        </w:tabs>
        <w:numPr>
          <w:ilvl w:val="1"/>
          <w:numId w:val="448"/>
        </w:numPr>
        <w:rPr>
          <w:rFonts w:ascii="Arial" w:cs="Arial" w:eastAsia="Arial" w:hAnsi="Arial"/>
          <w:sz w:val="15"/>
          <w:szCs w:val="15"/>
          <w:color w:val="auto"/>
        </w:rPr>
      </w:pPr>
      <w:r>
        <w:rPr>
          <w:rFonts w:ascii="Arial" w:cs="Arial" w:eastAsia="Arial" w:hAnsi="Arial"/>
          <w:sz w:val="15"/>
          <w:szCs w:val="15"/>
          <w:color w:val="auto"/>
        </w:rPr>
        <w:t>On the date that Tenant executes and delivers this Lease to Landlord, Tenant shall pay to Landlord $117,218.18 (“</w:t>
      </w:r>
      <w:r>
        <w:rPr>
          <w:rFonts w:ascii="Arial" w:cs="Arial" w:eastAsia="Arial" w:hAnsi="Arial"/>
          <w:sz w:val="15"/>
          <w:szCs w:val="15"/>
          <w:b w:val="1"/>
          <w:bCs w:val="1"/>
          <w:color w:val="auto"/>
        </w:rPr>
        <w:t>Pre-Paid Rent</w:t>
      </w:r>
      <w:r>
        <w:rPr>
          <w:rFonts w:ascii="Arial" w:cs="Arial" w:eastAsia="Arial" w:hAnsi="Arial"/>
          <w:sz w:val="15"/>
          <w:szCs w:val="15"/>
          <w:color w:val="auto"/>
        </w:rPr>
        <w:t>”), which, subject to the provisions of Section 2.1(b) below, shall be applied to the month installments of Base Rent payable by Tenant with respect to the first months (“</w:t>
      </w:r>
      <w:r>
        <w:rPr>
          <w:rFonts w:ascii="Arial" w:cs="Arial" w:eastAsia="Arial" w:hAnsi="Arial"/>
          <w:sz w:val="15"/>
          <w:szCs w:val="15"/>
          <w:b w:val="1"/>
          <w:bCs w:val="1"/>
          <w:color w:val="auto"/>
        </w:rPr>
        <w:t>Pre-Paid Rent</w:t>
      </w:r>
      <w:r>
        <w:rPr>
          <w:rFonts w:ascii="Arial" w:cs="Arial" w:eastAsia="Arial" w:hAnsi="Arial"/>
          <w:sz w:val="15"/>
          <w:szCs w:val="15"/>
          <w:color w:val="auto"/>
        </w:rPr>
        <w:t xml:space="preserve"> </w:t>
      </w:r>
      <w:r>
        <w:rPr>
          <w:rFonts w:ascii="Arial" w:cs="Arial" w:eastAsia="Arial" w:hAnsi="Arial"/>
          <w:sz w:val="15"/>
          <w:szCs w:val="15"/>
          <w:b w:val="1"/>
          <w:bCs w:val="1"/>
          <w:color w:val="auto"/>
        </w:rPr>
        <w:t>Months</w:t>
      </w:r>
      <w:r>
        <w:rPr>
          <w:rFonts w:ascii="Arial" w:cs="Arial" w:eastAsia="Arial" w:hAnsi="Arial"/>
          <w:sz w:val="15"/>
          <w:szCs w:val="15"/>
          <w:color w:val="auto"/>
        </w:rPr>
        <w:t>”) of Lease Years 3, 4, and 5. On the Rent Commencement Date, Tenant shall pay to Landlord Base Rent in the amount of $35,746.67, except that if the Rent</w:t>
      </w:r>
      <w:r>
        <w:rPr>
          <w:rFonts w:ascii="Arial" w:cs="Arial" w:eastAsia="Arial" w:hAnsi="Arial"/>
          <w:sz w:val="15"/>
          <w:szCs w:val="15"/>
          <w:b w:val="1"/>
          <w:bCs w:val="1"/>
          <w:color w:val="auto"/>
        </w:rPr>
        <w:t xml:space="preserve"> </w:t>
      </w:r>
      <w:r>
        <w:rPr>
          <w:rFonts w:ascii="Arial" w:cs="Arial" w:eastAsia="Arial" w:hAnsi="Arial"/>
          <w:sz w:val="15"/>
          <w:szCs w:val="15"/>
          <w:color w:val="auto"/>
        </w:rPr>
        <w:t>Commencement Date is any day other than the first day of a calendar month, Base Rent for such calendar month shall be prorated on the basis of the actual number of day in such calendar month. From and after the Rent Commencement Date, Tenant shall pay to Landlord Base Rent in equal monthly installments, in advance and without demand on the first day of each month for and with respect to such month. Except as otherwise expressly provided herein, the payment of Base Rent, additional rent and other charges reserved and covenanted to be paid under this Lease with respect to the Premises (collectively, “</w:t>
      </w:r>
      <w:r>
        <w:rPr>
          <w:rFonts w:ascii="Arial" w:cs="Arial" w:eastAsia="Arial" w:hAnsi="Arial"/>
          <w:sz w:val="15"/>
          <w:szCs w:val="15"/>
          <w:b w:val="1"/>
          <w:bCs w:val="1"/>
          <w:u w:val="single" w:color="auto"/>
          <w:color w:val="auto"/>
        </w:rPr>
        <w:t>Rent</w:t>
      </w:r>
      <w:r>
        <w:rPr>
          <w:rFonts w:ascii="Arial" w:cs="Arial" w:eastAsia="Arial" w:hAnsi="Arial"/>
          <w:sz w:val="15"/>
          <w:szCs w:val="15"/>
          <w:color w:val="auto"/>
        </w:rPr>
        <w:t>”) shall commence on the Rent Commencement Date, and shall be prorated for any partial months. Rent shall be payable to Landlord or, if Landlord shall so direct in writing, to Landlord’s agent or nominee, in lawful money of the United States which shall be legal tender for payment of all debts and dues, public and private, at the time of payment.</w:t>
      </w:r>
    </w:p>
    <w:p>
      <w:pPr>
        <w:spacing w:after="0" w:line="158" w:lineRule="exact"/>
        <w:rPr>
          <w:rFonts w:ascii="Arial" w:cs="Arial" w:eastAsia="Arial" w:hAnsi="Arial"/>
          <w:sz w:val="15"/>
          <w:szCs w:val="15"/>
          <w:color w:val="auto"/>
        </w:rPr>
      </w:pPr>
    </w:p>
    <w:p>
      <w:pPr>
        <w:ind w:left="2" w:right="20" w:firstLine="1172"/>
        <w:spacing w:after="0" w:line="278" w:lineRule="auto"/>
        <w:tabs>
          <w:tab w:leader="none" w:pos="1769" w:val="left"/>
        </w:tabs>
        <w:numPr>
          <w:ilvl w:val="1"/>
          <w:numId w:val="448"/>
        </w:numPr>
        <w:rPr>
          <w:rFonts w:ascii="Arial" w:cs="Arial" w:eastAsia="Arial" w:hAnsi="Arial"/>
          <w:sz w:val="15"/>
          <w:szCs w:val="15"/>
          <w:color w:val="auto"/>
        </w:rPr>
      </w:pPr>
      <w:r>
        <w:rPr>
          <w:rFonts w:ascii="Arial" w:cs="Arial" w:eastAsia="Arial" w:hAnsi="Arial"/>
          <w:sz w:val="15"/>
          <w:szCs w:val="15"/>
          <w:color w:val="auto"/>
        </w:rPr>
        <w:t>It shall be conditions (“</w:t>
      </w:r>
      <w:r>
        <w:rPr>
          <w:rFonts w:ascii="Arial" w:cs="Arial" w:eastAsia="Arial" w:hAnsi="Arial"/>
          <w:sz w:val="15"/>
          <w:szCs w:val="15"/>
          <w:b w:val="1"/>
          <w:bCs w:val="1"/>
          <w:color w:val="auto"/>
        </w:rPr>
        <w:t>Pre-Payment Conditions</w:t>
      </w:r>
      <w:r>
        <w:rPr>
          <w:rFonts w:ascii="Arial" w:cs="Arial" w:eastAsia="Arial" w:hAnsi="Arial"/>
          <w:sz w:val="15"/>
          <w:szCs w:val="15"/>
          <w:color w:val="auto"/>
        </w:rPr>
        <w:t>”) to the application of any portion of the Pre-Paid Rent to the amount of Base Rent due from Tenant to Landlord with respect to any of the Pre-Paid Rent Months that, as of the first day of such Pre-Paid Rent Month: (i) Tenant is in full compliance with its obligations under the Lease, and (ii) the Lease is in full force effect. If Landlord declines to apply any portion of the Pre-Paid Rent to the Base Rent due with respect to a Pre-Paid Rent Month based upon Tenant’s failure to satisfy the Pre-Payment Conditions, then Landlord shall apply the portion of the Pre-Paid Rent which was scheduled to be applied to the Base Rent due with respect to such Pre-Paid Rent Month to the amount of Base Rent due from Tenant to Landlord with respect to the next following calendar month with respect to which the Pre-Payment Conditions are satisfied. If the Term of the Lease is, for any reason, terminated prior to the application of the entirety of the Pre-Paid Rent to the Base Rent payable by Tenant to Landlord, then: (i) Landlord may apply the Pre-Paid Rent to any amounts due from Tenant to Landlord, including, without limitation, Rent and damages suffered by Landlord as the result of the default of Tenant under the Lease, and (ii) Landlord shall refund to Tenant such portion (if any) of the Pre-Paid Rent which has not yet been applied to Base Rent or other amounts due from Tenant to Landlord.</w:t>
      </w:r>
    </w:p>
    <w:p>
      <w:pPr>
        <w:spacing w:after="0" w:line="158"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4"/>
          <w:szCs w:val="14"/>
          <w:b w:val="1"/>
          <w:bCs w:val="1"/>
          <w:color w:val="auto"/>
        </w:rPr>
        <w:t>Operating Costs</w:t>
      </w:r>
      <w:r>
        <w:rPr>
          <w:rFonts w:ascii="Arial" w:cs="Arial" w:eastAsia="Arial" w:hAnsi="Arial"/>
          <w:sz w:val="14"/>
          <w:szCs w:val="14"/>
          <w:color w:val="auto"/>
        </w:rPr>
        <w:t>.</w:t>
      </w:r>
    </w:p>
    <w:p>
      <w:pPr>
        <w:spacing w:after="0" w:line="211" w:lineRule="exact"/>
        <w:rPr>
          <w:sz w:val="20"/>
          <w:szCs w:val="20"/>
          <w:color w:val="auto"/>
        </w:rPr>
      </w:pPr>
    </w:p>
    <w:p>
      <w:pPr>
        <w:ind w:left="2" w:right="20" w:firstLine="1172"/>
        <w:spacing w:after="0" w:line="288" w:lineRule="auto"/>
        <w:tabs>
          <w:tab w:leader="none" w:pos="1760" w:val="left"/>
        </w:tabs>
        <w:numPr>
          <w:ilvl w:val="0"/>
          <w:numId w:val="44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Operating Costs</w:t>
      </w:r>
      <w:r>
        <w:rPr>
          <w:rFonts w:ascii="Arial" w:cs="Arial" w:eastAsia="Arial" w:hAnsi="Arial"/>
          <w:sz w:val="15"/>
          <w:szCs w:val="15"/>
          <w:color w:val="auto"/>
        </w:rPr>
        <w:t>” shall mean all actual costs incurred and expenditures of whatever nature made by Landlord in the operation, management, repair, replacement, maintenance and insurance (including, without limitation, environmental liability insurance and property insurance on Landlord-supplied leasehold improvements for tenants, but not property insurance on tenants’ equipment) of the Property or reasonably allocated to the Property, including without limitation all costs of labor (wages, salaries, fringe benefits, etc.) up to and including the Property manager, however denominated, any costs for utilities supplied to exterior areas and the</w:t>
      </w:r>
    </w:p>
    <w:p>
      <w:pPr>
        <w:spacing w:after="0" w:line="1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83" w:name="page484"/>
    <w:bookmarkEnd w:id="483"/>
    <w:p>
      <w:pPr>
        <w:ind w:left="2" w:right="40"/>
        <w:spacing w:after="0" w:line="277" w:lineRule="auto"/>
        <w:rPr>
          <w:sz w:val="20"/>
          <w:szCs w:val="20"/>
          <w:color w:val="auto"/>
        </w:rPr>
      </w:pPr>
      <w:r>
        <w:rPr>
          <w:rFonts w:ascii="Arial" w:cs="Arial" w:eastAsia="Arial" w:hAnsi="Arial"/>
          <w:sz w:val="15"/>
          <w:szCs w:val="15"/>
          <w:color w:val="auto"/>
        </w:rPr>
        <w:t>Common Areas, and any costs for repair and replacements, cleaning and maintenance of the exterior areas and the Common Areas, related equipment, facilities and appurtenances and HVAC equipment, security services, a management fee (“</w:t>
      </w:r>
      <w:r>
        <w:rPr>
          <w:rFonts w:ascii="Arial" w:cs="Arial" w:eastAsia="Arial" w:hAnsi="Arial"/>
          <w:sz w:val="15"/>
          <w:szCs w:val="15"/>
          <w:b w:val="1"/>
          <w:bCs w:val="1"/>
          <w:u w:val="single" w:color="auto"/>
          <w:color w:val="auto"/>
        </w:rPr>
        <w:t>Management Fee</w:t>
      </w:r>
      <w:r>
        <w:rPr>
          <w:rFonts w:ascii="Arial" w:cs="Arial" w:eastAsia="Arial" w:hAnsi="Arial"/>
          <w:sz w:val="15"/>
          <w:szCs w:val="15"/>
          <w:color w:val="auto"/>
        </w:rPr>
        <w:t>”) paid to Landlord’s property manager (not to exceed four percent (4%) of gross income of the Building, such gross income to be adjusted, if applicable, pursuant to Section 5.2(f)), the costs, including, without limitation, a commercially reasonable rental factor, of Landlord’s management office for the Property, which management office may be located outside the Property and which may serve other properties in addition to the Property (in which event such costs shall be equitably allocated among the properties served by such office), the cost of operating any amenities in the Property available to all tenants of the Property and any subsidy provided by Landlord for or with respect to any such amenity. For costs and expenditures made by Landlord in connection with the operation, management, repair, replacement, maintenance and insurance of the Building as a whole, Landlord shall make a reasonable allocation thereof between the retail and non-retail portions of the Building, if applicable. Operating Costs shall include costs (“</w:t>
      </w:r>
      <w:r>
        <w:rPr>
          <w:rFonts w:ascii="Arial" w:cs="Arial" w:eastAsia="Arial" w:hAnsi="Arial"/>
          <w:sz w:val="15"/>
          <w:szCs w:val="15"/>
          <w:b w:val="1"/>
          <w:bCs w:val="1"/>
          <w:u w:val="single" w:color="auto"/>
          <w:color w:val="auto"/>
        </w:rPr>
        <w:t>Common Campus Costs</w:t>
      </w:r>
      <w:r>
        <w:rPr>
          <w:rFonts w:ascii="Arial" w:cs="Arial" w:eastAsia="Arial" w:hAnsi="Arial"/>
          <w:sz w:val="15"/>
          <w:szCs w:val="15"/>
          <w:color w:val="auto"/>
        </w:rPr>
        <w:t>”) incurred by Landlord in the operation, management, repair, replacement, maintenance and insurance of the Campus. So long as the Cafeteria is in operation, the Common Campus Costs shall include the costs of operating and maintaining the Cafeteria to the extent such costs exceed the income of the Cafeteria. Landlord shall reasonably allocate the Common Campus Costs among the buildings comprising the Campus. Operating Costs shall not include Excluded Costs (hereinafter defined).</w:t>
      </w:r>
    </w:p>
    <w:p>
      <w:pPr>
        <w:spacing w:after="0" w:line="158" w:lineRule="exact"/>
        <w:rPr>
          <w:sz w:val="20"/>
          <w:szCs w:val="20"/>
          <w:color w:val="auto"/>
        </w:rPr>
      </w:pPr>
    </w:p>
    <w:p>
      <w:pPr>
        <w:ind w:left="1762" w:hanging="588"/>
        <w:spacing w:after="0"/>
        <w:tabs>
          <w:tab w:leader="none" w:pos="1762" w:val="left"/>
        </w:tabs>
        <w:numPr>
          <w:ilvl w:val="1"/>
          <w:numId w:val="45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Costs</w:t>
      </w:r>
      <w:r>
        <w:rPr>
          <w:rFonts w:ascii="Arial" w:cs="Arial" w:eastAsia="Arial" w:hAnsi="Arial"/>
          <w:sz w:val="15"/>
          <w:szCs w:val="15"/>
          <w:color w:val="auto"/>
        </w:rPr>
        <w:t>” shall be defined as (i) any fixed or percentage ground rent, any mortgage charges (including interest, principal, points and fees);</w:t>
      </w:r>
    </w:p>
    <w:p>
      <w:pPr>
        <w:spacing w:after="0" w:line="34" w:lineRule="exact"/>
        <w:rPr>
          <w:rFonts w:ascii="Arial" w:cs="Arial" w:eastAsia="Arial" w:hAnsi="Arial"/>
          <w:sz w:val="15"/>
          <w:szCs w:val="15"/>
          <w:color w:val="auto"/>
        </w:rPr>
      </w:pPr>
    </w:p>
    <w:p>
      <w:pPr>
        <w:ind w:left="2" w:hanging="2"/>
        <w:spacing w:after="0" w:line="274" w:lineRule="auto"/>
        <w:tabs>
          <w:tab w:leader="none" w:pos="242" w:val="left"/>
        </w:tabs>
        <w:numPr>
          <w:ilvl w:val="0"/>
          <w:numId w:val="451"/>
        </w:numPr>
        <w:rPr>
          <w:rFonts w:ascii="Arial" w:cs="Arial" w:eastAsia="Arial" w:hAnsi="Arial"/>
          <w:sz w:val="15"/>
          <w:szCs w:val="15"/>
          <w:color w:val="auto"/>
        </w:rPr>
      </w:pPr>
      <w:r>
        <w:rPr>
          <w:rFonts w:ascii="Arial" w:cs="Arial" w:eastAsia="Arial" w:hAnsi="Arial"/>
          <w:sz w:val="15"/>
          <w:szCs w:val="15"/>
          <w:color w:val="auto"/>
        </w:rPr>
        <w:t>brokerage commissions, leasing fees, legal fees incurred by Landlord in negotiating leases, amendments and tenancy agreements, the cost of tenant improvements, build out allowances, moving expenses, assumption of rent under existing leases and other concessions incurred in connection with leasing space in the Building; (iii) salaries of executives and owners not directly employed in the management/operation of the Property and salaries and other compensation of employees, officers, executives or administrative personnel of Landlord above the position of general manager; (iv) the cost of work done by Landlord for a particular tenant and the cost of work or services performed for any facility other than the Building or the Property; (v) the cost of items which, by generally accepted accounting principles, would be capitalized on the books of Landlord, except to the extent such capital expenditure is (A) required by any Legal Requirements first enacted after the Execution Date, or (B) reasonably projected to reduce Operating Costs; provided that in either (A) or (B) such cost is amortized (with interest at 8% per annum) on a direct reduction basis over the useful life of such improvements as Landlord shall reasonably determine in accordance with sound real estate management and accounting principles and Tenant shall only be obligated to pay Tenant’s Share of such amortized amount for that portion of the useful life that falls within the Term; (vi) the costs of Landlord’s Work and any contributions made by Landlord to any tenant of the Property in connection with the build-out of its premises; (vii) franchise or income taxes imposed on Landlord; (viii) costs paid directly by individual tenants to suppliers, including tenant electricity, telephone and other utility costs; (ix) increases in premiums for insurance when such increase is caused by the use of the Building by Landlord or any other tenant of the Building; (x) depreciation of the Building, or any part thereof; (xi) costs relating to maintaining Landlord’s existence as a corporation, partnership or other entity; (xii) advertising, promotional or marketing expenses for the Building and other fees and costs incurred in procuring tenants; (xiii) the cost of repairs incurred by reason of fire or other casualty or condemnation in excess of costs which are included in any commercially reasonable deductible carried by Landlord under its casualty</w:t>
      </w:r>
    </w:p>
    <w:p>
      <w:pPr>
        <w:spacing w:after="0" w:line="165"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84" w:name="page485"/>
    <w:bookmarkEnd w:id="484"/>
    <w:p>
      <w:pPr>
        <w:ind w:left="2"/>
        <w:spacing w:after="0" w:line="292" w:lineRule="auto"/>
        <w:rPr>
          <w:sz w:val="20"/>
          <w:szCs w:val="20"/>
          <w:color w:val="auto"/>
        </w:rPr>
      </w:pPr>
      <w:r>
        <w:rPr>
          <w:rFonts w:ascii="Arial" w:cs="Arial" w:eastAsia="Arial" w:hAnsi="Arial"/>
          <w:sz w:val="14"/>
          <w:szCs w:val="14"/>
          <w:color w:val="auto"/>
        </w:rPr>
        <w:t>insurance policy, and the cost of any items for which Landlord is reimbursed by insurance, condemnation awards, refund, rebate or otherwise, and any expenses for repairs or maintenance to the extent covered by warranties, guaranties and service contracts; (xiv) costs incurred in connection with any disputes between Landlord and its employees, between Landlord and Building management, or between Landlord and other tenants or occupants; (xv) accrual or replacement of reserves for future repair or replacement costs; (xvi) any legal expenses arising out of any misconduct or negligence of Landlord or any person for which Landlord is responsible or arising out of dealings between any principals constituting Landlord or arising out of any leasing, sale, syndication, or financing of the Building or the Property or any part thereof or arising out of disputes with tenants, other occupants, or prospective tenants or occupants or out of the construction of the improvements on the Property; (xvii) any amounts paid by Landlord for which reimbursement is made from any source, including without limitation any cost recovered under any warranty, guaranty or insurance policy maintained or held by Landlord (provided that the foregoing shall not apply to payments by any tenant of the Building on account of such tenants’ share of Operating Cost and Tax pass-through or escalation over base-year provisions under their leases); (xviii) any cost representing an amount paid for services or materials to a related person or entity to the extent such amount exceeds the amount that would be paid for such services or materials at the then existing market rates to an unrelated person or entity, provided however, that the provisions of this clause (xviii) shall not be applicable to, or limit, the amount of Management Fee included in Operating Costs; (xix) costs of any investigation, cleanup, containment, abatement, removal or remediation Hazardous Materials (as hereinafter defined), other than Change in Law Hazardous Materials, as hereinafter defined; (xx) any increase in the cost of insurance attributable to the particular activities of any tenant which increases the cost of any fire, extended coverage or any other insurance policy covering all or any portion of the Property; (xxi) the cost of acquisition of any sculpture, paintings or other objects of art, (xxii) contributions to charitable or political organizations, and</w:t>
      </w:r>
    </w:p>
    <w:p>
      <w:pPr>
        <w:spacing w:after="0" w:line="8" w:lineRule="exact"/>
        <w:rPr>
          <w:sz w:val="20"/>
          <w:szCs w:val="20"/>
          <w:color w:val="auto"/>
        </w:rPr>
      </w:pPr>
    </w:p>
    <w:p>
      <w:pPr>
        <w:ind w:left="2" w:right="120" w:hanging="2"/>
        <w:spacing w:after="0" w:line="270" w:lineRule="auto"/>
        <w:tabs>
          <w:tab w:leader="none" w:pos="45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cost of replacements, alterations or improvements necessary to remedy any non-compliance of the Building or the Property with applicable Legal Requirements in effect and applicable to the Building and/or the Property prior to the Execution Date.</w:t>
      </w:r>
    </w:p>
    <w:p>
      <w:pPr>
        <w:spacing w:after="0" w:line="157" w:lineRule="exact"/>
        <w:rPr>
          <w:sz w:val="20"/>
          <w:szCs w:val="20"/>
          <w:color w:val="auto"/>
        </w:rPr>
      </w:pPr>
    </w:p>
    <w:p>
      <w:pPr>
        <w:ind w:left="2" w:firstLine="58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Change in Law Hazardous Materials</w:t>
      </w:r>
      <w:r>
        <w:rPr>
          <w:rFonts w:ascii="Arial" w:cs="Arial" w:eastAsia="Arial" w:hAnsi="Arial"/>
          <w:sz w:val="16"/>
          <w:szCs w:val="16"/>
          <w:color w:val="auto"/>
        </w:rPr>
        <w:t>” shall be defined any material or substance which: (x) exists in, on, or under the Building or the Property as of the Execution Date of this Lease, is, as of the Execution Date of the Lease, not deemed to be in violation of applicable Environment Laws, but, as the result of a change in Environmental Laws, is subsequently deemed to be in violation of applicable Environmental Laws, or (y) is introduced to the Building and/or the Property after the Execution Date, is, as of the time of its introduction to the Building and/or the Property, not deemed to be in violation of applicable Environment Laws, but, as the result of a change in Environmental Laws, is subsequently deemed to be in violation of applicable Environmental Laws.</w:t>
      </w:r>
    </w:p>
    <w:p>
      <w:pPr>
        <w:spacing w:after="0" w:line="166" w:lineRule="exact"/>
        <w:rPr>
          <w:sz w:val="20"/>
          <w:szCs w:val="20"/>
          <w:color w:val="auto"/>
        </w:rPr>
      </w:pPr>
    </w:p>
    <w:p>
      <w:pPr>
        <w:jc w:val="both"/>
        <w:ind w:left="2" w:right="40" w:firstLine="1172"/>
        <w:spacing w:after="0" w:line="265" w:lineRule="auto"/>
        <w:tabs>
          <w:tab w:leader="none" w:pos="1772" w:val="left"/>
        </w:tabs>
        <w:numPr>
          <w:ilvl w:val="0"/>
          <w:numId w:val="453"/>
        </w:numPr>
        <w:rPr>
          <w:rFonts w:ascii="Arial" w:cs="Arial" w:eastAsia="Arial" w:hAnsi="Arial"/>
          <w:sz w:val="16"/>
          <w:szCs w:val="16"/>
          <w:color w:val="auto"/>
        </w:rPr>
      </w:pPr>
      <w:r>
        <w:rPr>
          <w:rFonts w:ascii="Arial" w:cs="Arial" w:eastAsia="Arial" w:hAnsi="Arial"/>
          <w:sz w:val="16"/>
          <w:szCs w:val="16"/>
          <w:u w:val="single" w:color="auto"/>
          <w:color w:val="auto"/>
        </w:rPr>
        <w:t>Payment of Operating Costs</w:t>
      </w:r>
      <w:r>
        <w:rPr>
          <w:rFonts w:ascii="Arial" w:cs="Arial" w:eastAsia="Arial" w:hAnsi="Arial"/>
          <w:sz w:val="16"/>
          <w:szCs w:val="16"/>
          <w:color w:val="auto"/>
        </w:rPr>
        <w:t>. Commencing as of the Term Commencement Date and continuing thereafter throughout the remainder of the Term of the Lease, Tenant shall pay to Landlord, as additional rent, Tenant’s Share of Operating Costs. Landlord may make a good faith estimate of Tenant’s Share of Operating Costs for any fiscal year or part thereof during the term, and Tenant shall pay to Landlord, on the Term Commencement Date and on the first (1st) day of each calendar month thereafter, an amount equal to Tenant’s Share of Operating Costs</w:t>
      </w:r>
    </w:p>
    <w:p>
      <w:pPr>
        <w:spacing w:after="0" w:line="16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485" w:name="page486"/>
    <w:bookmarkEnd w:id="485"/>
    <w:p>
      <w:pPr>
        <w:ind w:left="2" w:right="40"/>
        <w:spacing w:after="0" w:line="288" w:lineRule="auto"/>
        <w:rPr>
          <w:sz w:val="20"/>
          <w:szCs w:val="20"/>
          <w:color w:val="auto"/>
        </w:rPr>
      </w:pPr>
      <w:r>
        <w:rPr>
          <w:rFonts w:ascii="Arial" w:cs="Arial" w:eastAsia="Arial" w:hAnsi="Arial"/>
          <w:sz w:val="15"/>
          <w:szCs w:val="15"/>
          <w:color w:val="auto"/>
        </w:rPr>
        <w:t>for such fiscal year and/or part thereof divided by the number of months therein. Landlord may in good faith estimate and re-estimate Tenant’s Share of Operating Costs and deliver a copy of the estimate or re-estimate to Tenant. Thereafter, the monthly installments of Tenant’s Share of Operating Costs shall be appropriately adjusted in accordance with the estimations so that, by the end of the fiscal year in question, Tenant shall have paid all of Tenant’s Share of Operating Costs as estimated by Landlord. Any amounts paid based on such an estimate shall be subject to adjustment as herein provided when actual Operating Costs are available for each fiscal year.</w:t>
      </w:r>
    </w:p>
    <w:p>
      <w:pPr>
        <w:spacing w:after="0" w:line="150" w:lineRule="exact"/>
        <w:rPr>
          <w:sz w:val="20"/>
          <w:szCs w:val="20"/>
          <w:color w:val="auto"/>
        </w:rPr>
      </w:pPr>
    </w:p>
    <w:p>
      <w:pPr>
        <w:ind w:left="2" w:right="240" w:firstLine="1172"/>
        <w:spacing w:after="0" w:line="300" w:lineRule="auto"/>
        <w:tabs>
          <w:tab w:leader="none" w:pos="1769" w:val="left"/>
        </w:tabs>
        <w:numPr>
          <w:ilvl w:val="1"/>
          <w:numId w:val="454"/>
        </w:numPr>
        <w:rPr>
          <w:rFonts w:ascii="Arial" w:cs="Arial" w:eastAsia="Arial" w:hAnsi="Arial"/>
          <w:sz w:val="14"/>
          <w:szCs w:val="14"/>
          <w:color w:val="auto"/>
        </w:rPr>
      </w:pPr>
      <w:r>
        <w:rPr>
          <w:rFonts w:ascii="Arial" w:cs="Arial" w:eastAsia="Arial" w:hAnsi="Arial"/>
          <w:sz w:val="14"/>
          <w:szCs w:val="14"/>
          <w:u w:val="single" w:color="auto"/>
          <w:color w:val="auto"/>
        </w:rPr>
        <w:t>Annual Reconciliation</w:t>
      </w:r>
      <w:r>
        <w:rPr>
          <w:rFonts w:ascii="Arial" w:cs="Arial" w:eastAsia="Arial" w:hAnsi="Arial"/>
          <w:sz w:val="14"/>
          <w:szCs w:val="14"/>
          <w:color w:val="auto"/>
        </w:rPr>
        <w:t>. Landlord shall, within one hundred twenty (120) days after the end of each fiscal year, deliver to Tenant a reasonably detailed statement of the actual amount of Operating Costs for such fiscal year (“</w:t>
      </w:r>
      <w:r>
        <w:rPr>
          <w:rFonts w:ascii="Arial" w:cs="Arial" w:eastAsia="Arial" w:hAnsi="Arial"/>
          <w:sz w:val="14"/>
          <w:szCs w:val="14"/>
          <w:b w:val="1"/>
          <w:bCs w:val="1"/>
          <w:u w:val="single" w:color="auto"/>
          <w:color w:val="auto"/>
        </w:rPr>
        <w:t>Year End Statement</w:t>
      </w:r>
      <w:r>
        <w:rPr>
          <w:rFonts w:ascii="Arial" w:cs="Arial" w:eastAsia="Arial" w:hAnsi="Arial"/>
          <w:sz w:val="14"/>
          <w:szCs w:val="14"/>
          <w:color w:val="auto"/>
        </w:rPr>
        <w:t>”). Failure of Landlord to provide the Year End Statement within one</w:t>
      </w:r>
    </w:p>
    <w:p>
      <w:pPr>
        <w:ind w:left="2" w:hanging="2"/>
        <w:spacing w:after="0" w:line="275" w:lineRule="auto"/>
        <w:tabs>
          <w:tab w:leader="none" w:pos="233" w:val="left"/>
        </w:tabs>
        <w:numPr>
          <w:ilvl w:val="0"/>
          <w:numId w:val="455"/>
        </w:numPr>
        <w:rPr>
          <w:rFonts w:ascii="Arial" w:cs="Arial" w:eastAsia="Arial" w:hAnsi="Arial"/>
          <w:sz w:val="15"/>
          <w:szCs w:val="15"/>
          <w:color w:val="auto"/>
        </w:rPr>
      </w:pPr>
      <w:r>
        <w:rPr>
          <w:rFonts w:ascii="Arial" w:cs="Arial" w:eastAsia="Arial" w:hAnsi="Arial"/>
          <w:sz w:val="15"/>
          <w:szCs w:val="15"/>
          <w:color w:val="auto"/>
        </w:rPr>
        <w:t>year after the end of the fiscal year in question shall result in a waiver by Landlord of the right to seek an adjustment of Operating Costs. For avoidance of doubt, however, if Landlord provides a Year End Statement with respect to a fiscal year to Tenant within one year after the end of such fiscal year, and Landlord, receives an invoice or demand for payment from a third party for a cost chargeable to such fiscal year which Landlord, in good faith, was not expecting, Landlord shall have the right, within thirty (30) days after Landlord receives such invoice or demand, to send Tenant a revised Year End Statement and a demand for payment from Tenant for Tenant’s Share of such Operating Cost, to the extent otherwise permitted pursuant to this Section 5.2. If the total of such monthly remittances on account of any fiscal year is greater than Tenant’s Share of Operating Costs actually incurred for such fiscal year, then, provided no Event of Default has occurred and is continuing, Tenant may credit the difference against the next installment of additional rent on account of Operating Costs due hereunder, except that if such difference is determined after the end of the Term, Landlord shall refund such difference to Tenant within thirty (30) days after such determination to the extent that such difference exceeds any amounts then due from Tenant to Landlord. If the total of such remittances is less than Tenant’s Share of Operating Costs actually incurred for such fiscal year, Tenant shall pay the difference to Landlord, as additional rent hereunder, within thirty (30) days of Tenant’s receipt of an invoice therefor. Landlord’s estimate of Operating Costs for the next fiscal year shall be based upon the Operating Costs actually incurred for the prior fiscal year as reflected in the Year-End Statement plus a reasonable adjustment based upon estimated increases in Operating Costs. The provisions of this Section 5.2(d) shall survive the expiration or earlier termination of this Lease.</w:t>
      </w:r>
    </w:p>
    <w:p>
      <w:pPr>
        <w:spacing w:after="0" w:line="160" w:lineRule="exact"/>
        <w:rPr>
          <w:rFonts w:ascii="Arial" w:cs="Arial" w:eastAsia="Arial" w:hAnsi="Arial"/>
          <w:sz w:val="15"/>
          <w:szCs w:val="15"/>
          <w:color w:val="auto"/>
        </w:rPr>
      </w:pPr>
    </w:p>
    <w:p>
      <w:pPr>
        <w:ind w:left="2" w:right="40" w:firstLine="1172"/>
        <w:spacing w:after="0" w:line="285" w:lineRule="auto"/>
        <w:tabs>
          <w:tab w:leader="none" w:pos="1772" w:val="left"/>
        </w:tabs>
        <w:numPr>
          <w:ilvl w:val="1"/>
          <w:numId w:val="455"/>
        </w:numPr>
        <w:rPr>
          <w:rFonts w:ascii="Arial" w:cs="Arial" w:eastAsia="Arial" w:hAnsi="Arial"/>
          <w:sz w:val="16"/>
          <w:szCs w:val="16"/>
          <w:color w:val="auto"/>
        </w:rPr>
      </w:pPr>
      <w:r>
        <w:rPr>
          <w:rFonts w:ascii="Arial" w:cs="Arial" w:eastAsia="Arial" w:hAnsi="Arial"/>
          <w:sz w:val="16"/>
          <w:szCs w:val="16"/>
          <w:u w:val="single" w:color="auto"/>
          <w:color w:val="auto"/>
        </w:rPr>
        <w:t>Part Years</w:t>
      </w:r>
      <w:r>
        <w:rPr>
          <w:rFonts w:ascii="Arial" w:cs="Arial" w:eastAsia="Arial" w:hAnsi="Arial"/>
          <w:sz w:val="16"/>
          <w:szCs w:val="16"/>
          <w:color w:val="auto"/>
        </w:rPr>
        <w:t>. If the Term Commencement Date or the Expiration Date occurs in the middle of a fiscal year, Tenant shall be liable for only that portion of the Operating Costs with respect to such fiscal year after the Term Commencement Date.</w:t>
      </w:r>
    </w:p>
    <w:p>
      <w:pPr>
        <w:spacing w:after="0" w:line="149" w:lineRule="exact"/>
        <w:rPr>
          <w:rFonts w:ascii="Arial" w:cs="Arial" w:eastAsia="Arial" w:hAnsi="Arial"/>
          <w:sz w:val="16"/>
          <w:szCs w:val="16"/>
          <w:color w:val="auto"/>
        </w:rPr>
      </w:pPr>
    </w:p>
    <w:p>
      <w:pPr>
        <w:ind w:left="2" w:firstLine="1172"/>
        <w:spacing w:after="0" w:line="261" w:lineRule="auto"/>
        <w:tabs>
          <w:tab w:leader="none" w:pos="1767" w:val="left"/>
        </w:tabs>
        <w:numPr>
          <w:ilvl w:val="1"/>
          <w:numId w:val="455"/>
        </w:numPr>
        <w:rPr>
          <w:rFonts w:ascii="Arial" w:cs="Arial" w:eastAsia="Arial" w:hAnsi="Arial"/>
          <w:sz w:val="16"/>
          <w:szCs w:val="16"/>
          <w:color w:val="auto"/>
        </w:rPr>
      </w:pPr>
      <w:r>
        <w:rPr>
          <w:rFonts w:ascii="Arial" w:cs="Arial" w:eastAsia="Arial" w:hAnsi="Arial"/>
          <w:sz w:val="16"/>
          <w:szCs w:val="16"/>
          <w:u w:val="single" w:color="auto"/>
          <w:color w:val="auto"/>
        </w:rPr>
        <w:t>Gross-Up</w:t>
      </w:r>
      <w:r>
        <w:rPr>
          <w:rFonts w:ascii="Arial" w:cs="Arial" w:eastAsia="Arial" w:hAnsi="Arial"/>
          <w:sz w:val="16"/>
          <w:szCs w:val="16"/>
          <w:color w:val="auto"/>
        </w:rPr>
        <w:t>. If, during any fiscal year, less than 95% of the Building is occupied by tenants or if Landlord was not supplying all tenants with the services being supplied to Tenant hereunder, actual Operating Costs incurred shall be reasonably extrapolated by Landlord on an item-by-item basis to the reasonable Operating Costs that would have been incurred if the Building was 95% occupied and such services were being supplied to all tenants, and such extrapolated Operating Costs shall, for all purposes hereof, be deemed to be the Operating Costs for such fiscal year. This “gross up” treatment shall be applied only with respect to variable Operating Costs arising from services provided to Common Areas or to space in the Building being occupied by tenants (which services are not provided to vacant space or may be provided only to</w:t>
      </w:r>
    </w:p>
    <w:p>
      <w:pPr>
        <w:spacing w:after="0" w:line="16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86" w:name="page487"/>
    <w:bookmarkEnd w:id="486"/>
    <w:p>
      <w:pPr>
        <w:ind w:left="2"/>
        <w:spacing w:after="0"/>
        <w:rPr>
          <w:sz w:val="20"/>
          <w:szCs w:val="20"/>
          <w:color w:val="auto"/>
        </w:rPr>
      </w:pPr>
      <w:r>
        <w:rPr>
          <w:rFonts w:ascii="Arial" w:cs="Arial" w:eastAsia="Arial" w:hAnsi="Arial"/>
          <w:sz w:val="16"/>
          <w:szCs w:val="16"/>
          <w:color w:val="auto"/>
        </w:rPr>
        <w:t>some tenants) in order to allocate equitably such variable Operating Costs to the tenants receiving the benefits thereof.</w:t>
      </w:r>
    </w:p>
    <w:p>
      <w:pPr>
        <w:spacing w:after="0" w:line="207" w:lineRule="exact"/>
        <w:rPr>
          <w:sz w:val="20"/>
          <w:szCs w:val="20"/>
          <w:color w:val="auto"/>
        </w:rPr>
      </w:pPr>
    </w:p>
    <w:p>
      <w:pPr>
        <w:ind w:left="2" w:firstLine="1172"/>
        <w:spacing w:after="0" w:line="297" w:lineRule="auto"/>
        <w:tabs>
          <w:tab w:leader="none" w:pos="1782" w:val="left"/>
        </w:tabs>
        <w:numPr>
          <w:ilvl w:val="1"/>
          <w:numId w:val="456"/>
        </w:numPr>
        <w:rPr>
          <w:rFonts w:ascii="Arial" w:cs="Arial" w:eastAsia="Arial" w:hAnsi="Arial"/>
          <w:sz w:val="14"/>
          <w:szCs w:val="14"/>
          <w:color w:val="auto"/>
        </w:rPr>
      </w:pPr>
      <w:r>
        <w:rPr>
          <w:rFonts w:ascii="Arial" w:cs="Arial" w:eastAsia="Arial" w:hAnsi="Arial"/>
          <w:sz w:val="14"/>
          <w:szCs w:val="14"/>
          <w:u w:val="single" w:color="auto"/>
          <w:color w:val="auto"/>
        </w:rPr>
        <w:t>Audit Right</w:t>
      </w:r>
      <w:r>
        <w:rPr>
          <w:rFonts w:ascii="Arial" w:cs="Arial" w:eastAsia="Arial" w:hAnsi="Arial"/>
          <w:sz w:val="14"/>
          <w:szCs w:val="14"/>
          <w:color w:val="auto"/>
        </w:rPr>
        <w:t>. Provided there is no Event of Default, Tenant may, upon at least sixty (60) days’ prior written notice, inspect or audit Landlord’s records relating to Operating Costs for any periods of time within the previous fiscal year before the audit or inspection. However, no audit or inspection shall extend to periods of time before the Term Commencement Date. If Tenant fails to object to the calculation of Tenant’s Share of Operating Costs on the Year-End Statement within ninety</w:t>
      </w:r>
    </w:p>
    <w:p>
      <w:pPr>
        <w:ind w:left="2" w:hanging="2"/>
        <w:spacing w:after="0" w:line="274" w:lineRule="auto"/>
        <w:tabs>
          <w:tab w:leader="none" w:pos="314" w:val="left"/>
        </w:tabs>
        <w:numPr>
          <w:ilvl w:val="0"/>
          <w:numId w:val="457"/>
        </w:numPr>
        <w:rPr>
          <w:rFonts w:ascii="Arial" w:cs="Arial" w:eastAsia="Arial" w:hAnsi="Arial"/>
          <w:sz w:val="15"/>
          <w:szCs w:val="15"/>
          <w:color w:val="auto"/>
        </w:rPr>
      </w:pPr>
      <w:r>
        <w:rPr>
          <w:rFonts w:ascii="Arial" w:cs="Arial" w:eastAsia="Arial" w:hAnsi="Arial"/>
          <w:sz w:val="15"/>
          <w:szCs w:val="15"/>
          <w:color w:val="auto"/>
        </w:rPr>
        <w:t>days after such statement has been delivered to Tenant and/or fails to complete any such audit or inspection within one hundred twenty (120) days after receipt of the Year End Statement, then Tenant shall be deemed to have waived its right to object to the calculation of Tenant’s Share of Operating Costs for the year in question and the calculation thereof as set forth on such statement shall be final. Tenant’s audit or inspection shall be conducted only at Landlord’s offices or the offices of Landlord’s property manager during business hours reasonably designated by Landlord. Tenant shall pay the cost of such audit or inspection. Tenant may not conduct an inspection or have an audit performed more than once during any fiscal year. If such inspection or audit reveals that an error was made in the calculation of Tenant’s Share of Operating Costs previously charged to Tenant, then, provided there is no Event of Default, Tenant may credit the difference against the next installment of additional rent on account of Operating Costs due hereunder, except that if such difference is determined after the end of the Term, Landlord shall refund such difference to Tenant within thirty (30) days after such determination to the extent that such difference exceeds any amounts then due from Tenant to Landlord. If such inspection or audit reveals an underpayment by Tenant, then Tenant shall pay to Landlord, as additional rent hereunder, any underpayment of any such costs, as the case may be, within thirty (30) days after receipt of an invoice therefor. If, after such inspection or audit is made, it is finally determined or agreed that that an error was made in the calculation of Tenant’s Share of Operating Costs previously charged to Tenant so that the amount billed to Tenant was in error in excess of five percent (5%) of the actual costs, then Landlord shall pay to Tenant the reasonable cost of such an audit. Tenant shall maintain the results of any such audit or inspection confidential and shall not be permitted to use any third party to perform such audit or inspection, other than Tenant’s employees, consultants approved by Landlord (which approval shall not be unreasonably withheld, conditioned or delayed) or an independent firm of certified public accountants (A) which is not compensated on a contingency fee basis or in any other manner which is dependent upon the results of such audit or inspection, and (B) which executes a commercially reasonable confidentiality agreement whereby it shall agree to maintain the results of such audit or inspection confidential, but subject to commercially reasonable exceptions to such confidentiality. Nothing in the foregoing shall preclude Tenant or its auditor from disclosing any audit or inspection results to third parties, to the extent: (i) required by Legal Requirements, court order, order of governmental authority or pursuant to any requirements or rules of any stock exchange listing, or (ii) in litigation or other dispute resolution proceedings between Landlord and Tenant. The provisions of this Section 5.2(g) shall survive the expiration or earlier termination of this Lease</w:t>
      </w:r>
    </w:p>
    <w:p>
      <w:pPr>
        <w:spacing w:after="0" w:line="156"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4"/>
          <w:szCs w:val="14"/>
          <w:b w:val="1"/>
          <w:bCs w:val="1"/>
          <w:color w:val="auto"/>
        </w:rPr>
        <w:t>Taxes</w:t>
      </w:r>
      <w:r>
        <w:rPr>
          <w:rFonts w:ascii="Arial" w:cs="Arial" w:eastAsia="Arial" w:hAnsi="Arial"/>
          <w:sz w:val="14"/>
          <w:szCs w:val="14"/>
          <w:color w:val="auto"/>
        </w:rPr>
        <w:t>.</w:t>
      </w:r>
    </w:p>
    <w:p>
      <w:pPr>
        <w:spacing w:after="0" w:line="211" w:lineRule="exact"/>
        <w:rPr>
          <w:sz w:val="20"/>
          <w:szCs w:val="20"/>
          <w:color w:val="auto"/>
        </w:rPr>
      </w:pPr>
    </w:p>
    <w:p>
      <w:pPr>
        <w:ind w:left="2" w:right="240" w:firstLine="1172"/>
        <w:spacing w:after="0" w:line="285" w:lineRule="auto"/>
        <w:tabs>
          <w:tab w:leader="none" w:pos="176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shall mean the real estate taxes and other taxes, levies and assessments imposed upon the Building and the Land, and upon any personal property of Landlord used in the operation thereof, or on Landlord’s interest therein or such personal property; charges,</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487" w:name="page488"/>
    <w:bookmarkEnd w:id="487"/>
    <w:p>
      <w:pPr>
        <w:ind w:left="2" w:right="40"/>
        <w:spacing w:after="0" w:line="276" w:lineRule="auto"/>
        <w:rPr>
          <w:sz w:val="20"/>
          <w:szCs w:val="20"/>
          <w:color w:val="auto"/>
        </w:rPr>
      </w:pPr>
      <w:r>
        <w:rPr>
          <w:rFonts w:ascii="Arial" w:cs="Arial" w:eastAsia="Arial" w:hAnsi="Arial"/>
          <w:sz w:val="15"/>
          <w:szCs w:val="15"/>
          <w:color w:val="auto"/>
        </w:rPr>
        <w:t>fees and assessments for transit, housing, police, fire or other services or purported benefits to the Building and the Land (including without limitation any community preservation assessments); service or user payments in lieu of taxes; and any and all other taxes, levies, betterments, assessments and charges arising from the ownership, leasing, operation, use or occupancy of the Building and the Land or based upon rentals derived therefrom, which are or shall be imposed by federal, state, county, municipal or other governmental authorities. From and after substantial completion of any occupiable improvements constructed as part of a Future Development, if such improvements are not separately assessed, Landlord shall reasonably allocate Taxes between the Building and such improvements and the land area associated with the same. Taxes shall not include any penalties or interest or other charges for late payment of taxes, any inheritance, estate, succession, gift, franchise, rental, income or profit tax, capital stock tax, capital levy or excise, or any income taxes arising out of or related to the ownership and operation of the Building and the Land, provided, however, that any of the same and any other tax, excise, fee, levy, charge or assessment, however described, that may in the future be levied or assessed as a substitute for or an addition to, in whole or in part, any tax, levy or assessment which would otherwise constitute Taxes, whether or not now customary or in the contemplation of the parties on the Execution Date of this Lease, shall constitute Taxes, but only to the extent calculated as if the Building and the Land were the only real estate owned by Landlord. “Taxes” shall also include reasonable expenses (including without limitation legal and consultant fees) of tax abatement or other proceedings contesting assessments or levies. Landlord shall pay, or cause to be paid, before the same become delinquent, all Taxes.</w:t>
      </w:r>
    </w:p>
    <w:p>
      <w:pPr>
        <w:spacing w:after="0" w:line="163" w:lineRule="exact"/>
        <w:rPr>
          <w:sz w:val="20"/>
          <w:szCs w:val="20"/>
          <w:color w:val="auto"/>
        </w:rPr>
      </w:pPr>
    </w:p>
    <w:p>
      <w:pPr>
        <w:ind w:left="2" w:right="100" w:firstLine="1172"/>
        <w:spacing w:after="0" w:line="285" w:lineRule="auto"/>
        <w:tabs>
          <w:tab w:leader="none" w:pos="1769" w:val="left"/>
        </w:tabs>
        <w:numPr>
          <w:ilvl w:val="1"/>
          <w:numId w:val="4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Period</w:t>
      </w:r>
      <w:r>
        <w:rPr>
          <w:rFonts w:ascii="Arial" w:cs="Arial" w:eastAsia="Arial" w:hAnsi="Arial"/>
          <w:sz w:val="16"/>
          <w:szCs w:val="16"/>
          <w:color w:val="auto"/>
        </w:rPr>
        <w:t>” shall be any fiscal/tax period in respect of which Taxes are due and payable to the appropriate governmental taxing authority (i.e., as mandated by the governmental taxing authority), any portion of which period occurs during the Term of this Lease.</w:t>
      </w:r>
    </w:p>
    <w:p>
      <w:pPr>
        <w:spacing w:after="0" w:line="149" w:lineRule="exact"/>
        <w:rPr>
          <w:rFonts w:ascii="Arial" w:cs="Arial" w:eastAsia="Arial" w:hAnsi="Arial"/>
          <w:sz w:val="16"/>
          <w:szCs w:val="16"/>
          <w:color w:val="auto"/>
        </w:rPr>
      </w:pPr>
    </w:p>
    <w:p>
      <w:pPr>
        <w:ind w:left="2" w:firstLine="1172"/>
        <w:spacing w:after="0" w:line="293" w:lineRule="auto"/>
        <w:tabs>
          <w:tab w:leader="none" w:pos="1772" w:val="left"/>
        </w:tabs>
        <w:numPr>
          <w:ilvl w:val="1"/>
          <w:numId w:val="459"/>
        </w:numPr>
        <w:rPr>
          <w:rFonts w:ascii="Arial" w:cs="Arial" w:eastAsia="Arial" w:hAnsi="Arial"/>
          <w:sz w:val="14"/>
          <w:szCs w:val="14"/>
          <w:color w:val="auto"/>
        </w:rPr>
      </w:pPr>
      <w:r>
        <w:rPr>
          <w:rFonts w:ascii="Arial" w:cs="Arial" w:eastAsia="Arial" w:hAnsi="Arial"/>
          <w:sz w:val="14"/>
          <w:szCs w:val="14"/>
          <w:u w:val="single" w:color="auto"/>
          <w:color w:val="auto"/>
        </w:rPr>
        <w:t>Payment of Taxes</w:t>
      </w:r>
      <w:r>
        <w:rPr>
          <w:rFonts w:ascii="Arial" w:cs="Arial" w:eastAsia="Arial" w:hAnsi="Arial"/>
          <w:sz w:val="14"/>
          <w:szCs w:val="14"/>
          <w:color w:val="auto"/>
        </w:rPr>
        <w:t>. Commencing as of the Term Commencement Date and continuing thereafter throughout the remainder of the Term of the Lease, Tenant shall pay to Landlord, as additional rent, Tenant’s Share of Taxes. Landlord may make a good faith estimate of the Taxes to be due by Tenant for any Tax Period or part thereof during the Term, and Tenant shall pay to Landlord, on the Term Commencement Date and on the first (1st) day of each calendar month thereafter, an amount equal to Tenant’s Share of Taxes for such Tax Period or part thereof divided by the number of months therein. Landlord may in good faith estimate and re-estimate Tenant’s Share of Taxes and deliver a copy of the estimate or re-estimate to Tenant. Thereafter, the monthly installments of Tenant’s Share of Taxes shall be appropriately adjusted in accordance with the estimations so that, by the end of the Tax Period in question, Tenant shall have paid all of Tenant’s Share of Taxes as estimated by Landlord. Any amounts paid based on such an estimate shall be subject to adjustment as herein provided when actual Taxes are available for each Tax Period. If the total of such monthly remittances is greater than Tenant’s Share of Taxes actually due for such Tax Period, then, provided no Event of Default has occurred and is continuing, Tenant may credit the difference against the next installment of additional rent on account of Taxes due hereunder, except that if such difference is determined after the end of the Term, Landlord shall refund such difference to Tenant within thirty (30) days after such determination to the extent that such difference exceeds any amounts then due from Tenant to Landlord. If the total of such remittances is less than Tenant’s Share of Taxes actually due for such Tax Period, Tenant shall pay the difference to Landlord, as additional rent hereunder, within thirty</w:t>
      </w:r>
    </w:p>
    <w:p>
      <w:pPr>
        <w:spacing w:after="0" w:line="1" w:lineRule="exact"/>
        <w:rPr>
          <w:rFonts w:ascii="Arial" w:cs="Arial" w:eastAsia="Arial" w:hAnsi="Arial"/>
          <w:sz w:val="14"/>
          <w:szCs w:val="14"/>
          <w:color w:val="auto"/>
        </w:rPr>
      </w:pPr>
    </w:p>
    <w:p>
      <w:pPr>
        <w:ind w:left="322" w:hanging="322"/>
        <w:spacing w:after="0"/>
        <w:tabs>
          <w:tab w:leader="none" w:pos="322" w:val="left"/>
        </w:tabs>
        <w:numPr>
          <w:ilvl w:val="0"/>
          <w:numId w:val="460"/>
        </w:numPr>
        <w:rPr>
          <w:rFonts w:ascii="Arial" w:cs="Arial" w:eastAsia="Arial" w:hAnsi="Arial"/>
          <w:sz w:val="16"/>
          <w:szCs w:val="16"/>
          <w:color w:val="auto"/>
        </w:rPr>
      </w:pPr>
      <w:r>
        <w:rPr>
          <w:rFonts w:ascii="Arial" w:cs="Arial" w:eastAsia="Arial" w:hAnsi="Arial"/>
          <w:sz w:val="16"/>
          <w:szCs w:val="16"/>
          <w:color w:val="auto"/>
        </w:rPr>
        <w:t>days of Tenant’s receipt of an invoice therefor, provided said invoice is delivered within one (1) year after the end</w:t>
      </w:r>
    </w:p>
    <w:p>
      <w:pPr>
        <w:spacing w:after="0" w:line="19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3" w:right="259" w:bottom="1440" w:gutter="0" w:footer="0" w:header="0"/>
        </w:sectPr>
      </w:pPr>
    </w:p>
    <w:bookmarkStart w:id="488" w:name="page489"/>
    <w:bookmarkEnd w:id="488"/>
    <w:p>
      <w:pPr>
        <w:ind w:right="40"/>
        <w:spacing w:after="0" w:line="281" w:lineRule="auto"/>
        <w:rPr>
          <w:sz w:val="20"/>
          <w:szCs w:val="20"/>
          <w:color w:val="auto"/>
        </w:rPr>
      </w:pPr>
      <w:r>
        <w:rPr>
          <w:rFonts w:ascii="Arial" w:cs="Arial" w:eastAsia="Arial" w:hAnsi="Arial"/>
          <w:sz w:val="15"/>
          <w:szCs w:val="15"/>
          <w:color w:val="auto"/>
        </w:rPr>
        <w:t>of the Tax Period in question, which period of time shall be tolled during the duration of any tax abatement proceedings. Notwithstanding the foregoing, if Landlord receives an invoice or bill for Taxes from taxing authority after the date one (1) year after the end of the Tax Period in question, then Landlord shall have the right, within thirty (30) days after Landlord receives such invoice or bill, to send Tenant a demand for payment from Tenant for Tenant’s Share of such Tax, to the extent otherwise permitted pursuant to this Section 5.3. Landlord’s estimate for the next Tax Period shall be based upon actual Taxes for the prior Tax Period plus a reasonable adjustment based upon estimated increases in Taxes. Landlord shall, within ten (10) business days after written request form Tenant, provide Tenant with copies of Tax bills which are the basis of Tenant’s Share of Taxes payable by Tenant. The provisions of this Section 5.3(c) shall survive the expiration or earlier termination of this Lease.</w:t>
      </w:r>
    </w:p>
    <w:p>
      <w:pPr>
        <w:spacing w:after="0" w:line="158" w:lineRule="exact"/>
        <w:rPr>
          <w:sz w:val="20"/>
          <w:szCs w:val="20"/>
          <w:color w:val="auto"/>
        </w:rPr>
      </w:pPr>
    </w:p>
    <w:p>
      <w:pPr>
        <w:ind w:right="140" w:firstLine="1172"/>
        <w:spacing w:after="0" w:line="270" w:lineRule="auto"/>
        <w:tabs>
          <w:tab w:leader="none" w:pos="1767" w:val="left"/>
        </w:tabs>
        <w:numPr>
          <w:ilvl w:val="0"/>
          <w:numId w:val="461"/>
        </w:numPr>
        <w:rPr>
          <w:rFonts w:ascii="Arial" w:cs="Arial" w:eastAsia="Arial" w:hAnsi="Arial"/>
          <w:sz w:val="16"/>
          <w:szCs w:val="16"/>
          <w:color w:val="auto"/>
        </w:rPr>
      </w:pPr>
      <w:r>
        <w:rPr>
          <w:rFonts w:ascii="Arial" w:cs="Arial" w:eastAsia="Arial" w:hAnsi="Arial"/>
          <w:sz w:val="16"/>
          <w:szCs w:val="16"/>
          <w:u w:val="single" w:color="auto"/>
          <w:color w:val="auto"/>
        </w:rPr>
        <w:t>Effect of Abatements</w:t>
      </w:r>
      <w:r>
        <w:rPr>
          <w:rFonts w:ascii="Arial" w:cs="Arial" w:eastAsia="Arial" w:hAnsi="Arial"/>
          <w:sz w:val="16"/>
          <w:szCs w:val="16"/>
          <w:color w:val="auto"/>
        </w:rPr>
        <w:t>. Appropriate credit against Taxes shall be given for any refund obtained by reason of a reduction in any Taxes by the assessors or the administrative, judicial or other governmental agency responsible therefor after deduction of Landlord’s expenditures for reasonable and documented out-of-pocket legal fees and for other reasonable expenses incurred in obtaining the Tax refund.</w:t>
      </w:r>
    </w:p>
    <w:p>
      <w:pPr>
        <w:spacing w:after="0" w:line="161" w:lineRule="exact"/>
        <w:rPr>
          <w:rFonts w:ascii="Arial" w:cs="Arial" w:eastAsia="Arial" w:hAnsi="Arial"/>
          <w:sz w:val="16"/>
          <w:szCs w:val="16"/>
          <w:color w:val="auto"/>
        </w:rPr>
      </w:pPr>
    </w:p>
    <w:p>
      <w:pPr>
        <w:ind w:firstLine="1172"/>
        <w:spacing w:after="0" w:line="285" w:lineRule="auto"/>
        <w:tabs>
          <w:tab w:leader="none" w:pos="1770" w:val="left"/>
        </w:tabs>
        <w:numPr>
          <w:ilvl w:val="0"/>
          <w:numId w:val="461"/>
        </w:numPr>
        <w:rPr>
          <w:rFonts w:ascii="Arial" w:cs="Arial" w:eastAsia="Arial" w:hAnsi="Arial"/>
          <w:sz w:val="16"/>
          <w:szCs w:val="16"/>
          <w:color w:val="auto"/>
        </w:rPr>
      </w:pPr>
      <w:r>
        <w:rPr>
          <w:rFonts w:ascii="Arial" w:cs="Arial" w:eastAsia="Arial" w:hAnsi="Arial"/>
          <w:sz w:val="16"/>
          <w:szCs w:val="16"/>
          <w:u w:val="single" w:color="auto"/>
          <w:color w:val="auto"/>
        </w:rPr>
        <w:t>Part Years</w:t>
      </w:r>
      <w:r>
        <w:rPr>
          <w:rFonts w:ascii="Arial" w:cs="Arial" w:eastAsia="Arial" w:hAnsi="Arial"/>
          <w:sz w:val="16"/>
          <w:szCs w:val="16"/>
          <w:color w:val="auto"/>
        </w:rPr>
        <w:t>. If the Term Commencement Date or the Expiration Date occurs in the middle of a Tax Period, Tenant shall be liable for only that portion of the Taxes, as the case may be, with respect to such Tax Period after the Term Commencement Date.</w:t>
      </w:r>
    </w:p>
    <w:p>
      <w:pPr>
        <w:spacing w:after="0" w:line="146"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4"/>
          <w:szCs w:val="14"/>
          <w:b w:val="1"/>
          <w:bCs w:val="1"/>
          <w:color w:val="auto"/>
        </w:rPr>
        <w:t>Late Payments</w:t>
      </w:r>
      <w:r>
        <w:rPr>
          <w:rFonts w:ascii="Arial" w:cs="Arial" w:eastAsia="Arial" w:hAnsi="Arial"/>
          <w:sz w:val="14"/>
          <w:szCs w:val="14"/>
          <w:color w:val="auto"/>
        </w:rPr>
        <w:t>.</w:t>
      </w:r>
    </w:p>
    <w:p>
      <w:pPr>
        <w:spacing w:after="0" w:line="211" w:lineRule="exact"/>
        <w:rPr>
          <w:sz w:val="20"/>
          <w:szCs w:val="20"/>
          <w:color w:val="auto"/>
        </w:rPr>
      </w:pPr>
    </w:p>
    <w:p>
      <w:pPr>
        <w:ind w:right="60" w:firstLine="1172"/>
        <w:spacing w:after="0" w:line="270" w:lineRule="auto"/>
        <w:tabs>
          <w:tab w:leader="none" w:pos="1758" w:val="left"/>
        </w:tabs>
        <w:numPr>
          <w:ilvl w:val="0"/>
          <w:numId w:val="462"/>
        </w:numPr>
        <w:rPr>
          <w:rFonts w:ascii="Arial" w:cs="Arial" w:eastAsia="Arial" w:hAnsi="Arial"/>
          <w:sz w:val="16"/>
          <w:szCs w:val="16"/>
          <w:color w:val="auto"/>
        </w:rPr>
      </w:pPr>
      <w:r>
        <w:rPr>
          <w:rFonts w:ascii="Arial" w:cs="Arial" w:eastAsia="Arial" w:hAnsi="Arial"/>
          <w:sz w:val="16"/>
          <w:szCs w:val="16"/>
          <w:color w:val="auto"/>
        </w:rPr>
        <w:t>Any payment of Rent due hereunder not paid within five (5) business days after the same is due shall bear interest for each month or fraction thereof from the due date until paid in full at the annual rate of twelve percent (12%), or at any applicable lesser maximum legally permissible rate for debts of this nature (the “</w:t>
      </w:r>
      <w:r>
        <w:rPr>
          <w:rFonts w:ascii="Arial" w:cs="Arial" w:eastAsia="Arial" w:hAnsi="Arial"/>
          <w:sz w:val="16"/>
          <w:szCs w:val="16"/>
          <w:b w:val="1"/>
          <w:bCs w:val="1"/>
          <w:u w:val="single" w:color="auto"/>
          <w:color w:val="auto"/>
        </w:rPr>
        <w:t>Default Rate</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firstLine="1172"/>
        <w:spacing w:after="0" w:line="282" w:lineRule="auto"/>
        <w:tabs>
          <w:tab w:leader="none" w:pos="1767" w:val="left"/>
        </w:tabs>
        <w:numPr>
          <w:ilvl w:val="0"/>
          <w:numId w:val="462"/>
        </w:numPr>
        <w:rPr>
          <w:rFonts w:ascii="Arial" w:cs="Arial" w:eastAsia="Arial" w:hAnsi="Arial"/>
          <w:sz w:val="15"/>
          <w:szCs w:val="15"/>
          <w:color w:val="auto"/>
        </w:rPr>
      </w:pPr>
      <w:r>
        <w:rPr>
          <w:rFonts w:ascii="Arial" w:cs="Arial" w:eastAsia="Arial" w:hAnsi="Arial"/>
          <w:sz w:val="15"/>
          <w:szCs w:val="15"/>
          <w:color w:val="auto"/>
        </w:rPr>
        <w:t>Additionally, if Tenant fails to make any payment within five (5) business days after the due date therefor, Landlord may charge Tenant a fee (“</w:t>
      </w:r>
      <w:r>
        <w:rPr>
          <w:rFonts w:ascii="Arial" w:cs="Arial" w:eastAsia="Arial" w:hAnsi="Arial"/>
          <w:sz w:val="15"/>
          <w:szCs w:val="15"/>
          <w:b w:val="1"/>
          <w:bCs w:val="1"/>
          <w:u w:val="single" w:color="auto"/>
          <w:color w:val="auto"/>
        </w:rPr>
        <w:t>Late</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Fee</w:t>
      </w:r>
      <w:r>
        <w:rPr>
          <w:rFonts w:ascii="Arial" w:cs="Arial" w:eastAsia="Arial" w:hAnsi="Arial"/>
          <w:sz w:val="15"/>
          <w:szCs w:val="15"/>
          <w:color w:val="auto"/>
        </w:rPr>
        <w:t>”), which shall constitute liquidated damages, equal to the greater of: (i) One Thousand and NO/100 Dollars ($1,000.00), or (ii) three (3%) percent of any such past due</w:t>
      </w:r>
      <w:r>
        <w:rPr>
          <w:rFonts w:ascii="Arial" w:cs="Arial" w:eastAsia="Arial" w:hAnsi="Arial"/>
          <w:sz w:val="15"/>
          <w:szCs w:val="15"/>
          <w:b w:val="1"/>
          <w:bCs w:val="1"/>
          <w:color w:val="auto"/>
        </w:rPr>
        <w:t xml:space="preserve"> </w:t>
      </w:r>
      <w:r>
        <w:rPr>
          <w:rFonts w:ascii="Arial" w:cs="Arial" w:eastAsia="Arial" w:hAnsi="Arial"/>
          <w:sz w:val="15"/>
          <w:szCs w:val="15"/>
          <w:color w:val="auto"/>
        </w:rPr>
        <w:t>amount, for each such late payment. Notwithstanding the foregoing, Landlord agrees that no Late Fee shall be due with respect to any payment due from Tenant during any calendar year, unless an Initial Late Fee Event has previously occurred during such twelve (12) month period. An “</w:t>
      </w:r>
      <w:r>
        <w:rPr>
          <w:rFonts w:ascii="Arial" w:cs="Arial" w:eastAsia="Arial" w:hAnsi="Arial"/>
          <w:sz w:val="15"/>
          <w:szCs w:val="15"/>
          <w:b w:val="1"/>
          <w:bCs w:val="1"/>
          <w:u w:val="single" w:color="auto"/>
          <w:color w:val="auto"/>
        </w:rPr>
        <w:t>Initial Late Fee Event</w:t>
      </w:r>
      <w:r>
        <w:rPr>
          <w:rFonts w:ascii="Arial" w:cs="Arial" w:eastAsia="Arial" w:hAnsi="Arial"/>
          <w:sz w:val="15"/>
          <w:szCs w:val="15"/>
          <w:color w:val="auto"/>
        </w:rPr>
        <w:t>” shall mean any failure by Tenant to make a payment when due, which failure is not cured on or before the date five (5) business days after Landlord gives Tenant written notice that such payment is past due. Landlord agrees to waive the Late Fee with respect to the Initial Late Fee Event which occurs in any calendar year.</w:t>
      </w:r>
    </w:p>
    <w:p>
      <w:pPr>
        <w:spacing w:after="0" w:line="157" w:lineRule="exact"/>
        <w:rPr>
          <w:rFonts w:ascii="Arial" w:cs="Arial" w:eastAsia="Arial" w:hAnsi="Arial"/>
          <w:sz w:val="15"/>
          <w:szCs w:val="15"/>
          <w:color w:val="auto"/>
        </w:rPr>
      </w:pPr>
    </w:p>
    <w:p>
      <w:pPr>
        <w:ind w:right="40" w:firstLine="1172"/>
        <w:spacing w:after="0" w:line="285" w:lineRule="auto"/>
        <w:tabs>
          <w:tab w:leader="none" w:pos="177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For each Tenant payment check to Landlord that is returned by a bank for any reason, Tenant shall pay a returned check charge equal to the amount as shall be customarily charged by Landlord’s bank at the time.</w:t>
      </w:r>
    </w:p>
    <w:p>
      <w:pPr>
        <w:spacing w:after="0" w:line="149" w:lineRule="exact"/>
        <w:rPr>
          <w:rFonts w:ascii="Arial" w:cs="Arial" w:eastAsia="Arial" w:hAnsi="Arial"/>
          <w:sz w:val="16"/>
          <w:szCs w:val="16"/>
          <w:color w:val="auto"/>
        </w:rPr>
      </w:pPr>
    </w:p>
    <w:p>
      <w:pPr>
        <w:ind w:left="1760" w:hanging="588"/>
        <w:spacing w:after="0"/>
        <w:tabs>
          <w:tab w:leader="none" w:pos="1760" w:val="left"/>
        </w:tabs>
        <w:numPr>
          <w:ilvl w:val="0"/>
          <w:numId w:val="462"/>
        </w:numPr>
        <w:rPr>
          <w:rFonts w:ascii="Arial" w:cs="Arial" w:eastAsia="Arial" w:hAnsi="Arial"/>
          <w:sz w:val="15"/>
          <w:szCs w:val="15"/>
          <w:color w:val="auto"/>
        </w:rPr>
      </w:pPr>
      <w:r>
        <w:rPr>
          <w:rFonts w:ascii="Arial" w:cs="Arial" w:eastAsia="Arial" w:hAnsi="Arial"/>
          <w:sz w:val="15"/>
          <w:szCs w:val="15"/>
          <w:color w:val="auto"/>
        </w:rPr>
        <w:t>Money paid by Tenant to Landlord shall be applied to Tenant’s account in the following order: first, to any unpaid additional rent, including without</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limitation late charges,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489" w:name="page490"/>
    <w:bookmarkEnd w:id="489"/>
    <w:p>
      <w:pPr>
        <w:ind w:left="2"/>
        <w:spacing w:after="0"/>
        <w:rPr>
          <w:sz w:val="20"/>
          <w:szCs w:val="20"/>
          <w:color w:val="auto"/>
        </w:rPr>
      </w:pPr>
      <w:r>
        <w:rPr>
          <w:rFonts w:ascii="Arial" w:cs="Arial" w:eastAsia="Arial" w:hAnsi="Arial"/>
          <w:sz w:val="16"/>
          <w:szCs w:val="16"/>
          <w:color w:val="auto"/>
        </w:rPr>
        <w:t>returned check charges, legal fees and/or court costs chargeable to Tenant hereunder; and then to unpaid Base Rent.</w:t>
      </w:r>
    </w:p>
    <w:p>
      <w:pPr>
        <w:spacing w:after="0" w:line="207" w:lineRule="exact"/>
        <w:rPr>
          <w:sz w:val="20"/>
          <w:szCs w:val="20"/>
          <w:color w:val="auto"/>
        </w:rPr>
      </w:pPr>
    </w:p>
    <w:p>
      <w:pPr>
        <w:ind w:left="2" w:right="160" w:firstLine="1172"/>
        <w:spacing w:after="0" w:line="308" w:lineRule="auto"/>
        <w:tabs>
          <w:tab w:leader="none" w:pos="1772" w:val="left"/>
        </w:tabs>
        <w:numPr>
          <w:ilvl w:val="0"/>
          <w:numId w:val="463"/>
        </w:numPr>
        <w:rPr>
          <w:rFonts w:ascii="Arial" w:cs="Arial" w:eastAsia="Arial" w:hAnsi="Arial"/>
          <w:sz w:val="14"/>
          <w:szCs w:val="14"/>
          <w:color w:val="auto"/>
        </w:rPr>
      </w:pPr>
      <w:r>
        <w:rPr>
          <w:rFonts w:ascii="Arial" w:cs="Arial" w:eastAsia="Arial" w:hAnsi="Arial"/>
          <w:sz w:val="14"/>
          <w:szCs w:val="14"/>
          <w:color w:val="auto"/>
        </w:rPr>
        <w:t>The parties agree that the Late Fee referenced in Section 5.4(b) represents a fair and reasonable estimate of the costs that Landlord will incur by reason of any late payment by Tenant, and the payment of late charges and interest are distinct and separate in that the payment of interest is to compensate Landlord for the use of Landlord’s money by Tenant, while the payment of late charges is to compensate Landlord for Landlord’s processing, administrative and other costs incurred by Landlord as a result of Tenant’s delinquent payments. Acceptance of a late charge or interest shall not constitute a waiver of Tenant’s default with respect to the overdue amount or prevent Landlord from exercising any of the other rights and remedies available to Landlord under this Lease or at law or in equity now or hereafter in effect.</w:t>
      </w:r>
    </w:p>
    <w:p>
      <w:pPr>
        <w:spacing w:after="0" w:line="137" w:lineRule="exact"/>
        <w:rPr>
          <w:sz w:val="20"/>
          <w:szCs w:val="20"/>
          <w:color w:val="auto"/>
        </w:rPr>
      </w:pPr>
    </w:p>
    <w:p>
      <w:pPr>
        <w:ind w:left="2" w:right="380" w:firstLine="587"/>
        <w:spacing w:after="0" w:line="283" w:lineRule="auto"/>
        <w:rPr>
          <w:sz w:val="20"/>
          <w:szCs w:val="20"/>
          <w:color w:val="auto"/>
        </w:rPr>
      </w:pPr>
      <w:r>
        <w:rPr>
          <w:rFonts w:ascii="Arial" w:cs="Arial" w:eastAsia="Arial" w:hAnsi="Arial"/>
          <w:sz w:val="15"/>
          <w:szCs w:val="15"/>
          <w:b w:val="1"/>
          <w:bCs w:val="1"/>
          <w:color w:val="auto"/>
        </w:rPr>
        <w:t>5.5 No Offset; Independent Covenants; Waiver</w:t>
      </w:r>
      <w:r>
        <w:rPr>
          <w:rFonts w:ascii="Arial" w:cs="Arial" w:eastAsia="Arial" w:hAnsi="Arial"/>
          <w:sz w:val="15"/>
          <w:szCs w:val="15"/>
          <w:color w:val="auto"/>
        </w:rPr>
        <w:t>. Rent shall be paid without notice or demand, and without setoff, counterclaim, defense, abatement,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suspension, deferment, reduction or deduction, except as expressly provided herein. </w:t>
      </w:r>
      <w:r>
        <w:rPr>
          <w:rFonts w:ascii="Arial" w:cs="Arial" w:eastAsia="Arial" w:hAnsi="Arial"/>
          <w:sz w:val="15"/>
          <w:szCs w:val="15"/>
          <w:b w:val="1"/>
          <w:bCs w:val="1"/>
          <w:color w:val="auto"/>
        </w:rPr>
        <w:t>TENANT WAIVES ALL RIGHTS (I) TO ANY ABATEMENT, SUSPENSION,</w:t>
      </w:r>
    </w:p>
    <w:p>
      <w:pPr>
        <w:ind w:left="2" w:right="80"/>
        <w:spacing w:after="0" w:line="256" w:lineRule="auto"/>
        <w:rPr>
          <w:sz w:val="20"/>
          <w:szCs w:val="20"/>
          <w:color w:val="auto"/>
        </w:rPr>
      </w:pPr>
      <w:r>
        <w:rPr>
          <w:rFonts w:ascii="Arial" w:cs="Arial" w:eastAsia="Arial" w:hAnsi="Arial"/>
          <w:sz w:val="16"/>
          <w:szCs w:val="16"/>
          <w:b w:val="1"/>
          <w:bCs w:val="1"/>
          <w:color w:val="auto"/>
        </w:rPr>
        <w:t xml:space="preserve">DEFERMENT, REDUCTION OR DEDUCTION OF OR FROM RENT (EXCEPT AS EXPRESSLY SET FORTH IN THIS LEASE), AND (II) TO QUIT, TERMINATE OR SURRENDER THIS LEASE OR THE PREMISES OR ANY PART THEREOF, EXCEPT AS EXPRESSLY PROVIDED HEREIN. TENANT HEREBY ACKNOWLEDGES AND AGREES THAT THE OBLIGATIONS OF TENANT HEREUNDER SHALL BE SEPARATE AND INDEPENDENT COVENANTS AND AGREEMENTS, THAT RENT SHALL CONTINUE TO BE PAYABLE IN ALL EVENTS AND THAT THE OBLIGATIONS OF TENANT HEREUNDER SHALL CONTINUE UNAFFECTED, UNLESS THE REQUIREMENT TO PAY OR PERFORM THE SAME SHALL HAVE BEEN TERMINATED PURSUANT TO AN EXPRESS PROVISION OF THIS LEASE. LANDLORD AND TENANT EACH ACKNOWLEDGES AND AGREES THAT THE INDEPENDENT NATURE OF THE OBLIGATIONS OF TENANT HEREUNDER REPRESENTS FAIR, REASONABLE, AND ACCEPTED COMMERCIAL PRACTICE WITH RESPECT TO THE TYPE OF PROPERTY SUBJECT TO THIS LEASE, AND THAT THIS AGREEMENT IS THE PRODUCT OF FREE AND INFORMED NEGOTIATION DURING WHICH BOTH LANDLORD AND TENANT WERE REPRESENTED BY COUNSEL SKILLED IN NEGOTIATING AND DRAFTING COMMERCIAL LEASES IN MASSACHUSETTS, AND THAT THE ACKNOWLEDGEMENTS AND AGREEMENTS CONTAINED HEREIN ARE MADE WITH FULL KNOWLEDGE OF THE HOLDING IN </w:t>
      </w:r>
      <w:r>
        <w:rPr>
          <w:rFonts w:ascii="Arial" w:cs="Arial" w:eastAsia="Arial" w:hAnsi="Arial"/>
          <w:sz w:val="16"/>
          <w:szCs w:val="16"/>
          <w:b w:val="1"/>
          <w:bCs w:val="1"/>
          <w:u w:val="single" w:color="auto"/>
          <w:color w:val="auto"/>
        </w:rPr>
        <w:t>WESSON V. LEONE ENTERPRISES, INC</w:t>
      </w:r>
      <w:r>
        <w:rPr>
          <w:rFonts w:ascii="Arial" w:cs="Arial" w:eastAsia="Arial" w:hAnsi="Arial"/>
          <w:sz w:val="16"/>
          <w:szCs w:val="16"/>
          <w:b w:val="1"/>
          <w:bCs w:val="1"/>
          <w:color w:val="auto"/>
        </w:rPr>
        <w:t>., 437 MASS. 708 (2002). SUCH ACKNOWLEDGEMENTS, AGREEMENTS AND WAIVERS BY TENANT ARE A MATERIAL INDUCEMENT TO LANDLORD ENTERING INTO THIS LEASE.</w:t>
      </w:r>
    </w:p>
    <w:p>
      <w:pPr>
        <w:spacing w:after="0" w:line="368" w:lineRule="exact"/>
        <w:rPr>
          <w:sz w:val="20"/>
          <w:szCs w:val="20"/>
          <w:color w:val="auto"/>
        </w:rPr>
      </w:pPr>
    </w:p>
    <w:p>
      <w:pPr>
        <w:ind w:left="2" w:right="580" w:firstLine="587"/>
        <w:spacing w:after="0" w:line="290" w:lineRule="auto"/>
        <w:rPr>
          <w:sz w:val="20"/>
          <w:szCs w:val="20"/>
          <w:color w:val="auto"/>
        </w:rPr>
      </w:pPr>
      <w:r>
        <w:rPr>
          <w:rFonts w:ascii="Arial" w:cs="Arial" w:eastAsia="Arial" w:hAnsi="Arial"/>
          <w:sz w:val="16"/>
          <w:szCs w:val="16"/>
          <w:b w:val="1"/>
          <w:bCs w:val="1"/>
          <w:color w:val="auto"/>
        </w:rPr>
        <w:t>5.6 Survival</w:t>
      </w:r>
      <w:r>
        <w:rPr>
          <w:rFonts w:ascii="Arial" w:cs="Arial" w:eastAsia="Arial" w:hAnsi="Arial"/>
          <w:sz w:val="16"/>
          <w:szCs w:val="16"/>
          <w:color w:val="auto"/>
        </w:rPr>
        <w:t>. Any obligations under this Section 5 which shall not have been paid at the expiration or earlier termination of the Term shall survive such</w:t>
      </w:r>
      <w:r>
        <w:rPr>
          <w:rFonts w:ascii="Arial" w:cs="Arial" w:eastAsia="Arial" w:hAnsi="Arial"/>
          <w:sz w:val="16"/>
          <w:szCs w:val="16"/>
          <w:b w:val="1"/>
          <w:bCs w:val="1"/>
          <w:color w:val="auto"/>
        </w:rPr>
        <w:t xml:space="preserve"> </w:t>
      </w:r>
      <w:r>
        <w:rPr>
          <w:rFonts w:ascii="Arial" w:cs="Arial" w:eastAsia="Arial" w:hAnsi="Arial"/>
          <w:sz w:val="16"/>
          <w:szCs w:val="16"/>
          <w:color w:val="auto"/>
        </w:rPr>
        <w:t>expiration or earlier termination and shall be paid when and as the amount of same shall be determined and be due.</w:t>
      </w:r>
    </w:p>
    <w:p>
      <w:pPr>
        <w:spacing w:after="0" w:line="142" w:lineRule="exact"/>
        <w:rPr>
          <w:sz w:val="20"/>
          <w:szCs w:val="20"/>
          <w:color w:val="auto"/>
        </w:rPr>
      </w:pPr>
    </w:p>
    <w:p>
      <w:pPr>
        <w:ind w:left="582" w:hanging="582"/>
        <w:spacing w:after="0"/>
        <w:tabs>
          <w:tab w:leader="none" w:pos="582" w:val="left"/>
        </w:tabs>
        <w:numPr>
          <w:ilvl w:val="0"/>
          <w:numId w:val="464"/>
        </w:numPr>
        <w:rPr>
          <w:rFonts w:ascii="Arial" w:cs="Arial" w:eastAsia="Arial" w:hAnsi="Arial"/>
          <w:sz w:val="16"/>
          <w:szCs w:val="16"/>
          <w:b w:val="1"/>
          <w:bCs w:val="1"/>
          <w:color w:val="auto"/>
        </w:rPr>
      </w:pPr>
      <w:r>
        <w:rPr>
          <w:rFonts w:ascii="Arial" w:cs="Arial" w:eastAsia="Arial" w:hAnsi="Arial"/>
          <w:sz w:val="16"/>
          <w:szCs w:val="16"/>
          <w:b w:val="1"/>
          <w:bCs w:val="1"/>
          <w:color w:val="auto"/>
        </w:rPr>
        <w:t>GUARANTY</w:t>
      </w:r>
      <w:r>
        <w:rPr>
          <w:rFonts w:ascii="Arial" w:cs="Arial" w:eastAsia="Arial" w:hAnsi="Arial"/>
          <w:sz w:val="16"/>
          <w:szCs w:val="16"/>
          <w:color w:val="auto"/>
        </w:rPr>
        <w:t>. Intentionally Omitted.</w:t>
      </w:r>
    </w:p>
    <w:p>
      <w:pPr>
        <w:spacing w:after="0" w:line="211"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42" w:hanging="642"/>
        <w:spacing w:after="0"/>
        <w:tabs>
          <w:tab w:leader="none" w:pos="642" w:val="left"/>
        </w:tabs>
        <w:numPr>
          <w:ilvl w:val="0"/>
          <w:numId w:val="465"/>
        </w:numPr>
        <w:rPr>
          <w:rFonts w:ascii="Arial" w:cs="Arial" w:eastAsia="Arial" w:hAnsi="Arial"/>
          <w:sz w:val="16"/>
          <w:szCs w:val="16"/>
          <w:b w:val="1"/>
          <w:bCs w:val="1"/>
          <w:color w:val="auto"/>
        </w:rPr>
      </w:pPr>
      <w:r>
        <w:rPr>
          <w:rFonts w:ascii="Arial" w:cs="Arial" w:eastAsia="Arial" w:hAnsi="Arial"/>
          <w:sz w:val="16"/>
          <w:szCs w:val="16"/>
          <w:b w:val="1"/>
          <w:bCs w:val="1"/>
          <w:color w:val="auto"/>
        </w:rPr>
        <w:t>LETTER OF CREDIT</w:t>
      </w:r>
    </w:p>
    <w:p>
      <w:pPr>
        <w:spacing w:after="0" w:line="207" w:lineRule="exact"/>
        <w:rPr>
          <w:sz w:val="20"/>
          <w:szCs w:val="20"/>
          <w:color w:val="auto"/>
        </w:rPr>
      </w:pPr>
    </w:p>
    <w:p>
      <w:pPr>
        <w:ind w:left="2" w:firstLine="587"/>
        <w:spacing w:after="0" w:line="296" w:lineRule="auto"/>
        <w:rPr>
          <w:sz w:val="20"/>
          <w:szCs w:val="20"/>
          <w:color w:val="auto"/>
        </w:rPr>
      </w:pPr>
      <w:r>
        <w:rPr>
          <w:rFonts w:ascii="Arial" w:cs="Arial" w:eastAsia="Arial" w:hAnsi="Arial"/>
          <w:sz w:val="14"/>
          <w:szCs w:val="14"/>
          <w:b w:val="1"/>
          <w:bCs w:val="1"/>
          <w:color w:val="auto"/>
        </w:rPr>
        <w:t>7.1 Amount</w:t>
      </w:r>
      <w:r>
        <w:rPr>
          <w:rFonts w:ascii="Arial" w:cs="Arial" w:eastAsia="Arial" w:hAnsi="Arial"/>
          <w:sz w:val="14"/>
          <w:szCs w:val="14"/>
          <w:color w:val="auto"/>
        </w:rPr>
        <w:t>. Contemporaneously with the execution of this Lease, Tenant shall deliver either (i) cash in the amount specified in the Lease Summary Sheet (the</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u w:val="single" w:color="auto"/>
          <w:color w:val="auto"/>
        </w:rPr>
        <w:t>Cash Security Deposit</w:t>
      </w:r>
      <w:r>
        <w:rPr>
          <w:rFonts w:ascii="Arial" w:cs="Arial" w:eastAsia="Arial" w:hAnsi="Arial"/>
          <w:sz w:val="14"/>
          <w:szCs w:val="14"/>
          <w:color w:val="auto"/>
        </w:rPr>
        <w:t xml:space="preserve">”), which shall be held by Landlord in accordance with Section 7.5 below, or (ii) an irrevocable letter of credit to Landlord which shall (a) be in the amount specified in the Lease Summary Sheet and otherwise in the form attached hereto as </w:t>
      </w:r>
      <w:r>
        <w:rPr>
          <w:rFonts w:ascii="Arial" w:cs="Arial" w:eastAsia="Arial" w:hAnsi="Arial"/>
          <w:sz w:val="14"/>
          <w:szCs w:val="14"/>
          <w:u w:val="single" w:color="auto"/>
          <w:color w:val="auto"/>
        </w:rPr>
        <w:t>Exhibit 5</w:t>
      </w:r>
      <w:r>
        <w:rPr>
          <w:rFonts w:ascii="Arial" w:cs="Arial" w:eastAsia="Arial" w:hAnsi="Arial"/>
          <w:sz w:val="14"/>
          <w:szCs w:val="14"/>
          <w:color w:val="auto"/>
        </w:rPr>
        <w:t>; (b) name Landlord as its beneficiary; (c) be drawn on an FDIC insured financial institution reasonably satisfactory to Landlord that both (i) has an office in the greater Boston metropolitan area that will accept presentation of, and pay against, the Letter of Credit and (ii) satisfies both the Minimum Rating Agency Threshold and the Minimum Capital Threshold (as those terms are defined below); (d) be for a term of one</w:t>
      </w:r>
    </w:p>
    <w:p>
      <w:pPr>
        <w:spacing w:after="0" w:line="1" w:lineRule="exact"/>
        <w:rPr>
          <w:sz w:val="20"/>
          <w:szCs w:val="20"/>
          <w:color w:val="auto"/>
        </w:rPr>
      </w:pPr>
    </w:p>
    <w:p>
      <w:pPr>
        <w:ind w:left="2" w:right="80" w:hanging="2"/>
        <w:spacing w:after="0" w:line="276" w:lineRule="auto"/>
        <w:tabs>
          <w:tab w:leader="none" w:pos="233" w:val="left"/>
        </w:tabs>
        <w:numPr>
          <w:ilvl w:val="0"/>
          <w:numId w:val="466"/>
        </w:numPr>
        <w:rPr>
          <w:rFonts w:ascii="Arial" w:cs="Arial" w:eastAsia="Arial" w:hAnsi="Arial"/>
          <w:sz w:val="15"/>
          <w:szCs w:val="15"/>
          <w:color w:val="auto"/>
        </w:rPr>
      </w:pPr>
      <w:r>
        <w:rPr>
          <w:rFonts w:ascii="Arial" w:cs="Arial" w:eastAsia="Arial" w:hAnsi="Arial"/>
          <w:sz w:val="15"/>
          <w:szCs w:val="15"/>
          <w:color w:val="auto"/>
        </w:rPr>
        <w:t>year, subject to extension in accordance with the terms hereof; and (e) have an outside expiration date no earlier than ninety (90) days after the scheduled Expiration Date of the then-current term of the Lease (the “</w:t>
      </w:r>
      <w:r>
        <w:rPr>
          <w:rFonts w:ascii="Arial" w:cs="Arial" w:eastAsia="Arial" w:hAnsi="Arial"/>
          <w:sz w:val="15"/>
          <w:szCs w:val="15"/>
          <w:b w:val="1"/>
          <w:bCs w:val="1"/>
          <w:u w:val="single" w:color="auto"/>
          <w:color w:val="auto"/>
        </w:rPr>
        <w:t>Letter of Credit</w:t>
      </w:r>
      <w:r>
        <w:rPr>
          <w:rFonts w:ascii="Arial" w:cs="Arial" w:eastAsia="Arial" w:hAnsi="Arial"/>
          <w:sz w:val="15"/>
          <w:szCs w:val="15"/>
          <w:color w:val="auto"/>
        </w:rPr>
        <w:t>”). The “Minimum Rating Agency Threshold” shall mean that the issuing bank has outstanding unsecured, uninsured and unguaranteed senior long-term indebtedness that is then rated (without regard to qualification of such rating by symbols such as “+” or “-” or numerical notation) “Baa” or better by Moody’s Investors Service, Inc. and/or “BBB” or better by Standard &amp; Poor’s Rating Services, or a comparable rating by a comparable national rating agency designated by Landlord in its reasonable discretion. The “</w:t>
      </w:r>
      <w:r>
        <w:rPr>
          <w:rFonts w:ascii="Arial" w:cs="Arial" w:eastAsia="Arial" w:hAnsi="Arial"/>
          <w:sz w:val="15"/>
          <w:szCs w:val="15"/>
          <w:b w:val="1"/>
          <w:bCs w:val="1"/>
          <w:u w:val="single" w:color="auto"/>
          <w:color w:val="auto"/>
        </w:rPr>
        <w:t>Minimum Capital Threshold</w:t>
      </w:r>
      <w:r>
        <w:rPr>
          <w:rFonts w:ascii="Arial" w:cs="Arial" w:eastAsia="Arial" w:hAnsi="Arial"/>
          <w:sz w:val="15"/>
          <w:szCs w:val="15"/>
          <w:color w:val="auto"/>
        </w:rPr>
        <w:t>” shall mean that the issuing bank has combined capital, surplus and undivided profits of not less than $10,000,000,000. The Letter of Credit shall be held by Landlord, without liability for interest, as security for the faithful performance by Tenant of all of the terms, covenants and conditions of this Lease by the Tenant to be kept and performed during the Term. In no event shall the Letter of Credit be deemed to be a prepayment of Rent nor shall it be considered a measure of liquidated damages.</w:t>
      </w:r>
    </w:p>
    <w:p>
      <w:pPr>
        <w:spacing w:after="0" w:line="158" w:lineRule="exact"/>
        <w:rPr>
          <w:sz w:val="20"/>
          <w:szCs w:val="20"/>
          <w:color w:val="auto"/>
        </w:rPr>
      </w:pPr>
    </w:p>
    <w:p>
      <w:pPr>
        <w:ind w:left="2" w:right="20" w:firstLine="587"/>
        <w:spacing w:after="0" w:line="277" w:lineRule="auto"/>
        <w:rPr>
          <w:sz w:val="20"/>
          <w:szCs w:val="20"/>
          <w:color w:val="auto"/>
        </w:rPr>
      </w:pPr>
      <w:r>
        <w:rPr>
          <w:rFonts w:ascii="Arial" w:cs="Arial" w:eastAsia="Arial" w:hAnsi="Arial"/>
          <w:sz w:val="15"/>
          <w:szCs w:val="15"/>
          <w:b w:val="1"/>
          <w:bCs w:val="1"/>
          <w:color w:val="auto"/>
        </w:rPr>
        <w:t>7.2 Application of Proceeds of Letter of Credit</w:t>
      </w:r>
      <w:r>
        <w:rPr>
          <w:rFonts w:ascii="Arial" w:cs="Arial" w:eastAsia="Arial" w:hAnsi="Arial"/>
          <w:sz w:val="15"/>
          <w:szCs w:val="15"/>
          <w:color w:val="auto"/>
        </w:rPr>
        <w:t>. During the existence of an uncured Event of Default, or if any proceeding shall be instituted by or against</w:t>
      </w:r>
      <w:r>
        <w:rPr>
          <w:rFonts w:ascii="Arial" w:cs="Arial" w:eastAsia="Arial" w:hAnsi="Arial"/>
          <w:sz w:val="15"/>
          <w:szCs w:val="15"/>
          <w:b w:val="1"/>
          <w:bCs w:val="1"/>
          <w:color w:val="auto"/>
        </w:rPr>
        <w:t xml:space="preserve"> </w:t>
      </w:r>
      <w:r>
        <w:rPr>
          <w:rFonts w:ascii="Arial" w:cs="Arial" w:eastAsia="Arial" w:hAnsi="Arial"/>
          <w:sz w:val="15"/>
          <w:szCs w:val="15"/>
          <w:color w:val="auto"/>
        </w:rPr>
        <w:t>Tenant pursuant to any of the provisions of any Act of Congress or State law relating to bankruptcy, reorganizations, arrangements, compositions or other relief from creditors (and, in the case of any proceeding instituted against it, if Tenant shall fail to have such proceedings dismissed within sixty (60) days) or if Tenant is adjudged bankrupt or insolvent as a result of any such proceeding, or if the issuer of the Letter of Credit gives notice of its election not to renew such Letter of Credit for any additional period and Tenant fails to deliver a substitute Letter of Credit satisfying the conditions hereof at least thirty (30) days prior to the expiration of the term of such Letter of Credit, Landlord at its sole option may draw down all or a part of the Letter of Credit. The balance of any Letter of Credit cash proceeds shall be held in accordance with Section 7.5 below. Should the entire Letter of Credit, or any portion thereof, be drawn down by Landlord, Tenant shall, upon the written demand of Landlord, deliver a replacement Letter of Credit in the amount drawn, and Tenant’s failure to do so within ten (10) days after receipt of such written demand shall constitute an additional Event of Default hereunder. Upon delivery of such replacement Letter of Credit, Landlord shall return to Tenant the balance of any Letter of Credit proceeds that are being held in accordance with Section 7.5 below. The application of all or any part of the cash proceeds of the Letter of Credit to any obligation or default of Tenant under this Lease shall not deprive Landlord of any other rights or remedies Landlord may have nor shall such application by Landlord constitute a waiver by Landlord.</w:t>
      </w:r>
    </w:p>
    <w:p>
      <w:pPr>
        <w:spacing w:after="0" w:line="158" w:lineRule="exact"/>
        <w:rPr>
          <w:sz w:val="20"/>
          <w:szCs w:val="20"/>
          <w:color w:val="auto"/>
        </w:rPr>
      </w:pPr>
    </w:p>
    <w:p>
      <w:pPr>
        <w:ind w:left="2" w:right="260" w:firstLine="587"/>
        <w:spacing w:after="0" w:line="290" w:lineRule="auto"/>
        <w:rPr>
          <w:sz w:val="20"/>
          <w:szCs w:val="20"/>
          <w:color w:val="auto"/>
        </w:rPr>
      </w:pPr>
      <w:r>
        <w:rPr>
          <w:rFonts w:ascii="Arial" w:cs="Arial" w:eastAsia="Arial" w:hAnsi="Arial"/>
          <w:sz w:val="16"/>
          <w:szCs w:val="16"/>
          <w:b w:val="1"/>
          <w:bCs w:val="1"/>
          <w:color w:val="auto"/>
        </w:rPr>
        <w:t>7.3 Transfer of Letter of Credit</w:t>
      </w:r>
      <w:r>
        <w:rPr>
          <w:rFonts w:ascii="Arial" w:cs="Arial" w:eastAsia="Arial" w:hAnsi="Arial"/>
          <w:sz w:val="16"/>
          <w:szCs w:val="16"/>
          <w:color w:val="auto"/>
        </w:rPr>
        <w:t>. In the event that Landlord transfers its interest in the Premises, Tenant shall upon notice from, and at no cost to,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Landlord an</w:t>
      </w:r>
    </w:p>
    <w:p>
      <w:pPr>
        <w:spacing w:after="0" w:line="146"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2"/>
          </w:cols>
          <w:pgMar w:left="238" w:top="322" w:right="279" w:bottom="1440" w:gutter="0" w:footer="0" w:header="0"/>
        </w:sectPr>
      </w:pPr>
    </w:p>
    <w:bookmarkStart w:id="490" w:name="page491"/>
    <w:bookmarkEnd w:id="490"/>
    <w:p>
      <w:pPr>
        <w:ind w:left="2" w:right="420"/>
        <w:spacing w:after="0" w:line="270" w:lineRule="auto"/>
        <w:rPr>
          <w:sz w:val="20"/>
          <w:szCs w:val="20"/>
          <w:color w:val="auto"/>
        </w:rPr>
      </w:pPr>
      <w:r>
        <w:rPr>
          <w:rFonts w:ascii="Arial" w:cs="Arial" w:eastAsia="Arial" w:hAnsi="Arial"/>
          <w:sz w:val="16"/>
          <w:szCs w:val="16"/>
          <w:color w:val="auto"/>
        </w:rPr>
        <w:t>amendment to the Letter of Credit or a replacement Letter of Credit naming Landlord’s successor as the beneficiary thereof. If Tenant fails to deliver such amendment or replacement within ten (10) days after written notice from Landlord, Landlord shall have the right to draw down the entire amount of the Letter of Credit and hold the proceeds thereof in accordance with Section 7.5 below.</w:t>
      </w:r>
    </w:p>
    <w:p>
      <w:pPr>
        <w:spacing w:after="0" w:line="158" w:lineRule="exact"/>
        <w:rPr>
          <w:sz w:val="20"/>
          <w:szCs w:val="20"/>
          <w:color w:val="auto"/>
        </w:rPr>
      </w:pPr>
    </w:p>
    <w:p>
      <w:pPr>
        <w:ind w:left="2" w:right="160" w:firstLine="587"/>
        <w:spacing w:after="0" w:line="299" w:lineRule="auto"/>
        <w:rPr>
          <w:sz w:val="20"/>
          <w:szCs w:val="20"/>
          <w:color w:val="auto"/>
        </w:rPr>
      </w:pPr>
      <w:r>
        <w:rPr>
          <w:rFonts w:ascii="Arial" w:cs="Arial" w:eastAsia="Arial" w:hAnsi="Arial"/>
          <w:sz w:val="15"/>
          <w:szCs w:val="15"/>
          <w:b w:val="1"/>
          <w:bCs w:val="1"/>
          <w:color w:val="auto"/>
        </w:rPr>
        <w:t>7.4 Credit of Issuer of Letter of Credit</w:t>
      </w:r>
      <w:r>
        <w:rPr>
          <w:rFonts w:ascii="Arial" w:cs="Arial" w:eastAsia="Arial" w:hAnsi="Arial"/>
          <w:sz w:val="15"/>
          <w:szCs w:val="15"/>
          <w:color w:val="auto"/>
        </w:rPr>
        <w:t>. If the issuer of the Letter of Credit fails to satisfy either or both of the Minimum Rating Agency Threshold or the</w:t>
      </w:r>
      <w:r>
        <w:rPr>
          <w:rFonts w:ascii="Arial" w:cs="Arial" w:eastAsia="Arial" w:hAnsi="Arial"/>
          <w:sz w:val="15"/>
          <w:szCs w:val="15"/>
          <w:b w:val="1"/>
          <w:bCs w:val="1"/>
          <w:color w:val="auto"/>
        </w:rPr>
        <w:t xml:space="preserve"> </w:t>
      </w:r>
      <w:r>
        <w:rPr>
          <w:rFonts w:ascii="Arial" w:cs="Arial" w:eastAsia="Arial" w:hAnsi="Arial"/>
          <w:sz w:val="15"/>
          <w:szCs w:val="15"/>
          <w:color w:val="auto"/>
        </w:rPr>
        <w:t>Minimum Capital Threshold, Tenant shall be required to deliver a substitute letter of credit from another issuer reasonably satisfactory to the Landlord and that satisfies both the Minimum Rating Agency Threshold and the Minimum Capital Threshold not later than ten (10) Business Days after Landlord notifies Tenant of such failure.</w:t>
      </w:r>
    </w:p>
    <w:p>
      <w:pPr>
        <w:spacing w:after="0" w:line="138" w:lineRule="exact"/>
        <w:rPr>
          <w:sz w:val="20"/>
          <w:szCs w:val="20"/>
          <w:color w:val="auto"/>
        </w:rPr>
      </w:pPr>
    </w:p>
    <w:p>
      <w:pPr>
        <w:ind w:left="2" w:right="80" w:firstLine="587"/>
        <w:spacing w:after="0" w:line="260" w:lineRule="auto"/>
        <w:rPr>
          <w:sz w:val="20"/>
          <w:szCs w:val="20"/>
          <w:color w:val="auto"/>
        </w:rPr>
      </w:pPr>
      <w:r>
        <w:rPr>
          <w:rFonts w:ascii="Arial" w:cs="Arial" w:eastAsia="Arial" w:hAnsi="Arial"/>
          <w:sz w:val="16"/>
          <w:szCs w:val="16"/>
          <w:b w:val="1"/>
          <w:bCs w:val="1"/>
          <w:color w:val="auto"/>
        </w:rPr>
        <w:t>7.5 Cash Proceeds of Letter of Credit</w:t>
      </w:r>
      <w:r>
        <w:rPr>
          <w:rFonts w:ascii="Arial" w:cs="Arial" w:eastAsia="Arial" w:hAnsi="Arial"/>
          <w:sz w:val="16"/>
          <w:szCs w:val="16"/>
          <w:color w:val="auto"/>
        </w:rPr>
        <w:t>. Landlord shall hold the Cash Security Deposit and/or the balance of proceeds remaining after a draw on the Letter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(each hereinafter referred to as the “</w:t>
      </w:r>
      <w:r>
        <w:rPr>
          <w:rFonts w:ascii="Arial" w:cs="Arial" w:eastAsia="Arial" w:hAnsi="Arial"/>
          <w:sz w:val="16"/>
          <w:szCs w:val="16"/>
          <w:b w:val="1"/>
          <w:bCs w:val="1"/>
          <w:u w:val="single" w:color="auto"/>
          <w:color w:val="auto"/>
        </w:rPr>
        <w:t>Security Deposit</w:t>
      </w:r>
      <w:r>
        <w:rPr>
          <w:rFonts w:ascii="Arial" w:cs="Arial" w:eastAsia="Arial" w:hAnsi="Arial"/>
          <w:sz w:val="16"/>
          <w:szCs w:val="16"/>
          <w:color w:val="auto"/>
        </w:rPr>
        <w:t>”) as security for Tenant’s performance of all its Lease obligations. While an uncured Event of Default exists, Landlord may apply the Security Deposit, or any part thereof, to Landlord’s damages without prejudice to any other Landlord remedy. Should Landlord apply all or any portion of the Security Deposit in accordance with the terms of this Lease, Tenant shall, upon the written demand of Landlord, deliver cash or a Letter of Credit in the amount applied, and Tenant’s failure to do so within twenty (20) days after receipt of such written demand shall constitute an additional Event of Default hereunder. Landlord has no obligation to pay interest on the Security Deposit and may co-mingle the Security Deposit with Landlord’s funds. If Landlord conveys its interest under this Lease, the Security Deposit, or any part not applied previously, may be turned over to the grantee in which case Tenant shall look solely to the grantee for the proper application and return of the Security Deposit.</w:t>
      </w:r>
    </w:p>
    <w:p>
      <w:pPr>
        <w:spacing w:after="0" w:line="166" w:lineRule="exact"/>
        <w:rPr>
          <w:sz w:val="20"/>
          <w:szCs w:val="20"/>
          <w:color w:val="auto"/>
        </w:rPr>
      </w:pPr>
    </w:p>
    <w:p>
      <w:pPr>
        <w:ind w:left="2" w:firstLine="587"/>
        <w:spacing w:after="0" w:line="264" w:lineRule="auto"/>
        <w:rPr>
          <w:sz w:val="20"/>
          <w:szCs w:val="20"/>
          <w:color w:val="auto"/>
        </w:rPr>
      </w:pPr>
      <w:r>
        <w:rPr>
          <w:rFonts w:ascii="Arial" w:cs="Arial" w:eastAsia="Arial" w:hAnsi="Arial"/>
          <w:sz w:val="16"/>
          <w:szCs w:val="16"/>
          <w:b w:val="1"/>
          <w:bCs w:val="1"/>
          <w:color w:val="auto"/>
        </w:rPr>
        <w:t>7.6 Return of Security Deposit or Letter of Credit</w:t>
      </w:r>
      <w:r>
        <w:rPr>
          <w:rFonts w:ascii="Arial" w:cs="Arial" w:eastAsia="Arial" w:hAnsi="Arial"/>
          <w:sz w:val="16"/>
          <w:szCs w:val="16"/>
          <w:color w:val="auto"/>
        </w:rPr>
        <w:t>. Should Tenant comply with all of such terms, covenants and conditions and promptly pay all sums payable</w:t>
      </w:r>
      <w:r>
        <w:rPr>
          <w:rFonts w:ascii="Arial" w:cs="Arial" w:eastAsia="Arial" w:hAnsi="Arial"/>
          <w:sz w:val="16"/>
          <w:szCs w:val="16"/>
          <w:b w:val="1"/>
          <w:bCs w:val="1"/>
          <w:color w:val="auto"/>
        </w:rPr>
        <w:t xml:space="preserve"> </w:t>
      </w:r>
      <w:r>
        <w:rPr>
          <w:rFonts w:ascii="Arial" w:cs="Arial" w:eastAsia="Arial" w:hAnsi="Arial"/>
          <w:sz w:val="16"/>
          <w:szCs w:val="16"/>
          <w:color w:val="auto"/>
        </w:rPr>
        <w:t>by Tenant to Landlord hereunder, the Security Deposit and/or Letter of Credit or the remaining proceeds therefrom, as applicable, shall be returned to Tenant within thirty (30) days after the latest to occur of: (i) the end of the Term, and (ii) compliance with its obligation with Sections 21(a) and (b) (including, without limitation, deliver to Landlord of a Surrender Plan which complies with Section 21.1(b)) less any portion thereof which may have been utilized by Landlord to cure any default or applied to any actual damage suffered by Landlord.</w:t>
      </w:r>
    </w:p>
    <w:p>
      <w:pPr>
        <w:spacing w:after="0" w:line="162"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7.7</w:t>
      </w:r>
      <w:r>
        <w:rPr>
          <w:sz w:val="20"/>
          <w:szCs w:val="20"/>
          <w:color w:val="auto"/>
        </w:rPr>
        <w:tab/>
      </w:r>
      <w:r>
        <w:rPr>
          <w:rFonts w:ascii="Arial" w:cs="Arial" w:eastAsia="Arial" w:hAnsi="Arial"/>
          <w:sz w:val="14"/>
          <w:szCs w:val="14"/>
          <w:b w:val="1"/>
          <w:bCs w:val="1"/>
          <w:color w:val="auto"/>
        </w:rPr>
        <w:t>Cash or Letter of Credit</w:t>
      </w:r>
      <w:r>
        <w:rPr>
          <w:rFonts w:ascii="Arial" w:cs="Arial" w:eastAsia="Arial" w:hAnsi="Arial"/>
          <w:sz w:val="14"/>
          <w:szCs w:val="14"/>
          <w:color w:val="auto"/>
        </w:rPr>
        <w:t>. Provided there is no Event of Default that is continuing, Tenant shall have the right, from time to time during the Term, to replace</w:t>
      </w:r>
    </w:p>
    <w:p>
      <w:pPr>
        <w:spacing w:after="0" w:line="27" w:lineRule="exact"/>
        <w:rPr>
          <w:sz w:val="20"/>
          <w:szCs w:val="20"/>
          <w:color w:val="auto"/>
        </w:rPr>
      </w:pPr>
    </w:p>
    <w:p>
      <w:pPr>
        <w:ind w:left="2" w:right="100" w:hanging="2"/>
        <w:spacing w:after="0" w:line="270" w:lineRule="auto"/>
        <w:tabs>
          <w:tab w:leader="none" w:pos="224"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the Cash Security Deposit with a Letter of Credit in an equivalent amount and otherwise meeting the requirements of this Section 7 or (b) any Letter of Credit with a Cash Security Deposit in an equivalent amount and otherwise meeting the requirements of this Section 7.</w:t>
      </w:r>
    </w:p>
    <w:p>
      <w:pPr>
        <w:spacing w:after="0" w:line="157" w:lineRule="exact"/>
        <w:rPr>
          <w:sz w:val="20"/>
          <w:szCs w:val="20"/>
          <w:color w:val="auto"/>
        </w:rPr>
      </w:pPr>
    </w:p>
    <w:p>
      <w:pPr>
        <w:ind w:left="582" w:hanging="582"/>
        <w:spacing w:after="0"/>
        <w:tabs>
          <w:tab w:leader="none" w:pos="582" w:val="left"/>
        </w:tabs>
        <w:numPr>
          <w:ilvl w:val="0"/>
          <w:numId w:val="468"/>
        </w:numPr>
        <w:rPr>
          <w:rFonts w:ascii="Arial" w:cs="Arial" w:eastAsia="Arial" w:hAnsi="Arial"/>
          <w:sz w:val="16"/>
          <w:szCs w:val="16"/>
          <w:b w:val="1"/>
          <w:bCs w:val="1"/>
          <w:color w:val="auto"/>
        </w:rPr>
      </w:pPr>
      <w:r>
        <w:rPr>
          <w:rFonts w:ascii="Arial" w:cs="Arial" w:eastAsia="Arial" w:hAnsi="Arial"/>
          <w:sz w:val="16"/>
          <w:szCs w:val="16"/>
          <w:b w:val="1"/>
          <w:bCs w:val="1"/>
          <w:color w:val="auto"/>
        </w:rPr>
        <w:t>SECURITY INTEREST IN TENANT’S PROPERTY</w:t>
      </w:r>
      <w:r>
        <w:rPr>
          <w:rFonts w:ascii="Arial" w:cs="Arial" w:eastAsia="Arial" w:hAnsi="Arial"/>
          <w:sz w:val="16"/>
          <w:szCs w:val="16"/>
          <w:color w:val="auto"/>
        </w:rPr>
        <w:t>.</w:t>
      </w:r>
    </w:p>
    <w:p>
      <w:pPr>
        <w:spacing w:after="0" w:line="211" w:lineRule="exact"/>
        <w:rPr>
          <w:sz w:val="20"/>
          <w:szCs w:val="20"/>
          <w:color w:val="auto"/>
        </w:rPr>
      </w:pPr>
    </w:p>
    <w:p>
      <w:pPr>
        <w:jc w:val="both"/>
        <w:ind w:left="2" w:right="260" w:firstLine="587"/>
        <w:spacing w:after="0" w:line="270" w:lineRule="auto"/>
        <w:rPr>
          <w:sz w:val="20"/>
          <w:szCs w:val="20"/>
          <w:color w:val="auto"/>
        </w:rPr>
      </w:pPr>
      <w:r>
        <w:rPr>
          <w:rFonts w:ascii="Arial" w:cs="Arial" w:eastAsia="Arial" w:hAnsi="Arial"/>
          <w:sz w:val="16"/>
          <w:szCs w:val="16"/>
          <w:color w:val="auto"/>
        </w:rPr>
        <w:t>Subject to Section 22.5 hereof, in addition to any statutory landlord’s lien, now or hereafter enacted, Tenant grants to Landlord, to secure performance of Tenant’s obligations hereunder, a security interest in Tenant’s Property (hereinafter defined), and Tenant’s Property shall not be removed from the Premises without the prior written consent of Landlord (other than</w:t>
      </w:r>
    </w:p>
    <w:p>
      <w:pPr>
        <w:spacing w:after="0" w:line="16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91" w:name="page492"/>
    <w:bookmarkEnd w:id="491"/>
    <w:p>
      <w:pPr>
        <w:ind w:left="2"/>
        <w:spacing w:after="0" w:line="261" w:lineRule="auto"/>
        <w:rPr>
          <w:sz w:val="20"/>
          <w:szCs w:val="20"/>
          <w:color w:val="auto"/>
        </w:rPr>
      </w:pPr>
      <w:r>
        <w:rPr>
          <w:rFonts w:ascii="Arial" w:cs="Arial" w:eastAsia="Arial" w:hAnsi="Arial"/>
          <w:sz w:val="16"/>
          <w:szCs w:val="16"/>
          <w:color w:val="auto"/>
        </w:rPr>
        <w:t>in Tenant’s ordinary course of business) until all obligations of Tenant have been fully performed. Landlord is hereby authorized, and granted a power of attorney to file UCC-1 financing statements or any other instrument, at any time during the Term of this Lease, necessary or appropriate to perfect Landlord’s security interest under this Section 8, which power is coupled with an interest and is irrevocable during the Term. Upon the occurrence of an Event of Default, Landlord may, in addition to all other remedies, without notice or demand except as provided below, exercise the rights afforded to a secured party under the Uniform Commercial Code of the Commonwealth of Massachusetts (the “UCC”). To the extent the UCC requires Landlord to give to Tenant notice of any act or event and such notice cannot be validly waived before a default occurs, then five (5) days’ prior written notice thereof shall be reasonable notice of the act or event.</w:t>
      </w:r>
    </w:p>
    <w:p>
      <w:pPr>
        <w:spacing w:after="0" w:line="165" w:lineRule="exact"/>
        <w:rPr>
          <w:sz w:val="20"/>
          <w:szCs w:val="20"/>
          <w:color w:val="auto"/>
        </w:rPr>
      </w:pPr>
    </w:p>
    <w:p>
      <w:pPr>
        <w:ind w:left="582" w:hanging="582"/>
        <w:spacing w:after="0"/>
        <w:tabs>
          <w:tab w:leader="none" w:pos="582" w:val="left"/>
        </w:tabs>
        <w:numPr>
          <w:ilvl w:val="0"/>
          <w:numId w:val="469"/>
        </w:numPr>
        <w:rPr>
          <w:rFonts w:ascii="Arial" w:cs="Arial" w:eastAsia="Arial" w:hAnsi="Arial"/>
          <w:sz w:val="16"/>
          <w:szCs w:val="16"/>
          <w:b w:val="1"/>
          <w:bCs w:val="1"/>
          <w:color w:val="auto"/>
        </w:rPr>
      </w:pPr>
      <w:r>
        <w:rPr>
          <w:rFonts w:ascii="Arial" w:cs="Arial" w:eastAsia="Arial" w:hAnsi="Arial"/>
          <w:sz w:val="16"/>
          <w:szCs w:val="16"/>
          <w:b w:val="1"/>
          <w:bCs w:val="1"/>
          <w:color w:val="auto"/>
        </w:rPr>
        <w:t>UTILITIES, LANDLORD’S SERVICES</w:t>
      </w:r>
    </w:p>
    <w:p>
      <w:pPr>
        <w:spacing w:after="0" w:line="207" w:lineRule="exact"/>
        <w:rPr>
          <w:sz w:val="20"/>
          <w:szCs w:val="20"/>
          <w:color w:val="auto"/>
        </w:rPr>
      </w:pPr>
    </w:p>
    <w:p>
      <w:pPr>
        <w:ind w:left="2" w:right="40" w:firstLine="587"/>
        <w:spacing w:after="0" w:line="279" w:lineRule="auto"/>
        <w:rPr>
          <w:sz w:val="20"/>
          <w:szCs w:val="20"/>
          <w:color w:val="auto"/>
        </w:rPr>
      </w:pPr>
      <w:r>
        <w:rPr>
          <w:rFonts w:ascii="Arial" w:cs="Arial" w:eastAsia="Arial" w:hAnsi="Arial"/>
          <w:sz w:val="15"/>
          <w:szCs w:val="15"/>
          <w:b w:val="1"/>
          <w:bCs w:val="1"/>
          <w:color w:val="auto"/>
        </w:rPr>
        <w:t>9.1 Electricity</w:t>
      </w:r>
      <w:r>
        <w:rPr>
          <w:rFonts w:ascii="Arial" w:cs="Arial" w:eastAsia="Arial" w:hAnsi="Arial"/>
          <w:sz w:val="15"/>
          <w:szCs w:val="15"/>
          <w:color w:val="auto"/>
        </w:rPr>
        <w:t>. Landlord shall contract with the utility provider for electric service to the Property, including the Premises. Commencing on the Term</w:t>
      </w:r>
      <w:r>
        <w:rPr>
          <w:rFonts w:ascii="Arial" w:cs="Arial" w:eastAsia="Arial" w:hAnsi="Arial"/>
          <w:sz w:val="15"/>
          <w:szCs w:val="15"/>
          <w:b w:val="1"/>
          <w:bCs w:val="1"/>
          <w:color w:val="auto"/>
        </w:rPr>
        <w:t xml:space="preserve"> </w:t>
      </w:r>
      <w:r>
        <w:rPr>
          <w:rFonts w:ascii="Arial" w:cs="Arial" w:eastAsia="Arial" w:hAnsi="Arial"/>
          <w:sz w:val="15"/>
          <w:szCs w:val="15"/>
          <w:color w:val="auto"/>
        </w:rPr>
        <w:t>Commencement Date, Tenant shall pay all charges for electricity furnished to the Premises and any equipment exclusively serving the Premises, as additional rent, based on Landlord’s reasonable estimates or any applicable metering equipment. At Tenant’s request, Landlord shall provide Tenant with reasonable back-up documentation regarding the total charges and the method of allocating the charges to Tenant. If not separately metered, Landlord may elect to furnish and install in a location approved by Landlord in or near the Premises any necessary metering equipment reasonably acceptable to Landlord and the supplier thereof to be used to measure electricity furnished to the Premises and any equipment exclusively serving the same. Tenant shall, at Tenant’s sole cost and expense, maintain and keep in good order, condition and repair the metering equipment used to measure electricity furnished to the Premises and any equipment exclusively serving the same. Tenant shall pay the full amount of any charges attributable to such meter on or before the due date therefor directly to the supplier thereof.</w:t>
      </w:r>
    </w:p>
    <w:p>
      <w:pPr>
        <w:spacing w:after="0" w:line="157" w:lineRule="exact"/>
        <w:rPr>
          <w:sz w:val="20"/>
          <w:szCs w:val="20"/>
          <w:color w:val="auto"/>
        </w:rPr>
      </w:pPr>
    </w:p>
    <w:p>
      <w:pPr>
        <w:ind w:left="2" w:right="40" w:firstLine="587"/>
        <w:spacing w:after="0" w:line="281" w:lineRule="auto"/>
        <w:rPr>
          <w:sz w:val="20"/>
          <w:szCs w:val="20"/>
          <w:color w:val="auto"/>
        </w:rPr>
      </w:pPr>
      <w:r>
        <w:rPr>
          <w:rFonts w:ascii="Arial" w:cs="Arial" w:eastAsia="Arial" w:hAnsi="Arial"/>
          <w:sz w:val="15"/>
          <w:szCs w:val="15"/>
          <w:b w:val="1"/>
          <w:bCs w:val="1"/>
          <w:color w:val="auto"/>
        </w:rPr>
        <w:t>9.2 Water</w:t>
      </w:r>
      <w:r>
        <w:rPr>
          <w:rFonts w:ascii="Arial" w:cs="Arial" w:eastAsia="Arial" w:hAnsi="Arial"/>
          <w:sz w:val="15"/>
          <w:szCs w:val="15"/>
          <w:color w:val="auto"/>
        </w:rPr>
        <w:t>. Tenant shall pay all charges for water furnished to the Premises and/or any equipment exclusively serving the Premises as additional rent, based on</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Landlord’s reasonable estimates or any applicable metering equipment. At Tenant’s request, Landlord shall provide Tenant with reasonable back-up documentation regarding the total charges and the method of allocating the charges to Tenant. If not separately metered, Landlord may elect to furnish and install in a location approved by Landlord in or near the Premises any necessary metering equipment reasonably acceptable to Landlord and the supplier thereof to be used to measure water furnished to the Premises and any equipment exclusively serving the same. If applicable, Tenant shall, at Tenant’s sole cost and expense, maintain and keep in good order, condition and repair the metering equipment used to measure water furnished to the Premises and any equipment exclusively serving the same. Tenant shall pay the full amount of any charges attributable to such meter on or before the due date therefor either to Landlord or directly to the supplier thereof, at Landlord’s election.</w:t>
      </w:r>
    </w:p>
    <w:p>
      <w:pPr>
        <w:spacing w:after="0" w:line="151" w:lineRule="exact"/>
        <w:rPr>
          <w:sz w:val="20"/>
          <w:szCs w:val="20"/>
          <w:color w:val="auto"/>
        </w:rPr>
      </w:pPr>
    </w:p>
    <w:p>
      <w:pPr>
        <w:ind w:left="2" w:firstLine="587"/>
        <w:spacing w:after="0" w:line="272" w:lineRule="auto"/>
        <w:rPr>
          <w:sz w:val="20"/>
          <w:szCs w:val="20"/>
          <w:color w:val="auto"/>
        </w:rPr>
      </w:pPr>
      <w:r>
        <w:rPr>
          <w:rFonts w:ascii="Arial" w:cs="Arial" w:eastAsia="Arial" w:hAnsi="Arial"/>
          <w:sz w:val="16"/>
          <w:szCs w:val="16"/>
          <w:b w:val="1"/>
          <w:bCs w:val="1"/>
          <w:color w:val="auto"/>
        </w:rPr>
        <w:t>9.3 Gas</w:t>
      </w:r>
      <w:r>
        <w:rPr>
          <w:rFonts w:ascii="Arial" w:cs="Arial" w:eastAsia="Arial" w:hAnsi="Arial"/>
          <w:sz w:val="16"/>
          <w:szCs w:val="16"/>
          <w:color w:val="auto"/>
        </w:rPr>
        <w:t>. Tenant shall pay all charges for gas furnished to the Premises and/or any equipment exclusively serving the Premises as additional rent,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metering equipment. Tenant shall, at Tenant’s sole cost and expense, maintain and keep in good order, condition and repair the metering equipment used to measure gas furnished to the Premises and</w:t>
      </w:r>
    </w:p>
    <w:p>
      <w:pPr>
        <w:spacing w:after="0" w:line="161"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2"/>
          </w:cols>
          <w:pgMar w:left="238" w:top="322" w:right="279" w:bottom="1440" w:gutter="0" w:footer="0" w:header="0"/>
        </w:sectPr>
      </w:pPr>
    </w:p>
    <w:bookmarkStart w:id="492" w:name="page493"/>
    <w:bookmarkEnd w:id="492"/>
    <w:p>
      <w:pPr>
        <w:ind w:left="2" w:right="480"/>
        <w:spacing w:after="0" w:line="285" w:lineRule="auto"/>
        <w:rPr>
          <w:sz w:val="20"/>
          <w:szCs w:val="20"/>
          <w:color w:val="auto"/>
        </w:rPr>
      </w:pPr>
      <w:r>
        <w:rPr>
          <w:rFonts w:ascii="Arial" w:cs="Arial" w:eastAsia="Arial" w:hAnsi="Arial"/>
          <w:sz w:val="16"/>
          <w:szCs w:val="16"/>
          <w:color w:val="auto"/>
        </w:rPr>
        <w:t>any equipment exclusively serving the same. Tenant shall pay the full amount of any charges attributable to such meter on or before the due date therefor directly to the supplier thereof.</w:t>
      </w:r>
    </w:p>
    <w:p>
      <w:pPr>
        <w:spacing w:after="0" w:line="146" w:lineRule="exact"/>
        <w:rPr>
          <w:sz w:val="20"/>
          <w:szCs w:val="20"/>
          <w:color w:val="auto"/>
        </w:rPr>
      </w:pPr>
    </w:p>
    <w:p>
      <w:pPr>
        <w:ind w:left="2" w:right="420" w:firstLine="587"/>
        <w:spacing w:after="0" w:line="326" w:lineRule="auto"/>
        <w:rPr>
          <w:sz w:val="20"/>
          <w:szCs w:val="20"/>
          <w:color w:val="auto"/>
        </w:rPr>
      </w:pPr>
      <w:r>
        <w:rPr>
          <w:rFonts w:ascii="Arial" w:cs="Arial" w:eastAsia="Arial" w:hAnsi="Arial"/>
          <w:sz w:val="15"/>
          <w:szCs w:val="15"/>
          <w:b w:val="1"/>
          <w:bCs w:val="1"/>
          <w:color w:val="auto"/>
        </w:rPr>
        <w:t>9.4 Other Utilities</w:t>
      </w:r>
      <w:r>
        <w:rPr>
          <w:rFonts w:ascii="Arial" w:cs="Arial" w:eastAsia="Arial" w:hAnsi="Arial"/>
          <w:sz w:val="15"/>
          <w:szCs w:val="15"/>
          <w:color w:val="auto"/>
        </w:rPr>
        <w:t>. Subject to Landlord’s reasonable rules and regulations governing the same, Tenant shall obtain and pay, as and when due, for all other</w:t>
      </w:r>
      <w:r>
        <w:rPr>
          <w:rFonts w:ascii="Arial" w:cs="Arial" w:eastAsia="Arial" w:hAnsi="Arial"/>
          <w:sz w:val="15"/>
          <w:szCs w:val="15"/>
          <w:b w:val="1"/>
          <w:bCs w:val="1"/>
          <w:color w:val="auto"/>
        </w:rPr>
        <w:t xml:space="preserve"> </w:t>
      </w:r>
      <w:r>
        <w:rPr>
          <w:rFonts w:ascii="Arial" w:cs="Arial" w:eastAsia="Arial" w:hAnsi="Arial"/>
          <w:sz w:val="15"/>
          <w:szCs w:val="15"/>
          <w:color w:val="auto"/>
        </w:rPr>
        <w:t>utilities and services consumed in and/or furnished to the Premises, together with all taxes, penalties, surcharges and maintenance charges pertaining thereto.</w:t>
      </w:r>
    </w:p>
    <w:p>
      <w:pPr>
        <w:spacing w:after="0" w:line="118" w:lineRule="exact"/>
        <w:rPr>
          <w:sz w:val="20"/>
          <w:szCs w:val="20"/>
          <w:color w:val="auto"/>
        </w:rPr>
      </w:pPr>
    </w:p>
    <w:p>
      <w:pPr>
        <w:ind w:left="2" w:right="140" w:firstLine="587"/>
        <w:spacing w:after="0" w:line="261" w:lineRule="auto"/>
        <w:rPr>
          <w:sz w:val="20"/>
          <w:szCs w:val="20"/>
          <w:color w:val="auto"/>
        </w:rPr>
      </w:pPr>
      <w:r>
        <w:rPr>
          <w:rFonts w:ascii="Arial" w:cs="Arial" w:eastAsia="Arial" w:hAnsi="Arial"/>
          <w:sz w:val="16"/>
          <w:szCs w:val="16"/>
          <w:b w:val="1"/>
          <w:bCs w:val="1"/>
          <w:color w:val="auto"/>
        </w:rPr>
        <w:t>9.5 Interruption or Curtailment of Utilities</w:t>
      </w:r>
      <w:r>
        <w:rPr>
          <w:rFonts w:ascii="Arial" w:cs="Arial" w:eastAsia="Arial" w:hAnsi="Arial"/>
          <w:sz w:val="16"/>
          <w:szCs w:val="16"/>
          <w:color w:val="auto"/>
        </w:rPr>
        <w:t>. When necessary by reason of accident or emergency, or for repairs, alterations, replacements or improvements</w:t>
      </w:r>
      <w:r>
        <w:rPr>
          <w:rFonts w:ascii="Arial" w:cs="Arial" w:eastAsia="Arial" w:hAnsi="Arial"/>
          <w:sz w:val="16"/>
          <w:szCs w:val="16"/>
          <w:b w:val="1"/>
          <w:bCs w:val="1"/>
          <w:color w:val="auto"/>
        </w:rPr>
        <w:t xml:space="preserve"> </w:t>
      </w:r>
      <w:r>
        <w:rPr>
          <w:rFonts w:ascii="Arial" w:cs="Arial" w:eastAsia="Arial" w:hAnsi="Arial"/>
          <w:sz w:val="16"/>
          <w:szCs w:val="16"/>
          <w:color w:val="auto"/>
        </w:rPr>
        <w:t>which in the reasonable judgment of Landlord are desirable or necessary to be made, Landlord reserves the right, upon as much prior notice to Tenant as is practicable under the circumstances and no less than twenty-four (24) hours’ notice except in the event of an emergency, to interrupt, curtail, or stop (i) the furnishing of hot and/or cold water, and (ii) the operation of the plumbing and electric systems. Landlord shall exercise reasonable diligence to eliminate the cause of any such interruption, curtailment, stoppage or suspension, but, except as set forth in Section 10.7 below, there shall be no diminution or abatement of Rent or other compensation due from Landlord to Tenant hereunder, nor shall this Lease be affected or any of Tenant’s obligations hereunder reduced, and Landlord shall have no responsibility or liability for any such interruption, curtailment, stoppage, or suspension of services or systems.</w:t>
      </w:r>
    </w:p>
    <w:p>
      <w:pPr>
        <w:spacing w:after="0" w:line="164" w:lineRule="exact"/>
        <w:rPr>
          <w:sz w:val="20"/>
          <w:szCs w:val="20"/>
          <w:color w:val="auto"/>
        </w:rPr>
      </w:pPr>
    </w:p>
    <w:p>
      <w:pPr>
        <w:ind w:left="2" w:right="240" w:firstLine="587"/>
        <w:spacing w:after="0" w:line="290" w:lineRule="auto"/>
        <w:rPr>
          <w:sz w:val="20"/>
          <w:szCs w:val="20"/>
          <w:color w:val="auto"/>
        </w:rPr>
      </w:pPr>
      <w:r>
        <w:rPr>
          <w:rFonts w:ascii="Arial" w:cs="Arial" w:eastAsia="Arial" w:hAnsi="Arial"/>
          <w:sz w:val="16"/>
          <w:szCs w:val="16"/>
          <w:b w:val="1"/>
          <w:bCs w:val="1"/>
          <w:color w:val="auto"/>
        </w:rPr>
        <w:t>9.6 Landlord’s Services</w:t>
      </w:r>
      <w:r>
        <w:rPr>
          <w:rFonts w:ascii="Arial" w:cs="Arial" w:eastAsia="Arial" w:hAnsi="Arial"/>
          <w:sz w:val="16"/>
          <w:szCs w:val="16"/>
          <w:color w:val="auto"/>
        </w:rPr>
        <w:t>. Subject to reimbursement pursuant to Section 5.2 above, Landlord shall provide the services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6</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w:t>
      </w:r>
      <w:r>
        <w:rPr>
          <w:rFonts w:ascii="Arial" w:cs="Arial" w:eastAsia="Arial" w:hAnsi="Arial"/>
          <w:sz w:val="16"/>
          <w:szCs w:val="16"/>
          <w:b w:val="1"/>
          <w:bCs w:val="1"/>
          <w:color w:val="auto"/>
        </w:rPr>
        <w:t xml:space="preserve"> </w:t>
      </w:r>
      <w:r>
        <w:rPr>
          <w:rFonts w:ascii="Arial" w:cs="Arial" w:eastAsia="Arial" w:hAnsi="Arial"/>
          <w:sz w:val="16"/>
          <w:szCs w:val="16"/>
          <w:color w:val="auto"/>
        </w:rPr>
        <w:t>and made a part hereof (“</w:t>
      </w:r>
      <w:r>
        <w:rPr>
          <w:rFonts w:ascii="Arial" w:cs="Arial" w:eastAsia="Arial" w:hAnsi="Arial"/>
          <w:sz w:val="16"/>
          <w:szCs w:val="16"/>
          <w:b w:val="1"/>
          <w:bCs w:val="1"/>
          <w:u w:val="single" w:color="auto"/>
          <w:color w:val="auto"/>
        </w:rPr>
        <w:t>Landlord’s Services</w:t>
      </w:r>
      <w:r>
        <w:rPr>
          <w:rFonts w:ascii="Arial" w:cs="Arial" w:eastAsia="Arial" w:hAnsi="Arial"/>
          <w:sz w:val="16"/>
          <w:szCs w:val="16"/>
          <w:color w:val="auto"/>
        </w:rPr>
        <w:t>”).</w:t>
      </w:r>
    </w:p>
    <w:p>
      <w:pPr>
        <w:spacing w:after="0" w:line="142" w:lineRule="exact"/>
        <w:rPr>
          <w:sz w:val="20"/>
          <w:szCs w:val="20"/>
          <w:color w:val="auto"/>
        </w:rPr>
      </w:pPr>
    </w:p>
    <w:p>
      <w:pPr>
        <w:ind w:left="582" w:hanging="582"/>
        <w:spacing w:after="0"/>
        <w:tabs>
          <w:tab w:leader="none" w:pos="582" w:val="left"/>
        </w:tabs>
        <w:numPr>
          <w:ilvl w:val="0"/>
          <w:numId w:val="470"/>
        </w:numPr>
        <w:rPr>
          <w:rFonts w:ascii="Arial" w:cs="Arial" w:eastAsia="Arial" w:hAnsi="Arial"/>
          <w:sz w:val="16"/>
          <w:szCs w:val="16"/>
          <w:b w:val="1"/>
          <w:bCs w:val="1"/>
          <w:color w:val="auto"/>
        </w:rPr>
      </w:pPr>
      <w:r>
        <w:rPr>
          <w:rFonts w:ascii="Arial" w:cs="Arial" w:eastAsia="Arial" w:hAnsi="Arial"/>
          <w:sz w:val="16"/>
          <w:szCs w:val="16"/>
          <w:b w:val="1"/>
          <w:bCs w:val="1"/>
          <w:color w:val="auto"/>
        </w:rPr>
        <w:t>MAINTENANCE AND REPAIRS</w:t>
      </w:r>
    </w:p>
    <w:p>
      <w:pPr>
        <w:spacing w:after="0" w:line="207" w:lineRule="exact"/>
        <w:rPr>
          <w:sz w:val="20"/>
          <w:szCs w:val="20"/>
          <w:color w:val="auto"/>
        </w:rPr>
      </w:pPr>
    </w:p>
    <w:p>
      <w:pPr>
        <w:ind w:left="2" w:firstLine="587"/>
        <w:spacing w:after="0" w:line="302" w:lineRule="auto"/>
        <w:rPr>
          <w:sz w:val="20"/>
          <w:szCs w:val="20"/>
          <w:color w:val="auto"/>
        </w:rPr>
      </w:pPr>
      <w:r>
        <w:rPr>
          <w:rFonts w:ascii="Arial" w:cs="Arial" w:eastAsia="Arial" w:hAnsi="Arial"/>
          <w:sz w:val="14"/>
          <w:szCs w:val="14"/>
          <w:b w:val="1"/>
          <w:bCs w:val="1"/>
          <w:color w:val="auto"/>
        </w:rPr>
        <w:t>10.1 Maintenance and Repairs by Tenant</w:t>
      </w:r>
      <w:r>
        <w:rPr>
          <w:rFonts w:ascii="Arial" w:cs="Arial" w:eastAsia="Arial" w:hAnsi="Arial"/>
          <w:sz w:val="14"/>
          <w:szCs w:val="14"/>
          <w:color w:val="auto"/>
        </w:rPr>
        <w:t>. Tenant shall keep neat and clean and free of insects, rodents, vermin and other pests and in good repair, order and</w:t>
      </w:r>
      <w:r>
        <w:rPr>
          <w:rFonts w:ascii="Arial" w:cs="Arial" w:eastAsia="Arial" w:hAnsi="Arial"/>
          <w:sz w:val="14"/>
          <w:szCs w:val="14"/>
          <w:b w:val="1"/>
          <w:bCs w:val="1"/>
          <w:color w:val="auto"/>
        </w:rPr>
        <w:t xml:space="preserve"> </w:t>
      </w:r>
      <w:r>
        <w:rPr>
          <w:rFonts w:ascii="Arial" w:cs="Arial" w:eastAsia="Arial" w:hAnsi="Arial"/>
          <w:sz w:val="14"/>
          <w:szCs w:val="14"/>
          <w:color w:val="auto"/>
        </w:rPr>
        <w:t>condition the Premises, including without limitation the entire interior of the Premises, all electronic, phone and data cabling and related equipment that is installed by or for the exclusive benefit of the Tenant (whether located in the Premises or other portions of the Building), all fixtures, equipment and lighting therein, electrical equipment wiring, doors, non-structural walls, interior windows and floor coverings, reasonable wear and tear and damage by Casualty excepted. Tenant shall be solely responsible, at Tenant’s sole cost and expense, for the proper maintenance of all building systems, life-safety, sanitary, electrical, heating, air conditioning, plumbing, security or other systems and of all equipment and appliances located within and/or exclusively serving the Premises. Tenant agrees to provide regular maintenance by contract with a reputable qualified service contractor for the heating and air conditioning equipment servicing the Premises. Such maintenance contract and contractor shall be subject to Landlord’s reasonable approval. Tenant, at Landlord’s request, shall at reasonable intervals provide Landlord with copies of such contracts and maintenance and repair records and/or reports.</w:t>
      </w:r>
    </w:p>
    <w:p>
      <w:pPr>
        <w:spacing w:after="0" w:line="140" w:lineRule="exact"/>
        <w:rPr>
          <w:sz w:val="20"/>
          <w:szCs w:val="20"/>
          <w:color w:val="auto"/>
        </w:rPr>
      </w:pPr>
    </w:p>
    <w:p>
      <w:pPr>
        <w:jc w:val="both"/>
        <w:ind w:left="2" w:right="100" w:firstLine="587"/>
        <w:spacing w:after="0" w:line="272" w:lineRule="auto"/>
        <w:rPr>
          <w:sz w:val="20"/>
          <w:szCs w:val="20"/>
          <w:color w:val="auto"/>
        </w:rPr>
      </w:pPr>
      <w:r>
        <w:rPr>
          <w:rFonts w:ascii="Arial" w:cs="Arial" w:eastAsia="Arial" w:hAnsi="Arial"/>
          <w:sz w:val="16"/>
          <w:szCs w:val="16"/>
          <w:b w:val="1"/>
          <w:bCs w:val="1"/>
          <w:color w:val="auto"/>
        </w:rPr>
        <w:t>10.2 Maintenance and Repairs by Landlord</w:t>
      </w:r>
      <w:r>
        <w:rPr>
          <w:rFonts w:ascii="Arial" w:cs="Arial" w:eastAsia="Arial" w:hAnsi="Arial"/>
          <w:sz w:val="16"/>
          <w:szCs w:val="16"/>
          <w:color w:val="auto"/>
        </w:rPr>
        <w:t>. Except as otherwise provided in Section 15, and subject to Tenant’s obligations in Section 10.1 above,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maintain, repair and replace, and keep in reasonable condition the Building foundation, the roof (including the roof membrane), the ceilings, Building structure, exterior walls, exterior windows, structural floor slabs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493" w:name="page494"/>
    <w:bookmarkEnd w:id="493"/>
    <w:p>
      <w:pPr>
        <w:ind w:right="140"/>
        <w:spacing w:after="0" w:line="284" w:lineRule="auto"/>
        <w:rPr>
          <w:sz w:val="20"/>
          <w:szCs w:val="20"/>
          <w:color w:val="auto"/>
        </w:rPr>
      </w:pPr>
      <w:r>
        <w:rPr>
          <w:rFonts w:ascii="Arial" w:cs="Arial" w:eastAsia="Arial" w:hAnsi="Arial"/>
          <w:sz w:val="15"/>
          <w:szCs w:val="15"/>
          <w:color w:val="auto"/>
        </w:rPr>
        <w:t>and columns, Common Areas, parking areas and common building systems in good repair, order and condition. In addition, Landlord shall operate, clean, repair, replace and maintain the Common Areas in substantially the same manner as comparable combination office and laboratory facilities in the vicinity of the Premises. Without limiting the foregoing, Landlord shall remove snow and ice from the sidewalks and other paved areas on the Property as reasonably necessary. Landlord shall use reasonable efforts to minimize any interference with Tenant’s use and occupancy of the Premises while Landlord performs maintenance, repair and replacement work. All costs incurred by Landlord under this Section 10.2 shall be included in Operating Costs, subject to the provisions of Section 5.2.</w:t>
      </w:r>
    </w:p>
    <w:p>
      <w:pPr>
        <w:spacing w:after="0" w:line="149" w:lineRule="exact"/>
        <w:rPr>
          <w:sz w:val="20"/>
          <w:szCs w:val="20"/>
          <w:color w:val="auto"/>
        </w:rPr>
      </w:pPr>
    </w:p>
    <w:p>
      <w:pPr>
        <w:ind w:firstLine="587"/>
        <w:spacing w:after="0" w:line="264" w:lineRule="auto"/>
        <w:rPr>
          <w:sz w:val="20"/>
          <w:szCs w:val="20"/>
          <w:color w:val="auto"/>
        </w:rPr>
      </w:pPr>
      <w:r>
        <w:rPr>
          <w:rFonts w:ascii="Arial" w:cs="Arial" w:eastAsia="Arial" w:hAnsi="Arial"/>
          <w:sz w:val="16"/>
          <w:szCs w:val="16"/>
          <w:b w:val="1"/>
          <w:bCs w:val="1"/>
          <w:color w:val="auto"/>
        </w:rPr>
        <w:t>10.3 Accidents to Sanitary and Other Systems</w:t>
      </w:r>
      <w:r>
        <w:rPr>
          <w:rFonts w:ascii="Arial" w:cs="Arial" w:eastAsia="Arial" w:hAnsi="Arial"/>
          <w:sz w:val="16"/>
          <w:szCs w:val="16"/>
          <w:color w:val="auto"/>
        </w:rPr>
        <w:t>. Tenant shall give to Landlord prompt notice of any fire or accident in the Premises or in the Building and of any</w:t>
      </w:r>
      <w:r>
        <w:rPr>
          <w:rFonts w:ascii="Arial" w:cs="Arial" w:eastAsia="Arial" w:hAnsi="Arial"/>
          <w:sz w:val="16"/>
          <w:szCs w:val="16"/>
          <w:b w:val="1"/>
          <w:bCs w:val="1"/>
          <w:color w:val="auto"/>
        </w:rPr>
        <w:t xml:space="preserve"> </w:t>
      </w:r>
      <w:r>
        <w:rPr>
          <w:rFonts w:ascii="Arial" w:cs="Arial" w:eastAsia="Arial" w:hAnsi="Arial"/>
          <w:sz w:val="16"/>
          <w:szCs w:val="16"/>
          <w:color w:val="auto"/>
        </w:rPr>
        <w:t>damage to, or defective condition in, any part or appurtenance of the Building including, without limitation, sanitary, electrical, ventilation, heating and air conditioning or other systems located in, or passing through, the Premises. Except as otherwise provided in Section 15, and subject to Tenant’s obligations in Section 10.1 above, such damage or defective condition shall be remedied by Landlord with reasonable diligence, but, subject to Section 14.5 below, if such damage or defective condition was caused by any of the Tenant Parties, the cost to remedy the same shall be paid by Tenant.</w:t>
      </w:r>
    </w:p>
    <w:p>
      <w:pPr>
        <w:spacing w:after="0" w:line="162" w:lineRule="exact"/>
        <w:rPr>
          <w:sz w:val="20"/>
          <w:szCs w:val="20"/>
          <w:color w:val="auto"/>
        </w:rPr>
      </w:pPr>
    </w:p>
    <w:p>
      <w:pPr>
        <w:ind w:firstLine="587"/>
        <w:spacing w:after="0" w:line="277" w:lineRule="auto"/>
        <w:rPr>
          <w:sz w:val="20"/>
          <w:szCs w:val="20"/>
          <w:color w:val="auto"/>
        </w:rPr>
      </w:pPr>
      <w:r>
        <w:rPr>
          <w:rFonts w:ascii="Arial" w:cs="Arial" w:eastAsia="Arial" w:hAnsi="Arial"/>
          <w:sz w:val="15"/>
          <w:szCs w:val="15"/>
          <w:b w:val="1"/>
          <w:bCs w:val="1"/>
          <w:color w:val="auto"/>
        </w:rPr>
        <w:t>10.4 Floor Load—Heavy Equipment</w:t>
      </w:r>
      <w:r>
        <w:rPr>
          <w:rFonts w:ascii="Arial" w:cs="Arial" w:eastAsia="Arial" w:hAnsi="Arial"/>
          <w:sz w:val="15"/>
          <w:szCs w:val="15"/>
          <w:color w:val="auto"/>
        </w:rPr>
        <w:t>. Tenant shall not place a load upon any floor of the Premises exceeding the floor load per square foot of area which such</w:t>
      </w:r>
      <w:r>
        <w:rPr>
          <w:rFonts w:ascii="Arial" w:cs="Arial" w:eastAsia="Arial" w:hAnsi="Arial"/>
          <w:sz w:val="15"/>
          <w:szCs w:val="15"/>
          <w:b w:val="1"/>
          <w:bCs w:val="1"/>
          <w:color w:val="auto"/>
        </w:rPr>
        <w:t xml:space="preserve"> </w:t>
      </w:r>
      <w:r>
        <w:rPr>
          <w:rFonts w:ascii="Arial" w:cs="Arial" w:eastAsia="Arial" w:hAnsi="Arial"/>
          <w:sz w:val="15"/>
          <w:szCs w:val="15"/>
          <w:color w:val="auto"/>
        </w:rPr>
        <w:t>floor was designed to carry and which is allowed by Legal Requirements. Landlord reserves the right to prescribe the weight and position of all safes, heavy machinery, heavy equipment, freight, bulky matter or fixtures (collectively, “</w:t>
      </w:r>
      <w:r>
        <w:rPr>
          <w:rFonts w:ascii="Arial" w:cs="Arial" w:eastAsia="Arial" w:hAnsi="Arial"/>
          <w:sz w:val="15"/>
          <w:szCs w:val="15"/>
          <w:b w:val="1"/>
          <w:bCs w:val="1"/>
          <w:u w:val="single" w:color="auto"/>
          <w:color w:val="auto"/>
        </w:rPr>
        <w:t>Heavy Equipment</w:t>
      </w:r>
      <w:r>
        <w:rPr>
          <w:rFonts w:ascii="Arial" w:cs="Arial" w:eastAsia="Arial" w:hAnsi="Arial"/>
          <w:sz w:val="15"/>
          <w:szCs w:val="15"/>
          <w:color w:val="auto"/>
        </w:rPr>
        <w:t>”), which shall be placed so as to distribute the weight. Heavy Equipment shall be placed and maintained by Tenant at Tenant’s expense in settings sufficient in Landlord’s reasonable judgment to absorb and prevent vibration, noise and annoyance. Tenant shall not move any Heavy Equipment into or out of the Building without giving Landlord prior written notice thereof and observing all of Landlord’s Rules and Regulations with respect to the same. If such Heavy Equipment requires special handling, Tenant agrees to employ only persons holding a Master Rigger’s License to do said work, and that all work in connection therewith shall comply with Legal Requirements. Any such moving shall be at the sole risk and hazard of Tenant and Tenant will defend, indemnify and save Landlord and Landlord’s agents (including without limitation its property manager), contractors and employees (collectively with Landlord, the “</w:t>
      </w:r>
      <w:r>
        <w:rPr>
          <w:rFonts w:ascii="Arial" w:cs="Arial" w:eastAsia="Arial" w:hAnsi="Arial"/>
          <w:sz w:val="15"/>
          <w:szCs w:val="15"/>
          <w:b w:val="1"/>
          <w:bCs w:val="1"/>
          <w:u w:val="single" w:color="auto"/>
          <w:color w:val="auto"/>
        </w:rPr>
        <w:t>Landlord Parties</w:t>
      </w:r>
      <w:r>
        <w:rPr>
          <w:rFonts w:ascii="Arial" w:cs="Arial" w:eastAsia="Arial" w:hAnsi="Arial"/>
          <w:sz w:val="15"/>
          <w:szCs w:val="15"/>
          <w:color w:val="auto"/>
        </w:rPr>
        <w:t>”) harmless from and against any and all claims, damages, losses, penalties, costs, expenses and fees (including without limitation reasonable legal fees) (collectively, “</w:t>
      </w:r>
      <w:r>
        <w:rPr>
          <w:rFonts w:ascii="Arial" w:cs="Arial" w:eastAsia="Arial" w:hAnsi="Arial"/>
          <w:sz w:val="15"/>
          <w:szCs w:val="15"/>
          <w:b w:val="1"/>
          <w:bCs w:val="1"/>
          <w:u w:val="single" w:color="auto"/>
          <w:color w:val="auto"/>
        </w:rPr>
        <w:t>Claims</w:t>
      </w:r>
      <w:r>
        <w:rPr>
          <w:rFonts w:ascii="Arial" w:cs="Arial" w:eastAsia="Arial" w:hAnsi="Arial"/>
          <w:sz w:val="15"/>
          <w:szCs w:val="15"/>
          <w:color w:val="auto"/>
        </w:rPr>
        <w:t>”) resulting directly or indirectly from such moving except, subject to Section 14.5, to the extent caused by the negligence or willful misconduct of any of the Landlord Parties. Proper placement of all Heavy Equipment in the Premises shall be Tenant’s responsibility.</w:t>
      </w:r>
    </w:p>
    <w:p>
      <w:pPr>
        <w:spacing w:after="0" w:line="158" w:lineRule="exact"/>
        <w:rPr>
          <w:sz w:val="20"/>
          <w:szCs w:val="20"/>
          <w:color w:val="auto"/>
        </w:rPr>
      </w:pPr>
    </w:p>
    <w:p>
      <w:pPr>
        <w:ind w:firstLine="587"/>
        <w:spacing w:after="0" w:line="264" w:lineRule="auto"/>
        <w:rPr>
          <w:sz w:val="20"/>
          <w:szCs w:val="20"/>
          <w:color w:val="auto"/>
        </w:rPr>
      </w:pPr>
      <w:r>
        <w:rPr>
          <w:rFonts w:ascii="Arial" w:cs="Arial" w:eastAsia="Arial" w:hAnsi="Arial"/>
          <w:sz w:val="16"/>
          <w:szCs w:val="16"/>
          <w:b w:val="1"/>
          <w:bCs w:val="1"/>
          <w:color w:val="auto"/>
        </w:rPr>
        <w:t>10.5 Premises Cleaning</w:t>
      </w:r>
      <w:r>
        <w:rPr>
          <w:rFonts w:ascii="Arial" w:cs="Arial" w:eastAsia="Arial" w:hAnsi="Arial"/>
          <w:sz w:val="16"/>
          <w:szCs w:val="16"/>
          <w:color w:val="auto"/>
        </w:rPr>
        <w:t>. Tenant shall be responsible, at its sole cost and expense, for janitorial and, except as set forth in this Section 10.5, trash removal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biohazard disposal services for the Premises, including the laboratory areas thereof. Such services shall be performed by licensed (where required by law or governmental regulation), insured and qualified contractors approved in advance, in writing, by Landlord (which approval shall not be unreasonably withheld, delayed or conditioned) and on a sufficient basis to ensure that the Premises are at all times kept neat and clean. Tenant shall use the common dumpster serving the Building (which is presently located near the Building’s loading dock) for the disposal of its trash,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494" w:name="page495"/>
    <w:bookmarkEnd w:id="494"/>
    <w:p>
      <w:pPr>
        <w:ind w:left="2" w:right="500"/>
        <w:spacing w:after="0" w:line="285" w:lineRule="auto"/>
        <w:rPr>
          <w:sz w:val="20"/>
          <w:szCs w:val="20"/>
          <w:color w:val="auto"/>
        </w:rPr>
      </w:pPr>
      <w:r>
        <w:rPr>
          <w:rFonts w:ascii="Arial" w:cs="Arial" w:eastAsia="Arial" w:hAnsi="Arial"/>
          <w:sz w:val="16"/>
          <w:szCs w:val="16"/>
          <w:color w:val="auto"/>
        </w:rPr>
        <w:t>provided however, that in no event shall Tenant dispose of any Hazardous Materials in such dumpster. Landlord shall engage a contractor who shall empty the common dumpster, as needed.</w:t>
      </w:r>
    </w:p>
    <w:p>
      <w:pPr>
        <w:spacing w:after="0" w:line="146" w:lineRule="exact"/>
        <w:rPr>
          <w:sz w:val="20"/>
          <w:szCs w:val="20"/>
          <w:color w:val="auto"/>
        </w:rPr>
      </w:pPr>
    </w:p>
    <w:p>
      <w:pPr>
        <w:ind w:left="2" w:right="60" w:firstLine="587"/>
        <w:spacing w:after="0" w:line="282" w:lineRule="auto"/>
        <w:rPr>
          <w:sz w:val="20"/>
          <w:szCs w:val="20"/>
          <w:color w:val="auto"/>
        </w:rPr>
      </w:pPr>
      <w:r>
        <w:rPr>
          <w:rFonts w:ascii="Arial" w:cs="Arial" w:eastAsia="Arial" w:hAnsi="Arial"/>
          <w:sz w:val="15"/>
          <w:szCs w:val="15"/>
          <w:b w:val="1"/>
          <w:bCs w:val="1"/>
          <w:color w:val="auto"/>
        </w:rPr>
        <w:t>10.6 Pest Control</w:t>
      </w:r>
      <w:r>
        <w:rPr>
          <w:rFonts w:ascii="Arial" w:cs="Arial" w:eastAsia="Arial" w:hAnsi="Arial"/>
          <w:sz w:val="15"/>
          <w:szCs w:val="15"/>
          <w:color w:val="auto"/>
        </w:rPr>
        <w:t>. Tenant, at Tenant’s sole cost and expense, shall cause: (i) the Premises to be exterminated to Landlord’s reasonable satisfaction on an as-needed basis, but not less frequently than once per calendar quarter, and (ii) all portions of the Premises used for the storage, preparation, service or consumption of food or beverages to be cleaned daily in a manner reasonably satisfactory to Landlord, and to be treated against infestation by insects, rodents and other vermin and pests whenever there is evidence of any infestation. Tenant shall not permit any person to enter the Premises for the purpose of providing such extermination services, unless such persons have been approved by Landlord, which approval shall not be unreasonably withheld, conditioned or delayed. If requested by Landlord, Tenant shall, at Tenant’s sole cost and expense, store any refuse generated in the Premises by the consumption of food or beverages in a cold box or similar facility.</w:t>
      </w:r>
    </w:p>
    <w:p>
      <w:pPr>
        <w:spacing w:after="0" w:line="153"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10.7</w:t>
      </w:r>
      <w:r>
        <w:rPr>
          <w:sz w:val="20"/>
          <w:szCs w:val="20"/>
          <w:color w:val="auto"/>
        </w:rPr>
        <w:tab/>
      </w:r>
      <w:r>
        <w:rPr>
          <w:rFonts w:ascii="Arial" w:cs="Arial" w:eastAsia="Arial" w:hAnsi="Arial"/>
          <w:sz w:val="14"/>
          <w:szCs w:val="14"/>
          <w:b w:val="1"/>
          <w:bCs w:val="1"/>
          <w:color w:val="auto"/>
        </w:rPr>
        <w:t>Service Interruptions</w:t>
      </w:r>
      <w:r>
        <w:rPr>
          <w:rFonts w:ascii="Arial" w:cs="Arial" w:eastAsia="Arial" w:hAnsi="Arial"/>
          <w:sz w:val="14"/>
          <w:szCs w:val="14"/>
          <w:color w:val="auto"/>
        </w:rPr>
        <w:t>.</w:t>
      </w:r>
    </w:p>
    <w:p>
      <w:pPr>
        <w:spacing w:after="0" w:line="211" w:lineRule="exact"/>
        <w:rPr>
          <w:sz w:val="20"/>
          <w:szCs w:val="20"/>
          <w:color w:val="auto"/>
        </w:rPr>
      </w:pPr>
    </w:p>
    <w:p>
      <w:pPr>
        <w:ind w:left="2" w:right="20" w:firstLine="1172"/>
        <w:spacing w:after="0" w:line="276" w:lineRule="auto"/>
        <w:tabs>
          <w:tab w:leader="none" w:pos="1760" w:val="left"/>
        </w:tabs>
        <w:numPr>
          <w:ilvl w:val="1"/>
          <w:numId w:val="471"/>
        </w:numPr>
        <w:rPr>
          <w:rFonts w:ascii="Arial" w:cs="Arial" w:eastAsia="Arial" w:hAnsi="Arial"/>
          <w:sz w:val="15"/>
          <w:szCs w:val="15"/>
          <w:color w:val="auto"/>
        </w:rPr>
      </w:pPr>
      <w:r>
        <w:rPr>
          <w:rFonts w:ascii="Arial" w:cs="Arial" w:eastAsia="Arial" w:hAnsi="Arial"/>
          <w:sz w:val="15"/>
          <w:szCs w:val="15"/>
          <w:u w:val="single" w:color="auto"/>
          <w:color w:val="auto"/>
        </w:rPr>
        <w:t>Abatement of Rent</w:t>
      </w:r>
      <w:r>
        <w:rPr>
          <w:rFonts w:ascii="Arial" w:cs="Arial" w:eastAsia="Arial" w:hAnsi="Arial"/>
          <w:sz w:val="15"/>
          <w:szCs w:val="15"/>
          <w:color w:val="auto"/>
        </w:rPr>
        <w:t>. In the event that: (i) there shall be an interruption, curtailment or suspension of any service or failure to perform any obligation required to be provided or performed by Landlord pursuant to Sections 9 and/or 10 (and no reasonably equivalent alternative service or supply is provided by Landlord) that shall materially interfere with Tenant’s use and enjoyment of the Premises, or any portion thereof (any such event, a “</w:t>
      </w:r>
      <w:r>
        <w:rPr>
          <w:rFonts w:ascii="Arial" w:cs="Arial" w:eastAsia="Arial" w:hAnsi="Arial"/>
          <w:sz w:val="15"/>
          <w:szCs w:val="15"/>
          <w:b w:val="1"/>
          <w:bCs w:val="1"/>
          <w:u w:val="single" w:color="auto"/>
          <w:color w:val="auto"/>
        </w:rPr>
        <w:t>Service Interruption</w:t>
      </w:r>
      <w:r>
        <w:rPr>
          <w:rFonts w:ascii="Arial" w:cs="Arial" w:eastAsia="Arial" w:hAnsi="Arial"/>
          <w:sz w:val="15"/>
          <w:szCs w:val="15"/>
          <w:color w:val="auto"/>
        </w:rPr>
        <w:t>”), and (ii) such Service Interruption shall continue for five (5) consecutive business days following receipt by Landlord of written notice (the “</w:t>
      </w:r>
      <w:r>
        <w:rPr>
          <w:rFonts w:ascii="Arial" w:cs="Arial" w:eastAsia="Arial" w:hAnsi="Arial"/>
          <w:sz w:val="15"/>
          <w:szCs w:val="15"/>
          <w:b w:val="1"/>
          <w:bCs w:val="1"/>
          <w:u w:val="single" w:color="auto"/>
          <w:color w:val="auto"/>
        </w:rPr>
        <w:t>Service Interruption Notice</w:t>
      </w:r>
      <w:r>
        <w:rPr>
          <w:rFonts w:ascii="Arial" w:cs="Arial" w:eastAsia="Arial" w:hAnsi="Arial"/>
          <w:sz w:val="15"/>
          <w:szCs w:val="15"/>
          <w:color w:val="auto"/>
        </w:rPr>
        <w:t>”) from Tenant describing such Service Interruption (“</w:t>
      </w:r>
      <w:r>
        <w:rPr>
          <w:rFonts w:ascii="Arial" w:cs="Arial" w:eastAsia="Arial" w:hAnsi="Arial"/>
          <w:sz w:val="15"/>
          <w:szCs w:val="15"/>
          <w:b w:val="1"/>
          <w:bCs w:val="1"/>
          <w:u w:val="single" w:color="auto"/>
          <w:color w:val="auto"/>
        </w:rPr>
        <w:t>Abatement Service Interruption Cure Period</w:t>
      </w:r>
      <w:r>
        <w:rPr>
          <w:rFonts w:ascii="Arial" w:cs="Arial" w:eastAsia="Arial" w:hAnsi="Arial"/>
          <w:sz w:val="15"/>
          <w:szCs w:val="15"/>
          <w:color w:val="auto"/>
        </w:rPr>
        <w:t>”). and (iii) such Service Interruption shall not have been caused by an act or omission of Tenant or Tenant’s agents, employees, contractors or invitees (an event that satisfies the foregoing conditions (i)-(iii) being referred to hereinafter as a “</w:t>
      </w:r>
      <w:r>
        <w:rPr>
          <w:rFonts w:ascii="Arial" w:cs="Arial" w:eastAsia="Arial" w:hAnsi="Arial"/>
          <w:sz w:val="15"/>
          <w:szCs w:val="15"/>
          <w:b w:val="1"/>
          <w:bCs w:val="1"/>
          <w:u w:val="single" w:color="auto"/>
          <w:color w:val="auto"/>
        </w:rPr>
        <w:t>Material Service Interruption</w:t>
      </w:r>
      <w:r>
        <w:rPr>
          <w:rFonts w:ascii="Arial" w:cs="Arial" w:eastAsia="Arial" w:hAnsi="Arial"/>
          <w:sz w:val="15"/>
          <w:szCs w:val="15"/>
          <w:color w:val="auto"/>
        </w:rPr>
        <w:t>”) then, Tenant, subject to the next following sentence, shall be entitled to an equitable abatement of Base Rent, Operating Costs and Taxes based on the nature and duration of the Material Service Interruption and the area of the Premises affected, for any and all days following the Abatement Service Interruption Cure Period that both (x) the Material Service Interruption is continuing and (y) Tenant does not use such affected areas of the Premises for a bona fide business purpose. The Abatement Service Interruption Cure Period shall be extended by reason of any delays in Landlord’s ability to cure the Service Interruption in question caused by Force Majeure, as defined in Section 25.19, provided however, that in no event shall the Abatement Service Interruption Cure Period with respect to any Service Interruption be longer than twelve (12) consecutive business days after Landlord receives the applicable Service Interruption Notice.</w:t>
      </w:r>
    </w:p>
    <w:p>
      <w:pPr>
        <w:spacing w:after="0" w:line="162" w:lineRule="exact"/>
        <w:rPr>
          <w:rFonts w:ascii="Arial" w:cs="Arial" w:eastAsia="Arial" w:hAnsi="Arial"/>
          <w:sz w:val="15"/>
          <w:szCs w:val="15"/>
          <w:color w:val="auto"/>
        </w:rPr>
      </w:pPr>
    </w:p>
    <w:p>
      <w:pPr>
        <w:ind w:left="1762" w:hanging="588"/>
        <w:spacing w:after="0"/>
        <w:tabs>
          <w:tab w:leader="none" w:pos="1762" w:val="left"/>
        </w:tabs>
        <w:numPr>
          <w:ilvl w:val="1"/>
          <w:numId w:val="471"/>
        </w:numPr>
        <w:rPr>
          <w:rFonts w:ascii="Arial" w:cs="Arial" w:eastAsia="Arial" w:hAnsi="Arial"/>
          <w:sz w:val="15"/>
          <w:szCs w:val="15"/>
          <w:color w:val="auto"/>
        </w:rPr>
      </w:pPr>
      <w:r>
        <w:rPr>
          <w:rFonts w:ascii="Arial" w:cs="Arial" w:eastAsia="Arial" w:hAnsi="Arial"/>
          <w:sz w:val="15"/>
          <w:szCs w:val="15"/>
          <w:u w:val="single" w:color="auto"/>
          <w:color w:val="auto"/>
        </w:rPr>
        <w:t>Tenant’s Termination Right</w:t>
      </w:r>
      <w:r>
        <w:rPr>
          <w:rFonts w:ascii="Arial" w:cs="Arial" w:eastAsia="Arial" w:hAnsi="Arial"/>
          <w:sz w:val="15"/>
          <w:szCs w:val="15"/>
          <w:color w:val="auto"/>
        </w:rPr>
        <w:t>. In the event that: (i) a Service Interruption occurs, and (ii) such Service Interruption continues for a period of ninety</w:t>
      </w:r>
    </w:p>
    <w:p>
      <w:pPr>
        <w:spacing w:after="0" w:line="34" w:lineRule="exact"/>
        <w:rPr>
          <w:rFonts w:ascii="Arial" w:cs="Arial" w:eastAsia="Arial" w:hAnsi="Arial"/>
          <w:sz w:val="15"/>
          <w:szCs w:val="15"/>
          <w:color w:val="auto"/>
        </w:rPr>
      </w:pPr>
    </w:p>
    <w:p>
      <w:pPr>
        <w:ind w:left="2" w:hanging="2"/>
        <w:spacing w:after="0" w:line="260" w:lineRule="auto"/>
        <w:tabs>
          <w:tab w:leader="none" w:pos="314" w:val="left"/>
        </w:tabs>
        <w:numPr>
          <w:ilvl w:val="0"/>
          <w:numId w:val="472"/>
        </w:numPr>
        <w:rPr>
          <w:rFonts w:ascii="Arial" w:cs="Arial" w:eastAsia="Arial" w:hAnsi="Arial"/>
          <w:sz w:val="16"/>
          <w:szCs w:val="16"/>
          <w:color w:val="auto"/>
        </w:rPr>
      </w:pPr>
      <w:r>
        <w:rPr>
          <w:rFonts w:ascii="Arial" w:cs="Arial" w:eastAsia="Arial" w:hAnsi="Arial"/>
          <w:sz w:val="16"/>
          <w:szCs w:val="16"/>
          <w:color w:val="auto"/>
        </w:rPr>
        <w:t>consecutive days after Landlord receives a Service Interruption Notice with respect to such Service Interruption (“</w:t>
      </w:r>
      <w:r>
        <w:rPr>
          <w:rFonts w:ascii="Arial" w:cs="Arial" w:eastAsia="Arial" w:hAnsi="Arial"/>
          <w:sz w:val="16"/>
          <w:szCs w:val="16"/>
          <w:b w:val="1"/>
          <w:bCs w:val="1"/>
          <w:u w:val="single" w:color="auto"/>
          <w:color w:val="auto"/>
        </w:rPr>
        <w:t>Termination Service Interruption Cure Period</w:t>
      </w:r>
      <w:r>
        <w:rPr>
          <w:rFonts w:ascii="Arial" w:cs="Arial" w:eastAsia="Arial" w:hAnsi="Arial"/>
          <w:sz w:val="16"/>
          <w:szCs w:val="16"/>
          <w:color w:val="auto"/>
        </w:rPr>
        <w:t>”), and (iii) such Service Interruption shall not have been caused by an act or omission of Tenant or Tenant’s agents, employees, contractors or invitees, and (iv) for so long as Tenant ceases to use the affected portion of the Premises during such Service Interruption, then Tenant shall have the right to terminate this Lease by giving a written termination notice to Landlord after the expiration of the Termination Service Interruption</w:t>
      </w:r>
    </w:p>
    <w:p>
      <w:pPr>
        <w:spacing w:after="0" w:line="16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95" w:name="page496"/>
    <w:bookmarkEnd w:id="495"/>
    <w:p>
      <w:pPr>
        <w:ind w:left="2"/>
        <w:spacing w:after="0" w:line="264" w:lineRule="auto"/>
        <w:rPr>
          <w:sz w:val="20"/>
          <w:szCs w:val="20"/>
          <w:color w:val="auto"/>
        </w:rPr>
      </w:pPr>
      <w:r>
        <w:rPr>
          <w:rFonts w:ascii="Arial" w:cs="Arial" w:eastAsia="Arial" w:hAnsi="Arial"/>
          <w:sz w:val="16"/>
          <w:szCs w:val="16"/>
          <w:color w:val="auto"/>
        </w:rPr>
        <w:t>Cure Period. If such Service Interruption is cured within ten (10) days (“</w:t>
      </w:r>
      <w:r>
        <w:rPr>
          <w:rFonts w:ascii="Arial" w:cs="Arial" w:eastAsia="Arial" w:hAnsi="Arial"/>
          <w:sz w:val="16"/>
          <w:szCs w:val="16"/>
          <w:b w:val="1"/>
          <w:bCs w:val="1"/>
          <w:u w:val="single" w:color="auto"/>
          <w:color w:val="auto"/>
        </w:rPr>
        <w:t>Post-Termination Notice Cure Period</w:t>
      </w:r>
      <w:r>
        <w:rPr>
          <w:rFonts w:ascii="Arial" w:cs="Arial" w:eastAsia="Arial" w:hAnsi="Arial"/>
          <w:sz w:val="16"/>
          <w:szCs w:val="16"/>
          <w:color w:val="auto"/>
        </w:rPr>
        <w:t>”) after Landlord receives such termination notice, then Tenant shall have no right to terminate this Lease based upon such Service Interruption and Tenant’s termination notice shall be of no force or effect. The Termination Service Interruption Cure Period and the Post-Termination Notice Cure Period shall each be extended by reason of any delays in Landlord’s ability to cure the Service Interruption in question caused by Landlord’s Force Majeure, provided however, that in no event shall the aggregate extension of the Termination Service Interruption Cure Period and the Post-Termination Notice Cure Period by reason of Landlord’s Force Majeure exceed sixty (60) days.</w:t>
      </w:r>
    </w:p>
    <w:p>
      <w:pPr>
        <w:spacing w:after="0" w:line="166" w:lineRule="exact"/>
        <w:rPr>
          <w:sz w:val="20"/>
          <w:szCs w:val="20"/>
          <w:color w:val="auto"/>
        </w:rPr>
      </w:pPr>
    </w:p>
    <w:p>
      <w:pPr>
        <w:ind w:left="1762" w:hanging="588"/>
        <w:spacing w:after="0"/>
        <w:tabs>
          <w:tab w:leader="none" w:pos="1762" w:val="left"/>
        </w:tabs>
        <w:numPr>
          <w:ilvl w:val="1"/>
          <w:numId w:val="473"/>
        </w:numPr>
        <w:rPr>
          <w:rFonts w:ascii="Arial" w:cs="Arial" w:eastAsia="Arial" w:hAnsi="Arial"/>
          <w:sz w:val="15"/>
          <w:szCs w:val="15"/>
          <w:color w:val="auto"/>
        </w:rPr>
      </w:pPr>
      <w:r>
        <w:rPr>
          <w:rFonts w:ascii="Arial" w:cs="Arial" w:eastAsia="Arial" w:hAnsi="Arial"/>
          <w:sz w:val="15"/>
          <w:szCs w:val="15"/>
          <w:color w:val="auto"/>
        </w:rPr>
        <w:t>The provisions of this Section 10.7 shall not apply in the event of a Service Interruption caused by Casualty or Taking (see Section 15 hereof).</w:t>
      </w:r>
    </w:p>
    <w:p>
      <w:pPr>
        <w:spacing w:after="0" w:line="218" w:lineRule="exact"/>
        <w:rPr>
          <w:rFonts w:ascii="Arial" w:cs="Arial" w:eastAsia="Arial" w:hAnsi="Arial"/>
          <w:sz w:val="15"/>
          <w:szCs w:val="15"/>
          <w:color w:val="auto"/>
        </w:rPr>
      </w:pPr>
    </w:p>
    <w:p>
      <w:pPr>
        <w:ind w:left="1762" w:hanging="588"/>
        <w:spacing w:after="0"/>
        <w:tabs>
          <w:tab w:leader="none" w:pos="1762" w:val="left"/>
        </w:tabs>
        <w:numPr>
          <w:ilvl w:val="1"/>
          <w:numId w:val="473"/>
        </w:numPr>
        <w:rPr>
          <w:rFonts w:ascii="Arial" w:cs="Arial" w:eastAsia="Arial" w:hAnsi="Arial"/>
          <w:sz w:val="15"/>
          <w:szCs w:val="15"/>
          <w:color w:val="auto"/>
        </w:rPr>
      </w:pPr>
      <w:r>
        <w:rPr>
          <w:rFonts w:ascii="Arial" w:cs="Arial" w:eastAsia="Arial" w:hAnsi="Arial"/>
          <w:sz w:val="15"/>
          <w:szCs w:val="15"/>
          <w:color w:val="auto"/>
        </w:rPr>
        <w:t>The provisions of this Section 10.7 set forth Tenant’s sole rights and remedies, both in law and in equity, in the event of any Service Interruption</w:t>
      </w:r>
    </w:p>
    <w:p>
      <w:pPr>
        <w:spacing w:after="0" w:line="214" w:lineRule="exact"/>
        <w:rPr>
          <w:rFonts w:ascii="Arial" w:cs="Arial" w:eastAsia="Arial" w:hAnsi="Arial"/>
          <w:sz w:val="15"/>
          <w:szCs w:val="15"/>
          <w:color w:val="auto"/>
        </w:rPr>
      </w:pPr>
    </w:p>
    <w:p>
      <w:pPr>
        <w:ind w:left="582" w:right="6900" w:hanging="582"/>
        <w:spacing w:after="0" w:line="512" w:lineRule="auto"/>
        <w:tabs>
          <w:tab w:leader="none" w:pos="569" w:val="left"/>
        </w:tabs>
        <w:numPr>
          <w:ilvl w:val="0"/>
          <w:numId w:val="474"/>
        </w:numPr>
        <w:rPr>
          <w:rFonts w:ascii="Arial" w:cs="Arial" w:eastAsia="Arial" w:hAnsi="Arial"/>
          <w:sz w:val="16"/>
          <w:szCs w:val="16"/>
          <w:b w:val="1"/>
          <w:bCs w:val="1"/>
          <w:color w:val="auto"/>
        </w:rPr>
      </w:pPr>
      <w:r>
        <w:rPr>
          <w:rFonts w:ascii="Arial" w:cs="Arial" w:eastAsia="Arial" w:hAnsi="Arial"/>
          <w:sz w:val="16"/>
          <w:szCs w:val="16"/>
          <w:b w:val="1"/>
          <w:bCs w:val="1"/>
          <w:color w:val="auto"/>
        </w:rPr>
        <w:t>ALTERATIONS AND IMPROVEMENTS BY TENANT 11.1 Landlord’s Consent Required</w:t>
      </w:r>
      <w:r>
        <w:rPr>
          <w:rFonts w:ascii="Arial" w:cs="Arial" w:eastAsia="Arial" w:hAnsi="Arial"/>
          <w:sz w:val="16"/>
          <w:szCs w:val="16"/>
          <w:color w:val="auto"/>
        </w:rPr>
        <w:t>.</w:t>
      </w:r>
    </w:p>
    <w:p>
      <w:pPr>
        <w:spacing w:after="0" w:line="1" w:lineRule="exact"/>
        <w:rPr>
          <w:rFonts w:ascii="Arial" w:cs="Arial" w:eastAsia="Arial" w:hAnsi="Arial"/>
          <w:sz w:val="16"/>
          <w:szCs w:val="16"/>
          <w:b w:val="1"/>
          <w:bCs w:val="1"/>
          <w:color w:val="auto"/>
        </w:rPr>
      </w:pPr>
    </w:p>
    <w:p>
      <w:pPr>
        <w:ind w:left="2" w:right="20" w:firstLine="1172"/>
        <w:spacing w:after="0" w:line="294" w:lineRule="auto"/>
        <w:tabs>
          <w:tab w:leader="none" w:pos="1760" w:val="left"/>
        </w:tabs>
        <w:numPr>
          <w:ilvl w:val="1"/>
          <w:numId w:val="474"/>
        </w:numPr>
        <w:rPr>
          <w:rFonts w:ascii="Arial" w:cs="Arial" w:eastAsia="Arial" w:hAnsi="Arial"/>
          <w:sz w:val="14"/>
          <w:szCs w:val="14"/>
          <w:color w:val="auto"/>
        </w:rPr>
      </w:pPr>
      <w:r>
        <w:rPr>
          <w:rFonts w:ascii="Arial" w:cs="Arial" w:eastAsia="Arial" w:hAnsi="Arial"/>
          <w:sz w:val="14"/>
          <w:szCs w:val="14"/>
          <w:color w:val="auto"/>
        </w:rPr>
        <w:t>Except for Permitted Alterations, as defined in Section 11.1 (b), Tenant shall not make any alterations, decorations installations, removals, additions or improvements (collectively, “</w:t>
      </w:r>
      <w:r>
        <w:rPr>
          <w:rFonts w:ascii="Arial" w:cs="Arial" w:eastAsia="Arial" w:hAnsi="Arial"/>
          <w:sz w:val="14"/>
          <w:szCs w:val="14"/>
          <w:b w:val="1"/>
          <w:bCs w:val="1"/>
          <w:u w:val="single" w:color="auto"/>
          <w:color w:val="auto"/>
        </w:rPr>
        <w:t>Alterations</w:t>
      </w:r>
      <w:r>
        <w:rPr>
          <w:rFonts w:ascii="Arial" w:cs="Arial" w:eastAsia="Arial" w:hAnsi="Arial"/>
          <w:sz w:val="14"/>
          <w:szCs w:val="14"/>
          <w:color w:val="auto"/>
        </w:rPr>
        <w:t>”) in or to the Premises without Landlord’s prior written approval of the contractor(s), written plans and specifications (“</w:t>
      </w:r>
      <w:r>
        <w:rPr>
          <w:rFonts w:ascii="Arial" w:cs="Arial" w:eastAsia="Arial" w:hAnsi="Arial"/>
          <w:sz w:val="14"/>
          <w:szCs w:val="14"/>
          <w:b w:val="1"/>
          <w:bCs w:val="1"/>
          <w:u w:val="single" w:color="auto"/>
          <w:color w:val="auto"/>
        </w:rPr>
        <w:t>Tenant’s</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Plans</w:t>
      </w:r>
      <w:r>
        <w:rPr>
          <w:rFonts w:ascii="Arial" w:cs="Arial" w:eastAsia="Arial" w:hAnsi="Arial"/>
          <w:sz w:val="14"/>
          <w:szCs w:val="14"/>
          <w:color w:val="auto"/>
        </w:rPr>
        <w:t>”) and a time schedule therefor. Landlord reserves the right to require that Tenant use Landlord’s preferred vendor(s) for any Alterations that involve roof penetrations,</w:t>
      </w:r>
      <w:r>
        <w:rPr>
          <w:rFonts w:ascii="Arial" w:cs="Arial" w:eastAsia="Arial" w:hAnsi="Arial"/>
          <w:sz w:val="14"/>
          <w:szCs w:val="14"/>
          <w:b w:val="1"/>
          <w:bCs w:val="1"/>
          <w:color w:val="auto"/>
        </w:rPr>
        <w:t xml:space="preserve"> </w:t>
      </w:r>
      <w:r>
        <w:rPr>
          <w:rFonts w:ascii="Arial" w:cs="Arial" w:eastAsia="Arial" w:hAnsi="Arial"/>
          <w:sz w:val="14"/>
          <w:szCs w:val="14"/>
          <w:color w:val="auto"/>
        </w:rPr>
        <w:t>alarm tie-ins, sprinklers, fire alarm and other life safety equipment. Tenant shall not make any amendments or additions to plans and specifications approved by Landlord without Landlord’s prior written consent. Landlord’s approval of nonstructural Alterations shall not be unreasonably withheld, conditioned or delayed. Notwithstanding the foregoing, Landlord may withhold its consent in its sole discretion (a) to any Alteration to or affecting the fixed lab benches, fume hoods, roof and/or building systems,</w:t>
      </w:r>
    </w:p>
    <w:p>
      <w:pPr>
        <w:spacing w:after="0" w:line="2" w:lineRule="exact"/>
        <w:rPr>
          <w:rFonts w:ascii="Arial" w:cs="Arial" w:eastAsia="Arial" w:hAnsi="Arial"/>
          <w:sz w:val="14"/>
          <w:szCs w:val="14"/>
          <w:color w:val="auto"/>
        </w:rPr>
      </w:pPr>
    </w:p>
    <w:p>
      <w:pPr>
        <w:ind w:left="2" w:right="60"/>
        <w:spacing w:after="0" w:line="298" w:lineRule="auto"/>
        <w:rPr>
          <w:rFonts w:ascii="Arial" w:cs="Arial" w:eastAsia="Arial" w:hAnsi="Arial"/>
          <w:sz w:val="14"/>
          <w:szCs w:val="14"/>
          <w:color w:val="auto"/>
        </w:rPr>
      </w:pPr>
      <w:r>
        <w:rPr>
          <w:rFonts w:ascii="Arial" w:cs="Arial" w:eastAsia="Arial" w:hAnsi="Arial"/>
          <w:sz w:val="14"/>
          <w:szCs w:val="14"/>
          <w:color w:val="auto"/>
        </w:rPr>
        <w:t>(b) with respect to matters of aesthetics relating to Alterations to or affecting the exterior of the Building, and (c) to any Alteration affecting the Building structure. Tenant shall be responsible for all elements of the design of Tenant’s plans (including, without limitation, compliance with Legal Requirements, functionality of design, the structural integrity of the design, the configuration of the Premises and the placement of Tenant’s furniture, appliances and equipment), and Landlord’s approval of Tenant’s plans shall in no event relieve Tenant of the responsibility for such design. In seeking Landlord’s approval, Tenant shall provide Landlord, at least ten (10) business days in advance of any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 systems), work contracts, requests for laydown areas and such other information concerning the nature and cost of the Alterations as Landlord may reasonably request. Landlord shall, within ten (10) business days after Landlord receives a written request (“</w:t>
      </w:r>
      <w:r>
        <w:rPr>
          <w:rFonts w:ascii="Arial" w:cs="Arial" w:eastAsia="Arial" w:hAnsi="Arial"/>
          <w:sz w:val="14"/>
          <w:szCs w:val="14"/>
          <w:b w:val="1"/>
          <w:bCs w:val="1"/>
          <w:u w:val="single" w:color="auto"/>
          <w:color w:val="auto"/>
        </w:rPr>
        <w:t>Tenant’s Plan Approval Request</w:t>
      </w:r>
      <w:r>
        <w:rPr>
          <w:rFonts w:ascii="Arial" w:cs="Arial" w:eastAsia="Arial" w:hAnsi="Arial"/>
          <w:sz w:val="14"/>
          <w:szCs w:val="14"/>
          <w:color w:val="auto"/>
        </w:rPr>
        <w:t>”) from Tenant requesting Landlord’s approval of Tenant’s Plans, whether Landlord approves or objects to Tenant’s Plans and shall specify in reasonable detail the manner, if any, in which</w:t>
      </w:r>
    </w:p>
    <w:p>
      <w:pPr>
        <w:spacing w:after="0" w:line="14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496" w:name="page497"/>
    <w:bookmarkEnd w:id="496"/>
    <w:p>
      <w:pPr>
        <w:ind w:right="20"/>
        <w:spacing w:after="0" w:line="275" w:lineRule="auto"/>
        <w:rPr>
          <w:sz w:val="20"/>
          <w:szCs w:val="20"/>
          <w:color w:val="auto"/>
        </w:rPr>
      </w:pPr>
      <w:r>
        <w:rPr>
          <w:rFonts w:ascii="Arial" w:cs="Arial" w:eastAsia="Arial" w:hAnsi="Arial"/>
          <w:sz w:val="15"/>
          <w:szCs w:val="15"/>
          <w:color w:val="auto"/>
        </w:rPr>
        <w:t>Tenant’s Plans are unacceptable. Tenant’s Plan Approval Request shall include Tenant’s Plans. If Landlord fails to respond to Tenant’s Plan Approval Request in writing, as required above, within such ten (10) business day period, then Tenant shall have the right to give Landlord a second written notice (“</w:t>
      </w:r>
      <w:r>
        <w:rPr>
          <w:rFonts w:ascii="Arial" w:cs="Arial" w:eastAsia="Arial" w:hAnsi="Arial"/>
          <w:sz w:val="15"/>
          <w:szCs w:val="15"/>
          <w:b w:val="1"/>
          <w:bCs w:val="1"/>
          <w:u w:val="single" w:color="auto"/>
          <w:color w:val="auto"/>
        </w:rPr>
        <w:t>Reminder Notice</w:t>
      </w:r>
      <w:r>
        <w:rPr>
          <w:rFonts w:ascii="Arial" w:cs="Arial" w:eastAsia="Arial" w:hAnsi="Arial"/>
          <w:sz w:val="15"/>
          <w:szCs w:val="15"/>
          <w:color w:val="auto"/>
        </w:rPr>
        <w:t xml:space="preserve">”) requesting Landlord’s approval of Tenant’s Plans. If Landlord fails to respond to Tenant’s Plan Approval Request within five (5) business days after Landlord’s receipt of such Reminder Notice, Landlord shall be deemed to have approved Tenant’s Plan Approval Request, but only if such Reminder Notice includes a statement, in </w:t>
      </w:r>
      <w:r>
        <w:rPr>
          <w:rFonts w:ascii="Arial" w:cs="Arial" w:eastAsia="Arial" w:hAnsi="Arial"/>
          <w:sz w:val="15"/>
          <w:szCs w:val="15"/>
          <w:b w:val="1"/>
          <w:bCs w:val="1"/>
          <w:color w:val="auto"/>
        </w:rPr>
        <w:t>14 POINT BOLD TYPE,</w:t>
      </w:r>
      <w:r>
        <w:rPr>
          <w:rFonts w:ascii="Arial" w:cs="Arial" w:eastAsia="Arial" w:hAnsi="Arial"/>
          <w:sz w:val="15"/>
          <w:szCs w:val="15"/>
          <w:color w:val="auto"/>
        </w:rPr>
        <w:t xml:space="preserve"> </w:t>
      </w:r>
      <w:r>
        <w:rPr>
          <w:rFonts w:ascii="Arial" w:cs="Arial" w:eastAsia="Arial" w:hAnsi="Arial"/>
          <w:sz w:val="15"/>
          <w:szCs w:val="15"/>
          <w:b w:val="1"/>
          <w:bCs w:val="1"/>
          <w:color w:val="auto"/>
        </w:rPr>
        <w:t>REFERRING TO THIS SECTION 11.1 AND ADVISING LANDLORD THAT, IF LANDLORD FAILS RESPOND TO TENANT’S PLAN APPROVAL REQUEST</w:t>
      </w:r>
    </w:p>
    <w:p>
      <w:pPr>
        <w:spacing w:after="0" w:line="2"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b w:val="1"/>
          <w:bCs w:val="1"/>
          <w:color w:val="auto"/>
        </w:rPr>
        <w:t xml:space="preserve">DATED WITHIN FIVE (5) BUSINESS DAYS AFTER LANDLORD’S RECEIPT OF REMINDER NOTICE, THEN SUCH TENANT’S PLAN APPROVAL REQUEST SHALL BE DEEMED TO BE APPROVED. </w:t>
      </w:r>
      <w:r>
        <w:rPr>
          <w:rFonts w:ascii="Arial" w:cs="Arial" w:eastAsia="Arial" w:hAnsi="Arial"/>
          <w:sz w:val="15"/>
          <w:szCs w:val="15"/>
          <w:color w:val="auto"/>
        </w:rPr>
        <w:t>Landlord shall have no liability or responsibility for any claim, injury or damage alleged to have been caused by</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particular materials (whether building standard or non-building standard), appliances or equipment selected by Tenant in connection with any work performed by or on behalf of Tenant. Except as otherwise expressly set forth herein, all Alterations shall be done at Tenant’s sole cost and expense and at such times and in such manner as Landlord may from time to time reasonably designate. If Tenant shall make any Alterations, then Landlord may elect to require Tenant at the expiration or sooner termination of the Term to restore the Premises to substantially the same condition as existed immediately prior to the Alterations. If requested by Tenant in Tenant’s Plan Approval Request, or Permitted Alterations Notice, as the case may be, Landlord shall make such election at the time Landlord approves such Alterations or, for Permitted Alterations, at the time that Landlord responds in writing to Tenant’s Plan Approval Request or within five (5) business days after Landlord receives such Permitted Alterations Notice, as the case may be. Tenant shall provide Landlord with reproducible record drawings (in CAD format) of all Alterations within sixty (60) days after completion thereof.</w:t>
      </w:r>
    </w:p>
    <w:p>
      <w:pPr>
        <w:spacing w:after="0" w:line="156" w:lineRule="exact"/>
        <w:rPr>
          <w:sz w:val="20"/>
          <w:szCs w:val="20"/>
          <w:color w:val="auto"/>
        </w:rPr>
      </w:pPr>
    </w:p>
    <w:p>
      <w:pPr>
        <w:ind w:firstLine="1172"/>
        <w:spacing w:after="0" w:line="278" w:lineRule="auto"/>
        <w:tabs>
          <w:tab w:leader="none" w:pos="1767" w:val="left"/>
        </w:tabs>
        <w:numPr>
          <w:ilvl w:val="0"/>
          <w:numId w:val="475"/>
        </w:numPr>
        <w:rPr>
          <w:rFonts w:ascii="Arial" w:cs="Arial" w:eastAsia="Arial" w:hAnsi="Arial"/>
          <w:sz w:val="15"/>
          <w:szCs w:val="15"/>
          <w:color w:val="auto"/>
        </w:rPr>
      </w:pPr>
      <w:r>
        <w:rPr>
          <w:rFonts w:ascii="Arial" w:cs="Arial" w:eastAsia="Arial" w:hAnsi="Arial"/>
          <w:sz w:val="15"/>
          <w:szCs w:val="15"/>
          <w:u w:val="single" w:color="auto"/>
          <w:color w:val="auto"/>
        </w:rPr>
        <w:t>Permitted Alterations</w:t>
      </w:r>
      <w:r>
        <w:rPr>
          <w:rFonts w:ascii="Arial" w:cs="Arial" w:eastAsia="Arial" w:hAnsi="Arial"/>
          <w:sz w:val="15"/>
          <w:szCs w:val="15"/>
          <w:color w:val="auto"/>
        </w:rPr>
        <w:t>. Tenant shall have the right, without obtaining the prior consent of Landlord but upon written notice (“</w:t>
      </w:r>
      <w:r>
        <w:rPr>
          <w:rFonts w:ascii="Arial" w:cs="Arial" w:eastAsia="Arial" w:hAnsi="Arial"/>
          <w:sz w:val="15"/>
          <w:szCs w:val="15"/>
          <w:b w:val="1"/>
          <w:bCs w:val="1"/>
          <w:u w:val="single" w:color="auto"/>
          <w:color w:val="auto"/>
        </w:rPr>
        <w:t>Permitted Alterations</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Notice</w:t>
      </w:r>
      <w:r>
        <w:rPr>
          <w:rFonts w:ascii="Arial" w:cs="Arial" w:eastAsia="Arial" w:hAnsi="Arial"/>
          <w:sz w:val="15"/>
          <w:szCs w:val="15"/>
          <w:color w:val="auto"/>
        </w:rPr>
        <w:t>”) to Landlord given ten (10) days prior to the commencement of any work, to make alterations, additions or improvements, including, without limitation, cosmetic</w:t>
      </w:r>
      <w:r>
        <w:rPr>
          <w:rFonts w:ascii="Arial" w:cs="Arial" w:eastAsia="Arial" w:hAnsi="Arial"/>
          <w:sz w:val="15"/>
          <w:szCs w:val="15"/>
          <w:b w:val="1"/>
          <w:bCs w:val="1"/>
          <w:color w:val="auto"/>
        </w:rPr>
        <w:t xml:space="preserve"> </w:t>
      </w:r>
      <w:r>
        <w:rPr>
          <w:rFonts w:ascii="Arial" w:cs="Arial" w:eastAsia="Arial" w:hAnsi="Arial"/>
          <w:sz w:val="15"/>
          <w:szCs w:val="15"/>
          <w:color w:val="auto"/>
        </w:rPr>
        <w:t>decorations such as painting, wall papering, carpeting or hanging pictures to the Premises (collectively, “</w:t>
      </w:r>
      <w:r>
        <w:rPr>
          <w:rFonts w:ascii="Arial" w:cs="Arial" w:eastAsia="Arial" w:hAnsi="Arial"/>
          <w:sz w:val="15"/>
          <w:szCs w:val="15"/>
          <w:b w:val="1"/>
          <w:bCs w:val="1"/>
          <w:u w:val="single" w:color="auto"/>
          <w:color w:val="auto"/>
        </w:rPr>
        <w:t>Permitted Alterations</w:t>
      </w:r>
      <w:r>
        <w:rPr>
          <w:rFonts w:ascii="Arial" w:cs="Arial" w:eastAsia="Arial" w:hAnsi="Arial"/>
          <w:sz w:val="15"/>
          <w:szCs w:val="15"/>
          <w:color w:val="auto"/>
        </w:rPr>
        <w:t>”) where the same: (i) are within the interior of the Premises within the Building, do not affect the exterior of the Premises and the Building (including no signs on windows), and are not visible from the exterior of the Building; (ii) do not affect the roof, any structural element of the Building, or the mechanical, electrical, plumbing, heating, ventilating, air-conditioning, fire protection systems, or other common systems of the Building, and (iii) cost Fifty Thousand ($50,000.00) Dollars or less. The Permitted Alterations Notice shall include any plans and/or specifications used by Tenant in making the Permitted Alterations in question, and, if Tenant is not using plans and/or specifications, then the Permitted Alterations Notice shall specify the nature of the work in reasonable detail. In making any Permitted Alterations, Tenant shall comply with all provisions of the Lease applicable to the performance of any Alterations by Tenant, except to the extent inconsistent with the provisions of this Section 11.1(b).</w:t>
      </w:r>
    </w:p>
    <w:p>
      <w:pPr>
        <w:spacing w:after="0" w:line="158" w:lineRule="exact"/>
        <w:rPr>
          <w:sz w:val="20"/>
          <w:szCs w:val="20"/>
          <w:color w:val="auto"/>
        </w:rPr>
      </w:pPr>
    </w:p>
    <w:p>
      <w:pPr>
        <w:ind w:right="540" w:firstLine="587"/>
        <w:spacing w:after="0" w:line="290" w:lineRule="auto"/>
        <w:rPr>
          <w:sz w:val="20"/>
          <w:szCs w:val="20"/>
          <w:color w:val="auto"/>
        </w:rPr>
      </w:pPr>
      <w:r>
        <w:rPr>
          <w:rFonts w:ascii="Arial" w:cs="Arial" w:eastAsia="Arial" w:hAnsi="Arial"/>
          <w:sz w:val="16"/>
          <w:szCs w:val="16"/>
          <w:b w:val="1"/>
          <w:bCs w:val="1"/>
          <w:color w:val="auto"/>
        </w:rPr>
        <w:t>11.2 Supervised Work</w:t>
      </w:r>
      <w:r>
        <w:rPr>
          <w:rFonts w:ascii="Arial" w:cs="Arial" w:eastAsia="Arial" w:hAnsi="Arial"/>
          <w:sz w:val="16"/>
          <w:szCs w:val="16"/>
          <w:color w:val="auto"/>
        </w:rPr>
        <w:t>. Landlord and Tenant recognize that to the extent Landlord permits Tenant to perform any Alterations outside the Premises and/or</w:t>
      </w:r>
      <w:r>
        <w:rPr>
          <w:rFonts w:ascii="Arial" w:cs="Arial" w:eastAsia="Arial" w:hAnsi="Arial"/>
          <w:sz w:val="16"/>
          <w:szCs w:val="16"/>
          <w:b w:val="1"/>
          <w:bCs w:val="1"/>
          <w:color w:val="auto"/>
        </w:rPr>
        <w:t xml:space="preserve"> </w:t>
      </w:r>
      <w:r>
        <w:rPr>
          <w:rFonts w:ascii="Arial" w:cs="Arial" w:eastAsia="Arial" w:hAnsi="Arial"/>
          <w:sz w:val="16"/>
          <w:szCs w:val="16"/>
          <w:color w:val="auto"/>
        </w:rPr>
        <w:t>affecting the Building systems, or if required by Legal Requirements, Landlord will need to make arrangements to have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497" w:name="page498"/>
    <w:bookmarkEnd w:id="497"/>
    <w:p>
      <w:pPr>
        <w:jc w:val="both"/>
        <w:ind w:left="2" w:right="160"/>
        <w:spacing w:after="0" w:line="296" w:lineRule="auto"/>
        <w:rPr>
          <w:sz w:val="20"/>
          <w:szCs w:val="20"/>
          <w:color w:val="auto"/>
        </w:rPr>
      </w:pPr>
      <w:r>
        <w:rPr>
          <w:rFonts w:ascii="Arial" w:cs="Arial" w:eastAsia="Arial" w:hAnsi="Arial"/>
          <w:sz w:val="15"/>
          <w:szCs w:val="15"/>
          <w:color w:val="auto"/>
        </w:rPr>
        <w:t>supervisory personnel on site. Accordingly, Landlord and Tenant agree as follows: Tenant shall give Landlord at least two (2) business days’ prior written notice of any time outside of normal construction hours when Tenant intends to perform portions of Alterations (the “</w:t>
      </w:r>
      <w:r>
        <w:rPr>
          <w:rFonts w:ascii="Arial" w:cs="Arial" w:eastAsia="Arial" w:hAnsi="Arial"/>
          <w:sz w:val="15"/>
          <w:szCs w:val="15"/>
          <w:b w:val="1"/>
          <w:bCs w:val="1"/>
          <w:u w:val="single" w:color="auto"/>
          <w:color w:val="auto"/>
        </w:rPr>
        <w:t>Supervised Work</w:t>
      </w:r>
      <w:r>
        <w:rPr>
          <w:rFonts w:ascii="Arial" w:cs="Arial" w:eastAsia="Arial" w:hAnsi="Arial"/>
          <w:sz w:val="15"/>
          <w:szCs w:val="15"/>
          <w:color w:val="auto"/>
        </w:rPr>
        <w:t>”). Tenant shall reimburse Landlord, within thirty (30) days after demand therefor, for the reasonable cost of Landlord’s supervisory personnel overseeing the Supervised Work.</w:t>
      </w:r>
    </w:p>
    <w:p>
      <w:pPr>
        <w:spacing w:after="0" w:line="140" w:lineRule="exact"/>
        <w:rPr>
          <w:sz w:val="20"/>
          <w:szCs w:val="20"/>
          <w:color w:val="auto"/>
        </w:rPr>
      </w:pPr>
    </w:p>
    <w:p>
      <w:pPr>
        <w:ind w:left="2" w:firstLine="587"/>
        <w:spacing w:after="0" w:line="267" w:lineRule="auto"/>
        <w:rPr>
          <w:sz w:val="20"/>
          <w:szCs w:val="20"/>
          <w:color w:val="auto"/>
        </w:rPr>
      </w:pPr>
      <w:r>
        <w:rPr>
          <w:rFonts w:ascii="Arial" w:cs="Arial" w:eastAsia="Arial" w:hAnsi="Arial"/>
          <w:sz w:val="16"/>
          <w:szCs w:val="16"/>
          <w:b w:val="1"/>
          <w:bCs w:val="1"/>
          <w:color w:val="auto"/>
        </w:rPr>
        <w:t>11.3 Harmonious Relations</w:t>
      </w:r>
      <w:r>
        <w:rPr>
          <w:rFonts w:ascii="Arial" w:cs="Arial" w:eastAsia="Arial" w:hAnsi="Arial"/>
          <w:sz w:val="16"/>
          <w:szCs w:val="16"/>
          <w:color w:val="auto"/>
        </w:rPr>
        <w:t>. Tenant agrees that it will not, either directly or indirectly, use any contractors and/or materials if their use will create any difficulty,</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in the nature of a labor dispute or otherwise, with other contractors and/or labor engaged by Tenant or Landlord or others in the construction, maintenance and/or operation of the Building, the Property or any part thereof. In the event of any such difficulty, upon Landlord’s written request, Tenant shall cause all contractors, mechanics or laborers causing such difficulty to leave the Property immediately.</w:t>
      </w:r>
    </w:p>
    <w:p>
      <w:pPr>
        <w:spacing w:after="0" w:line="159" w:lineRule="exact"/>
        <w:rPr>
          <w:sz w:val="20"/>
          <w:szCs w:val="20"/>
          <w:color w:val="auto"/>
        </w:rPr>
      </w:pPr>
    </w:p>
    <w:p>
      <w:pPr>
        <w:ind w:left="2" w:firstLine="587"/>
        <w:spacing w:after="0" w:line="262" w:lineRule="auto"/>
        <w:rPr>
          <w:sz w:val="20"/>
          <w:szCs w:val="20"/>
          <w:color w:val="auto"/>
        </w:rPr>
      </w:pPr>
      <w:r>
        <w:rPr>
          <w:rFonts w:ascii="Arial" w:cs="Arial" w:eastAsia="Arial" w:hAnsi="Arial"/>
          <w:sz w:val="16"/>
          <w:szCs w:val="16"/>
          <w:b w:val="1"/>
          <w:bCs w:val="1"/>
          <w:color w:val="auto"/>
        </w:rPr>
        <w:t>11.4 Liens</w:t>
      </w:r>
      <w:r>
        <w:rPr>
          <w:rFonts w:ascii="Arial" w:cs="Arial" w:eastAsia="Arial" w:hAnsi="Arial"/>
          <w:sz w:val="16"/>
          <w:szCs w:val="16"/>
          <w:color w:val="auto"/>
        </w:rPr>
        <w:t>. No Alterations shall be undertaken by Tenant until (i) Tenant has made provision for written waiver of liens from all contractors providing services in</w:t>
      </w:r>
      <w:r>
        <w:rPr>
          <w:rFonts w:ascii="Arial" w:cs="Arial" w:eastAsia="Arial" w:hAnsi="Arial"/>
          <w:sz w:val="16"/>
          <w:szCs w:val="16"/>
          <w:b w:val="1"/>
          <w:bCs w:val="1"/>
          <w:color w:val="auto"/>
        </w:rPr>
        <w:t xml:space="preserve"> </w:t>
      </w:r>
      <w:r>
        <w:rPr>
          <w:rFonts w:ascii="Arial" w:cs="Arial" w:eastAsia="Arial" w:hAnsi="Arial"/>
          <w:sz w:val="16"/>
          <w:szCs w:val="16"/>
          <w:color w:val="auto"/>
        </w:rPr>
        <w:t>excess of $25,000 for such Alteration; and (ii) with respect to any Alterations made by Tenant, the cost of which exceed $250,000, Tenant has procured appropriate surety payment and performance bonds which shall name Landlord as an additional obligee and has filed lien bond(s) (in jurisdictions where available) on behalf of such contractors. Any mechanic’s lien filed against the Premises or the Building for work claimed to have been done for, or materials claimed to have been furnished to, Tenant shall be discharged by Tenant within ten (10) business days after Tenant has actual knowledge of the filing of such mechanic’s lien, at Tenant’s expense by filing the bond required by law or otherwise.</w:t>
      </w:r>
    </w:p>
    <w:p>
      <w:pPr>
        <w:spacing w:after="0" w:line="164" w:lineRule="exact"/>
        <w:rPr>
          <w:sz w:val="20"/>
          <w:szCs w:val="20"/>
          <w:color w:val="auto"/>
        </w:rPr>
      </w:pPr>
    </w:p>
    <w:p>
      <w:pPr>
        <w:ind w:left="2" w:right="20" w:firstLine="587"/>
        <w:spacing w:after="0" w:line="281" w:lineRule="auto"/>
        <w:rPr>
          <w:sz w:val="20"/>
          <w:szCs w:val="20"/>
          <w:color w:val="auto"/>
        </w:rPr>
      </w:pPr>
      <w:r>
        <w:rPr>
          <w:rFonts w:ascii="Arial" w:cs="Arial" w:eastAsia="Arial" w:hAnsi="Arial"/>
          <w:sz w:val="15"/>
          <w:szCs w:val="15"/>
          <w:b w:val="1"/>
          <w:bCs w:val="1"/>
          <w:color w:val="auto"/>
        </w:rPr>
        <w:t>11.5 General Requirements</w:t>
      </w:r>
      <w:r>
        <w:rPr>
          <w:rFonts w:ascii="Arial" w:cs="Arial" w:eastAsia="Arial" w:hAnsi="Arial"/>
          <w:sz w:val="15"/>
          <w:szCs w:val="15"/>
          <w:color w:val="auto"/>
        </w:rPr>
        <w:t>. Unless Landlord and Tenant otherwise agree in writing, Tenant shall (a) obtain Landlord’s written approval of any and all building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permit applications relating to Alterations (including without limitation Permitted Alterations) to the Premises prior to submission thereof; (b) procure or cause others to procure on its behalf all necessary permits before undertaking any Alterations in the Premises (and provide copies thereof to Landlord); (c) perform all of such Alterations in a good and workmanlike manner, employing materials of good quality and in compliance with Landlord’s construction rules and regulations, all insurance requirements of this Lease, and Legal Requirements; and (d) defend, indemnify and hold the Landlord Parties harmless from and against any and all Claims occasioned by or growing out of such Alterations, except to the extent the same results from the negligence or willful misconduct of any Landlord Parties. Tenant shall cause all contractors and subcontractors to maintain during the performance of any Alterations the insurance described in </w:t>
      </w:r>
      <w:r>
        <w:rPr>
          <w:rFonts w:ascii="Arial" w:cs="Arial" w:eastAsia="Arial" w:hAnsi="Arial"/>
          <w:sz w:val="15"/>
          <w:szCs w:val="15"/>
          <w:u w:val="single" w:color="auto"/>
          <w:color w:val="auto"/>
        </w:rPr>
        <w:t>Exhibit 9</w:t>
      </w:r>
      <w:r>
        <w:rPr>
          <w:rFonts w:ascii="Arial" w:cs="Arial" w:eastAsia="Arial" w:hAnsi="Arial"/>
          <w:sz w:val="15"/>
          <w:szCs w:val="15"/>
          <w:color w:val="auto"/>
        </w:rPr>
        <w:t xml:space="preserve"> attached hereto.</w:t>
      </w:r>
    </w:p>
    <w:p>
      <w:pPr>
        <w:spacing w:after="0" w:line="151" w:lineRule="exact"/>
        <w:rPr>
          <w:sz w:val="20"/>
          <w:szCs w:val="20"/>
          <w:color w:val="auto"/>
        </w:rPr>
      </w:pPr>
    </w:p>
    <w:p>
      <w:pPr>
        <w:ind w:left="582" w:hanging="582"/>
        <w:spacing w:after="0"/>
        <w:tabs>
          <w:tab w:leader="none" w:pos="582" w:val="left"/>
        </w:tabs>
        <w:numPr>
          <w:ilvl w:val="0"/>
          <w:numId w:val="476"/>
        </w:numPr>
        <w:rPr>
          <w:rFonts w:ascii="Arial" w:cs="Arial" w:eastAsia="Arial" w:hAnsi="Arial"/>
          <w:sz w:val="16"/>
          <w:szCs w:val="16"/>
          <w:b w:val="1"/>
          <w:bCs w:val="1"/>
          <w:color w:val="auto"/>
        </w:rPr>
      </w:pPr>
      <w:r>
        <w:rPr>
          <w:rFonts w:ascii="Arial" w:cs="Arial" w:eastAsia="Arial" w:hAnsi="Arial"/>
          <w:sz w:val="16"/>
          <w:szCs w:val="16"/>
          <w:b w:val="1"/>
          <w:bCs w:val="1"/>
          <w:color w:val="auto"/>
        </w:rPr>
        <w:t>SIGNAGE</w:t>
      </w:r>
    </w:p>
    <w:p>
      <w:pPr>
        <w:spacing w:after="0" w:line="207" w:lineRule="exact"/>
        <w:rPr>
          <w:sz w:val="20"/>
          <w:szCs w:val="20"/>
          <w:color w:val="auto"/>
        </w:rPr>
      </w:pPr>
    </w:p>
    <w:p>
      <w:pPr>
        <w:ind w:left="2" w:right="100" w:firstLine="587"/>
        <w:spacing w:after="0" w:line="290" w:lineRule="auto"/>
        <w:rPr>
          <w:sz w:val="20"/>
          <w:szCs w:val="20"/>
          <w:color w:val="auto"/>
        </w:rPr>
      </w:pPr>
      <w:r>
        <w:rPr>
          <w:rFonts w:ascii="Arial" w:cs="Arial" w:eastAsia="Arial" w:hAnsi="Arial"/>
          <w:sz w:val="15"/>
          <w:szCs w:val="15"/>
          <w:b w:val="1"/>
          <w:bCs w:val="1"/>
          <w:color w:val="auto"/>
        </w:rPr>
        <w:t>12.1 Restrictions</w:t>
      </w:r>
      <w:r>
        <w:rPr>
          <w:rFonts w:ascii="Arial" w:cs="Arial" w:eastAsia="Arial" w:hAnsi="Arial"/>
          <w:sz w:val="15"/>
          <w:szCs w:val="15"/>
          <w:color w:val="auto"/>
        </w:rPr>
        <w:t>. Tenant shall have the right to install Building standard signage identifying Tenant’s business at the entrance to the Premises, which signage</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subject to Landlord’s prior written consent (which consent shall not be unreasonably withheld, conditioned or delayed). Subject to the foregoing, and subject to Section 12.2 below, Tenant shall not place or suffer to be placed or maintained on the exterior of the Premises, or any part of the interior visible from the exterior thereof, any sign, banner, advertising matter or any other thing of any kind (including, without limitation, any hand-lettered advertising), and shall not place or maintain any</w:t>
      </w:r>
    </w:p>
    <w:p>
      <w:pPr>
        <w:spacing w:after="0" w:line="14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 w:right="120"/>
        <w:spacing w:after="0" w:line="285" w:lineRule="auto"/>
        <w:rPr>
          <w:sz w:val="20"/>
          <w:szCs w:val="20"/>
          <w:color w:val="auto"/>
        </w:rPr>
      </w:pPr>
      <w:r>
        <w:rPr>
          <w:rFonts w:ascii="Arial" w:cs="Arial" w:eastAsia="Arial" w:hAnsi="Arial"/>
          <w:sz w:val="16"/>
          <w:szCs w:val="16"/>
          <w:color w:val="auto"/>
        </w:rPr>
        <w:t>decoration, letter or advertising matter on the glass of any window or door of the Premises without first obtaining Landlord’s written approval. No signs or blinds may be put on or in any window or elsewhere if visible from the exterior of the Building.</w:t>
      </w:r>
    </w:p>
    <w:p>
      <w:pPr>
        <w:spacing w:after="0" w:line="146" w:lineRule="exact"/>
        <w:rPr>
          <w:sz w:val="20"/>
          <w:szCs w:val="20"/>
          <w:color w:val="auto"/>
        </w:rPr>
      </w:pPr>
    </w:p>
    <w:p>
      <w:pPr>
        <w:ind w:left="2" w:right="20" w:firstLine="587"/>
        <w:spacing w:after="0" w:line="278" w:lineRule="auto"/>
        <w:rPr>
          <w:sz w:val="20"/>
          <w:szCs w:val="20"/>
          <w:color w:val="auto"/>
        </w:rPr>
      </w:pPr>
      <w:r>
        <w:rPr>
          <w:rFonts w:ascii="Arial" w:cs="Arial" w:eastAsia="Arial" w:hAnsi="Arial"/>
          <w:sz w:val="15"/>
          <w:szCs w:val="15"/>
          <w:b w:val="1"/>
          <w:bCs w:val="1"/>
          <w:color w:val="auto"/>
        </w:rPr>
        <w:t>12.2 Exterior Signage</w:t>
      </w:r>
      <w:r>
        <w:rPr>
          <w:rFonts w:ascii="Arial" w:cs="Arial" w:eastAsia="Arial" w:hAnsi="Arial"/>
          <w:sz w:val="15"/>
          <w:szCs w:val="15"/>
          <w:color w:val="auto"/>
        </w:rPr>
        <w:t>. Provided that and for so long as Tenant is then occupying at least eighty percent (80%) of the rentable square feet of the Premises, Tenant</w:t>
      </w:r>
      <w:r>
        <w:rPr>
          <w:rFonts w:ascii="Arial" w:cs="Arial" w:eastAsia="Arial" w:hAnsi="Arial"/>
          <w:sz w:val="15"/>
          <w:szCs w:val="15"/>
          <w:b w:val="1"/>
          <w:bCs w:val="1"/>
          <w:color w:val="auto"/>
        </w:rPr>
        <w:t xml:space="preserve"> </w:t>
      </w:r>
      <w:r>
        <w:rPr>
          <w:rFonts w:ascii="Arial" w:cs="Arial" w:eastAsia="Arial" w:hAnsi="Arial"/>
          <w:sz w:val="15"/>
          <w:szCs w:val="15"/>
          <w:color w:val="auto"/>
        </w:rPr>
        <w:t>shall have the right to erect and maintain at the entrance to the Premises one (1) sign identifying Tenant’s business, the size of which shall not exceed Tenant’s Share of the exterior Building signage allowed by Legal Requirements (the “</w:t>
      </w:r>
      <w:r>
        <w:rPr>
          <w:rFonts w:ascii="Arial" w:cs="Arial" w:eastAsia="Arial" w:hAnsi="Arial"/>
          <w:sz w:val="15"/>
          <w:szCs w:val="15"/>
          <w:b w:val="1"/>
          <w:bCs w:val="1"/>
          <w:u w:val="single" w:color="auto"/>
          <w:color w:val="auto"/>
        </w:rPr>
        <w:t>Exterior Signage</w:t>
      </w:r>
      <w:r>
        <w:rPr>
          <w:rFonts w:ascii="Arial" w:cs="Arial" w:eastAsia="Arial" w:hAnsi="Arial"/>
          <w:sz w:val="15"/>
          <w:szCs w:val="15"/>
          <w:color w:val="auto"/>
        </w:rPr>
        <w:t xml:space="preserve">”), provided (i) the Exterior Signage complies with (A) the requirements of </w:t>
      </w:r>
      <w:r>
        <w:rPr>
          <w:rFonts w:ascii="Arial" w:cs="Arial" w:eastAsia="Arial" w:hAnsi="Arial"/>
          <w:sz w:val="15"/>
          <w:szCs w:val="15"/>
          <w:u w:val="single" w:color="auto"/>
          <w:color w:val="auto"/>
        </w:rPr>
        <w:t>Exhibit 12</w:t>
      </w:r>
      <w:r>
        <w:rPr>
          <w:rFonts w:ascii="Arial" w:cs="Arial" w:eastAsia="Arial" w:hAnsi="Arial"/>
          <w:sz w:val="15"/>
          <w:szCs w:val="15"/>
          <w:color w:val="auto"/>
        </w:rPr>
        <w:t xml:space="preserve"> attached hereto and made a part hereof and (B) all Legal Requirements (and Tenant shall have obtained any necessary permits prior to erecting the Exterior Signage), (ii) the location of the Exterior Signage shall be subject to Landlord’s approval, (iii) the materials, design, lighting and method of installation of the Exterior Signage, and any requested changes thereto, shall be subject to Landlord’s prior written approval, which approval shall not be unreasonably withheld, conditioned or delayed, and (iv) Tenant shall at all times maintain the Exterior Signage in good order, condition and repair and shall remove the Exterior Signage at the expiration or earlier termination of the Term hereof or upon Landlord’s written demand after the failure of Tenant to comply with the provisions of this Section 12.2, and shall repair any damage to the Building caused by the Exterior Signage or the installation or removal thereof. Tenant shall have the right, from time to time throughout the term of this Lease, to replace its signage (if any) with signage which is equivalent to the signage being replaced, subject to all of the terms and conditions of this Section 12.2.</w:t>
      </w:r>
    </w:p>
    <w:p>
      <w:pPr>
        <w:spacing w:after="0" w:line="154"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12.3</w:t>
      </w:r>
      <w:r>
        <w:rPr>
          <w:sz w:val="20"/>
          <w:szCs w:val="20"/>
          <w:color w:val="auto"/>
        </w:rPr>
        <w:tab/>
      </w:r>
      <w:r>
        <w:rPr>
          <w:rFonts w:ascii="Arial" w:cs="Arial" w:eastAsia="Arial" w:hAnsi="Arial"/>
          <w:sz w:val="14"/>
          <w:szCs w:val="14"/>
          <w:b w:val="1"/>
          <w:bCs w:val="1"/>
          <w:color w:val="auto"/>
        </w:rPr>
        <w:t>Monument Sign</w:t>
      </w:r>
      <w:r>
        <w:rPr>
          <w:rFonts w:ascii="Arial" w:cs="Arial" w:eastAsia="Arial" w:hAnsi="Arial"/>
          <w:sz w:val="14"/>
          <w:szCs w:val="14"/>
          <w:color w:val="auto"/>
        </w:rPr>
        <w:t>. Subject to Legal Requirements, Landlord shall list Tenant’s name and logo on the Property’s monument sign.</w:t>
      </w:r>
    </w:p>
    <w:p>
      <w:pPr>
        <w:spacing w:after="0" w:line="207" w:lineRule="exact"/>
        <w:rPr>
          <w:sz w:val="20"/>
          <w:szCs w:val="20"/>
          <w:color w:val="auto"/>
        </w:rPr>
      </w:pPr>
    </w:p>
    <w:p>
      <w:pPr>
        <w:ind w:left="2" w:right="20" w:firstLine="587"/>
        <w:spacing w:after="0" w:line="299" w:lineRule="auto"/>
        <w:rPr>
          <w:sz w:val="20"/>
          <w:szCs w:val="20"/>
          <w:color w:val="auto"/>
        </w:rPr>
      </w:pPr>
      <w:r>
        <w:rPr>
          <w:rFonts w:ascii="Arial" w:cs="Arial" w:eastAsia="Arial" w:hAnsi="Arial"/>
          <w:sz w:val="15"/>
          <w:szCs w:val="15"/>
          <w:b w:val="1"/>
          <w:bCs w:val="1"/>
          <w:color w:val="auto"/>
        </w:rPr>
        <w:t>12.4 Building Directory</w:t>
      </w:r>
      <w:r>
        <w:rPr>
          <w:rFonts w:ascii="Arial" w:cs="Arial" w:eastAsia="Arial" w:hAnsi="Arial"/>
          <w:sz w:val="15"/>
          <w:szCs w:val="15"/>
          <w:color w:val="auto"/>
        </w:rPr>
        <w:t>. Tenant acknowledges that, as of the Execution Date of this Lease, there exists no common Building lobby directory. In the event that</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installs a Building lobby directory, Tenant shall have the right, during the Term of this Lease, to list Tenant’s name on the Building lobby directory. The initial listing of Tenant’s name shall be at Landlord’s cost and expense. Any changes, replacements or additions by Tenant to such directory shall be at Tenant’s sole cost and expense.</w:t>
      </w:r>
    </w:p>
    <w:p>
      <w:pPr>
        <w:spacing w:after="0" w:line="138" w:lineRule="exact"/>
        <w:rPr>
          <w:sz w:val="20"/>
          <w:szCs w:val="20"/>
          <w:color w:val="auto"/>
        </w:rPr>
      </w:pPr>
    </w:p>
    <w:p>
      <w:pPr>
        <w:ind w:left="582" w:hanging="582"/>
        <w:spacing w:after="0"/>
        <w:tabs>
          <w:tab w:leader="none" w:pos="582" w:val="left"/>
        </w:tabs>
        <w:numPr>
          <w:ilvl w:val="0"/>
          <w:numId w:val="477"/>
        </w:numPr>
        <w:rPr>
          <w:rFonts w:ascii="Arial" w:cs="Arial" w:eastAsia="Arial" w:hAnsi="Arial"/>
          <w:sz w:val="16"/>
          <w:szCs w:val="16"/>
          <w:b w:val="1"/>
          <w:bCs w:val="1"/>
          <w:color w:val="auto"/>
        </w:rPr>
      </w:pPr>
      <w:r>
        <w:rPr>
          <w:rFonts w:ascii="Arial" w:cs="Arial" w:eastAsia="Arial" w:hAnsi="Arial"/>
          <w:sz w:val="16"/>
          <w:szCs w:val="16"/>
          <w:b w:val="1"/>
          <w:bCs w:val="1"/>
          <w:color w:val="auto"/>
        </w:rPr>
        <w:t>ASSIGNMENT, MORTGAGING AND SUBLETTING</w:t>
      </w:r>
    </w:p>
    <w:p>
      <w:pPr>
        <w:spacing w:after="0" w:line="207" w:lineRule="exact"/>
        <w:rPr>
          <w:sz w:val="20"/>
          <w:szCs w:val="20"/>
          <w:color w:val="auto"/>
        </w:rPr>
      </w:pPr>
    </w:p>
    <w:p>
      <w:pPr>
        <w:ind w:left="2" w:right="20" w:firstLine="587"/>
        <w:spacing w:after="0" w:line="281" w:lineRule="auto"/>
        <w:rPr>
          <w:sz w:val="20"/>
          <w:szCs w:val="20"/>
          <w:color w:val="auto"/>
        </w:rPr>
      </w:pPr>
      <w:r>
        <w:rPr>
          <w:rFonts w:ascii="Arial" w:cs="Arial" w:eastAsia="Arial" w:hAnsi="Arial"/>
          <w:sz w:val="15"/>
          <w:szCs w:val="15"/>
          <w:b w:val="1"/>
          <w:bCs w:val="1"/>
          <w:color w:val="auto"/>
        </w:rPr>
        <w:t xml:space="preserve">13.1 </w:t>
      </w:r>
      <w:r>
        <w:rPr>
          <w:rFonts w:ascii="Arial" w:cs="Arial" w:eastAsia="Arial" w:hAnsi="Arial"/>
          <w:sz w:val="15"/>
          <w:szCs w:val="15"/>
          <w:u w:val="single" w:color="auto"/>
          <w:color w:val="auto"/>
        </w:rPr>
        <w:t>Landlord’s Consent Required</w:t>
      </w:r>
      <w:r>
        <w:rPr>
          <w:rFonts w:ascii="Arial" w:cs="Arial" w:eastAsia="Arial" w:hAnsi="Arial"/>
          <w:sz w:val="15"/>
          <w:szCs w:val="15"/>
          <w:color w:val="auto"/>
        </w:rPr>
        <w:t>. Tenant shall not mortgage or encumber this Lease or in whole or in party whether at one time or at intervals, operation of law</w:t>
      </w:r>
      <w:r>
        <w:rPr>
          <w:rFonts w:ascii="Arial" w:cs="Arial" w:eastAsia="Arial" w:hAnsi="Arial"/>
          <w:sz w:val="15"/>
          <w:szCs w:val="15"/>
          <w:b w:val="1"/>
          <w:bCs w:val="1"/>
          <w:color w:val="auto"/>
        </w:rPr>
        <w:t xml:space="preserve"> </w:t>
      </w:r>
      <w:r>
        <w:rPr>
          <w:rFonts w:ascii="Arial" w:cs="Arial" w:eastAsia="Arial" w:hAnsi="Arial"/>
          <w:sz w:val="15"/>
          <w:szCs w:val="15"/>
          <w:color w:val="auto"/>
        </w:rPr>
        <w:t>or otherwise. Except as expressly otherwise set forth in Sections 13.3 and 13.7, Tenant shall not, without Landlord’s prior written consent, which shall not be unreasonably withheld, conditioned or delayed, assign, sublet, license, or transfer this Lease or the Premises in whole or in part whether by changes in the majority ownership or majority control of Tenant, or any direct or indirect owner of Tenant, whether at one time or at intervals, by sale or transfer of stock, partnership or beneficial interests, operation of law or otherwise, or permit the occupancy of all or any portion of the Premises by any person or entity other than Tenant’s employees (each of the foregoing, a “</w:t>
      </w:r>
      <w:r>
        <w:rPr>
          <w:rFonts w:ascii="Arial" w:cs="Arial" w:eastAsia="Arial" w:hAnsi="Arial"/>
          <w:sz w:val="15"/>
          <w:szCs w:val="15"/>
          <w:b w:val="1"/>
          <w:bCs w:val="1"/>
          <w:color w:val="auto"/>
        </w:rPr>
        <w:t>Transfer</w:t>
      </w:r>
      <w:r>
        <w:rPr>
          <w:rFonts w:ascii="Arial" w:cs="Arial" w:eastAsia="Arial" w:hAnsi="Arial"/>
          <w:sz w:val="15"/>
          <w:szCs w:val="15"/>
          <w:color w:val="auto"/>
        </w:rPr>
        <w:t>”). Any purported Transfer made without Landlord’s consent, if required hereunder, shall be void and confer no rights upon any third person, provided that if there is a Transfer, Landlord may collect rent from the transferee without waiving the prohibition against Transfers, accepting the transferee,</w:t>
      </w:r>
    </w:p>
    <w:p>
      <w:pPr>
        <w:spacing w:after="0" w:line="155"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498" w:name="page499"/>
    <w:bookmarkEnd w:id="498"/>
    <w:p>
      <w:pPr>
        <w:ind w:left="2" w:right="40"/>
        <w:spacing w:after="0" w:line="285" w:lineRule="auto"/>
        <w:rPr>
          <w:sz w:val="20"/>
          <w:szCs w:val="20"/>
          <w:color w:val="auto"/>
        </w:rPr>
      </w:pPr>
      <w:r>
        <w:rPr>
          <w:rFonts w:ascii="Arial" w:cs="Arial" w:eastAsia="Arial" w:hAnsi="Arial"/>
          <w:sz w:val="16"/>
          <w:szCs w:val="16"/>
          <w:color w:val="auto"/>
        </w:rPr>
        <w:t>or releasing Tenant from full performance under this Lease. No Transfer shall relieve Tenant of its primary obligation as party Tenant hereunder, nor shall it reduce or increase Landlord’s obligations under this Lease.</w:t>
      </w:r>
    </w:p>
    <w:p>
      <w:pPr>
        <w:spacing w:after="0" w:line="146"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13.2</w:t>
      </w:r>
      <w:r>
        <w:rPr>
          <w:sz w:val="20"/>
          <w:szCs w:val="20"/>
          <w:color w:val="auto"/>
        </w:rPr>
        <w:tab/>
      </w:r>
      <w:r>
        <w:rPr>
          <w:rFonts w:ascii="Arial" w:cs="Arial" w:eastAsia="Arial" w:hAnsi="Arial"/>
          <w:sz w:val="14"/>
          <w:szCs w:val="14"/>
          <w:b w:val="1"/>
          <w:bCs w:val="1"/>
          <w:color w:val="auto"/>
        </w:rPr>
        <w:t>Landlord’s Recapture Right</w:t>
      </w:r>
    </w:p>
    <w:p>
      <w:pPr>
        <w:spacing w:after="0" w:line="211" w:lineRule="exact"/>
        <w:rPr>
          <w:sz w:val="20"/>
          <w:szCs w:val="20"/>
          <w:color w:val="auto"/>
        </w:rPr>
      </w:pPr>
    </w:p>
    <w:p>
      <w:pPr>
        <w:ind w:left="2" w:firstLine="1172"/>
        <w:spacing w:after="0" w:line="300" w:lineRule="auto"/>
        <w:tabs>
          <w:tab w:leader="none" w:pos="1760" w:val="left"/>
        </w:tabs>
        <w:numPr>
          <w:ilvl w:val="1"/>
          <w:numId w:val="478"/>
        </w:numPr>
        <w:rPr>
          <w:rFonts w:ascii="Arial" w:cs="Arial" w:eastAsia="Arial" w:hAnsi="Arial"/>
          <w:sz w:val="14"/>
          <w:szCs w:val="14"/>
          <w:color w:val="auto"/>
        </w:rPr>
      </w:pPr>
      <w:r>
        <w:rPr>
          <w:rFonts w:ascii="Arial" w:cs="Arial" w:eastAsia="Arial" w:hAnsi="Arial"/>
          <w:sz w:val="14"/>
          <w:szCs w:val="14"/>
          <w:color w:val="auto"/>
        </w:rPr>
        <w:t>Subject to Section 13.7 below, Tenant shall, prior to offering or advertising the Premises, or portion thereof, for a Transfer, give a written notice (the “</w:t>
      </w:r>
      <w:r>
        <w:rPr>
          <w:rFonts w:ascii="Arial" w:cs="Arial" w:eastAsia="Arial" w:hAnsi="Arial"/>
          <w:sz w:val="14"/>
          <w:szCs w:val="14"/>
          <w:b w:val="1"/>
          <w:bCs w:val="1"/>
          <w:u w:val="single" w:color="auto"/>
          <w:color w:val="auto"/>
        </w:rPr>
        <w:t>Recapture Notice</w:t>
      </w:r>
      <w:r>
        <w:rPr>
          <w:rFonts w:ascii="Arial" w:cs="Arial" w:eastAsia="Arial" w:hAnsi="Arial"/>
          <w:sz w:val="14"/>
          <w:szCs w:val="14"/>
          <w:color w:val="auto"/>
        </w:rPr>
        <w:t>”) to Landlord which: (i) states that Tenant desires to make a Transfer, (ii) identifies the affected portion of the Premises (the “</w:t>
      </w:r>
      <w:r>
        <w:rPr>
          <w:rFonts w:ascii="Arial" w:cs="Arial" w:eastAsia="Arial" w:hAnsi="Arial"/>
          <w:sz w:val="14"/>
          <w:szCs w:val="14"/>
          <w:b w:val="1"/>
          <w:bCs w:val="1"/>
          <w:u w:val="single" w:color="auto"/>
          <w:color w:val="auto"/>
        </w:rPr>
        <w:t>Recapture Premises</w:t>
      </w:r>
      <w:r>
        <w:rPr>
          <w:rFonts w:ascii="Arial" w:cs="Arial" w:eastAsia="Arial" w:hAnsi="Arial"/>
          <w:sz w:val="14"/>
          <w:szCs w:val="14"/>
          <w:color w:val="auto"/>
        </w:rPr>
        <w:t>”),</w:t>
      </w:r>
    </w:p>
    <w:p>
      <w:pPr>
        <w:ind w:left="2" w:right="140" w:hanging="2"/>
        <w:spacing w:after="0" w:line="258" w:lineRule="auto"/>
        <w:tabs>
          <w:tab w:leader="none" w:pos="287" w:val="left"/>
        </w:tabs>
        <w:numPr>
          <w:ilvl w:val="0"/>
          <w:numId w:val="479"/>
        </w:numPr>
        <w:rPr>
          <w:rFonts w:ascii="Arial" w:cs="Arial" w:eastAsia="Arial" w:hAnsi="Arial"/>
          <w:sz w:val="16"/>
          <w:szCs w:val="16"/>
          <w:color w:val="auto"/>
        </w:rPr>
      </w:pPr>
      <w:r>
        <w:rPr>
          <w:rFonts w:ascii="Arial" w:cs="Arial" w:eastAsia="Arial" w:hAnsi="Arial"/>
          <w:sz w:val="16"/>
          <w:szCs w:val="16"/>
          <w:color w:val="auto"/>
        </w:rPr>
        <w:t>identifies the period of time (the “</w:t>
      </w:r>
      <w:r>
        <w:rPr>
          <w:rFonts w:ascii="Arial" w:cs="Arial" w:eastAsia="Arial" w:hAnsi="Arial"/>
          <w:sz w:val="16"/>
          <w:szCs w:val="16"/>
          <w:b w:val="1"/>
          <w:bCs w:val="1"/>
          <w:u w:val="single" w:color="auto"/>
          <w:color w:val="auto"/>
        </w:rPr>
        <w:t>Recapture Period</w:t>
      </w:r>
      <w:r>
        <w:rPr>
          <w:rFonts w:ascii="Arial" w:cs="Arial" w:eastAsia="Arial" w:hAnsi="Arial"/>
          <w:sz w:val="16"/>
          <w:szCs w:val="16"/>
          <w:color w:val="auto"/>
        </w:rPr>
        <w:t>”) during which Tenant proposes to sublet the Recapture Premises, or indicates that Tenant proposes to assign its interest in this Lease, and (iv) offers to Landlord to terminate this Lease with respect to the Recapture Premises (in the case of a proposed assignment of Tenant’s interest in this Lease or a subletting for the remainder of the term of this Lease) or to suspend the Term for the Recapture Period (i.e. the Term with respect to the Recapture Premises shall be terminated during the Recapture Period and Tenant’s rental obligations shall be proportionately reduced). Landlord shall have ten (10) business days within which to respond to the Recapture Notice.</w:t>
      </w:r>
    </w:p>
    <w:p>
      <w:pPr>
        <w:spacing w:after="0" w:line="173" w:lineRule="exact"/>
        <w:rPr>
          <w:rFonts w:ascii="Arial" w:cs="Arial" w:eastAsia="Arial" w:hAnsi="Arial"/>
          <w:sz w:val="16"/>
          <w:szCs w:val="16"/>
          <w:color w:val="auto"/>
        </w:rPr>
      </w:pPr>
    </w:p>
    <w:p>
      <w:pPr>
        <w:ind w:left="2" w:right="40" w:firstLine="1172"/>
        <w:spacing w:after="0" w:line="265" w:lineRule="auto"/>
        <w:tabs>
          <w:tab w:leader="none" w:pos="1769" w:val="left"/>
        </w:tabs>
        <w:numPr>
          <w:ilvl w:val="1"/>
          <w:numId w:val="479"/>
        </w:numPr>
        <w:rPr>
          <w:rFonts w:ascii="Arial" w:cs="Arial" w:eastAsia="Arial" w:hAnsi="Arial"/>
          <w:sz w:val="16"/>
          <w:szCs w:val="16"/>
          <w:color w:val="auto"/>
        </w:rPr>
      </w:pPr>
      <w:r>
        <w:rPr>
          <w:rFonts w:ascii="Arial" w:cs="Arial" w:eastAsia="Arial" w:hAnsi="Arial"/>
          <w:sz w:val="16"/>
          <w:szCs w:val="16"/>
          <w:color w:val="auto"/>
        </w:rPr>
        <w:t>If Tenant does not enter into a Transfer on the terms and conditions contained in the Recapture Notice on or before the date which is one hundred eighty (180) days after the earlier of: (x) the expiration of the 10-business day period specified in Section 13.2(a) above, or (y) the date that Landlord notifies Tenant that Landlord will not accept Tenant’s offer contained in the Recapture Notice, time being of the essence, then prior to entering into any Transfer after such 180-day period, Tenant must deliver to Landlord a new Recapture Notice in accordance with Section 13.2(a) above</w:t>
      </w:r>
    </w:p>
    <w:p>
      <w:pPr>
        <w:spacing w:after="0" w:line="165" w:lineRule="exact"/>
        <w:rPr>
          <w:rFonts w:ascii="Arial" w:cs="Arial" w:eastAsia="Arial" w:hAnsi="Arial"/>
          <w:sz w:val="16"/>
          <w:szCs w:val="16"/>
          <w:color w:val="auto"/>
        </w:rPr>
      </w:pPr>
    </w:p>
    <w:p>
      <w:pPr>
        <w:ind w:left="2" w:right="40" w:firstLine="1172"/>
        <w:spacing w:after="0" w:line="270" w:lineRule="auto"/>
        <w:tabs>
          <w:tab w:leader="none" w:pos="1772" w:val="left"/>
        </w:tabs>
        <w:numPr>
          <w:ilvl w:val="1"/>
          <w:numId w:val="47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Landlord notifies Tenant that it accepts the offer contained in the Recapture Notice or any subsequent Recapture Notice, Tenant shall have the right, for a period of fifteen (15) days following receipt of such notice from Landlord, time being of the essence, to notify Landlord in writing that it wishes to withdraw such offer and this Lease shall continue in full force and effect.</w:t>
      </w:r>
    </w:p>
    <w:p>
      <w:pPr>
        <w:spacing w:after="0" w:line="158" w:lineRule="exact"/>
        <w:rPr>
          <w:sz w:val="20"/>
          <w:szCs w:val="20"/>
          <w:color w:val="auto"/>
        </w:rPr>
      </w:pPr>
    </w:p>
    <w:p>
      <w:pPr>
        <w:ind w:left="2" w:right="40" w:firstLine="587"/>
        <w:spacing w:after="0" w:line="262" w:lineRule="auto"/>
        <w:rPr>
          <w:sz w:val="20"/>
          <w:szCs w:val="20"/>
          <w:color w:val="auto"/>
        </w:rPr>
      </w:pPr>
      <w:r>
        <w:rPr>
          <w:rFonts w:ascii="Arial" w:cs="Arial" w:eastAsia="Arial" w:hAnsi="Arial"/>
          <w:sz w:val="16"/>
          <w:szCs w:val="16"/>
          <w:b w:val="1"/>
          <w:bCs w:val="1"/>
          <w:color w:val="auto"/>
        </w:rPr>
        <w:t>13.3 Standard of Consent to Transfer</w:t>
      </w:r>
      <w:r>
        <w:rPr>
          <w:rFonts w:ascii="Arial" w:cs="Arial" w:eastAsia="Arial" w:hAnsi="Arial"/>
          <w:sz w:val="16"/>
          <w:szCs w:val="16"/>
          <w:color w:val="auto"/>
        </w:rPr>
        <w:t>. If Landlord does not timely give written notice to Tenant accepting a Recapture Offer or declines to accept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then Landlord agrees that, subject to the provisions of this Section 13, Landlord shall not unreasonably withhold, condition or delay its consent to a Transfer on the terms contained in the Recapture Notice to an entity which will use the Premises for the Permitted Uses and, in Landlord’s reasonable opinion: (a) has a tangible net worth and other financial indicators sufficient to meet the Transferee’s obligations under the Transfer instrument in question; (b) has a business reputation compatible with the operation of a first-class combination laboratory, research, development and office building; and (c) the intended use of such entity does not violate any restrictive use provisions then in effect with respect to space in the Building.</w:t>
      </w:r>
    </w:p>
    <w:p>
      <w:pPr>
        <w:spacing w:after="0" w:line="164" w:lineRule="exact"/>
        <w:rPr>
          <w:sz w:val="20"/>
          <w:szCs w:val="20"/>
          <w:color w:val="auto"/>
        </w:rPr>
      </w:pPr>
    </w:p>
    <w:p>
      <w:pPr>
        <w:ind w:left="2" w:right="220" w:firstLine="587"/>
        <w:spacing w:after="0" w:line="272" w:lineRule="auto"/>
        <w:rPr>
          <w:sz w:val="20"/>
          <w:szCs w:val="20"/>
          <w:color w:val="auto"/>
        </w:rPr>
      </w:pPr>
      <w:r>
        <w:rPr>
          <w:rFonts w:ascii="Arial" w:cs="Arial" w:eastAsia="Arial" w:hAnsi="Arial"/>
          <w:sz w:val="16"/>
          <w:szCs w:val="16"/>
          <w:b w:val="1"/>
          <w:bCs w:val="1"/>
          <w:color w:val="auto"/>
        </w:rPr>
        <w:t>13.4 Listing Confers no Rights</w:t>
      </w:r>
      <w:r>
        <w:rPr>
          <w:rFonts w:ascii="Arial" w:cs="Arial" w:eastAsia="Arial" w:hAnsi="Arial"/>
          <w:sz w:val="16"/>
          <w:szCs w:val="16"/>
          <w:color w:val="auto"/>
        </w:rPr>
        <w:t>. The listing of any name other than that of Tenant, whether on the doors of the Premises or on the Building directory,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shall not operate to vest in any such other person, firm or corporation any right or interest in this Lease or in the Premises or be deemed to effect or evidence any consent of Landlord, it being expressly understood</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499" w:name="page500"/>
    <w:bookmarkEnd w:id="499"/>
    <w:p>
      <w:pPr>
        <w:spacing w:after="0"/>
        <w:rPr>
          <w:sz w:val="20"/>
          <w:szCs w:val="20"/>
          <w:color w:val="auto"/>
        </w:rPr>
      </w:pPr>
      <w:r>
        <w:rPr>
          <w:rFonts w:ascii="Arial" w:cs="Arial" w:eastAsia="Arial" w:hAnsi="Arial"/>
          <w:sz w:val="16"/>
          <w:szCs w:val="16"/>
          <w:color w:val="auto"/>
        </w:rPr>
        <w:t>that any such listing is a privilege extended by Landlord revocable at will by written notice to Tenant.</w:t>
      </w:r>
    </w:p>
    <w:p>
      <w:pPr>
        <w:spacing w:after="0" w:line="203" w:lineRule="exact"/>
        <w:rPr>
          <w:sz w:val="20"/>
          <w:szCs w:val="20"/>
          <w:color w:val="auto"/>
        </w:rPr>
      </w:pPr>
    </w:p>
    <w:p>
      <w:pPr>
        <w:ind w:firstLine="587"/>
        <w:spacing w:after="0" w:line="262" w:lineRule="auto"/>
        <w:rPr>
          <w:sz w:val="20"/>
          <w:szCs w:val="20"/>
          <w:color w:val="auto"/>
        </w:rPr>
      </w:pPr>
      <w:r>
        <w:rPr>
          <w:rFonts w:ascii="Arial" w:cs="Arial" w:eastAsia="Arial" w:hAnsi="Arial"/>
          <w:sz w:val="16"/>
          <w:szCs w:val="16"/>
          <w:b w:val="1"/>
          <w:bCs w:val="1"/>
          <w:color w:val="auto"/>
        </w:rPr>
        <w:t>13.5 Prohibited Transfers</w:t>
      </w:r>
      <w:r>
        <w:rPr>
          <w:rFonts w:ascii="Arial" w:cs="Arial" w:eastAsia="Arial" w:hAnsi="Arial"/>
          <w:sz w:val="16"/>
          <w:szCs w:val="16"/>
          <w:color w:val="auto"/>
        </w:rPr>
        <w:t>. Notwithstanding any contrary provision of this Lease, Tenant shall have no right to make a Transfer unless on both (i) the date on</w:t>
      </w:r>
      <w:r>
        <w:rPr>
          <w:rFonts w:ascii="Arial" w:cs="Arial" w:eastAsia="Arial" w:hAnsi="Arial"/>
          <w:sz w:val="16"/>
          <w:szCs w:val="16"/>
          <w:b w:val="1"/>
          <w:bCs w:val="1"/>
          <w:color w:val="auto"/>
        </w:rPr>
        <w:t xml:space="preserve"> </w:t>
      </w:r>
      <w:r>
        <w:rPr>
          <w:rFonts w:ascii="Arial" w:cs="Arial" w:eastAsia="Arial" w:hAnsi="Arial"/>
          <w:sz w:val="16"/>
          <w:szCs w:val="16"/>
          <w:color w:val="auto"/>
        </w:rPr>
        <w:t>which Tenant notifies Landlord of its intention to enter into a Transfer and (ii) the date on which such Transfer is to take effect, Tenant is not in default of any of its obligations under this Lease beyond any applicable notice and cure period. Notwithstanding anything to the contrary contained herein, Tenant agrees that in no event shall Tenant make a Transfer to (a) any government agency; (b) any tenant, subtenant or occupant of other space in the Building; or (c) any entity with whom Landlord shall have engaged in material negotiations for space in the Property in the six (6) months immediately preceding such proposed Transfer, as evidenced by Landlord’s written correspondence with such entity.</w:t>
      </w:r>
    </w:p>
    <w:p>
      <w:pPr>
        <w:spacing w:after="0" w:line="164" w:lineRule="exact"/>
        <w:rPr>
          <w:sz w:val="20"/>
          <w:szCs w:val="20"/>
          <w:color w:val="auto"/>
        </w:rPr>
      </w:pPr>
    </w:p>
    <w:p>
      <w:pPr>
        <w:ind w:right="60" w:firstLine="587"/>
        <w:spacing w:after="0" w:line="267" w:lineRule="auto"/>
        <w:rPr>
          <w:sz w:val="20"/>
          <w:szCs w:val="20"/>
          <w:color w:val="auto"/>
        </w:rPr>
      </w:pPr>
      <w:r>
        <w:rPr>
          <w:rFonts w:ascii="Arial" w:cs="Arial" w:eastAsia="Arial" w:hAnsi="Arial"/>
          <w:sz w:val="16"/>
          <w:szCs w:val="16"/>
          <w:b w:val="1"/>
          <w:bCs w:val="1"/>
          <w:color w:val="auto"/>
        </w:rPr>
        <w:t>13.6 Profits In Connection with Transfers</w:t>
      </w:r>
      <w:r>
        <w:rPr>
          <w:rFonts w:ascii="Arial" w:cs="Arial" w:eastAsia="Arial" w:hAnsi="Arial"/>
          <w:sz w:val="16"/>
          <w:szCs w:val="16"/>
          <w:color w:val="auto"/>
        </w:rPr>
        <w:t>. Tenant shall, within thirty (30) days of receipt thereof, pay to Landlord fifty percent (50%) of any rent, sum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to be paid or given in connection with any Transfer other than to an Affiliated Entity or a Successor, either initially or over time, after deducting reasonable actual out-of-pocket legal, advertising, brokerage, construction and design costs, and any construction allowances incurred by Tenant in connection therewith, in excess of Rent hereunder as if such amount were originally called for by the terms of this Lease as additional rent.</w:t>
      </w:r>
    </w:p>
    <w:p>
      <w:pPr>
        <w:spacing w:after="0" w:line="159" w:lineRule="exact"/>
        <w:rPr>
          <w:sz w:val="20"/>
          <w:szCs w:val="20"/>
          <w:color w:val="auto"/>
        </w:rPr>
      </w:pPr>
    </w:p>
    <w:p>
      <w:pPr>
        <w:ind w:firstLine="587"/>
        <w:spacing w:after="0" w:line="277" w:lineRule="auto"/>
        <w:rPr>
          <w:sz w:val="20"/>
          <w:szCs w:val="20"/>
          <w:color w:val="auto"/>
        </w:rPr>
      </w:pPr>
      <w:r>
        <w:rPr>
          <w:rFonts w:ascii="Arial" w:cs="Arial" w:eastAsia="Arial" w:hAnsi="Arial"/>
          <w:sz w:val="15"/>
          <w:szCs w:val="15"/>
          <w:b w:val="1"/>
          <w:bCs w:val="1"/>
          <w:color w:val="auto"/>
        </w:rPr>
        <w:t>13.7 Exceptions to Requirement for Consent</w:t>
      </w:r>
      <w:r>
        <w:rPr>
          <w:rFonts w:ascii="Arial" w:cs="Arial" w:eastAsia="Arial" w:hAnsi="Arial"/>
          <w:sz w:val="15"/>
          <w:szCs w:val="15"/>
          <w:color w:val="auto"/>
        </w:rPr>
        <w:t>. Notwithstanding anything to the contrary herein contained, Tenant shall have the right, without obtaining</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Landlord’s consent, without giving Landlord a Recapture Notice and without being subject to Section 13.6 hereof, to (a) make a Transfer to an Affiliated Entity (hereinafter defined) so long as such entity remains in such relationship to Tenant, and (b) assign all of Tenant’s interest in and to the Lease to a Successor, provided that prior to or simultaneously with any assignment made pursuant to this Section 13.7, such Affiliated Entity or Successor, as the case may be, and Tenant execute and deliver to Landlord an assignment and assumption agreement in form and substance reasonably acceptable to Landlord whereby such Affiliated Entity or Successor, as the case may be, shall agree to be independently bound by and upon all the covenants, agreements, terms, provisions and conditions set forth in the Lease on the part of Tenant to be performed, and whereby such Affiliated Entity or Successor, as the case may be, shall expressly agree that the provisions of this Section 13 shall, notwithstanding such Transfer, continue to be binding upon it with respect to all future Transfers. For the purposes hereof, an “Affiliated Entity” shall be defined as any entity (a) that has a net worth and other financial indicators demonstrating such entity’s ability to perform all of Tenant’s obligations hereunder, as evidenced by audited financial statements; and (b) which is controlled by, is under common control with, or which controls Tenant. For the purposes hereof, a “Successor” shall be defined as any entity into or with which Tenant is merged or with which Tenant is consolidated or which acquires all or substantially all of Tenant’s stock or assets, provided that the surviving entity shall have a net worth and other financial indicators sufficient to meet Tenant’s obligations hereunder.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00" w:name="page501"/>
    <w:bookmarkEnd w:id="500"/>
    <w:p>
      <w:pPr>
        <w:ind w:left="582" w:right="6940" w:hanging="582"/>
        <w:spacing w:after="0" w:line="512" w:lineRule="auto"/>
        <w:tabs>
          <w:tab w:leader="none" w:pos="578" w:val="left"/>
        </w:tabs>
        <w:numPr>
          <w:ilvl w:val="0"/>
          <w:numId w:val="480"/>
        </w:numPr>
        <w:rPr>
          <w:rFonts w:ascii="Arial" w:cs="Arial" w:eastAsia="Arial" w:hAnsi="Arial"/>
          <w:sz w:val="16"/>
          <w:szCs w:val="16"/>
          <w:b w:val="1"/>
          <w:bCs w:val="1"/>
          <w:color w:val="auto"/>
        </w:rPr>
      </w:pPr>
      <w:r>
        <w:rPr>
          <w:rFonts w:ascii="Arial" w:cs="Arial" w:eastAsia="Arial" w:hAnsi="Arial"/>
          <w:sz w:val="16"/>
          <w:szCs w:val="16"/>
          <w:b w:val="1"/>
          <w:bCs w:val="1"/>
          <w:color w:val="auto"/>
        </w:rPr>
        <w:t>INSURANCE; INDEMNIFICATION; EXCULPATION 14.1 Tenant’s Insurance.</w:t>
      </w:r>
    </w:p>
    <w:p>
      <w:pPr>
        <w:spacing w:after="0" w:line="1" w:lineRule="exact"/>
        <w:rPr>
          <w:rFonts w:ascii="Arial" w:cs="Arial" w:eastAsia="Arial" w:hAnsi="Arial"/>
          <w:sz w:val="16"/>
          <w:szCs w:val="16"/>
          <w:b w:val="1"/>
          <w:bCs w:val="1"/>
          <w:color w:val="auto"/>
        </w:rPr>
      </w:pPr>
    </w:p>
    <w:p>
      <w:pPr>
        <w:ind w:left="2" w:firstLine="1172"/>
        <w:spacing w:after="0" w:line="259" w:lineRule="auto"/>
        <w:tabs>
          <w:tab w:leader="none" w:pos="1760" w:val="left"/>
        </w:tabs>
        <w:numPr>
          <w:ilvl w:val="1"/>
          <w:numId w:val="480"/>
        </w:numPr>
        <w:rPr>
          <w:rFonts w:ascii="Arial" w:cs="Arial" w:eastAsia="Arial" w:hAnsi="Arial"/>
          <w:sz w:val="16"/>
          <w:szCs w:val="16"/>
          <w:color w:val="auto"/>
        </w:rPr>
      </w:pPr>
      <w:r>
        <w:rPr>
          <w:rFonts w:ascii="Arial" w:cs="Arial" w:eastAsia="Arial" w:hAnsi="Arial"/>
          <w:sz w:val="16"/>
          <w:szCs w:val="16"/>
          <w:color w:val="auto"/>
        </w:rPr>
        <w:t>Tenant shall procure, pay for and keep in force throughout the Term (and for so long thereafter as Tenant remains in occupancy of the Premises) commercial general liability insurance insuring Tenant on an occurrence basis against all claims and demands for personal injury liability (including, without limitation, bodily injury, sickness, disease, and death) or damage to property which may be claimed to have occurred from and after the time any of the Tenant Parties shall first enter the Premises, of not less than One Million Dollars ($1,000,000) per occurrence, Two Million Dollars ($2,000,000) aggregate, and from time to time thereafter shall be not less than such higher amounts, if procurable, as may be reasonably required by Landlord. Tenant shall also carry umbrella liability coverage in an amount of no less than Five Million Dollars ($5,000,000). Such policy shall also include contractual liability coverage covering Tenant’s liability assumed under this Lease, including without limitation Tenant’s indemnification obligations. Such insurance policy(ies) shall name Landlord, Landlord’s managing agent and persons claiming by, through or under them, if any, as additional insureds.</w:t>
      </w:r>
    </w:p>
    <w:p>
      <w:pPr>
        <w:spacing w:after="0" w:line="172" w:lineRule="exact"/>
        <w:rPr>
          <w:rFonts w:ascii="Arial" w:cs="Arial" w:eastAsia="Arial" w:hAnsi="Arial"/>
          <w:sz w:val="16"/>
          <w:szCs w:val="16"/>
          <w:color w:val="auto"/>
        </w:rPr>
      </w:pPr>
    </w:p>
    <w:p>
      <w:pPr>
        <w:ind w:left="2" w:right="80" w:firstLine="1172"/>
        <w:spacing w:after="0" w:line="261" w:lineRule="auto"/>
        <w:tabs>
          <w:tab w:leader="none" w:pos="1769" w:val="left"/>
        </w:tabs>
        <w:numPr>
          <w:ilvl w:val="1"/>
          <w:numId w:val="480"/>
        </w:numPr>
        <w:rPr>
          <w:rFonts w:ascii="Arial" w:cs="Arial" w:eastAsia="Arial" w:hAnsi="Arial"/>
          <w:sz w:val="16"/>
          <w:szCs w:val="16"/>
          <w:color w:val="auto"/>
        </w:rPr>
      </w:pPr>
      <w:r>
        <w:rPr>
          <w:rFonts w:ascii="Arial" w:cs="Arial" w:eastAsia="Arial" w:hAnsi="Arial"/>
          <w:sz w:val="16"/>
          <w:szCs w:val="16"/>
          <w:color w:val="auto"/>
        </w:rPr>
        <w:t>Tenant shall take out and maintain throughout the Term a policy of fire, vandalism, malicious mischief, extended coverage and so-called “all risk” coverage insurance in an amount equal to one hundred percent (100%) of the replacement cost insuring (i) all items or components of Alterations (collectively, the “</w:t>
      </w:r>
      <w:r>
        <w:rPr>
          <w:rFonts w:ascii="Arial" w:cs="Arial" w:eastAsia="Arial" w:hAnsi="Arial"/>
          <w:sz w:val="16"/>
          <w:szCs w:val="16"/>
          <w:b w:val="1"/>
          <w:bCs w:val="1"/>
          <w:u w:val="single" w:color="auto"/>
          <w:color w:val="auto"/>
        </w:rPr>
        <w:t>Tenant-Insured Improvements</w:t>
      </w:r>
      <w:r>
        <w:rPr>
          <w:rFonts w:ascii="Arial" w:cs="Arial" w:eastAsia="Arial" w:hAnsi="Arial"/>
          <w:sz w:val="16"/>
          <w:szCs w:val="16"/>
          <w:color w:val="auto"/>
        </w:rPr>
        <w:t>”), and (ii) all of Tenant’s furniture, equipment, fixtures and property of every kind, nature and description related or arising out of Tenant’s leasehold</w:t>
      </w:r>
      <w:r>
        <w:rPr>
          <w:rFonts w:ascii="Arial" w:cs="Arial" w:eastAsia="Arial" w:hAnsi="Arial"/>
          <w:sz w:val="16"/>
          <w:szCs w:val="16"/>
          <w:b w:val="1"/>
          <w:bCs w:val="1"/>
          <w:color w:val="auto"/>
        </w:rPr>
        <w:t xml:space="preserve"> </w:t>
      </w:r>
      <w:r>
        <w:rPr>
          <w:rFonts w:ascii="Arial" w:cs="Arial" w:eastAsia="Arial" w:hAnsi="Arial"/>
          <w:sz w:val="16"/>
          <w:szCs w:val="16"/>
          <w:color w:val="auto"/>
        </w:rPr>
        <w:t>estate hereunder, which may be in or upon the Premises or the Building, (collectively, “</w:t>
      </w:r>
      <w:r>
        <w:rPr>
          <w:rFonts w:ascii="Arial" w:cs="Arial" w:eastAsia="Arial" w:hAnsi="Arial"/>
          <w:sz w:val="16"/>
          <w:szCs w:val="16"/>
          <w:b w:val="1"/>
          <w:bCs w:val="1"/>
          <w:u w:val="single" w:color="auto"/>
          <w:color w:val="auto"/>
        </w:rPr>
        <w:t>Tenant’s Property</w:t>
      </w:r>
      <w:r>
        <w:rPr>
          <w:rFonts w:ascii="Arial" w:cs="Arial" w:eastAsia="Arial" w:hAnsi="Arial"/>
          <w:sz w:val="16"/>
          <w:szCs w:val="16"/>
          <w:color w:val="auto"/>
        </w:rPr>
        <w:t>”). The insurance required to be maintained by Tenant pursuant to this Section 14.1(b) (referred to herein as “</w:t>
      </w:r>
      <w:r>
        <w:rPr>
          <w:rFonts w:ascii="Arial" w:cs="Arial" w:eastAsia="Arial" w:hAnsi="Arial"/>
          <w:sz w:val="16"/>
          <w:szCs w:val="16"/>
          <w:b w:val="1"/>
          <w:bCs w:val="1"/>
          <w:u w:val="single" w:color="auto"/>
          <w:color w:val="auto"/>
        </w:rPr>
        <w:t>Tenant Property Insurance</w:t>
      </w:r>
      <w:r>
        <w:rPr>
          <w:rFonts w:ascii="Arial" w:cs="Arial" w:eastAsia="Arial" w:hAnsi="Arial"/>
          <w:sz w:val="16"/>
          <w:szCs w:val="16"/>
          <w:color w:val="auto"/>
        </w:rPr>
        <w:t>”) shall insure the interests of both Landlord and Tenant as their respective interests may appear from time to time.</w:t>
      </w:r>
    </w:p>
    <w:p>
      <w:pPr>
        <w:spacing w:after="0" w:line="168" w:lineRule="exact"/>
        <w:rPr>
          <w:rFonts w:ascii="Arial" w:cs="Arial" w:eastAsia="Arial" w:hAnsi="Arial"/>
          <w:sz w:val="16"/>
          <w:szCs w:val="16"/>
          <w:color w:val="auto"/>
        </w:rPr>
      </w:pPr>
    </w:p>
    <w:p>
      <w:pPr>
        <w:ind w:left="2" w:firstLine="1172"/>
        <w:spacing w:after="0" w:line="285" w:lineRule="auto"/>
        <w:tabs>
          <w:tab w:leader="none" w:pos="1772" w:val="left"/>
        </w:tabs>
        <w:numPr>
          <w:ilvl w:val="1"/>
          <w:numId w:val="480"/>
        </w:numPr>
        <w:rPr>
          <w:rFonts w:ascii="Arial" w:cs="Arial" w:eastAsia="Arial" w:hAnsi="Arial"/>
          <w:sz w:val="16"/>
          <w:szCs w:val="16"/>
          <w:color w:val="auto"/>
        </w:rPr>
      </w:pPr>
      <w:r>
        <w:rPr>
          <w:rFonts w:ascii="Arial" w:cs="Arial" w:eastAsia="Arial" w:hAnsi="Arial"/>
          <w:sz w:val="16"/>
          <w:szCs w:val="16"/>
          <w:color w:val="auto"/>
        </w:rPr>
        <w:t>Tenant shall take out and maintain a policy of business interruption insurance throughout the Term sufficient to cover at least twelve (12) months of Rent due hereunder and Tenant’s business losses during such 12-month period.</w:t>
      </w:r>
    </w:p>
    <w:p>
      <w:pPr>
        <w:spacing w:after="0" w:line="149" w:lineRule="exact"/>
        <w:rPr>
          <w:rFonts w:ascii="Arial" w:cs="Arial" w:eastAsia="Arial" w:hAnsi="Arial"/>
          <w:sz w:val="16"/>
          <w:szCs w:val="16"/>
          <w:color w:val="auto"/>
        </w:rPr>
      </w:pPr>
    </w:p>
    <w:p>
      <w:pPr>
        <w:ind w:left="2" w:right="20" w:firstLine="1172"/>
        <w:spacing w:after="0" w:line="262" w:lineRule="auto"/>
        <w:tabs>
          <w:tab w:leader="none" w:pos="1769" w:val="left"/>
        </w:tabs>
        <w:numPr>
          <w:ilvl w:val="1"/>
          <w:numId w:val="480"/>
        </w:numPr>
        <w:rPr>
          <w:rFonts w:ascii="Arial" w:cs="Arial" w:eastAsia="Arial" w:hAnsi="Arial"/>
          <w:sz w:val="16"/>
          <w:szCs w:val="16"/>
          <w:color w:val="auto"/>
        </w:rPr>
      </w:pPr>
      <w:r>
        <w:rPr>
          <w:rFonts w:ascii="Arial" w:cs="Arial" w:eastAsia="Arial" w:hAnsi="Arial"/>
          <w:sz w:val="16"/>
          <w:szCs w:val="16"/>
          <w:color w:val="auto"/>
        </w:rPr>
        <w:t>During periods when Tenant’s Work and/or any Alterations are being performed, Tenant shall maintain, or cause to be maintained, so-called all risk or special cause of loss property insurance or its equivalent and/or builders risk insurance on 100% replacement cost coverage basis, including hard and soft costs coverages. Such insurance shall protect and insure Landlord, Landlord’s agents, Tenant and Tenant’s contractors, as their interests may appear, against loss or damage by fire, water damage, vandalism and malicious mischief, and such other risks as are customarily covered by so-called all risk or special cause of loss property / builders risk coverage or its equivalent.</w:t>
      </w:r>
    </w:p>
    <w:p>
      <w:pPr>
        <w:spacing w:after="0" w:line="169" w:lineRule="exact"/>
        <w:rPr>
          <w:rFonts w:ascii="Arial" w:cs="Arial" w:eastAsia="Arial" w:hAnsi="Arial"/>
          <w:sz w:val="16"/>
          <w:szCs w:val="16"/>
          <w:color w:val="auto"/>
        </w:rPr>
      </w:pPr>
    </w:p>
    <w:p>
      <w:pPr>
        <w:ind w:left="1762" w:hanging="588"/>
        <w:spacing w:after="0"/>
        <w:tabs>
          <w:tab w:leader="none" w:pos="1762" w:val="left"/>
        </w:tabs>
        <w:numPr>
          <w:ilvl w:val="1"/>
          <w:numId w:val="480"/>
        </w:numPr>
        <w:rPr>
          <w:rFonts w:ascii="Arial" w:cs="Arial" w:eastAsia="Arial" w:hAnsi="Arial"/>
          <w:sz w:val="15"/>
          <w:szCs w:val="15"/>
          <w:color w:val="auto"/>
        </w:rPr>
      </w:pPr>
      <w:r>
        <w:rPr>
          <w:rFonts w:ascii="Arial" w:cs="Arial" w:eastAsia="Arial" w:hAnsi="Arial"/>
          <w:sz w:val="15"/>
          <w:szCs w:val="15"/>
          <w:color w:val="auto"/>
        </w:rPr>
        <w:t>Tenant shall procure and maintain at its sole expense such additional insurance as may be necessary to comply with any Legal Requirements.</w:t>
      </w:r>
    </w:p>
    <w:p>
      <w:pPr>
        <w:spacing w:after="0" w:line="214" w:lineRule="exact"/>
        <w:rPr>
          <w:rFonts w:ascii="Arial" w:cs="Arial" w:eastAsia="Arial" w:hAnsi="Arial"/>
          <w:sz w:val="15"/>
          <w:szCs w:val="15"/>
          <w:color w:val="auto"/>
        </w:rPr>
      </w:pPr>
    </w:p>
    <w:p>
      <w:pPr>
        <w:ind w:left="2" w:right="200" w:firstLine="1172"/>
        <w:spacing w:after="0" w:line="267" w:lineRule="auto"/>
        <w:tabs>
          <w:tab w:leader="none" w:pos="1767" w:val="left"/>
        </w:tabs>
        <w:numPr>
          <w:ilvl w:val="1"/>
          <w:numId w:val="480"/>
        </w:numPr>
        <w:rPr>
          <w:rFonts w:ascii="Arial" w:cs="Arial" w:eastAsia="Arial" w:hAnsi="Arial"/>
          <w:sz w:val="16"/>
          <w:szCs w:val="16"/>
          <w:color w:val="auto"/>
        </w:rPr>
      </w:pPr>
      <w:r>
        <w:rPr>
          <w:rFonts w:ascii="Arial" w:cs="Arial" w:eastAsia="Arial" w:hAnsi="Arial"/>
          <w:sz w:val="16"/>
          <w:szCs w:val="16"/>
          <w:color w:val="auto"/>
        </w:rPr>
        <w:t>The insurance required pursuant to Sections 14.1(a), (b), (c), (d) and (e) (collectively, “</w:t>
      </w:r>
      <w:r>
        <w:rPr>
          <w:rFonts w:ascii="Arial" w:cs="Arial" w:eastAsia="Arial" w:hAnsi="Arial"/>
          <w:sz w:val="16"/>
          <w:szCs w:val="16"/>
          <w:b w:val="1"/>
          <w:bCs w:val="1"/>
          <w:u w:val="single" w:color="auto"/>
          <w:color w:val="auto"/>
        </w:rPr>
        <w:t>Tenant’s Insurance Policies</w:t>
      </w:r>
      <w:r>
        <w:rPr>
          <w:rFonts w:ascii="Arial" w:cs="Arial" w:eastAsia="Arial" w:hAnsi="Arial"/>
          <w:sz w:val="16"/>
          <w:szCs w:val="16"/>
          <w:color w:val="auto"/>
        </w:rPr>
        <w:t>”) shall be effected with insurers approved by Landlord, with a rating of not less than “A-XI” in the current Best’s Insurance Reports, and authorized to do business in the Commonwealth of Massachusetts under valid and enforceable policies. Tenant’s Insurance Policies shall each provide that it shall not be canceled or modified without at least thirty (30) days’ prior written notice to each insured named therein. Tenant’s</w:t>
      </w:r>
    </w:p>
    <w:p>
      <w:pPr>
        <w:spacing w:after="0" w:line="16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18" w:right="259" w:bottom="1440" w:gutter="0" w:footer="0" w:header="0"/>
        </w:sectPr>
      </w:pPr>
    </w:p>
    <w:bookmarkStart w:id="501" w:name="page502"/>
    <w:bookmarkEnd w:id="501"/>
    <w:p>
      <w:pPr>
        <w:ind w:right="80"/>
        <w:spacing w:after="0" w:line="284" w:lineRule="auto"/>
        <w:rPr>
          <w:sz w:val="20"/>
          <w:szCs w:val="20"/>
          <w:color w:val="auto"/>
        </w:rPr>
      </w:pPr>
      <w:r>
        <w:rPr>
          <w:rFonts w:ascii="Arial" w:cs="Arial" w:eastAsia="Arial" w:hAnsi="Arial"/>
          <w:sz w:val="15"/>
          <w:szCs w:val="15"/>
          <w:color w:val="auto"/>
        </w:rPr>
        <w:t>Insurance Policies may include deductibles in an amount no greater than the greater of $25,000 or commercially reasonable amounts. On or before the date on which any of the Tenant Parties shall first enter the Premises and thereafter not less than fifteen (15) days prior to the expiration date of each expiring policy, Tenant shall deliver to Landlord binders of Tenant’s Insurance Policies issued by the respective insurers setting forth in full the provisions thereof together with evidence satisfactory to Landlord of the payment of all premiums for such policies. In the event of any claim, and upon Landlord’s request, Tenant shall deliver to Landlord complete copies of Tenant’s Insurance Policies. Upon request of Landlord, Tenant shall deliver to any Mortgagee copies of the foregoing documents.</w:t>
      </w:r>
    </w:p>
    <w:p>
      <w:pPr>
        <w:spacing w:after="0" w:line="149" w:lineRule="exact"/>
        <w:rPr>
          <w:sz w:val="20"/>
          <w:szCs w:val="20"/>
          <w:color w:val="auto"/>
        </w:rPr>
      </w:pPr>
    </w:p>
    <w:p>
      <w:pPr>
        <w:ind w:right="20" w:firstLine="587"/>
        <w:spacing w:after="0" w:line="326" w:lineRule="auto"/>
        <w:rPr>
          <w:sz w:val="20"/>
          <w:szCs w:val="20"/>
          <w:color w:val="auto"/>
        </w:rPr>
      </w:pPr>
      <w:r>
        <w:rPr>
          <w:rFonts w:ascii="Arial" w:cs="Arial" w:eastAsia="Arial" w:hAnsi="Arial"/>
          <w:sz w:val="15"/>
          <w:szCs w:val="15"/>
          <w:b w:val="1"/>
          <w:bCs w:val="1"/>
          <w:color w:val="auto"/>
        </w:rPr>
        <w:t>14.2 Tenant Indemnification</w:t>
      </w:r>
      <w:r>
        <w:rPr>
          <w:rFonts w:ascii="Arial" w:cs="Arial" w:eastAsia="Arial" w:hAnsi="Arial"/>
          <w:sz w:val="15"/>
          <w:szCs w:val="15"/>
          <w:color w:val="auto"/>
        </w:rPr>
        <w:t>. Except to the extent caused by the negligence or willful misconduct of any of the Landlord Parties, Tenant shall defend, indemnify</w:t>
      </w:r>
      <w:r>
        <w:rPr>
          <w:rFonts w:ascii="Arial" w:cs="Arial" w:eastAsia="Arial" w:hAnsi="Arial"/>
          <w:sz w:val="15"/>
          <w:szCs w:val="15"/>
          <w:b w:val="1"/>
          <w:bCs w:val="1"/>
          <w:color w:val="auto"/>
        </w:rPr>
        <w:t xml:space="preserve"> </w:t>
      </w:r>
      <w:r>
        <w:rPr>
          <w:rFonts w:ascii="Arial" w:cs="Arial" w:eastAsia="Arial" w:hAnsi="Arial"/>
          <w:sz w:val="15"/>
          <w:szCs w:val="15"/>
          <w:color w:val="auto"/>
        </w:rPr>
        <w:t>and save the Landlord Parties harmless from and against any and all Claims asserted by or on behalf of any person, firm, corporation or public authority arising from:</w:t>
      </w:r>
    </w:p>
    <w:p>
      <w:pPr>
        <w:spacing w:after="0" w:line="122" w:lineRule="exact"/>
        <w:rPr>
          <w:sz w:val="20"/>
          <w:szCs w:val="20"/>
          <w:color w:val="auto"/>
        </w:rPr>
      </w:pPr>
    </w:p>
    <w:p>
      <w:pPr>
        <w:ind w:left="1760" w:hanging="588"/>
        <w:spacing w:after="0"/>
        <w:tabs>
          <w:tab w:leader="none" w:pos="1760" w:val="left"/>
        </w:tabs>
        <w:numPr>
          <w:ilvl w:val="0"/>
          <w:numId w:val="481"/>
        </w:numPr>
        <w:rPr>
          <w:rFonts w:ascii="Arial" w:cs="Arial" w:eastAsia="Arial" w:hAnsi="Arial"/>
          <w:sz w:val="16"/>
          <w:szCs w:val="16"/>
          <w:color w:val="auto"/>
        </w:rPr>
      </w:pPr>
      <w:r>
        <w:rPr>
          <w:rFonts w:ascii="Arial" w:cs="Arial" w:eastAsia="Arial" w:hAnsi="Arial"/>
          <w:sz w:val="16"/>
          <w:szCs w:val="16"/>
          <w:color w:val="auto"/>
        </w:rPr>
        <w:t>Tenant’s breach of any covenant or obligation under this Lease;</w:t>
      </w:r>
    </w:p>
    <w:p>
      <w:pPr>
        <w:spacing w:after="0" w:line="207" w:lineRule="exact"/>
        <w:rPr>
          <w:rFonts w:ascii="Arial" w:cs="Arial" w:eastAsia="Arial" w:hAnsi="Arial"/>
          <w:sz w:val="16"/>
          <w:szCs w:val="16"/>
          <w:color w:val="auto"/>
        </w:rPr>
      </w:pPr>
    </w:p>
    <w:p>
      <w:pPr>
        <w:ind w:left="1760" w:hanging="588"/>
        <w:spacing w:after="0"/>
        <w:tabs>
          <w:tab w:leader="none" w:pos="1760" w:val="left"/>
        </w:tabs>
        <w:numPr>
          <w:ilvl w:val="0"/>
          <w:numId w:val="481"/>
        </w:numPr>
        <w:rPr>
          <w:rFonts w:ascii="Arial" w:cs="Arial" w:eastAsia="Arial" w:hAnsi="Arial"/>
          <w:sz w:val="16"/>
          <w:szCs w:val="16"/>
          <w:color w:val="auto"/>
        </w:rPr>
      </w:pPr>
      <w:r>
        <w:rPr>
          <w:rFonts w:ascii="Arial" w:cs="Arial" w:eastAsia="Arial" w:hAnsi="Arial"/>
          <w:sz w:val="16"/>
          <w:szCs w:val="16"/>
          <w:color w:val="auto"/>
        </w:rPr>
        <w:t>Any injury to or death of any person, or loss of or damage to property, sustained or occurring in, upon, at or about the Premises;</w:t>
      </w:r>
    </w:p>
    <w:p>
      <w:pPr>
        <w:spacing w:after="0" w:line="207" w:lineRule="exact"/>
        <w:rPr>
          <w:rFonts w:ascii="Arial" w:cs="Arial" w:eastAsia="Arial" w:hAnsi="Arial"/>
          <w:sz w:val="16"/>
          <w:szCs w:val="16"/>
          <w:color w:val="auto"/>
        </w:rPr>
      </w:pPr>
    </w:p>
    <w:p>
      <w:pPr>
        <w:ind w:right="200" w:firstLine="1172"/>
        <w:spacing w:after="0" w:line="285" w:lineRule="auto"/>
        <w:tabs>
          <w:tab w:leader="none" w:pos="1770" w:val="left"/>
        </w:tabs>
        <w:numPr>
          <w:ilvl w:val="0"/>
          <w:numId w:val="481"/>
        </w:numPr>
        <w:rPr>
          <w:rFonts w:ascii="Arial" w:cs="Arial" w:eastAsia="Arial" w:hAnsi="Arial"/>
          <w:sz w:val="16"/>
          <w:szCs w:val="16"/>
          <w:color w:val="auto"/>
        </w:rPr>
      </w:pPr>
      <w:r>
        <w:rPr>
          <w:rFonts w:ascii="Arial" w:cs="Arial" w:eastAsia="Arial" w:hAnsi="Arial"/>
          <w:sz w:val="16"/>
          <w:szCs w:val="16"/>
          <w:color w:val="auto"/>
        </w:rPr>
        <w:t>Any injury to or death of any person, or loss of or damage to property arising out of the use or occupancy of the Premises by or the negligence or willful misconduct of any of the Tenant Parties; and</w:t>
      </w:r>
    </w:p>
    <w:p>
      <w:pPr>
        <w:spacing w:after="0" w:line="149" w:lineRule="exact"/>
        <w:rPr>
          <w:rFonts w:ascii="Arial" w:cs="Arial" w:eastAsia="Arial" w:hAnsi="Arial"/>
          <w:sz w:val="16"/>
          <w:szCs w:val="16"/>
          <w:color w:val="auto"/>
        </w:rPr>
      </w:pPr>
    </w:p>
    <w:p>
      <w:pPr>
        <w:ind w:right="60" w:firstLine="1172"/>
        <w:spacing w:after="0" w:line="320" w:lineRule="auto"/>
        <w:tabs>
          <w:tab w:leader="none" w:pos="1767" w:val="left"/>
        </w:tabs>
        <w:numPr>
          <w:ilvl w:val="0"/>
          <w:numId w:val="481"/>
        </w:numPr>
        <w:rPr>
          <w:rFonts w:ascii="Arial" w:cs="Arial" w:eastAsia="Arial" w:hAnsi="Arial"/>
          <w:sz w:val="15"/>
          <w:szCs w:val="15"/>
          <w:color w:val="auto"/>
        </w:rPr>
      </w:pPr>
      <w:r>
        <w:rPr>
          <w:rFonts w:ascii="Arial" w:cs="Arial" w:eastAsia="Arial" w:hAnsi="Arial"/>
          <w:sz w:val="15"/>
          <w:szCs w:val="15"/>
          <w:color w:val="auto"/>
        </w:rPr>
        <w:t>On account of or based upon any work or thing whatsoever done (other than by Landlord or any of the Landlord Parties) at the Premises during the Term and during the period of time, if any, prior to the Term Commencement Date that any of the Tenant Parties may have been given access to the Premises.</w:t>
      </w:r>
    </w:p>
    <w:p>
      <w:pPr>
        <w:spacing w:after="0" w:line="123" w:lineRule="exact"/>
        <w:rPr>
          <w:sz w:val="20"/>
          <w:szCs w:val="20"/>
          <w:color w:val="auto"/>
        </w:rPr>
      </w:pPr>
    </w:p>
    <w:p>
      <w:pPr>
        <w:ind w:right="20" w:firstLine="587"/>
        <w:spacing w:after="0" w:line="267" w:lineRule="auto"/>
        <w:rPr>
          <w:sz w:val="20"/>
          <w:szCs w:val="20"/>
          <w:color w:val="auto"/>
        </w:rPr>
      </w:pPr>
      <w:r>
        <w:rPr>
          <w:rFonts w:ascii="Arial" w:cs="Arial" w:eastAsia="Arial" w:hAnsi="Arial"/>
          <w:sz w:val="16"/>
          <w:szCs w:val="16"/>
          <w:color w:val="auto"/>
        </w:rPr>
        <w:t xml:space="preserve">14.2A </w:t>
      </w:r>
      <w:r>
        <w:rPr>
          <w:rFonts w:ascii="Arial" w:cs="Arial" w:eastAsia="Arial" w:hAnsi="Arial"/>
          <w:sz w:val="16"/>
          <w:szCs w:val="16"/>
          <w:b w:val="1"/>
          <w:bCs w:val="1"/>
          <w:color w:val="auto"/>
        </w:rPr>
        <w:t>Landlord Indemnification</w:t>
      </w:r>
      <w:r>
        <w:rPr>
          <w:rFonts w:ascii="Arial" w:cs="Arial" w:eastAsia="Arial" w:hAnsi="Arial"/>
          <w:sz w:val="16"/>
          <w:szCs w:val="16"/>
          <w:color w:val="auto"/>
        </w:rPr>
        <w:t>. Subject to the limitations of Landlord’s liability set forth in this Lease, Landlord agrees to hold Tenant harmless and to defend, exonerate and indemnify Tenant, its agents and employees from and against any and all claims, liabilities, or penalties asserted by or on behalf of any person, firm, corporation, or public authority for damage to property or injuries to persons sustained or occurring in or about the Building to the extent arising from the negligence or willful misconduct of Landlord or Landlord’s agents, employees or contractors.</w:t>
      </w:r>
    </w:p>
    <w:p>
      <w:pPr>
        <w:spacing w:after="0" w:line="159" w:lineRule="exact"/>
        <w:rPr>
          <w:sz w:val="20"/>
          <w:szCs w:val="20"/>
          <w:color w:val="auto"/>
        </w:rPr>
      </w:pPr>
    </w:p>
    <w:p>
      <w:pPr>
        <w:ind w:firstLine="587"/>
        <w:spacing w:after="0" w:line="267" w:lineRule="auto"/>
        <w:rPr>
          <w:sz w:val="20"/>
          <w:szCs w:val="20"/>
          <w:color w:val="auto"/>
        </w:rPr>
      </w:pPr>
      <w:r>
        <w:rPr>
          <w:rFonts w:ascii="Arial" w:cs="Arial" w:eastAsia="Arial" w:hAnsi="Arial"/>
          <w:sz w:val="16"/>
          <w:szCs w:val="16"/>
          <w:b w:val="1"/>
          <w:bCs w:val="1"/>
          <w:color w:val="auto"/>
        </w:rPr>
        <w:t>14.3 Property of Tenant</w:t>
      </w:r>
      <w:r>
        <w:rPr>
          <w:rFonts w:ascii="Arial" w:cs="Arial" w:eastAsia="Arial" w:hAnsi="Arial"/>
          <w:sz w:val="16"/>
          <w:szCs w:val="16"/>
          <w:color w:val="auto"/>
        </w:rPr>
        <w:t>. Tenant covenants and agrees that, to the maximum extent permitted by Legal Requirements, all of Tenant’s Property at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at the sole risk and hazard of Tenant, and that if the whole or any part thereof shall be damaged, destroyed, stolen or removed from any cause or reason whatsoever, no part of said damage or loss shall be charged to, or borne by, Landlord, except, subject to Section 14.5 hereof, to the extent such damage or loss is due to the negligence or willful misconduct of any of the Landlord Parties.</w:t>
      </w:r>
    </w:p>
    <w:p>
      <w:pPr>
        <w:spacing w:after="0" w:line="159" w:lineRule="exact"/>
        <w:rPr>
          <w:sz w:val="20"/>
          <w:szCs w:val="20"/>
          <w:color w:val="auto"/>
        </w:rPr>
      </w:pPr>
    </w:p>
    <w:p>
      <w:pPr>
        <w:jc w:val="both"/>
        <w:ind w:right="20" w:firstLine="587"/>
        <w:spacing w:after="0" w:line="272" w:lineRule="auto"/>
        <w:rPr>
          <w:sz w:val="20"/>
          <w:szCs w:val="20"/>
          <w:color w:val="auto"/>
        </w:rPr>
      </w:pPr>
      <w:r>
        <w:rPr>
          <w:rFonts w:ascii="Arial" w:cs="Arial" w:eastAsia="Arial" w:hAnsi="Arial"/>
          <w:sz w:val="16"/>
          <w:szCs w:val="16"/>
          <w:b w:val="1"/>
          <w:bCs w:val="1"/>
          <w:color w:val="auto"/>
        </w:rPr>
        <w:t>14.4 Limitation of Landlord’s Liability for Damage or Injury</w:t>
      </w:r>
      <w:r>
        <w:rPr>
          <w:rFonts w:ascii="Arial" w:cs="Arial" w:eastAsia="Arial" w:hAnsi="Arial"/>
          <w:sz w:val="16"/>
          <w:szCs w:val="16"/>
          <w:color w:val="auto"/>
        </w:rPr>
        <w:t>. Landlord shall not be liable for any injury or damage to persons, or property resulting from fire,</w:t>
      </w:r>
      <w:r>
        <w:rPr>
          <w:rFonts w:ascii="Arial" w:cs="Arial" w:eastAsia="Arial" w:hAnsi="Arial"/>
          <w:sz w:val="16"/>
          <w:szCs w:val="16"/>
          <w:b w:val="1"/>
          <w:bCs w:val="1"/>
          <w:color w:val="auto"/>
        </w:rPr>
        <w:t xml:space="preserve"> </w:t>
      </w:r>
      <w:r>
        <w:rPr>
          <w:rFonts w:ascii="Arial" w:cs="Arial" w:eastAsia="Arial" w:hAnsi="Arial"/>
          <w:sz w:val="16"/>
          <w:szCs w:val="16"/>
          <w:color w:val="auto"/>
        </w:rPr>
        <w:t>explosion, falling plaster, steam, gas, air contaminants or emissions, electricity, electrical or electronic emanations or disturbance, water, rain or snow or leaks from any part of the Building or from the pipes,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02" w:name="page503"/>
    <w:bookmarkEnd w:id="502"/>
    <w:p>
      <w:pPr>
        <w:ind w:right="20"/>
        <w:spacing w:after="0" w:line="277" w:lineRule="auto"/>
        <w:rPr>
          <w:sz w:val="20"/>
          <w:szCs w:val="20"/>
          <w:color w:val="auto"/>
        </w:rPr>
      </w:pPr>
      <w:r>
        <w:rPr>
          <w:rFonts w:ascii="Arial" w:cs="Arial" w:eastAsia="Arial" w:hAnsi="Arial"/>
          <w:sz w:val="15"/>
          <w:szCs w:val="15"/>
          <w:color w:val="auto"/>
        </w:rPr>
        <w:t>appliances, equipment or plumbing works or from the roof, street or sub-surface or from any other place or caused by dampness, vandalism, malicious mischief or by any other cause of whatever nature, except to the extent caused by or due to the negligence or willful misconduct of any of the Landlord Parties, and then, where notice and an opportunity to cure are appropriate (i.e., where Tenant has actual knowledge of such condition sufficiently in advance of the occurrence of any such injury or damage resulting therefrom as would have enabled Landlord to prevent such damage or loss had Tenant notified Landlord of such condition) only after (i) notice to Landlord of the condition claimed to constitute negligence or willful misconduct, and (ii) the expiration of a reasonable time after such notice has been received by Landlord without Landlord having commenced to take all reasonable and practicable means to cure or correct such condition; and pending such cure or correction by Landlord, Tenant shall take all reasonably prudent temporary measures and safeguards to prevent any injury, loss or damage to persons or property. Notwithstanding the foregoing, in no event shall any of the Landlord Parties be liable for any loss which is covered by insurance policies actually carried or required to be so carried by this Lease; nor shall any of the Landlord Parties be liable for any such damage caused by other tenants or persons in the Building or caused by operations in construction of any private, public, or quasi-public work; nor shall any of the Landlord Parties be liable for any latent defect in the Premises or in the Building; provided, however, that the foregoing shall not relieve Landlord of its obligations to perform maintenance, repairs or replacements as required pursuant to the provisions of this Lease.</w:t>
      </w:r>
    </w:p>
    <w:p>
      <w:pPr>
        <w:spacing w:after="0" w:line="154" w:lineRule="exact"/>
        <w:rPr>
          <w:sz w:val="20"/>
          <w:szCs w:val="20"/>
          <w:color w:val="auto"/>
        </w:rPr>
      </w:pPr>
    </w:p>
    <w:p>
      <w:pPr>
        <w:ind w:firstLine="587"/>
        <w:spacing w:after="0" w:line="279" w:lineRule="auto"/>
        <w:rPr>
          <w:sz w:val="20"/>
          <w:szCs w:val="20"/>
          <w:color w:val="auto"/>
        </w:rPr>
      </w:pPr>
      <w:r>
        <w:rPr>
          <w:rFonts w:ascii="Arial" w:cs="Arial" w:eastAsia="Arial" w:hAnsi="Arial"/>
          <w:sz w:val="15"/>
          <w:szCs w:val="15"/>
          <w:b w:val="1"/>
          <w:bCs w:val="1"/>
          <w:color w:val="auto"/>
        </w:rPr>
        <w:t>14.5 Waiver of Subrogation; Mutual Release</w:t>
      </w:r>
      <w:r>
        <w:rPr>
          <w:rFonts w:ascii="Arial" w:cs="Arial" w:eastAsia="Arial" w:hAnsi="Arial"/>
          <w:sz w:val="15"/>
          <w:szCs w:val="15"/>
          <w:color w:val="auto"/>
        </w:rPr>
        <w:t>. Landlord and Tenant each hereby waives on behalf of itself and its property insurers (none of which shall ever be</w:t>
      </w:r>
      <w:r>
        <w:rPr>
          <w:rFonts w:ascii="Arial" w:cs="Arial" w:eastAsia="Arial" w:hAnsi="Arial"/>
          <w:sz w:val="15"/>
          <w:szCs w:val="15"/>
          <w:b w:val="1"/>
          <w:bCs w:val="1"/>
          <w:color w:val="auto"/>
        </w:rPr>
        <w:t xml:space="preserve"> </w:t>
      </w:r>
      <w:r>
        <w:rPr>
          <w:rFonts w:ascii="Arial" w:cs="Arial" w:eastAsia="Arial" w:hAnsi="Arial"/>
          <w:sz w:val="15"/>
          <w:szCs w:val="15"/>
          <w:color w:val="auto"/>
        </w:rPr>
        <w:t>assigned any such claim or be entitled thereto due to subrogation or otherwise) any and all rights of recovery, claim, action, or cause of action against the other and its agents, officers, servants, partners, shareholders, or employees (collectively, the “</w:t>
      </w:r>
      <w:r>
        <w:rPr>
          <w:rFonts w:ascii="Arial" w:cs="Arial" w:eastAsia="Arial" w:hAnsi="Arial"/>
          <w:sz w:val="15"/>
          <w:szCs w:val="15"/>
          <w:b w:val="1"/>
          <w:bCs w:val="1"/>
          <w:u w:val="single" w:color="auto"/>
          <w:color w:val="auto"/>
        </w:rPr>
        <w:t>Related Parties</w:t>
      </w:r>
      <w:r>
        <w:rPr>
          <w:rFonts w:ascii="Arial" w:cs="Arial" w:eastAsia="Arial" w:hAnsi="Arial"/>
          <w:sz w:val="15"/>
          <w:szCs w:val="15"/>
          <w:color w:val="auto"/>
        </w:rPr>
        <w:t>”) for any loss or damage that may occur to or within the Premises or the Building or any improvements thereto, or any personal property of such party therein which is insured against under any property insurance policy actually being maintained by the waiving party from time to time, even if not required hereunder, or which would be insured against under the terms of any Property Insurance (hereinafter defined) policy required to be carried or maintained by the waiving party hereunder, whether or not such insurance coverage is actually being maintained, including, in every instance, such loss or damage that may be caused by the negligence of the other party hereto and/or its Related Parties. Landlord and Tenant each agrees to cause appropriate clauses to be included in its Property Insurance policies necessary to implement the foregoing provisions.</w:t>
      </w:r>
    </w:p>
    <w:p>
      <w:pPr>
        <w:spacing w:after="0" w:line="157" w:lineRule="exact"/>
        <w:rPr>
          <w:sz w:val="20"/>
          <w:szCs w:val="20"/>
          <w:color w:val="auto"/>
        </w:rPr>
      </w:pPr>
    </w:p>
    <w:p>
      <w:pPr>
        <w:ind w:firstLine="587"/>
        <w:spacing w:after="0" w:line="261" w:lineRule="auto"/>
        <w:rPr>
          <w:sz w:val="20"/>
          <w:szCs w:val="20"/>
          <w:color w:val="auto"/>
        </w:rPr>
      </w:pPr>
      <w:r>
        <w:rPr>
          <w:rFonts w:ascii="Arial" w:cs="Arial" w:eastAsia="Arial" w:hAnsi="Arial"/>
          <w:sz w:val="16"/>
          <w:szCs w:val="16"/>
          <w:b w:val="1"/>
          <w:bCs w:val="1"/>
          <w:color w:val="auto"/>
        </w:rPr>
        <w:t>14.6 Tenant’s Acts—Effect on Insurance</w:t>
      </w:r>
      <w:r>
        <w:rPr>
          <w:rFonts w:ascii="Arial" w:cs="Arial" w:eastAsia="Arial" w:hAnsi="Arial"/>
          <w:sz w:val="16"/>
          <w:szCs w:val="16"/>
          <w:color w:val="auto"/>
        </w:rPr>
        <w:t>. Tenant shall not knowingly do or permit any Tenant Party to do any act or thing upon the Premises or elsewhere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which will invalidate or be in conflict with any insurance policies or warranties covering the Building and the fixtures and property therein; and shall not knowingly do, or permit to be done, any act or thing upon the Premises which shall subject Landlord to any liability or responsibility for injury to any person or persons or to property by reason of any business or operation being carried on upon said Premises or for any other reason. If by reason of the failure of Tenant to comply with the provisions hereof within five (5) business days after written notice from Landlord, the insurance rate applicable to any policy of insurance shall at any time thereafter be higher than it otherwise would be, Tenant shall reimburse Landlord upon demand for that part of any insurance premiums which shall have been charged because of such failure by Tenant, together with interest at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03" w:name="page504"/>
    <w:bookmarkEnd w:id="503"/>
    <w:p>
      <w:pPr>
        <w:ind w:left="2" w:right="100"/>
        <w:spacing w:after="0" w:line="285" w:lineRule="auto"/>
        <w:rPr>
          <w:sz w:val="20"/>
          <w:szCs w:val="20"/>
          <w:color w:val="auto"/>
        </w:rPr>
      </w:pPr>
      <w:r>
        <w:rPr>
          <w:rFonts w:ascii="Arial" w:cs="Arial" w:eastAsia="Arial" w:hAnsi="Arial"/>
          <w:sz w:val="16"/>
          <w:szCs w:val="16"/>
          <w:color w:val="auto"/>
        </w:rPr>
        <w:t>Default Rate until paid in full, within thirty (30) days after receipt of an invoice therefor. In addition, Tenant shall reimburse Landlord for any increase in insurance premiums arising as a result of Tenant’s use and/or storage of any Hazardous Materials in the Premises.</w:t>
      </w:r>
    </w:p>
    <w:p>
      <w:pPr>
        <w:spacing w:after="0" w:line="146" w:lineRule="exact"/>
        <w:rPr>
          <w:sz w:val="20"/>
          <w:szCs w:val="20"/>
          <w:color w:val="auto"/>
        </w:rPr>
      </w:pPr>
    </w:p>
    <w:p>
      <w:pPr>
        <w:ind w:left="2" w:firstLine="587"/>
        <w:spacing w:after="0" w:line="278" w:lineRule="auto"/>
        <w:rPr>
          <w:sz w:val="20"/>
          <w:szCs w:val="20"/>
          <w:color w:val="auto"/>
        </w:rPr>
      </w:pPr>
      <w:r>
        <w:rPr>
          <w:rFonts w:ascii="Arial" w:cs="Arial" w:eastAsia="Arial" w:hAnsi="Arial"/>
          <w:sz w:val="15"/>
          <w:szCs w:val="15"/>
          <w:b w:val="1"/>
          <w:bCs w:val="1"/>
          <w:color w:val="auto"/>
        </w:rPr>
        <w:t>14.7 Landlord’s Insurance</w:t>
      </w:r>
      <w:r>
        <w:rPr>
          <w:rFonts w:ascii="Arial" w:cs="Arial" w:eastAsia="Arial" w:hAnsi="Arial"/>
          <w:sz w:val="15"/>
          <w:szCs w:val="15"/>
          <w:color w:val="auto"/>
        </w:rPr>
        <w:t>. Landlord shall carry at all times during the Term of this Lease (a) commercial general liability insurance with respect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Building, the Land and the Common Areas in an amount not less than Five Million Dollars ($5,000,000) combined single limit per occurrence, (b) with respect to the Building, excluding Tenant-Insured Improvements and alterations made by other tenants or occupants, insurance against loss or damage caused by any peril covered under fire, extended coverage and all risk insurance with coverage against vandalism, malicious mischief and such other insurable hazards and contingencies as are from time to time normally insured against by owners of similar first-class multi-tenant buildings in the Town of Lexington or which are required by any Mortgagee, in an amount equal to one hundred percent (100%) of the full replacement cost thereof above foundation walls (“</w:t>
      </w:r>
      <w:r>
        <w:rPr>
          <w:rFonts w:ascii="Arial" w:cs="Arial" w:eastAsia="Arial" w:hAnsi="Arial"/>
          <w:sz w:val="15"/>
          <w:szCs w:val="15"/>
          <w:b w:val="1"/>
          <w:bCs w:val="1"/>
          <w:u w:val="single" w:color="auto"/>
          <w:color w:val="auto"/>
        </w:rPr>
        <w:t>Landlord Property Insurance</w:t>
      </w:r>
      <w:r>
        <w:rPr>
          <w:rFonts w:ascii="Arial" w:cs="Arial" w:eastAsia="Arial" w:hAnsi="Arial"/>
          <w:sz w:val="15"/>
          <w:szCs w:val="15"/>
          <w:color w:val="auto"/>
        </w:rPr>
        <w:t>”), and (c) rent interruption insurance covering at least eighteen (18) months. Any and all such insurance (i) may be maintained under a blanket policy affecting other properties of Landlord and/or its affiliated business organizations, and (ii) may be written with commercially reasonable deductibles as determined by Landlord. The costs incurred by Landlord related to such insurance shall be included in Operating Costs. Tenant Property Insurance and Landlord Property Insurance are referred to collectively herein as “</w:t>
      </w:r>
      <w:r>
        <w:rPr>
          <w:rFonts w:ascii="Arial" w:cs="Arial" w:eastAsia="Arial" w:hAnsi="Arial"/>
          <w:sz w:val="15"/>
          <w:szCs w:val="15"/>
          <w:b w:val="1"/>
          <w:bCs w:val="1"/>
          <w:u w:val="single" w:color="auto"/>
          <w:color w:val="auto"/>
        </w:rPr>
        <w:t>Property Insurance</w:t>
      </w:r>
      <w:r>
        <w:rPr>
          <w:rFonts w:ascii="Arial" w:cs="Arial" w:eastAsia="Arial" w:hAnsi="Arial"/>
          <w:sz w:val="15"/>
          <w:szCs w:val="15"/>
          <w:color w:val="auto"/>
        </w:rPr>
        <w:t>.”</w:t>
      </w:r>
    </w:p>
    <w:p>
      <w:pPr>
        <w:spacing w:after="0" w:line="158" w:lineRule="exact"/>
        <w:rPr>
          <w:sz w:val="20"/>
          <w:szCs w:val="20"/>
          <w:color w:val="auto"/>
        </w:rPr>
      </w:pPr>
    </w:p>
    <w:p>
      <w:pPr>
        <w:ind w:left="582" w:hanging="582"/>
        <w:spacing w:after="0"/>
        <w:tabs>
          <w:tab w:leader="none" w:pos="582" w:val="left"/>
        </w:tabs>
        <w:numPr>
          <w:ilvl w:val="0"/>
          <w:numId w:val="482"/>
        </w:numPr>
        <w:rPr>
          <w:rFonts w:ascii="Arial" w:cs="Arial" w:eastAsia="Arial" w:hAnsi="Arial"/>
          <w:sz w:val="16"/>
          <w:szCs w:val="16"/>
          <w:b w:val="1"/>
          <w:bCs w:val="1"/>
          <w:color w:val="auto"/>
        </w:rPr>
      </w:pPr>
      <w:r>
        <w:rPr>
          <w:rFonts w:ascii="Arial" w:cs="Arial" w:eastAsia="Arial" w:hAnsi="Arial"/>
          <w:sz w:val="16"/>
          <w:szCs w:val="16"/>
          <w:b w:val="1"/>
          <w:bCs w:val="1"/>
          <w:color w:val="auto"/>
        </w:rPr>
        <w:t>CASUALTY; TAKING</w:t>
      </w:r>
    </w:p>
    <w:p>
      <w:pPr>
        <w:spacing w:after="0" w:line="207" w:lineRule="exact"/>
        <w:rPr>
          <w:sz w:val="20"/>
          <w:szCs w:val="20"/>
          <w:color w:val="auto"/>
        </w:rPr>
      </w:pPr>
    </w:p>
    <w:p>
      <w:pPr>
        <w:ind w:left="2" w:right="80" w:firstLine="587"/>
        <w:spacing w:after="0" w:line="276" w:lineRule="auto"/>
        <w:rPr>
          <w:sz w:val="20"/>
          <w:szCs w:val="20"/>
          <w:color w:val="auto"/>
        </w:rPr>
      </w:pPr>
      <w:r>
        <w:rPr>
          <w:rFonts w:ascii="Arial" w:cs="Arial" w:eastAsia="Arial" w:hAnsi="Arial"/>
          <w:sz w:val="15"/>
          <w:szCs w:val="15"/>
          <w:b w:val="1"/>
          <w:bCs w:val="1"/>
          <w:color w:val="auto"/>
        </w:rPr>
        <w:t>15.1 Damage</w:t>
      </w:r>
      <w:r>
        <w:rPr>
          <w:rFonts w:ascii="Arial" w:cs="Arial" w:eastAsia="Arial" w:hAnsi="Arial"/>
          <w:sz w:val="15"/>
          <w:szCs w:val="15"/>
          <w:color w:val="auto"/>
        </w:rPr>
        <w:t>. If the Premises are damaged in whole or part because of fire or other insured casualty (“</w:t>
      </w:r>
      <w:r>
        <w:rPr>
          <w:rFonts w:ascii="Arial" w:cs="Arial" w:eastAsia="Arial" w:hAnsi="Arial"/>
          <w:sz w:val="15"/>
          <w:szCs w:val="15"/>
          <w:b w:val="1"/>
          <w:bCs w:val="1"/>
          <w:u w:val="single" w:color="auto"/>
          <w:color w:val="auto"/>
        </w:rPr>
        <w:t>Casualty</w:t>
      </w:r>
      <w:r>
        <w:rPr>
          <w:rFonts w:ascii="Arial" w:cs="Arial" w:eastAsia="Arial" w:hAnsi="Arial"/>
          <w:sz w:val="15"/>
          <w:szCs w:val="15"/>
          <w:color w:val="auto"/>
        </w:rPr>
        <w:t>”), or if the Premises are subject to a taking in</w:t>
      </w:r>
      <w:r>
        <w:rPr>
          <w:rFonts w:ascii="Arial" w:cs="Arial" w:eastAsia="Arial" w:hAnsi="Arial"/>
          <w:sz w:val="15"/>
          <w:szCs w:val="15"/>
          <w:b w:val="1"/>
          <w:bCs w:val="1"/>
          <w:color w:val="auto"/>
        </w:rPr>
        <w:t xml:space="preserve"> </w:t>
      </w:r>
      <w:r>
        <w:rPr>
          <w:rFonts w:ascii="Arial" w:cs="Arial" w:eastAsia="Arial" w:hAnsi="Arial"/>
          <w:sz w:val="15"/>
          <w:szCs w:val="15"/>
          <w:color w:val="auto"/>
        </w:rPr>
        <w:t>connection with the exercise of any power of eminent domain, condemnation, or purchase under threat or in lieu thereof (any of the foregoing, a “</w:t>
      </w:r>
      <w:r>
        <w:rPr>
          <w:rFonts w:ascii="Arial" w:cs="Arial" w:eastAsia="Arial" w:hAnsi="Arial"/>
          <w:sz w:val="15"/>
          <w:szCs w:val="15"/>
          <w:b w:val="1"/>
          <w:bCs w:val="1"/>
          <w:u w:val="single" w:color="auto"/>
          <w:color w:val="auto"/>
        </w:rPr>
        <w:t>Taking</w:t>
      </w:r>
      <w:r>
        <w:rPr>
          <w:rFonts w:ascii="Arial" w:cs="Arial" w:eastAsia="Arial" w:hAnsi="Arial"/>
          <w:sz w:val="15"/>
          <w:szCs w:val="15"/>
          <w:color w:val="auto"/>
        </w:rPr>
        <w:t>”), then unless this Lease is terminated in accordance with Section 15.2 below, Landlord shall restore the Building and/or the Premises to substantially the same condition as existed immediately following completion of Landlord’s Work, or in the event of a partial Taking which affects the Building and the Premises, restore the remainder of the Building and the Premises not so Taken to substantially the same condition as is reasonably feasible. If, in Landlord’s reasonable judgment, any element of the Tenant-Insured Improvements can more effectively be restored as an integral part of Landlord’s restoration of the Building or the Premises, such restoration shall also be made by Landlord, but at Tenant’s sole cost and expense. Subject to rights of Mortgagees, Tenant Delays, Legal Requirements then in existence and to delays for adjustment of insurance proceeds or Taking awards, as the case may be, and instances of Force Majeure, Landlord shall substantially complete such restoration within one (1) year after Landlord’s receipt of all required permits therefor with respect to substantial reconstruction of at least 50% of the Building, or, within one hundred eighty (180) days after Landlord’s receipt of all required permits therefor in the case of restoration of less than 50% of the Building. Upon substantial completion of such restoration by Landlord, Tenant shall use diligent efforts to complete restoration of the Premises to substantially the same condition as existed immediately prior to such Casualty or Taking, as the case may be, as soon as reasonably possible. Tenant agrees to cooperate with Landlord in such manner as Landlord may reasonably request to assist Landlord in collecting insurance proceeds due in connection with any Casualty which affects the Premises or the Building. In no event shall Landlord be required to expend more than the Net (hereinafter defined) insurance proceeds Landlord receives for damage to the Premises and/or the Building or</w:t>
      </w:r>
    </w:p>
    <w:p>
      <w:pPr>
        <w:spacing w:after="0" w:line="1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504" w:name="page505"/>
    <w:bookmarkEnd w:id="504"/>
    <w:p>
      <w:pPr>
        <w:spacing w:after="0" w:line="288" w:lineRule="auto"/>
        <w:rPr>
          <w:sz w:val="20"/>
          <w:szCs w:val="20"/>
          <w:color w:val="auto"/>
        </w:rPr>
      </w:pPr>
      <w:r>
        <w:rPr>
          <w:rFonts w:ascii="Arial" w:cs="Arial" w:eastAsia="Arial" w:hAnsi="Arial"/>
          <w:sz w:val="15"/>
          <w:szCs w:val="15"/>
          <w:color w:val="auto"/>
        </w:rPr>
        <w:t>the Net Taking award attributable to the Premises and/or the Building. “Net” means the insurance proceeds or Taking award actually paid to Landlord (and not paid over to a Mortgagee) less all costs and expenses, including adjusters and attorney’s fees, of obtaining the same. In the Operating Year in which a Casualty occurs, there shall be included in Operating Costs Landlord’s deductible under its property insurance policy, Except as Landlord may elect pursuant to this Section 15.1, under no circumstances shall Landlord be required to repair any damage to, or make any repairs to or replacements of, any Tenant-Insured Improvements.</w:t>
      </w:r>
    </w:p>
    <w:p>
      <w:pPr>
        <w:spacing w:after="0" w:line="146"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b w:val="1"/>
          <w:bCs w:val="1"/>
          <w:color w:val="auto"/>
        </w:rPr>
        <w:t>15.2</w:t>
      </w:r>
      <w:r>
        <w:rPr>
          <w:sz w:val="20"/>
          <w:szCs w:val="20"/>
          <w:color w:val="auto"/>
        </w:rPr>
        <w:tab/>
      </w:r>
      <w:r>
        <w:rPr>
          <w:rFonts w:ascii="Arial" w:cs="Arial" w:eastAsia="Arial" w:hAnsi="Arial"/>
          <w:sz w:val="14"/>
          <w:szCs w:val="14"/>
          <w:b w:val="1"/>
          <w:bCs w:val="1"/>
          <w:color w:val="auto"/>
        </w:rPr>
        <w:t>Termination Rights.</w:t>
      </w:r>
    </w:p>
    <w:p>
      <w:pPr>
        <w:spacing w:after="0" w:line="211" w:lineRule="exact"/>
        <w:rPr>
          <w:sz w:val="20"/>
          <w:szCs w:val="20"/>
          <w:color w:val="auto"/>
        </w:rPr>
      </w:pPr>
    </w:p>
    <w:p>
      <w:pPr>
        <w:ind w:left="1760" w:hanging="588"/>
        <w:spacing w:after="0"/>
        <w:tabs>
          <w:tab w:leader="none" w:pos="1760" w:val="left"/>
        </w:tabs>
        <w:numPr>
          <w:ilvl w:val="0"/>
          <w:numId w:val="483"/>
        </w:numPr>
        <w:rPr>
          <w:rFonts w:ascii="Arial" w:cs="Arial" w:eastAsia="Arial" w:hAnsi="Arial"/>
          <w:sz w:val="16"/>
          <w:szCs w:val="16"/>
          <w:color w:val="auto"/>
        </w:rPr>
      </w:pPr>
      <w:r>
        <w:rPr>
          <w:rFonts w:ascii="Arial" w:cs="Arial" w:eastAsia="Arial" w:hAnsi="Arial"/>
          <w:sz w:val="16"/>
          <w:szCs w:val="16"/>
          <w:u w:val="single" w:color="auto"/>
          <w:color w:val="auto"/>
        </w:rPr>
        <w:t>Landlord’s Termination Rights</w:t>
      </w:r>
      <w:r>
        <w:rPr>
          <w:rFonts w:ascii="Arial" w:cs="Arial" w:eastAsia="Arial" w:hAnsi="Arial"/>
          <w:sz w:val="16"/>
          <w:szCs w:val="16"/>
          <w:color w:val="auto"/>
        </w:rPr>
        <w:t>. Landlord may terminate this Lease upon thirty (30) days’ prior written notice to Tenant if:</w:t>
      </w:r>
    </w:p>
    <w:p>
      <w:pPr>
        <w:spacing w:after="0" w:line="207" w:lineRule="exact"/>
        <w:rPr>
          <w:rFonts w:ascii="Arial" w:cs="Arial" w:eastAsia="Arial" w:hAnsi="Arial"/>
          <w:sz w:val="16"/>
          <w:szCs w:val="16"/>
          <w:color w:val="auto"/>
        </w:rPr>
      </w:pPr>
    </w:p>
    <w:p>
      <w:pPr>
        <w:ind w:right="320" w:firstLine="1759"/>
        <w:spacing w:after="0" w:line="320" w:lineRule="auto"/>
        <w:tabs>
          <w:tab w:leader="none" w:pos="2367" w:val="left"/>
        </w:tabs>
        <w:numPr>
          <w:ilvl w:val="1"/>
          <w:numId w:val="483"/>
        </w:numPr>
        <w:rPr>
          <w:rFonts w:ascii="Arial" w:cs="Arial" w:eastAsia="Arial" w:hAnsi="Arial"/>
          <w:sz w:val="15"/>
          <w:szCs w:val="15"/>
          <w:color w:val="auto"/>
        </w:rPr>
      </w:pPr>
      <w:r>
        <w:rPr>
          <w:rFonts w:ascii="Arial" w:cs="Arial" w:eastAsia="Arial" w:hAnsi="Arial"/>
          <w:sz w:val="15"/>
          <w:szCs w:val="15"/>
          <w:color w:val="auto"/>
        </w:rPr>
        <w:t>any material portion of the Building or any material means of access thereto is taken, provided, however, that it shall be a condition to Landlord’s right to exercise its termination right pursuant to this Section 15.2(a)(i) that Landlord terminate the lease(s) of the other tenant(s) of the Building; or</w:t>
      </w:r>
    </w:p>
    <w:p>
      <w:pPr>
        <w:spacing w:after="0" w:line="126" w:lineRule="exact"/>
        <w:rPr>
          <w:rFonts w:ascii="Arial" w:cs="Arial" w:eastAsia="Arial" w:hAnsi="Arial"/>
          <w:sz w:val="15"/>
          <w:szCs w:val="15"/>
          <w:color w:val="auto"/>
        </w:rPr>
      </w:pPr>
    </w:p>
    <w:p>
      <w:pPr>
        <w:ind w:right="140" w:firstLine="1759"/>
        <w:spacing w:after="0" w:line="270" w:lineRule="auto"/>
        <w:tabs>
          <w:tab w:leader="none" w:pos="2376" w:val="left"/>
        </w:tabs>
        <w:numPr>
          <w:ilvl w:val="1"/>
          <w:numId w:val="483"/>
        </w:numPr>
        <w:rPr>
          <w:rFonts w:ascii="Arial" w:cs="Arial" w:eastAsia="Arial" w:hAnsi="Arial"/>
          <w:sz w:val="16"/>
          <w:szCs w:val="16"/>
          <w:color w:val="auto"/>
        </w:rPr>
      </w:pPr>
      <w:r>
        <w:rPr>
          <w:rFonts w:ascii="Arial" w:cs="Arial" w:eastAsia="Arial" w:hAnsi="Arial"/>
          <w:sz w:val="16"/>
          <w:szCs w:val="16"/>
          <w:color w:val="auto"/>
        </w:rPr>
        <w:t>more than thirty-five percent (35%) of the Building is damaged by Casualty, provided, however, that it shall be a condition to Landlord’s right to exercise its termination right pursuant to this Section 15.2(a)(ii) that Landlord terminate the lease(s) of any other tenant(s) of the Building who are similarly affected by such Casualty; or</w:t>
      </w:r>
    </w:p>
    <w:p>
      <w:pPr>
        <w:spacing w:after="0" w:line="161" w:lineRule="exact"/>
        <w:rPr>
          <w:rFonts w:ascii="Arial" w:cs="Arial" w:eastAsia="Arial" w:hAnsi="Arial"/>
          <w:sz w:val="16"/>
          <w:szCs w:val="16"/>
          <w:color w:val="auto"/>
        </w:rPr>
      </w:pPr>
    </w:p>
    <w:p>
      <w:pPr>
        <w:ind w:left="2380" w:hanging="621"/>
        <w:spacing w:after="0"/>
        <w:tabs>
          <w:tab w:leader="none" w:pos="2380" w:val="left"/>
        </w:tabs>
        <w:numPr>
          <w:ilvl w:val="1"/>
          <w:numId w:val="483"/>
        </w:numPr>
        <w:rPr>
          <w:rFonts w:ascii="Arial" w:cs="Arial" w:eastAsia="Arial" w:hAnsi="Arial"/>
          <w:sz w:val="15"/>
          <w:szCs w:val="15"/>
          <w:color w:val="auto"/>
        </w:rPr>
      </w:pPr>
      <w:r>
        <w:rPr>
          <w:rFonts w:ascii="Arial" w:cs="Arial" w:eastAsia="Arial" w:hAnsi="Arial"/>
          <w:sz w:val="15"/>
          <w:szCs w:val="15"/>
          <w:color w:val="auto"/>
        </w:rPr>
        <w:t>if the estimated time to complete restoration exceeds one (1) year from the date on which Landlord receives all required permits for such</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restoration.</w:t>
      </w:r>
    </w:p>
    <w:p>
      <w:pPr>
        <w:spacing w:after="0" w:line="195" w:lineRule="exact"/>
        <w:rPr>
          <w:rFonts w:ascii="Arial" w:cs="Arial" w:eastAsia="Arial" w:hAnsi="Arial"/>
          <w:sz w:val="15"/>
          <w:szCs w:val="15"/>
          <w:color w:val="auto"/>
        </w:rPr>
      </w:pPr>
    </w:p>
    <w:p>
      <w:pPr>
        <w:ind w:left="1760" w:hanging="588"/>
        <w:spacing w:after="0"/>
        <w:tabs>
          <w:tab w:leader="none" w:pos="1760" w:val="left"/>
        </w:tabs>
        <w:numPr>
          <w:ilvl w:val="0"/>
          <w:numId w:val="483"/>
        </w:numPr>
        <w:rPr>
          <w:rFonts w:ascii="Arial" w:cs="Arial" w:eastAsia="Arial" w:hAnsi="Arial"/>
          <w:sz w:val="16"/>
          <w:szCs w:val="16"/>
          <w:color w:val="auto"/>
        </w:rPr>
      </w:pPr>
      <w:r>
        <w:rPr>
          <w:rFonts w:ascii="Arial" w:cs="Arial" w:eastAsia="Arial" w:hAnsi="Arial"/>
          <w:sz w:val="16"/>
          <w:szCs w:val="16"/>
          <w:u w:val="single" w:color="auto"/>
          <w:color w:val="auto"/>
        </w:rPr>
        <w:t>Tenant’s Termination Rights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right="140" w:firstLine="1759"/>
        <w:spacing w:after="0" w:line="270" w:lineRule="auto"/>
        <w:tabs>
          <w:tab w:leader="none" w:pos="2367" w:val="left"/>
        </w:tabs>
        <w:numPr>
          <w:ilvl w:val="1"/>
          <w:numId w:val="483"/>
        </w:numPr>
        <w:rPr>
          <w:rFonts w:ascii="Arial" w:cs="Arial" w:eastAsia="Arial" w:hAnsi="Arial"/>
          <w:sz w:val="16"/>
          <w:szCs w:val="16"/>
          <w:color w:val="auto"/>
        </w:rPr>
      </w:pPr>
      <w:r>
        <w:rPr>
          <w:rFonts w:ascii="Arial" w:cs="Arial" w:eastAsia="Arial" w:hAnsi="Arial"/>
          <w:sz w:val="16"/>
          <w:szCs w:val="16"/>
          <w:color w:val="auto"/>
        </w:rPr>
        <w:t>If any Taking prevents all material means of access to or egress from the Premises, then, unless Landlord provides reasonable alternative access and egress to the Premises within sixty (60) days after such Taking, Tenant shall have the option to terminate this Lease upon thirty (30) days’ written notice given to Landlord no later than the date ninety (90) days after such Taking.</w:t>
      </w:r>
    </w:p>
    <w:p>
      <w:pPr>
        <w:spacing w:after="0" w:line="161" w:lineRule="exact"/>
        <w:rPr>
          <w:rFonts w:ascii="Arial" w:cs="Arial" w:eastAsia="Arial" w:hAnsi="Arial"/>
          <w:sz w:val="16"/>
          <w:szCs w:val="16"/>
          <w:color w:val="auto"/>
        </w:rPr>
      </w:pPr>
    </w:p>
    <w:p>
      <w:pPr>
        <w:ind w:right="80" w:firstLine="1759"/>
        <w:spacing w:after="0" w:line="261" w:lineRule="auto"/>
        <w:tabs>
          <w:tab w:leader="none" w:pos="2376" w:val="left"/>
        </w:tabs>
        <w:numPr>
          <w:ilvl w:val="1"/>
          <w:numId w:val="483"/>
        </w:numPr>
        <w:rPr>
          <w:rFonts w:ascii="Arial" w:cs="Arial" w:eastAsia="Arial" w:hAnsi="Arial"/>
          <w:sz w:val="16"/>
          <w:szCs w:val="16"/>
          <w:color w:val="auto"/>
        </w:rPr>
      </w:pPr>
      <w:r>
        <w:rPr>
          <w:rFonts w:ascii="Arial" w:cs="Arial" w:eastAsia="Arial" w:hAnsi="Arial"/>
          <w:sz w:val="16"/>
          <w:szCs w:val="16"/>
          <w:color w:val="auto"/>
        </w:rPr>
        <w:t>If neither party elects to terminate this Lease pursuant to its rights under this Section 15.2, and Landlord is so required but fails to substantially complete restoration of the Premises within the time frames and subject to the conditions set forth in Section 15.1 above (provided however, that the time frames set forth in Section 15.1 shall be extended by the period of time, not to exceed an additional sixty (60) days, that Landlord is delayed in substantially completing such restoration by Force Majeure, as defined in Section 25.19), then Tenant may terminate this Lease upon thirty (30) days’ written notice to Landlord; provided, however, that if Landlord completes such restoration within thirty (30) days after receipt of any such termination notice, such termination notice shall be null and void and this Lease shall continue in full force and effect.</w:t>
      </w:r>
    </w:p>
    <w:p>
      <w:pPr>
        <w:spacing w:after="0" w:line="168" w:lineRule="exact"/>
        <w:rPr>
          <w:rFonts w:ascii="Arial" w:cs="Arial" w:eastAsia="Arial" w:hAnsi="Arial"/>
          <w:sz w:val="16"/>
          <w:szCs w:val="16"/>
          <w:color w:val="auto"/>
        </w:rPr>
      </w:pPr>
    </w:p>
    <w:p>
      <w:pPr>
        <w:ind w:firstLine="1759"/>
        <w:spacing w:after="0" w:line="285" w:lineRule="auto"/>
        <w:tabs>
          <w:tab w:leader="none" w:pos="2384" w:val="left"/>
        </w:tabs>
        <w:numPr>
          <w:ilvl w:val="1"/>
          <w:numId w:val="483"/>
        </w:numPr>
        <w:rPr>
          <w:rFonts w:ascii="Arial" w:cs="Arial" w:eastAsia="Arial" w:hAnsi="Arial"/>
          <w:sz w:val="16"/>
          <w:szCs w:val="16"/>
          <w:color w:val="auto"/>
        </w:rPr>
      </w:pPr>
      <w:r>
        <w:rPr>
          <w:rFonts w:ascii="Arial" w:cs="Arial" w:eastAsia="Arial" w:hAnsi="Arial"/>
          <w:sz w:val="16"/>
          <w:szCs w:val="16"/>
          <w:color w:val="auto"/>
        </w:rPr>
        <w:t>The remedies set forth in this Section 15.2(b) and in Section 15.2(c) below are Tenant’s sole and exclusive rights and remedies based upon Landlord’s failure to complete the restoration of the Premises as set forth herein.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760" w:hanging="588"/>
        <w:spacing w:after="0"/>
        <w:tabs>
          <w:tab w:leader="none" w:pos="1760" w:val="left"/>
        </w:tabs>
        <w:numPr>
          <w:ilvl w:val="0"/>
          <w:numId w:val="484"/>
        </w:numPr>
        <w:rPr>
          <w:rFonts w:ascii="Arial" w:cs="Arial" w:eastAsia="Arial" w:hAnsi="Arial"/>
          <w:sz w:val="16"/>
          <w:szCs w:val="16"/>
          <w:color w:val="auto"/>
        </w:rPr>
      </w:pPr>
      <w:r>
        <w:rPr>
          <w:rFonts w:ascii="Arial" w:cs="Arial" w:eastAsia="Arial" w:hAnsi="Arial"/>
          <w:sz w:val="16"/>
          <w:szCs w:val="16"/>
          <w:u w:val="single" w:color="auto"/>
          <w:color w:val="auto"/>
        </w:rPr>
        <w:t>Other Termination Rights</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jc w:val="both"/>
        <w:ind w:right="40" w:firstLine="1759"/>
        <w:spacing w:after="0" w:line="296" w:lineRule="auto"/>
        <w:tabs>
          <w:tab w:leader="none" w:pos="2367" w:val="left"/>
        </w:tabs>
        <w:numPr>
          <w:ilvl w:val="1"/>
          <w:numId w:val="484"/>
        </w:numPr>
        <w:rPr>
          <w:rFonts w:ascii="Arial" w:cs="Arial" w:eastAsia="Arial" w:hAnsi="Arial"/>
          <w:sz w:val="15"/>
          <w:szCs w:val="15"/>
          <w:color w:val="auto"/>
        </w:rPr>
      </w:pPr>
      <w:r>
        <w:rPr>
          <w:rFonts w:ascii="Arial" w:cs="Arial" w:eastAsia="Arial" w:hAnsi="Arial"/>
          <w:sz w:val="15"/>
          <w:szCs w:val="15"/>
          <w:color w:val="auto"/>
        </w:rPr>
        <w:t>In the case of any Casualty or Taking affecting the Premises and occurring during the last twelve (12) months of the Term, then (x) if such Casualty or Taking results in more than twenty-five percent (25%) of the floor area of the Premises being unsuitable for the Permitted Uses, or (y) the damage to the Premises costs more than $250,000 to restore, then either Landlord or Tenant shall have the option to terminate this Lease upon thirty (30) days’ written notice to the other.</w:t>
      </w:r>
    </w:p>
    <w:p>
      <w:pPr>
        <w:spacing w:after="0" w:line="144" w:lineRule="exact"/>
        <w:rPr>
          <w:rFonts w:ascii="Arial" w:cs="Arial" w:eastAsia="Arial" w:hAnsi="Arial"/>
          <w:sz w:val="15"/>
          <w:szCs w:val="15"/>
          <w:color w:val="auto"/>
        </w:rPr>
      </w:pPr>
    </w:p>
    <w:p>
      <w:pPr>
        <w:ind w:right="60" w:firstLine="1759"/>
        <w:spacing w:after="0" w:line="262" w:lineRule="auto"/>
        <w:tabs>
          <w:tab w:leader="none" w:pos="2376" w:val="left"/>
        </w:tabs>
        <w:numPr>
          <w:ilvl w:val="1"/>
          <w:numId w:val="484"/>
        </w:numPr>
        <w:rPr>
          <w:rFonts w:ascii="Arial" w:cs="Arial" w:eastAsia="Arial" w:hAnsi="Arial"/>
          <w:sz w:val="16"/>
          <w:szCs w:val="16"/>
          <w:color w:val="auto"/>
        </w:rPr>
      </w:pPr>
      <w:r>
        <w:rPr>
          <w:rFonts w:ascii="Arial" w:cs="Arial" w:eastAsia="Arial" w:hAnsi="Arial"/>
          <w:sz w:val="16"/>
          <w:szCs w:val="16"/>
          <w:color w:val="auto"/>
        </w:rPr>
        <w:t>In addition, if Landlord’s Mortgagee does not release sufficient insurance proceeds to cover the cost of Landlord’s restoration obligations, then, provided that Landlord terminates the lease(s) of the other tenant(s) of the Building, Landlord shall (i) notify Tenant thereof, and (ii) have the right to terminate this Lease. If Landlord does not terminate this Lease pursuant to the previous sentence and such notice by Landlord does not include an agreement by Landlord to pay for the difference between the cost of such restoration and such released insurance proceeds, then Tenant may terminate this Lease by written notice to Landlord on or before the date that is thirty (30) days after such notice.</w:t>
      </w:r>
    </w:p>
    <w:p>
      <w:pPr>
        <w:spacing w:after="0" w:line="169" w:lineRule="exact"/>
        <w:rPr>
          <w:rFonts w:ascii="Arial" w:cs="Arial" w:eastAsia="Arial" w:hAnsi="Arial"/>
          <w:sz w:val="16"/>
          <w:szCs w:val="16"/>
          <w:color w:val="auto"/>
        </w:rPr>
      </w:pPr>
    </w:p>
    <w:p>
      <w:pPr>
        <w:ind w:left="1760" w:hanging="588"/>
        <w:spacing w:after="0"/>
        <w:tabs>
          <w:tab w:leader="none" w:pos="1760" w:val="left"/>
        </w:tabs>
        <w:numPr>
          <w:ilvl w:val="0"/>
          <w:numId w:val="484"/>
        </w:numPr>
        <w:rPr>
          <w:rFonts w:ascii="Arial" w:cs="Arial" w:eastAsia="Arial" w:hAnsi="Arial"/>
          <w:sz w:val="14"/>
          <w:szCs w:val="14"/>
          <w:color w:val="auto"/>
        </w:rPr>
      </w:pPr>
      <w:r>
        <w:rPr>
          <w:rFonts w:ascii="Arial" w:cs="Arial" w:eastAsia="Arial" w:hAnsi="Arial"/>
          <w:sz w:val="14"/>
          <w:szCs w:val="14"/>
          <w:u w:val="single" w:color="auto"/>
          <w:color w:val="auto"/>
        </w:rPr>
        <w:t>Automatic Termination</w:t>
      </w:r>
      <w:r>
        <w:rPr>
          <w:rFonts w:ascii="Arial" w:cs="Arial" w:eastAsia="Arial" w:hAnsi="Arial"/>
          <w:sz w:val="14"/>
          <w:szCs w:val="14"/>
          <w:color w:val="auto"/>
        </w:rPr>
        <w:t>. In the case of a Taking of the entire Premises, then this Lease shall automatically terminate as of the date of possession by</w:t>
      </w:r>
    </w:p>
    <w:p>
      <w:pPr>
        <w:spacing w:after="0" w:line="4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Taking authority.</w:t>
      </w:r>
    </w:p>
    <w:p>
      <w:pPr>
        <w:spacing w:after="0" w:line="195" w:lineRule="exact"/>
        <w:rPr>
          <w:rFonts w:ascii="Arial" w:cs="Arial" w:eastAsia="Arial" w:hAnsi="Arial"/>
          <w:sz w:val="14"/>
          <w:szCs w:val="14"/>
          <w:color w:val="auto"/>
        </w:rPr>
      </w:pPr>
    </w:p>
    <w:p>
      <w:pPr>
        <w:ind w:right="460" w:firstLine="1172"/>
        <w:spacing w:after="0" w:line="285" w:lineRule="auto"/>
        <w:tabs>
          <w:tab w:leader="none" w:pos="177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Tenant may not terminate this Lease pursuant to this Section 15 if the Casualty in question was caused by the gross negligence or willful misconduct of any of the Tenant Parties.</w:t>
      </w:r>
    </w:p>
    <w:p>
      <w:pPr>
        <w:spacing w:after="0" w:line="146" w:lineRule="exact"/>
        <w:rPr>
          <w:sz w:val="20"/>
          <w:szCs w:val="20"/>
          <w:color w:val="auto"/>
        </w:rPr>
      </w:pPr>
    </w:p>
    <w:p>
      <w:pPr>
        <w:ind w:right="60" w:firstLine="587"/>
        <w:spacing w:after="0" w:line="285" w:lineRule="auto"/>
        <w:rPr>
          <w:sz w:val="20"/>
          <w:szCs w:val="20"/>
          <w:color w:val="auto"/>
        </w:rPr>
      </w:pPr>
      <w:r>
        <w:rPr>
          <w:rFonts w:ascii="Arial" w:cs="Arial" w:eastAsia="Arial" w:hAnsi="Arial"/>
          <w:sz w:val="15"/>
          <w:szCs w:val="15"/>
          <w:b w:val="1"/>
          <w:bCs w:val="1"/>
          <w:color w:val="auto"/>
        </w:rPr>
        <w:t>15.3 Abatement</w:t>
      </w:r>
      <w:r>
        <w:rPr>
          <w:rFonts w:ascii="Arial" w:cs="Arial" w:eastAsia="Arial" w:hAnsi="Arial"/>
          <w:sz w:val="15"/>
          <w:szCs w:val="15"/>
          <w:color w:val="auto"/>
        </w:rPr>
        <w:t>. In the event of a Casualty or Taking affecting the Premises, there shall be an equitable adjustment of Base Rent, Operating Costs and Taxes</w:t>
      </w:r>
      <w:r>
        <w:rPr>
          <w:rFonts w:ascii="Arial" w:cs="Arial" w:eastAsia="Arial" w:hAnsi="Arial"/>
          <w:sz w:val="15"/>
          <w:szCs w:val="15"/>
          <w:b w:val="1"/>
          <w:bCs w:val="1"/>
          <w:color w:val="auto"/>
        </w:rPr>
        <w:t xml:space="preserve"> </w:t>
      </w:r>
      <w:r>
        <w:rPr>
          <w:rFonts w:ascii="Arial" w:cs="Arial" w:eastAsia="Arial" w:hAnsi="Arial"/>
          <w:sz w:val="15"/>
          <w:szCs w:val="15"/>
          <w:color w:val="auto"/>
        </w:rPr>
        <w:t>based upon the degree to which Tenant’s ability to conduct its business in the Premises is impaired by reason of such Casualty or Taking from and after the date of a Casualty or Taking, and continuing until the following portions of the repair and restoration work to be performed by Landlord, as set forth above, are substantially completed: (a) any repair and restoration work to be performed by Landlord within the Premises, and (b) repair and restoration work with respect to the Common Areas to the extent that damage to the Common Areas caused by such Casualty or Taking materially and adversely affects Tenant’s use of, or access to, the Premises.</w:t>
      </w:r>
    </w:p>
    <w:p>
      <w:pPr>
        <w:spacing w:after="0" w:line="150" w:lineRule="exact"/>
        <w:rPr>
          <w:sz w:val="20"/>
          <w:szCs w:val="20"/>
          <w:color w:val="auto"/>
        </w:rPr>
      </w:pPr>
    </w:p>
    <w:p>
      <w:pPr>
        <w:ind w:right="180" w:firstLine="587"/>
        <w:spacing w:after="0" w:line="290" w:lineRule="auto"/>
        <w:rPr>
          <w:sz w:val="20"/>
          <w:szCs w:val="20"/>
          <w:color w:val="auto"/>
        </w:rPr>
      </w:pPr>
      <w:r>
        <w:rPr>
          <w:rFonts w:ascii="Arial" w:cs="Arial" w:eastAsia="Arial" w:hAnsi="Arial"/>
          <w:sz w:val="16"/>
          <w:szCs w:val="16"/>
          <w:b w:val="1"/>
          <w:bCs w:val="1"/>
          <w:color w:val="auto"/>
        </w:rPr>
        <w:t>15.4 Taking for Temporary Use</w:t>
      </w:r>
      <w:r>
        <w:rPr>
          <w:rFonts w:ascii="Arial" w:cs="Arial" w:eastAsia="Arial" w:hAnsi="Arial"/>
          <w:sz w:val="16"/>
          <w:szCs w:val="16"/>
          <w:color w:val="auto"/>
        </w:rPr>
        <w:t>. If the Premises are Taken for temporary use, this Lease and Tenant’s obligations, including without limitation the payment of</w:t>
      </w:r>
      <w:r>
        <w:rPr>
          <w:rFonts w:ascii="Arial" w:cs="Arial" w:eastAsia="Arial" w:hAnsi="Arial"/>
          <w:sz w:val="16"/>
          <w:szCs w:val="16"/>
          <w:b w:val="1"/>
          <w:bCs w:val="1"/>
          <w:color w:val="auto"/>
        </w:rPr>
        <w:t xml:space="preserve"> </w:t>
      </w:r>
      <w:r>
        <w:rPr>
          <w:rFonts w:ascii="Arial" w:cs="Arial" w:eastAsia="Arial" w:hAnsi="Arial"/>
          <w:sz w:val="16"/>
          <w:szCs w:val="16"/>
          <w:color w:val="auto"/>
        </w:rPr>
        <w:t>Rent, shall continue subject to Section 15.3. For purposes hereof, a “</w:t>
      </w:r>
      <w:r>
        <w:rPr>
          <w:rFonts w:ascii="Arial" w:cs="Arial" w:eastAsia="Arial" w:hAnsi="Arial"/>
          <w:sz w:val="16"/>
          <w:szCs w:val="16"/>
          <w:b w:val="1"/>
          <w:bCs w:val="1"/>
          <w:u w:val="single" w:color="auto"/>
          <w:color w:val="auto"/>
        </w:rPr>
        <w:t>Taking for temporary use</w:t>
      </w:r>
      <w:r>
        <w:rPr>
          <w:rFonts w:ascii="Arial" w:cs="Arial" w:eastAsia="Arial" w:hAnsi="Arial"/>
          <w:sz w:val="16"/>
          <w:szCs w:val="16"/>
          <w:color w:val="auto"/>
        </w:rPr>
        <w:t>” shall mean a Taking of ninety (90) days or less.</w:t>
      </w:r>
    </w:p>
    <w:p>
      <w:pPr>
        <w:spacing w:after="0" w:line="142" w:lineRule="exact"/>
        <w:rPr>
          <w:sz w:val="20"/>
          <w:szCs w:val="20"/>
          <w:color w:val="auto"/>
        </w:rPr>
      </w:pPr>
    </w:p>
    <w:p>
      <w:pPr>
        <w:ind w:right="300" w:firstLine="587"/>
        <w:spacing w:after="0" w:line="267" w:lineRule="auto"/>
        <w:rPr>
          <w:sz w:val="20"/>
          <w:szCs w:val="20"/>
          <w:color w:val="auto"/>
        </w:rPr>
      </w:pPr>
      <w:r>
        <w:rPr>
          <w:rFonts w:ascii="Arial" w:cs="Arial" w:eastAsia="Arial" w:hAnsi="Arial"/>
          <w:sz w:val="16"/>
          <w:szCs w:val="16"/>
          <w:b w:val="1"/>
          <w:bCs w:val="1"/>
          <w:color w:val="auto"/>
        </w:rPr>
        <w:t>15.5 Disposition of Awards</w:t>
      </w:r>
      <w:r>
        <w:rPr>
          <w:rFonts w:ascii="Arial" w:cs="Arial" w:eastAsia="Arial" w:hAnsi="Arial"/>
          <w:sz w:val="16"/>
          <w:szCs w:val="16"/>
          <w:color w:val="auto"/>
        </w:rPr>
        <w:t>. Except for: (i) any separate award for Tenant’s movable trade fixtures, relocation expenses, and unamortized leasehold</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paid for by Tenant (provided that the same may not reduce Landlord’s award), and (ii) any award for any Taking for temporary use, all Taking awards to Landlord or Tenant shall be Landlord’s property without Tenant’s participation, and Tenant hereby assigns to Landlord Tenant’s interest, if any, in such award. Tenant may pursue its own claim against the Taking authority.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505" w:name="page506"/>
    <w:bookmarkEnd w:id="505"/>
    <w:p>
      <w:pPr>
        <w:ind w:left="582" w:hanging="582"/>
        <w:spacing w:after="0"/>
        <w:tabs>
          <w:tab w:leader="none" w:pos="582" w:val="left"/>
        </w:tabs>
        <w:numPr>
          <w:ilvl w:val="0"/>
          <w:numId w:val="485"/>
        </w:numPr>
        <w:rPr>
          <w:rFonts w:ascii="Arial" w:cs="Arial" w:eastAsia="Arial" w:hAnsi="Arial"/>
          <w:sz w:val="16"/>
          <w:szCs w:val="16"/>
          <w:b w:val="1"/>
          <w:bCs w:val="1"/>
          <w:color w:val="auto"/>
        </w:rPr>
      </w:pPr>
      <w:r>
        <w:rPr>
          <w:rFonts w:ascii="Arial" w:cs="Arial" w:eastAsia="Arial" w:hAnsi="Arial"/>
          <w:sz w:val="16"/>
          <w:szCs w:val="16"/>
          <w:b w:val="1"/>
          <w:bCs w:val="1"/>
          <w:color w:val="auto"/>
        </w:rPr>
        <w:t>ESTOPPEL CERTIFICATE.</w:t>
      </w:r>
    </w:p>
    <w:p>
      <w:pPr>
        <w:spacing w:after="0" w:line="207"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Each party (“</w:t>
      </w:r>
      <w:r>
        <w:rPr>
          <w:rFonts w:ascii="Arial" w:cs="Arial" w:eastAsia="Arial" w:hAnsi="Arial"/>
          <w:sz w:val="16"/>
          <w:szCs w:val="16"/>
          <w:b w:val="1"/>
          <w:bCs w:val="1"/>
          <w:u w:val="single" w:color="auto"/>
          <w:color w:val="auto"/>
        </w:rPr>
        <w:t>Responding Party</w:t>
      </w:r>
      <w:r>
        <w:rPr>
          <w:rFonts w:ascii="Arial" w:cs="Arial" w:eastAsia="Arial" w:hAnsi="Arial"/>
          <w:sz w:val="16"/>
          <w:szCs w:val="16"/>
          <w:color w:val="auto"/>
        </w:rPr>
        <w:t>”) shall at any time and from time to time upon not less than ten (10) business days’ prior written notice from the other party</w:t>
      </w:r>
    </w:p>
    <w:p>
      <w:pPr>
        <w:spacing w:after="0" w:line="27" w:lineRule="exact"/>
        <w:rPr>
          <w:sz w:val="20"/>
          <w:szCs w:val="20"/>
          <w:color w:val="auto"/>
        </w:rPr>
      </w:pPr>
    </w:p>
    <w:p>
      <w:pPr>
        <w:ind w:left="2" w:right="20"/>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Requesting Party</w:t>
      </w:r>
      <w:r>
        <w:rPr>
          <w:rFonts w:ascii="Arial" w:cs="Arial" w:eastAsia="Arial" w:hAnsi="Arial"/>
          <w:sz w:val="15"/>
          <w:szCs w:val="15"/>
          <w:color w:val="auto"/>
        </w:rPr>
        <w:t>”), execute, acknowledge and deliver to the Requesting Party a statement in writing certifying: (i) that this Lease is unmodified and in full force and effect (or if there have been modifications, that the same is in full force and effect as modified and stating the modifications), (ii) the dates to which Rent has been paid in advance, if any, (iii) stating, to the Responding Party’s knowledge, whether or not the Requesting Party is in default in performance of any covenant, agreement, term, provision or condition contained in this Lease and, if so, specifying each such default, and (iv) to the best of the knowledge of the Responding Party (without the requirement to perform any investigations), such other facts relating to this Lease as the Requesting Party may reasonably request, it being intended that any such statement delivered pursuant hereto may be relied upon by any prospective purchaser of the Building or of any interest of Landlord therein, any Mortgagee or prospective Mortgagee thereof, any lessor or prospective lessor thereof, any lessee or prospective lessee thereof, or any prospective assignee of any mortgage thereof, or any prospective transferee of Tenant’s interest in this Lease or the Premises, or any portion thereof. Time is of the essence with respect to any such requested certificate, Tenant hereby acknowledging the importance of such certificates in mortgage financing arrangements, prospective sales and the like.</w:t>
      </w:r>
    </w:p>
    <w:p>
      <w:pPr>
        <w:spacing w:after="0" w:line="156" w:lineRule="exact"/>
        <w:rPr>
          <w:sz w:val="20"/>
          <w:szCs w:val="20"/>
          <w:color w:val="auto"/>
        </w:rPr>
      </w:pPr>
    </w:p>
    <w:p>
      <w:pPr>
        <w:ind w:left="582" w:hanging="582"/>
        <w:spacing w:after="0"/>
        <w:tabs>
          <w:tab w:leader="none" w:pos="582" w:val="left"/>
        </w:tabs>
        <w:numPr>
          <w:ilvl w:val="0"/>
          <w:numId w:val="486"/>
        </w:numPr>
        <w:rPr>
          <w:rFonts w:ascii="Arial" w:cs="Arial" w:eastAsia="Arial" w:hAnsi="Arial"/>
          <w:sz w:val="16"/>
          <w:szCs w:val="16"/>
          <w:b w:val="1"/>
          <w:bCs w:val="1"/>
          <w:color w:val="auto"/>
        </w:rPr>
      </w:pPr>
      <w:r>
        <w:rPr>
          <w:rFonts w:ascii="Arial" w:cs="Arial" w:eastAsia="Arial" w:hAnsi="Arial"/>
          <w:sz w:val="16"/>
          <w:szCs w:val="16"/>
          <w:b w:val="1"/>
          <w:bCs w:val="1"/>
          <w:color w:val="auto"/>
        </w:rPr>
        <w:t>HAZARDOUS MATERIALS.</w:t>
      </w:r>
    </w:p>
    <w:p>
      <w:pPr>
        <w:spacing w:after="0" w:line="207" w:lineRule="exact"/>
        <w:rPr>
          <w:sz w:val="20"/>
          <w:szCs w:val="20"/>
          <w:color w:val="auto"/>
        </w:rPr>
      </w:pPr>
    </w:p>
    <w:p>
      <w:pPr>
        <w:ind w:left="2" w:firstLine="587"/>
        <w:spacing w:after="0" w:line="276" w:lineRule="auto"/>
        <w:rPr>
          <w:sz w:val="20"/>
          <w:szCs w:val="20"/>
          <w:color w:val="auto"/>
        </w:rPr>
      </w:pPr>
      <w:r>
        <w:rPr>
          <w:rFonts w:ascii="Arial" w:cs="Arial" w:eastAsia="Arial" w:hAnsi="Arial"/>
          <w:sz w:val="15"/>
          <w:szCs w:val="15"/>
          <w:b w:val="1"/>
          <w:bCs w:val="1"/>
          <w:color w:val="auto"/>
        </w:rPr>
        <w:t>17.1 Prohibition</w:t>
      </w:r>
      <w:r>
        <w:rPr>
          <w:rFonts w:ascii="Arial" w:cs="Arial" w:eastAsia="Arial" w:hAnsi="Arial"/>
          <w:sz w:val="15"/>
          <w:szCs w:val="15"/>
          <w:color w:val="auto"/>
        </w:rPr>
        <w:t>. Tenant shall not, without the prior written consent of Landlord, bring or permit to be brought or kept in or on the Premises or elsewhere in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Building or the Property any Hazardous Materials, as defined in Section 17.3, other than: (i) Tenant’s Hazardous Materials, as hereinafter defined, and (ii) standard office supplies and commercial cleaning products which are stored in proper containers and transported, handled and disposed of in compliance with applicable Environmental Laws. “Tenant’s Hazardous Materials” shall be defined as the types and quantities of Hazardous Materials which are listed on </w:t>
      </w:r>
      <w:r>
        <w:rPr>
          <w:rFonts w:ascii="Arial" w:cs="Arial" w:eastAsia="Arial" w:hAnsi="Arial"/>
          <w:sz w:val="15"/>
          <w:szCs w:val="15"/>
          <w:u w:val="single" w:color="auto"/>
          <w:color w:val="auto"/>
        </w:rPr>
        <w:t>Exhibit 7</w:t>
      </w:r>
      <w:r>
        <w:rPr>
          <w:rFonts w:ascii="Arial" w:cs="Arial" w:eastAsia="Arial" w:hAnsi="Arial"/>
          <w:sz w:val="15"/>
          <w:szCs w:val="15"/>
          <w:color w:val="auto"/>
        </w:rPr>
        <w:t xml:space="preserve"> attached hereto (“</w:t>
      </w:r>
      <w:r>
        <w:rPr>
          <w:rFonts w:ascii="Arial" w:cs="Arial" w:eastAsia="Arial" w:hAnsi="Arial"/>
          <w:sz w:val="15"/>
          <w:szCs w:val="15"/>
          <w:b w:val="1"/>
          <w:bCs w:val="1"/>
          <w:u w:val="single" w:color="auto"/>
          <w:color w:val="auto"/>
        </w:rPr>
        <w:t>Tenant’s Hazardous</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Materials</w:t>
      </w:r>
      <w:r>
        <w:rPr>
          <w:rFonts w:ascii="Arial" w:cs="Arial" w:eastAsia="Arial" w:hAnsi="Arial"/>
          <w:sz w:val="15"/>
          <w:szCs w:val="15"/>
          <w:color w:val="auto"/>
        </w:rPr>
        <w:t>”), provided that (except when being brought to or removed from the Premises through Common Areas) the same shall at all times be brought upon, kept or used in</w:t>
      </w:r>
      <w:r>
        <w:rPr>
          <w:rFonts w:ascii="Arial" w:cs="Arial" w:eastAsia="Arial" w:hAnsi="Arial"/>
          <w:sz w:val="15"/>
          <w:szCs w:val="15"/>
          <w:b w:val="1"/>
          <w:bCs w:val="1"/>
          <w:color w:val="auto"/>
        </w:rPr>
        <w:t xml:space="preserve"> </w:t>
      </w:r>
      <w:r>
        <w:rPr>
          <w:rFonts w:ascii="Arial" w:cs="Arial" w:eastAsia="Arial" w:hAnsi="Arial"/>
          <w:sz w:val="15"/>
          <w:szCs w:val="15"/>
          <w:color w:val="auto"/>
        </w:rPr>
        <w:t>the Premises, and in accordance with all applicable Environmental Laws (hereinafter defined) and prudent environmental practice and (with respect to medical waste and so-called “biohazard” materials) good scientific and medical practice. Tenant shall be responsible for assuring that all of its laboratory uses in the Premises are adequately and properly vented to comply with Environmental Law. On or before each anniversary of the Rent Commencement Date, and on any earlier date during the 12-month period on which Tenant intends to add a new Hazardous Material or materially increase the quantity of any Hazardous Material to the list of Tenant’s Hazardous Materials, Tenant shall submit to Landlord an updated list of Tenant’s Hazardous Materials and, to the extent the addition of such new Hazardous Material or a such increase in the quantity of any Hazardous Material warrants any change to Tenant’s Hazardous Materials Plan (hereinafter defined), an updated Tenant’s Hazardous Materials Plan (hereinafter defined) for Landlord’s review and approval, which approval shall not be unreasonably withheld, conditioned or delayed. Landlord shall have the right, from time to time, to inspect the Premises for compliance with the terms of this Section 17.1. Tenant shall obtain the Landlord’s approval, which approval shall not be unreasonably withheld, conditioned or delayed, before adding a new Hazardous Material that is flammable or materially increasing the quantity of a Hazardous Material that is flammable. Notwithstanding the foregoing, with respect to any of Tenant’s Hazardous Materials which Tenant</w:t>
      </w:r>
    </w:p>
    <w:p>
      <w:pPr>
        <w:spacing w:after="0" w:line="15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506" w:name="page507"/>
    <w:bookmarkEnd w:id="506"/>
    <w:p>
      <w:pPr>
        <w:ind w:right="20"/>
        <w:spacing w:after="0" w:line="278" w:lineRule="auto"/>
        <w:rPr>
          <w:sz w:val="20"/>
          <w:szCs w:val="20"/>
          <w:color w:val="auto"/>
        </w:rPr>
      </w:pPr>
      <w:r>
        <w:rPr>
          <w:rFonts w:ascii="Arial" w:cs="Arial" w:eastAsia="Arial" w:hAnsi="Arial"/>
          <w:sz w:val="15"/>
          <w:szCs w:val="15"/>
          <w:color w:val="auto"/>
        </w:rPr>
        <w:t>does not properly handle, store or dispose of in compliance with all applicable Environmental Laws (hereinafter defined), prudent environmental practice and (with respect to medical waste and so-called “biohazard materials”) good scientific and medical practice, Tenant shall, upon written notice from Landlord, no longer have the right to bring such material into the Building or the Property until Tenant has demonstrated, to Landlord’s reasonable satisfaction, that Tenant has implemented programs to thereafter properly handle, store or dispose of such material. In order to induce Landlord to waive its otherwise applicable requirement that Tenant maintain insurance in favor of Landlord against liability arising from the presence of radioactive materials in the Premises, and without limiting the foregoing, Tenant hereby represents and warrants to Landlord that at no time during the Term will Tenant bring upon, or permit to be brought upon, the Premises any radioactive materials whatsoever without obtaining all necessary governmental permits and approvals, complying with all applicable Environmental Laws, obtaining Landlord’s prior written consent (which consent shall not be unreasonably withheld, conditioned or delayed), obtaining insurance coverages reasonably required by Landlord covering risks arising from the presence of radioactive materials, and complying with all other applicable provisions of this Lease.</w:t>
      </w:r>
    </w:p>
    <w:p>
      <w:pPr>
        <w:spacing w:after="0" w:line="154" w:lineRule="exact"/>
        <w:rPr>
          <w:sz w:val="20"/>
          <w:szCs w:val="20"/>
          <w:color w:val="auto"/>
        </w:rPr>
      </w:pPr>
    </w:p>
    <w:p>
      <w:pPr>
        <w:ind w:firstLine="587"/>
        <w:spacing w:after="0" w:line="294" w:lineRule="auto"/>
        <w:rPr>
          <w:sz w:val="20"/>
          <w:szCs w:val="20"/>
          <w:color w:val="auto"/>
        </w:rPr>
      </w:pPr>
      <w:r>
        <w:rPr>
          <w:rFonts w:ascii="Arial" w:cs="Arial" w:eastAsia="Arial" w:hAnsi="Arial"/>
          <w:sz w:val="14"/>
          <w:szCs w:val="14"/>
          <w:b w:val="1"/>
          <w:bCs w:val="1"/>
          <w:color w:val="auto"/>
        </w:rPr>
        <w:t>17.2 Environmental Laws</w:t>
      </w:r>
      <w:r>
        <w:rPr>
          <w:rFonts w:ascii="Arial" w:cs="Arial" w:eastAsia="Arial" w:hAnsi="Arial"/>
          <w:sz w:val="14"/>
          <w:szCs w:val="14"/>
          <w:color w:val="auto"/>
        </w:rPr>
        <w:t>. For purposes hereof, “</w:t>
      </w:r>
      <w:r>
        <w:rPr>
          <w:rFonts w:ascii="Arial" w:cs="Arial" w:eastAsia="Arial" w:hAnsi="Arial"/>
          <w:sz w:val="14"/>
          <w:szCs w:val="14"/>
          <w:b w:val="1"/>
          <w:bCs w:val="1"/>
          <w:u w:val="single" w:color="auto"/>
          <w:color w:val="auto"/>
        </w:rPr>
        <w:t>Environmental Laws</w:t>
      </w:r>
      <w:r>
        <w:rPr>
          <w:rFonts w:ascii="Arial" w:cs="Arial" w:eastAsia="Arial" w:hAnsi="Arial"/>
          <w:sz w:val="14"/>
          <w:szCs w:val="14"/>
          <w:color w:val="auto"/>
        </w:rPr>
        <w:t>” shall mean all applicable laws, statutes, ordinances, rules and regulations of any local,</w:t>
      </w:r>
      <w:r>
        <w:rPr>
          <w:rFonts w:ascii="Arial" w:cs="Arial" w:eastAsia="Arial" w:hAnsi="Arial"/>
          <w:sz w:val="14"/>
          <w:szCs w:val="14"/>
          <w:b w:val="1"/>
          <w:bCs w:val="1"/>
          <w:color w:val="auto"/>
        </w:rPr>
        <w:t xml:space="preserve"> </w:t>
      </w:r>
      <w:r>
        <w:rPr>
          <w:rFonts w:ascii="Arial" w:cs="Arial" w:eastAsia="Arial" w:hAnsi="Arial"/>
          <w:sz w:val="14"/>
          <w:szCs w:val="14"/>
          <w:color w:val="auto"/>
        </w:rPr>
        <w:t>state or federal governmental authority having jurisdiction over the Property concerning environmental, health and safety matters, including but not limited to any discharge by any of the Tenant Parties into the air, surface water, sewers, soil or groundwater of any Hazardous Material (hereinafter defined) whether within or outside the Premises, including, without limitation (a) the Federal Water Pollution Control Act, 33 U.S.C. Section 1251 et seq., (b) the Federal Resource Conservation and Recovery Act, 42 U.S.C. Section 6901 et seq., (c) the Comprehensive Environmental Response, Compensation and Liability Act, 42 U.S.C. Section 9601 et seq., (d) the Toxic Substances Control Act of 1976, 15 U.S.C. Section 2601 et seq., and (e) Chapter 21E of the General Laws of Massachusetts. Tenant, at its sole cost and expense, shall comply with (i) Environmental Laws, and (ii) any applicable rules, requirements and safety procedures of the Massachusetts Department of Environmental Protection and the Town of Lexington,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(iii) any requirements of any insurer of the Building or the Premises with respect to Tenant’s use, storage and disposal of any Hazardous Materials.</w:t>
      </w:r>
    </w:p>
    <w:p>
      <w:pPr>
        <w:spacing w:after="0" w:line="192" w:lineRule="exact"/>
        <w:rPr>
          <w:sz w:val="20"/>
          <w:szCs w:val="20"/>
          <w:color w:val="auto"/>
        </w:rPr>
      </w:pPr>
    </w:p>
    <w:p>
      <w:pPr>
        <w:ind w:right="80" w:firstLine="587"/>
        <w:spacing w:after="0" w:line="264" w:lineRule="auto"/>
        <w:rPr>
          <w:sz w:val="20"/>
          <w:szCs w:val="20"/>
          <w:color w:val="auto"/>
        </w:rPr>
      </w:pPr>
      <w:r>
        <w:rPr>
          <w:rFonts w:ascii="Arial" w:cs="Arial" w:eastAsia="Arial" w:hAnsi="Arial"/>
          <w:sz w:val="16"/>
          <w:szCs w:val="16"/>
          <w:b w:val="1"/>
          <w:bCs w:val="1"/>
          <w:color w:val="auto"/>
        </w:rPr>
        <w:t>17.3 Hazardous Material Defined</w:t>
      </w:r>
      <w:r>
        <w:rPr>
          <w:rFonts w:ascii="Arial" w:cs="Arial" w:eastAsia="Arial" w:hAnsi="Arial"/>
          <w:sz w:val="16"/>
          <w:szCs w:val="16"/>
          <w:color w:val="auto"/>
        </w:rPr>
        <w:t>. As used herein, the term “</w:t>
      </w:r>
      <w:r>
        <w:rPr>
          <w:rFonts w:ascii="Arial" w:cs="Arial" w:eastAsia="Arial" w:hAnsi="Arial"/>
          <w:sz w:val="16"/>
          <w:szCs w:val="16"/>
          <w:b w:val="1"/>
          <w:bCs w:val="1"/>
          <w:u w:val="single" w:color="auto"/>
          <w:color w:val="auto"/>
        </w:rPr>
        <w:t>Hazardous Material</w:t>
      </w:r>
      <w:r>
        <w:rPr>
          <w:rFonts w:ascii="Arial" w:cs="Arial" w:eastAsia="Arial" w:hAnsi="Arial"/>
          <w:sz w:val="16"/>
          <w:szCs w:val="16"/>
          <w:color w:val="auto"/>
        </w:rPr>
        <w:t>” means (i) inflammable, combustible or explosive fluid, material, chemical</w:t>
      </w:r>
      <w:r>
        <w:rPr>
          <w:rFonts w:ascii="Arial" w:cs="Arial" w:eastAsia="Arial" w:hAnsi="Arial"/>
          <w:sz w:val="16"/>
          <w:szCs w:val="16"/>
          <w:b w:val="1"/>
          <w:bCs w:val="1"/>
          <w:color w:val="auto"/>
        </w:rPr>
        <w:t xml:space="preserve"> </w:t>
      </w:r>
      <w:r>
        <w:rPr>
          <w:rFonts w:ascii="Arial" w:cs="Arial" w:eastAsia="Arial" w:hAnsi="Arial"/>
          <w:sz w:val="16"/>
          <w:szCs w:val="16"/>
          <w:color w:val="auto"/>
        </w:rPr>
        <w:t>or substances, (ii) asbestos, (iii) oil, and (iv) any other hazardous, radioactive or toxic substance, material or waste or petroleum derivative which, in any such case, is or becomes during the Term regulated by any Environmental Law, including without limitation live organisms, viruses and fungi, medical waste and any so-called “biohazard” materials. The term “</w:t>
      </w:r>
      <w:r>
        <w:rPr>
          <w:rFonts w:ascii="Arial" w:cs="Arial" w:eastAsia="Arial" w:hAnsi="Arial"/>
          <w:sz w:val="16"/>
          <w:szCs w:val="16"/>
          <w:b w:val="1"/>
          <w:bCs w:val="1"/>
          <w:u w:val="single" w:color="auto"/>
          <w:color w:val="auto"/>
        </w:rPr>
        <w:t>Hazardous Material</w:t>
      </w:r>
      <w:r>
        <w:rPr>
          <w:rFonts w:ascii="Arial" w:cs="Arial" w:eastAsia="Arial" w:hAnsi="Arial"/>
          <w:sz w:val="16"/>
          <w:szCs w:val="16"/>
          <w:color w:val="auto"/>
        </w:rPr>
        <w:t>” includes, without limitation, oil and/or any material or substance which is (i) designated as a “hazardous substance,” “hazardous material,” “oil,” “hazardous waste” or toxic substance under any Environmental Law.</w:t>
      </w:r>
    </w:p>
    <w:p>
      <w:pPr>
        <w:spacing w:after="0" w:line="162" w:lineRule="exact"/>
        <w:rPr>
          <w:sz w:val="20"/>
          <w:szCs w:val="20"/>
          <w:color w:val="auto"/>
        </w:rPr>
      </w:pPr>
    </w:p>
    <w:p>
      <w:pPr>
        <w:ind w:right="120" w:firstLine="587"/>
        <w:spacing w:after="0" w:line="267" w:lineRule="auto"/>
        <w:rPr>
          <w:sz w:val="20"/>
          <w:szCs w:val="20"/>
          <w:color w:val="auto"/>
        </w:rPr>
      </w:pPr>
      <w:r>
        <w:rPr>
          <w:rFonts w:ascii="Arial" w:cs="Arial" w:eastAsia="Arial" w:hAnsi="Arial"/>
          <w:sz w:val="16"/>
          <w:szCs w:val="16"/>
          <w:b w:val="1"/>
          <w:bCs w:val="1"/>
          <w:color w:val="auto"/>
        </w:rPr>
        <w:t>17.4 Testing</w:t>
      </w:r>
      <w:r>
        <w:rPr>
          <w:rFonts w:ascii="Arial" w:cs="Arial" w:eastAsia="Arial" w:hAnsi="Arial"/>
          <w:sz w:val="16"/>
          <w:szCs w:val="16"/>
          <w:color w:val="auto"/>
        </w:rPr>
        <w:t>. If Landlord reasonably believes that any Hazardous Materials have been released on, in, under or at the Premises in violation of this Lease or any</w:t>
      </w:r>
      <w:r>
        <w:rPr>
          <w:rFonts w:ascii="Arial" w:cs="Arial" w:eastAsia="Arial" w:hAnsi="Arial"/>
          <w:sz w:val="16"/>
          <w:szCs w:val="16"/>
          <w:b w:val="1"/>
          <w:bCs w:val="1"/>
          <w:color w:val="auto"/>
        </w:rPr>
        <w:t xml:space="preserve"> </w:t>
      </w:r>
      <w:r>
        <w:rPr>
          <w:rFonts w:ascii="Arial" w:cs="Arial" w:eastAsia="Arial" w:hAnsi="Arial"/>
          <w:sz w:val="16"/>
          <w:szCs w:val="16"/>
          <w:color w:val="auto"/>
        </w:rPr>
        <w:t>Legal Requirement, Landlord shall have the right, upon providing reasonable advance written notice to Tenant, to conduct appropriate tests of the Premises or any portion thereof to demonstrate that Hazardous Materials are present or that Contamination has occurred due to the acts or omissions of any of the Tenant Parties. As used herein, the term “</w:t>
      </w:r>
      <w:r>
        <w:rPr>
          <w:rFonts w:ascii="Arial" w:cs="Arial" w:eastAsia="Arial" w:hAnsi="Arial"/>
          <w:sz w:val="16"/>
          <w:szCs w:val="16"/>
          <w:b w:val="1"/>
          <w:bCs w:val="1"/>
          <w:color w:val="auto"/>
        </w:rPr>
        <w:t>Contamination</w:t>
      </w:r>
      <w:r>
        <w:rPr>
          <w:rFonts w:ascii="Arial" w:cs="Arial" w:eastAsia="Arial" w:hAnsi="Arial"/>
          <w:sz w:val="16"/>
          <w:szCs w:val="16"/>
          <w:color w:val="auto"/>
        </w:rPr>
        <w:t>” means the presence of Hazardous</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0"/>
          </w:cols>
          <w:pgMar w:left="240" w:top="322" w:right="299" w:bottom="1440" w:gutter="0" w:footer="0" w:header="0"/>
        </w:sectPr>
      </w:pPr>
    </w:p>
    <w:bookmarkStart w:id="507" w:name="page508"/>
    <w:bookmarkEnd w:id="507"/>
    <w:p>
      <w:pPr>
        <w:spacing w:after="0" w:line="277" w:lineRule="auto"/>
        <w:rPr>
          <w:sz w:val="20"/>
          <w:szCs w:val="20"/>
          <w:color w:val="auto"/>
        </w:rPr>
      </w:pPr>
      <w:r>
        <w:rPr>
          <w:rFonts w:ascii="Arial" w:cs="Arial" w:eastAsia="Arial" w:hAnsi="Arial"/>
          <w:sz w:val="15"/>
          <w:szCs w:val="15"/>
          <w:color w:val="auto"/>
        </w:rPr>
        <w:t>Materials (due to a release thereof) in concentrations above those which satisfy the HM Delivery Standard, as defined in Section 3.1(a)(iv). Tenant shall pay all reasonable costs of such tests if such tests reveal that Hazardous Materials exist at the Premises in violation of this Lease or any Legal Requirement due to the acts or omissions of any of the Tenant Parties. If any Mortgagee or governmental authority requires testing to determine whether there has been any release of Hazardous Materials and such testing is required as a result of the acts or omissions of any of the Tenant Parties, or if any governmental approval is required due to the presence at the Premises of any flammable Hazardous Materials due to the act or omission of any of the Tenant Parties, then Tenant shall reimburse Landlord upon demand, as additional rent, for the reasonable costs thereof, together with interest at the Default Rate until paid in full. Further, Landlord shall have the right, upon providing reasonable advance written notice to Tenant, to cause a third party consultant retained by Landlord, at Landlord’s expense (provided, however, that such reasonable costs shall be included in Operating Costs), to review, but not more than once in any calendar year, Tenant’s lab operations, procedures and permits to ascertain whether or not Tenant is complying with law and adhering to best industry practices. Tenant agrees to reasonably cooperate in good faith with any such review and to provide to such consultant any information reasonably requested by such consultant and reasonably required in order for such consultant to perform such review, but nothing contained herein shall require Tenant to provide proprietary or confidential information to such consultant.</w:t>
      </w:r>
    </w:p>
    <w:p>
      <w:pPr>
        <w:spacing w:after="0" w:line="154"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b w:val="1"/>
          <w:bCs w:val="1"/>
          <w:color w:val="auto"/>
        </w:rPr>
        <w:t>17.5</w:t>
      </w:r>
      <w:r>
        <w:rPr>
          <w:sz w:val="20"/>
          <w:szCs w:val="20"/>
          <w:color w:val="auto"/>
        </w:rPr>
        <w:tab/>
      </w:r>
      <w:r>
        <w:rPr>
          <w:rFonts w:ascii="Arial" w:cs="Arial" w:eastAsia="Arial" w:hAnsi="Arial"/>
          <w:sz w:val="15"/>
          <w:szCs w:val="15"/>
          <w:b w:val="1"/>
          <w:bCs w:val="1"/>
          <w:color w:val="auto"/>
        </w:rPr>
        <w:t>Indemnity; Remediation</w:t>
      </w:r>
      <w:r>
        <w:rPr>
          <w:rFonts w:ascii="Arial" w:cs="Arial" w:eastAsia="Arial" w:hAnsi="Arial"/>
          <w:sz w:val="15"/>
          <w:szCs w:val="15"/>
          <w:color w:val="auto"/>
        </w:rPr>
        <w:t>.</w:t>
      </w:r>
    </w:p>
    <w:p>
      <w:pPr>
        <w:spacing w:after="0" w:line="211" w:lineRule="exact"/>
        <w:rPr>
          <w:sz w:val="20"/>
          <w:szCs w:val="20"/>
          <w:color w:val="auto"/>
        </w:rPr>
      </w:pPr>
    </w:p>
    <w:p>
      <w:pPr>
        <w:ind w:right="40" w:firstLine="1172"/>
        <w:spacing w:after="0" w:line="275" w:lineRule="auto"/>
        <w:tabs>
          <w:tab w:leader="none" w:pos="1758" w:val="left"/>
        </w:tabs>
        <w:numPr>
          <w:ilvl w:val="0"/>
          <w:numId w:val="487"/>
        </w:numPr>
        <w:rPr>
          <w:rFonts w:ascii="Arial" w:cs="Arial" w:eastAsia="Arial" w:hAnsi="Arial"/>
          <w:sz w:val="15"/>
          <w:szCs w:val="15"/>
          <w:color w:val="auto"/>
        </w:rPr>
      </w:pPr>
      <w:r>
        <w:rPr>
          <w:rFonts w:ascii="Arial" w:cs="Arial" w:eastAsia="Arial" w:hAnsi="Arial"/>
          <w:sz w:val="15"/>
          <w:szCs w:val="15"/>
          <w:color w:val="auto"/>
        </w:rPr>
        <w:t>Tenant hereby covenants and agrees to indemnify, defend and hold the Landlord Parties harmless from and against any and all Claims against any of the Landlord Parties to the extent arising out of, or as a result of: (i) the presence of Hazardous Material in the Premises, the presence of which is caused by any act or omission of any of the Tenant Parties, or (ii) from a breach by Tenant of its obligations under this Section 17. This indemnification of the Landlord Parties by Tenant includes, without limitation, reasonable costs incurred in connection with any investigation of site conditions or any cleanup, remedial, removal or restoration work or any other response action required by any federal, state or local governmental agency or political subdivision because of Hazardous Material present in the soil, soil vapor, or ground water on or under, or any indoor air in, the Building based upon the circumstances identified in the first sentence of this Section 17.5. The indemnification and hold harmless obligations of Tenant under this Section 17.5 shall survive the expiration or any earlier termination of this Lease. Without limiting the foregoing, if the presence of any Hazardous Material in the Building or otherwise at the Property is caused or permitted by any of the Tenant Parties and results in any Contamination of any part of the Property or any adjacent property, Tenant shall promptly take all actions at Tenant’s sole cost and expense as are required by Environmental Law to investigate and remediate such Contamination in accordance with Section 17.5(b). Except where in an emergency threatening injury to person or damage to property (in which event Tenant shall give Landlord notice of such Contamination and its remediation efforts as soon as possible in the circumstances and shall request Landlord’s approval of such remediation efforts, as herein set forth), Tenant shall first obtain Landlord’s written approval of Tenant’s proposed remediation actions, which approval shall not be unreasonably withheld, conditioned or delayed so long as such actions, in Landlord’s reasonable discretion, would not potentially have any adverse effect on the Property, and, in any event, Landlord shall not withhold its approval of any proposed actions which are required by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sectPr>
      </w:pPr>
    </w:p>
    <w:bookmarkStart w:id="508" w:name="page509"/>
    <w:bookmarkEnd w:id="508"/>
    <w:p>
      <w:pPr>
        <w:spacing w:after="0"/>
        <w:rPr>
          <w:sz w:val="20"/>
          <w:szCs w:val="20"/>
          <w:color w:val="auto"/>
        </w:rPr>
      </w:pPr>
      <w:r>
        <w:rPr>
          <w:rFonts w:ascii="Arial" w:cs="Arial" w:eastAsia="Arial" w:hAnsi="Arial"/>
          <w:sz w:val="16"/>
          <w:szCs w:val="16"/>
          <w:color w:val="auto"/>
        </w:rPr>
        <w:t>applicable Environmental Laws. The provisions of this Section 17.5 shall survive the expiration or earlier termination of the Lease.</w:t>
      </w:r>
    </w:p>
    <w:p>
      <w:pPr>
        <w:spacing w:after="0" w:line="207" w:lineRule="exact"/>
        <w:rPr>
          <w:sz w:val="20"/>
          <w:szCs w:val="20"/>
          <w:color w:val="auto"/>
        </w:rPr>
      </w:pPr>
    </w:p>
    <w:p>
      <w:pPr>
        <w:ind w:right="520" w:firstLine="1172"/>
        <w:spacing w:after="0" w:line="285" w:lineRule="auto"/>
        <w:tabs>
          <w:tab w:leader="none" w:pos="1767" w:val="left"/>
        </w:tabs>
        <w:numPr>
          <w:ilvl w:val="0"/>
          <w:numId w:val="488"/>
        </w:numPr>
        <w:rPr>
          <w:rFonts w:ascii="Arial" w:cs="Arial" w:eastAsia="Arial" w:hAnsi="Arial"/>
          <w:sz w:val="16"/>
          <w:szCs w:val="16"/>
          <w:color w:val="auto"/>
        </w:rPr>
      </w:pPr>
      <w:r>
        <w:rPr>
          <w:rFonts w:ascii="Arial" w:cs="Arial" w:eastAsia="Arial" w:hAnsi="Arial"/>
          <w:sz w:val="16"/>
          <w:szCs w:val="16"/>
          <w:color w:val="auto"/>
        </w:rPr>
        <w:t>Without limiting the obligations set forth in Section 17.5(a) above, if any Hazardous Material is in, on, under, at or about the Building or the Property as a result of the acts or omissions of any of the Tenant Parties and results in:</w:t>
      </w:r>
    </w:p>
    <w:p>
      <w:pPr>
        <w:spacing w:after="0" w:line="150" w:lineRule="exact"/>
        <w:rPr>
          <w:sz w:val="20"/>
          <w:szCs w:val="20"/>
          <w:color w:val="auto"/>
        </w:rPr>
      </w:pPr>
    </w:p>
    <w:p>
      <w:pPr>
        <w:ind w:left="1180" w:hanging="8"/>
        <w:spacing w:after="0" w:line="360" w:lineRule="auto"/>
        <w:tabs>
          <w:tab w:leader="none" w:pos="1786" w:val="left"/>
        </w:tabs>
        <w:numPr>
          <w:ilvl w:val="0"/>
          <w:numId w:val="489"/>
        </w:numPr>
        <w:rPr>
          <w:rFonts w:ascii="Arial" w:cs="Arial" w:eastAsia="Arial" w:hAnsi="Arial"/>
          <w:sz w:val="14"/>
          <w:szCs w:val="14"/>
          <w:color w:val="auto"/>
        </w:rPr>
      </w:pPr>
      <w:r>
        <w:rPr>
          <w:rFonts w:ascii="Arial" w:cs="Arial" w:eastAsia="Arial" w:hAnsi="Arial"/>
          <w:sz w:val="14"/>
          <w:szCs w:val="14"/>
          <w:color w:val="auto"/>
        </w:rPr>
        <w:t>any Contamination of any part of the Premises or elsewhere in the Building, Tenant shall promptly take all actions at Tenant’s sole cost and expense as are necessary to reduce such Hazardous Material to the extent necessary to satisfy the HM Delivery Standard, as defined in Section 3.1(a), and</w:t>
      </w:r>
    </w:p>
    <w:p>
      <w:pPr>
        <w:spacing w:after="0" w:line="103" w:lineRule="exact"/>
        <w:rPr>
          <w:rFonts w:ascii="Arial" w:cs="Arial" w:eastAsia="Arial" w:hAnsi="Arial"/>
          <w:sz w:val="14"/>
          <w:szCs w:val="14"/>
          <w:color w:val="auto"/>
        </w:rPr>
      </w:pPr>
    </w:p>
    <w:p>
      <w:pPr>
        <w:ind w:left="1180" w:right="40" w:hanging="8"/>
        <w:spacing w:after="0" w:line="288" w:lineRule="auto"/>
        <w:tabs>
          <w:tab w:leader="none" w:pos="1795" w:val="left"/>
        </w:tabs>
        <w:numPr>
          <w:ilvl w:val="0"/>
          <w:numId w:val="489"/>
        </w:numPr>
        <w:rPr>
          <w:rFonts w:ascii="Arial" w:cs="Arial" w:eastAsia="Arial" w:hAnsi="Arial"/>
          <w:sz w:val="15"/>
          <w:szCs w:val="15"/>
          <w:color w:val="auto"/>
        </w:rPr>
      </w:pPr>
      <w:r>
        <w:rPr>
          <w:rFonts w:ascii="Arial" w:cs="Arial" w:eastAsia="Arial" w:hAnsi="Arial"/>
          <w:sz w:val="15"/>
          <w:szCs w:val="15"/>
          <w:color w:val="auto"/>
        </w:rPr>
        <w:t>the presence elsewhere (i.e., other than in the Premises) in, on, or under the Property or in, on, or under any adjacent property of Hazardous Materials in concentrations that are in violation of any applicable Environmental Law or that require the performance of any response action pursuant to any Environmental Law, Tenant shall promptly take all actions at Tenant’s sole cost and expense as are necessary to reduce such Hazardous Material to amounts below any applicable residential or unrestricted use cleanup standards, such that no further response actions are required;</w:t>
      </w:r>
    </w:p>
    <w:p>
      <w:pPr>
        <w:spacing w:after="0" w:line="150"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provided that, except where in an emergency threatening injury to person or damage to property (in which event Tenant shall give Landlord notice of such Contamination and/or release of Hazardous Materials by the acts or omissions of any of the Tenant Parties, as the case may be, and its remediation efforts as soon as possible in the circumstances and shall request Landlord’s approval of such remediation efforts, as herein set forth), Tenant shall first obtain Landlord’s written approval of such actions, which approval shall not be unreasonably withheld, conditioned or delayed so long as such actions would not be reasonably expected to have an adverse effect on the market value or utility of the Property for the Permitted Uses, and in any event, Landlord shall not withhold its approval of any proposed actions which are required by applicable Environmental Laws (such approved actions, “</w:t>
      </w:r>
      <w:r>
        <w:rPr>
          <w:rFonts w:ascii="Arial" w:cs="Arial" w:eastAsia="Arial" w:hAnsi="Arial"/>
          <w:sz w:val="16"/>
          <w:szCs w:val="16"/>
          <w:b w:val="1"/>
          <w:bCs w:val="1"/>
          <w:u w:val="single" w:color="auto"/>
          <w:color w:val="auto"/>
        </w:rPr>
        <w:t>Tenant’s Remediation</w:t>
      </w:r>
      <w:r>
        <w:rPr>
          <w:rFonts w:ascii="Arial" w:cs="Arial" w:eastAsia="Arial" w:hAnsi="Arial"/>
          <w:sz w:val="16"/>
          <w:szCs w:val="16"/>
          <w:color w:val="auto"/>
        </w:rPr>
        <w:t>”)</w:t>
      </w:r>
    </w:p>
    <w:p>
      <w:pPr>
        <w:spacing w:after="0" w:line="169" w:lineRule="exact"/>
        <w:rPr>
          <w:sz w:val="20"/>
          <w:szCs w:val="20"/>
          <w:color w:val="auto"/>
        </w:rPr>
      </w:pPr>
    </w:p>
    <w:p>
      <w:pPr>
        <w:ind w:left="1760" w:hanging="588"/>
        <w:spacing w:after="0"/>
        <w:tabs>
          <w:tab w:leader="none" w:pos="176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In the event that Tenant fails to complete Tenant’s Remediation prior to the end of the Term, then:</w:t>
      </w:r>
    </w:p>
    <w:p>
      <w:pPr>
        <w:spacing w:after="0" w:line="207" w:lineRule="exact"/>
        <w:rPr>
          <w:rFonts w:ascii="Arial" w:cs="Arial" w:eastAsia="Arial" w:hAnsi="Arial"/>
          <w:sz w:val="16"/>
          <w:szCs w:val="16"/>
          <w:color w:val="auto"/>
        </w:rPr>
      </w:pPr>
    </w:p>
    <w:p>
      <w:pPr>
        <w:ind w:right="80" w:firstLine="1759"/>
        <w:spacing w:after="0" w:line="261" w:lineRule="auto"/>
        <w:tabs>
          <w:tab w:leader="none" w:pos="2367" w:val="left"/>
        </w:tabs>
        <w:numPr>
          <w:ilvl w:val="1"/>
          <w:numId w:val="490"/>
        </w:numPr>
        <w:rPr>
          <w:rFonts w:ascii="Arial" w:cs="Arial" w:eastAsia="Arial" w:hAnsi="Arial"/>
          <w:sz w:val="16"/>
          <w:szCs w:val="16"/>
          <w:color w:val="auto"/>
        </w:rPr>
      </w:pPr>
      <w:r>
        <w:rPr>
          <w:rFonts w:ascii="Arial" w:cs="Arial" w:eastAsia="Arial" w:hAnsi="Arial"/>
          <w:sz w:val="16"/>
          <w:szCs w:val="16"/>
          <w:color w:val="auto"/>
        </w:rPr>
        <w:t>until the completion of Tenant’s Remediation (as evidenced by the certification of Tenant’s Licensed Site Professional (as such term is defined by applicable Environmental Laws), who shall be reasonably acceptable to Landlord) (the “</w:t>
      </w:r>
      <w:r>
        <w:rPr>
          <w:rFonts w:ascii="Arial" w:cs="Arial" w:eastAsia="Arial" w:hAnsi="Arial"/>
          <w:sz w:val="16"/>
          <w:szCs w:val="16"/>
          <w:b w:val="1"/>
          <w:bCs w:val="1"/>
          <w:u w:val="single" w:color="auto"/>
          <w:color w:val="auto"/>
        </w:rPr>
        <w:t>Remediation Completion Date</w:t>
      </w:r>
      <w:r>
        <w:rPr>
          <w:rFonts w:ascii="Arial" w:cs="Arial" w:eastAsia="Arial" w:hAnsi="Arial"/>
          <w:sz w:val="16"/>
          <w:szCs w:val="16"/>
          <w:color w:val="auto"/>
        </w:rPr>
        <w:t>”), Tenant shall pay to Landlord, with respect to the portion of the Premises which reasonably cannot be occupied by a new tenant until completion of Tenant’s Remediation, (A) Additional Rent on account of Operating Costs and Taxes and (B) Base Rent in an amount equal to the greater of (1) the fair market rental value of such portion of the Premises (determined in substantial accordance with the process described in Section 1.2 above), and (2) Base Rent attributable to such portion of the Premises in effect immediately prior to the end of the Term; and</w:t>
      </w:r>
    </w:p>
    <w:p>
      <w:pPr>
        <w:spacing w:after="0" w:line="168" w:lineRule="exact"/>
        <w:rPr>
          <w:rFonts w:ascii="Arial" w:cs="Arial" w:eastAsia="Arial" w:hAnsi="Arial"/>
          <w:sz w:val="16"/>
          <w:szCs w:val="16"/>
          <w:color w:val="auto"/>
        </w:rPr>
      </w:pPr>
    </w:p>
    <w:p>
      <w:pPr>
        <w:ind w:left="2380" w:hanging="621"/>
        <w:spacing w:after="0"/>
        <w:tabs>
          <w:tab w:leader="none" w:pos="2380" w:val="left"/>
        </w:tabs>
        <w:numPr>
          <w:ilvl w:val="1"/>
          <w:numId w:val="490"/>
        </w:numPr>
        <w:rPr>
          <w:rFonts w:ascii="Arial" w:cs="Arial" w:eastAsia="Arial" w:hAnsi="Arial"/>
          <w:sz w:val="15"/>
          <w:szCs w:val="15"/>
          <w:color w:val="auto"/>
        </w:rPr>
      </w:pPr>
      <w:r>
        <w:rPr>
          <w:rFonts w:ascii="Arial" w:cs="Arial" w:eastAsia="Arial" w:hAnsi="Arial"/>
          <w:sz w:val="15"/>
          <w:szCs w:val="15"/>
          <w:color w:val="auto"/>
        </w:rPr>
        <w:t>Tenant shall maintain responsibility for Tenant’s Remediation and Tenant shall complete Tenant’s Remediation as soon as reasonably</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practicable in accordance with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09" w:name="page510"/>
    <w:bookmarkEnd w:id="509"/>
    <w:p>
      <w:pPr>
        <w:ind w:left="2" w:right="120"/>
        <w:spacing w:after="0" w:line="294" w:lineRule="auto"/>
        <w:rPr>
          <w:sz w:val="20"/>
          <w:szCs w:val="20"/>
          <w:color w:val="auto"/>
        </w:rPr>
      </w:pPr>
      <w:r>
        <w:rPr>
          <w:rFonts w:ascii="Arial" w:cs="Arial" w:eastAsia="Arial" w:hAnsi="Arial"/>
          <w:sz w:val="14"/>
          <w:szCs w:val="14"/>
          <w:color w:val="auto"/>
        </w:rPr>
        <w:t>Environmental Laws. If Tenant does not diligently pursue completion of Tenant’s Remediation, Landlord shall have the right, upon three (3) business days advance written notice to Tenant (except that, Landlord shall have the right to act immediately and without prior notice in a situation, which, in Landlord’s bona fide business judgment, is an emergency threatening injury to person and damage to property), to either (A) assume control for overseeing Tenant’s Remediation, in which event Tenant shall pay all reasonable costs and expenses of Tenant’s Remediation (it being understood and agreed that all costs and expenses of Tenant’s Remediation incurred pursuant to and consistent with contracts entered into by Tenant shall be deemed reasonable) within thirty (30) days of demand therefor (which demand shall be made no more often than monthly), and Landlord shall be substituted as the party identified on any governmental filings as the party responsible for the performance of such Tenant’s Remediation or</w:t>
      </w:r>
    </w:p>
    <w:p>
      <w:pPr>
        <w:spacing w:after="0" w:line="2" w:lineRule="exact"/>
        <w:rPr>
          <w:sz w:val="20"/>
          <w:szCs w:val="20"/>
          <w:color w:val="auto"/>
        </w:rPr>
      </w:pPr>
    </w:p>
    <w:p>
      <w:pPr>
        <w:ind w:left="2" w:right="460" w:hanging="2"/>
        <w:spacing w:after="0" w:line="270" w:lineRule="auto"/>
        <w:tabs>
          <w:tab w:leader="none" w:pos="2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require Tenant to maintain responsibility for Tenant’s Remediation, in which event Tenant shall complete Tenant’s Remediation as soon as reasonably practicable in accordance with Environmental Laws.</w:t>
      </w:r>
    </w:p>
    <w:p>
      <w:pPr>
        <w:spacing w:after="0" w:line="161" w:lineRule="exact"/>
        <w:rPr>
          <w:sz w:val="20"/>
          <w:szCs w:val="20"/>
          <w:color w:val="auto"/>
        </w:rPr>
      </w:pPr>
    </w:p>
    <w:p>
      <w:pPr>
        <w:ind w:left="1762" w:hanging="588"/>
        <w:spacing w:after="0"/>
        <w:tabs>
          <w:tab w:leader="none" w:pos="1762" w:val="left"/>
        </w:tabs>
        <w:numPr>
          <w:ilvl w:val="0"/>
          <w:numId w:val="492"/>
        </w:numPr>
        <w:rPr>
          <w:rFonts w:ascii="Arial" w:cs="Arial" w:eastAsia="Arial" w:hAnsi="Arial"/>
          <w:sz w:val="16"/>
          <w:szCs w:val="16"/>
          <w:color w:val="auto"/>
        </w:rPr>
      </w:pPr>
      <w:r>
        <w:rPr>
          <w:rFonts w:ascii="Arial" w:cs="Arial" w:eastAsia="Arial" w:hAnsi="Arial"/>
          <w:sz w:val="16"/>
          <w:szCs w:val="16"/>
          <w:color w:val="auto"/>
        </w:rPr>
        <w:t>The provisions of this Section 17.5 shall survive the expiration or earlier termination of this Lease.</w:t>
      </w:r>
    </w:p>
    <w:p>
      <w:pPr>
        <w:spacing w:after="0" w:line="203" w:lineRule="exact"/>
        <w:rPr>
          <w:sz w:val="20"/>
          <w:szCs w:val="20"/>
          <w:color w:val="auto"/>
        </w:rPr>
      </w:pPr>
    </w:p>
    <w:p>
      <w:pPr>
        <w:ind w:left="2" w:right="340" w:firstLine="587"/>
        <w:spacing w:after="0" w:line="264" w:lineRule="auto"/>
        <w:rPr>
          <w:sz w:val="20"/>
          <w:szCs w:val="20"/>
          <w:color w:val="auto"/>
        </w:rPr>
      </w:pPr>
      <w:r>
        <w:rPr>
          <w:rFonts w:ascii="Arial" w:cs="Arial" w:eastAsia="Arial" w:hAnsi="Arial"/>
          <w:sz w:val="16"/>
          <w:szCs w:val="16"/>
          <w:b w:val="1"/>
          <w:bCs w:val="1"/>
          <w:color w:val="auto"/>
        </w:rPr>
        <w:t>17.6 Disclosures</w:t>
      </w:r>
      <w:r>
        <w:rPr>
          <w:rFonts w:ascii="Arial" w:cs="Arial" w:eastAsia="Arial" w:hAnsi="Arial"/>
          <w:sz w:val="16"/>
          <w:szCs w:val="16"/>
          <w:color w:val="auto"/>
        </w:rPr>
        <w:t>. Prior to the Rent Commencement Date, Tenant shall deliver to Landlord the following information with respect to Tenant’s Hazardous</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(a) a description of handling, storage, use and disposal procedures; (b) all plans or disclosures and/or emergency response plans which Tenant has prepared, including without limitation Tenant’s Spill Response Plan, and all plans which Tenant is required to supply to any governmental agency or authority pursuant to any Environmental Laws; (c) copies of all Required Permits relating thereto; and (d) other information reasonably requested by Landlord (collectively, “</w:t>
      </w:r>
      <w:r>
        <w:rPr>
          <w:rFonts w:ascii="Arial" w:cs="Arial" w:eastAsia="Arial" w:hAnsi="Arial"/>
          <w:sz w:val="16"/>
          <w:szCs w:val="16"/>
          <w:b w:val="1"/>
          <w:bCs w:val="1"/>
          <w:u w:val="single" w:color="auto"/>
          <w:color w:val="auto"/>
        </w:rPr>
        <w:t>Tenant’s Hazardous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Materials Plan</w:t>
      </w:r>
      <w:r>
        <w:rPr>
          <w:rFonts w:ascii="Arial" w:cs="Arial" w:eastAsia="Arial" w:hAnsi="Arial"/>
          <w:sz w:val="16"/>
          <w:szCs w:val="16"/>
          <w:color w:val="auto"/>
        </w:rPr>
        <w:t>”).</w:t>
      </w:r>
    </w:p>
    <w:p>
      <w:pPr>
        <w:spacing w:after="0" w:line="162" w:lineRule="exact"/>
        <w:rPr>
          <w:sz w:val="20"/>
          <w:szCs w:val="20"/>
          <w:color w:val="auto"/>
        </w:rPr>
      </w:pPr>
    </w:p>
    <w:p>
      <w:pPr>
        <w:ind w:left="2" w:firstLine="587"/>
        <w:spacing w:after="0" w:line="262" w:lineRule="auto"/>
        <w:rPr>
          <w:sz w:val="20"/>
          <w:szCs w:val="20"/>
          <w:color w:val="auto"/>
        </w:rPr>
      </w:pPr>
      <w:r>
        <w:rPr>
          <w:rFonts w:ascii="Arial" w:cs="Arial" w:eastAsia="Arial" w:hAnsi="Arial"/>
          <w:sz w:val="16"/>
          <w:szCs w:val="16"/>
          <w:b w:val="1"/>
          <w:bCs w:val="1"/>
          <w:color w:val="auto"/>
        </w:rPr>
        <w:t>17.7 Removal</w:t>
      </w:r>
      <w:r>
        <w:rPr>
          <w:rFonts w:ascii="Arial" w:cs="Arial" w:eastAsia="Arial" w:hAnsi="Arial"/>
          <w:sz w:val="16"/>
          <w:szCs w:val="16"/>
          <w:color w:val="auto"/>
        </w:rPr>
        <w:t>. Tenant shall be responsible, at its sole cost and expense, for the offsite disposal of Hazardous Material (including biohazardous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generated by Tenant at the Premises. Such Hazardous Materials disposal services shall be performed by contractors reasonably acceptable to Landlord and on a sufficient basis to ensure that the Premises are at all times kept reasonably neat, clean and free of Hazardous Materials except in appropriate, specially marked containers reasonably approved by Landlord. Furthermore, if any Legal Requirements or Landlord’s trash removal company requires that any substances generated by Tenant at the Premises be disposed of separately from ordinary trash, Tenant shall make arrangements at Tenant’s expense for such disposal directly with a qualified and licensed disposal company reasonably acceptable to Landlord at a lawful disposal site.</w:t>
      </w:r>
    </w:p>
    <w:p>
      <w:pPr>
        <w:spacing w:after="0" w:line="164"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17.8</w:t>
      </w:r>
      <w:r>
        <w:rPr>
          <w:sz w:val="20"/>
          <w:szCs w:val="20"/>
          <w:color w:val="auto"/>
        </w:rPr>
        <w:tab/>
      </w:r>
      <w:r>
        <w:rPr>
          <w:rFonts w:ascii="Arial" w:cs="Arial" w:eastAsia="Arial" w:hAnsi="Arial"/>
          <w:sz w:val="14"/>
          <w:szCs w:val="14"/>
          <w:b w:val="1"/>
          <w:bCs w:val="1"/>
          <w:color w:val="auto"/>
        </w:rPr>
        <w:t>Landlord Obligations with respect to Hazardous Materials</w:t>
      </w:r>
      <w:r>
        <w:rPr>
          <w:rFonts w:ascii="Arial" w:cs="Arial" w:eastAsia="Arial" w:hAnsi="Arial"/>
          <w:sz w:val="14"/>
          <w:szCs w:val="14"/>
          <w:color w:val="auto"/>
        </w:rPr>
        <w:t>.</w:t>
      </w:r>
    </w:p>
    <w:p>
      <w:pPr>
        <w:spacing w:after="0" w:line="211" w:lineRule="exact"/>
        <w:rPr>
          <w:sz w:val="20"/>
          <w:szCs w:val="20"/>
          <w:color w:val="auto"/>
        </w:rPr>
      </w:pPr>
    </w:p>
    <w:p>
      <w:pPr>
        <w:ind w:left="1762" w:hanging="588"/>
        <w:spacing w:after="0"/>
        <w:tabs>
          <w:tab w:leader="none" w:pos="1762" w:val="left"/>
        </w:tabs>
        <w:numPr>
          <w:ilvl w:val="0"/>
          <w:numId w:val="493"/>
        </w:numPr>
        <w:rPr>
          <w:rFonts w:ascii="Arial" w:cs="Arial" w:eastAsia="Arial" w:hAnsi="Arial"/>
          <w:sz w:val="16"/>
          <w:szCs w:val="16"/>
          <w:color w:val="auto"/>
        </w:rPr>
      </w:pPr>
      <w:r>
        <w:rPr>
          <w:rFonts w:ascii="Arial" w:cs="Arial" w:eastAsia="Arial" w:hAnsi="Arial"/>
          <w:sz w:val="16"/>
          <w:szCs w:val="16"/>
          <w:u w:val="single" w:color="auto"/>
          <w:color w:val="auto"/>
        </w:rPr>
        <w:t>Landlord Representation</w:t>
      </w:r>
      <w:r>
        <w:rPr>
          <w:rFonts w:ascii="Arial" w:cs="Arial" w:eastAsia="Arial" w:hAnsi="Arial"/>
          <w:sz w:val="16"/>
          <w:szCs w:val="16"/>
          <w:color w:val="auto"/>
        </w:rPr>
        <w:t>. Landlord hereby represents and warrants to Tenant that, to the Best of Landlord’s Knowledge (as defined in</w:t>
      </w:r>
    </w:p>
    <w:p>
      <w:pPr>
        <w:spacing w:after="0" w:line="23" w:lineRule="exact"/>
        <w:rPr>
          <w:sz w:val="20"/>
          <w:szCs w:val="20"/>
          <w:color w:val="auto"/>
        </w:rPr>
      </w:pPr>
    </w:p>
    <w:p>
      <w:pPr>
        <w:ind w:left="2" w:right="80"/>
        <w:spacing w:after="0" w:line="260" w:lineRule="auto"/>
        <w:rPr>
          <w:sz w:val="20"/>
          <w:szCs w:val="20"/>
          <w:color w:val="auto"/>
        </w:rPr>
      </w:pPr>
      <w:r>
        <w:rPr>
          <w:rFonts w:ascii="Arial" w:cs="Arial" w:eastAsia="Arial" w:hAnsi="Arial"/>
          <w:sz w:val="16"/>
          <w:szCs w:val="16"/>
          <w:color w:val="auto"/>
        </w:rPr>
        <w:t xml:space="preserve">Section 3.1(b)), as of the Execution Date, except to the extent (if any) as may be disclosed on </w:t>
      </w:r>
      <w:r>
        <w:rPr>
          <w:rFonts w:ascii="Arial" w:cs="Arial" w:eastAsia="Arial" w:hAnsi="Arial"/>
          <w:sz w:val="16"/>
          <w:szCs w:val="16"/>
          <w:u w:val="single" w:color="auto"/>
          <w:color w:val="auto"/>
        </w:rPr>
        <w:t>Exhibit 7A</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Disclosed Materials</w:t>
      </w:r>
      <w:r>
        <w:rPr>
          <w:rFonts w:ascii="Arial" w:cs="Arial" w:eastAsia="Arial" w:hAnsi="Arial"/>
          <w:sz w:val="16"/>
          <w:szCs w:val="16"/>
          <w:color w:val="auto"/>
        </w:rPr>
        <w:t>”), there are no Hazardous Materials in or at the Premises or in, at, on or under the Building or the Property, which, in any case, are in violation of applicable Environmental Laws, require any investigation or remediation pursuant to Environmental Laws or will affect Tenant’s operations at the Premises. Any Hazardous Materials in breach of the foregoing representation are hereinafter referred to as “</w:t>
      </w:r>
      <w:r>
        <w:rPr>
          <w:rFonts w:ascii="Arial" w:cs="Arial" w:eastAsia="Arial" w:hAnsi="Arial"/>
          <w:sz w:val="16"/>
          <w:szCs w:val="16"/>
          <w:b w:val="1"/>
          <w:bCs w:val="1"/>
          <w:u w:val="single" w:color="auto"/>
          <w:color w:val="auto"/>
        </w:rPr>
        <w:t>Landlord Representation HM/C</w:t>
      </w:r>
      <w:r>
        <w:rPr>
          <w:rFonts w:ascii="Arial" w:cs="Arial" w:eastAsia="Arial" w:hAnsi="Arial"/>
          <w:sz w:val="16"/>
          <w:szCs w:val="16"/>
          <w:color w:val="auto"/>
        </w:rPr>
        <w:t>”.</w:t>
      </w:r>
    </w:p>
    <w:p>
      <w:pPr>
        <w:spacing w:after="0" w:line="16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510" w:name="page511"/>
    <w:bookmarkEnd w:id="510"/>
    <w:p>
      <w:pPr>
        <w:ind w:firstLine="1172"/>
        <w:spacing w:after="0" w:line="293" w:lineRule="auto"/>
        <w:tabs>
          <w:tab w:leader="none" w:pos="1767" w:val="left"/>
        </w:tabs>
        <w:numPr>
          <w:ilvl w:val="0"/>
          <w:numId w:val="494"/>
        </w:numPr>
        <w:rPr>
          <w:rFonts w:ascii="Arial" w:cs="Arial" w:eastAsia="Arial" w:hAnsi="Arial"/>
          <w:sz w:val="14"/>
          <w:szCs w:val="14"/>
          <w:color w:val="auto"/>
        </w:rPr>
      </w:pPr>
      <w:r>
        <w:rPr>
          <w:rFonts w:ascii="Arial" w:cs="Arial" w:eastAsia="Arial" w:hAnsi="Arial"/>
          <w:sz w:val="14"/>
          <w:szCs w:val="14"/>
          <w:u w:val="single" w:color="auto"/>
          <w:color w:val="auto"/>
        </w:rPr>
        <w:t>Landlord Covenant and Indemnity</w:t>
      </w:r>
      <w:r>
        <w:rPr>
          <w:rFonts w:ascii="Arial" w:cs="Arial" w:eastAsia="Arial" w:hAnsi="Arial"/>
          <w:sz w:val="14"/>
          <w:szCs w:val="14"/>
          <w:color w:val="auto"/>
        </w:rPr>
        <w:t>. Landlord agrees that Tenant shall have no obligation, including without limitation any indemnity obligation, to any Landlord Party for Disclosed Materials or for any Hazardous Materials or Contamination in, at, on or under the Premises, the Building or the Property first present as of the Execution Date or for any Hazardous Materials that migrate to the Premises, the Building or the Property. Landlord covenants that neither Landlord, nor Landlord’s agents, employees, or contractors shall bring any Hazardous Materials in or on the Premises or the Property in violation of applicable Environmental Laws or cause any Contamination (any Hazardous Materials which are introduced to the Premises or the Property by Landlord, or Landlord’s agents, employees or contractors and any such Contamination in breach of the foregoing covenant are referred to herein as “</w:t>
      </w:r>
      <w:r>
        <w:rPr>
          <w:rFonts w:ascii="Arial" w:cs="Arial" w:eastAsia="Arial" w:hAnsi="Arial"/>
          <w:sz w:val="14"/>
          <w:szCs w:val="14"/>
          <w:b w:val="1"/>
          <w:bCs w:val="1"/>
          <w:u w:val="single" w:color="auto"/>
          <w:color w:val="auto"/>
        </w:rPr>
        <w:t>Landlord Breach HM/C</w:t>
      </w:r>
      <w:r>
        <w:rPr>
          <w:rFonts w:ascii="Arial" w:cs="Arial" w:eastAsia="Arial" w:hAnsi="Arial"/>
          <w:sz w:val="14"/>
          <w:szCs w:val="14"/>
          <w:color w:val="auto"/>
        </w:rPr>
        <w:t>”). Landlord hereby covenants and agrees to indemnify, defend and hold the Tenant Parties harmless from and against any and all Claims against any of the Tenant Parties arising out of Contamination of any part of the Property or other adjacent property, to the extent such Contamination arises as a result of: (i) any Landlord Breach HM/C, or (ii) any Landlord Representation HM/C. This indemnification of the Tenant Parties by Landlord includes, without limitation, reasonable costs incurred in connection with any investigation of site conditions or any cleanup, remedial, removal or restoration work or any other response action required by any federal, state or local governmental agency or political subdivision because of Hazardous Material present in the soil, soil vapor, or ground water on or under, or any indoor air in, the Building. The indemnification, defense and hold harmless obligations of Landlord under this</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Section 17.8 shall survive the expiration or any earlier termination of this Lease.</w:t>
      </w:r>
    </w:p>
    <w:p>
      <w:pPr>
        <w:spacing w:after="0" w:line="195" w:lineRule="exact"/>
        <w:rPr>
          <w:rFonts w:ascii="Arial" w:cs="Arial" w:eastAsia="Arial" w:hAnsi="Arial"/>
          <w:sz w:val="14"/>
          <w:szCs w:val="14"/>
          <w:color w:val="auto"/>
        </w:rPr>
      </w:pPr>
    </w:p>
    <w:p>
      <w:pPr>
        <w:ind w:right="20" w:firstLine="1172"/>
        <w:spacing w:after="0" w:line="257" w:lineRule="auto"/>
        <w:tabs>
          <w:tab w:leader="none" w:pos="1770" w:val="left"/>
        </w:tabs>
        <w:numPr>
          <w:ilvl w:val="0"/>
          <w:numId w:val="494"/>
        </w:numPr>
        <w:rPr>
          <w:rFonts w:ascii="Arial" w:cs="Arial" w:eastAsia="Arial" w:hAnsi="Arial"/>
          <w:sz w:val="16"/>
          <w:szCs w:val="16"/>
          <w:color w:val="auto"/>
        </w:rPr>
      </w:pPr>
      <w:r>
        <w:rPr>
          <w:rFonts w:ascii="Arial" w:cs="Arial" w:eastAsia="Arial" w:hAnsi="Arial"/>
          <w:sz w:val="16"/>
          <w:szCs w:val="16"/>
          <w:u w:val="single" w:color="auto"/>
          <w:color w:val="auto"/>
        </w:rPr>
        <w:t>Rent Abatement</w:t>
      </w:r>
      <w:r>
        <w:rPr>
          <w:rFonts w:ascii="Arial" w:cs="Arial" w:eastAsia="Arial" w:hAnsi="Arial"/>
          <w:sz w:val="16"/>
          <w:szCs w:val="16"/>
          <w:color w:val="auto"/>
        </w:rPr>
        <w:t>. In the event that: (i) it is determined that Landlord Representation HM/C exist in or at the Premises or Landlord Breach HM/C are introduced in, on or under the Property, and (ii) the existence or remediation of such Landlord Representation HM/C or Landlord Breach HM/C materially interferes with Tenant’s use and enjoyment of the Premises, or any portion thereof (any such event, a “</w:t>
      </w:r>
      <w:r>
        <w:rPr>
          <w:rFonts w:ascii="Arial" w:cs="Arial" w:eastAsia="Arial" w:hAnsi="Arial"/>
          <w:sz w:val="16"/>
          <w:szCs w:val="16"/>
          <w:b w:val="1"/>
          <w:bCs w:val="1"/>
          <w:u w:val="single" w:color="auto"/>
          <w:color w:val="auto"/>
        </w:rPr>
        <w:t>Landlord HM/C Event</w:t>
      </w:r>
      <w:r>
        <w:rPr>
          <w:rFonts w:ascii="Arial" w:cs="Arial" w:eastAsia="Arial" w:hAnsi="Arial"/>
          <w:sz w:val="16"/>
          <w:szCs w:val="16"/>
          <w:color w:val="auto"/>
        </w:rPr>
        <w:t>”), and (iii) such Landlord HM/C Event shall continue for the applicable Landlord HM/C Cure Period, as hereinafter defined (an event that satisfies the foregoing conditions (i)-(iii) being referred to hereinafter as an “</w:t>
      </w:r>
      <w:r>
        <w:rPr>
          <w:rFonts w:ascii="Arial" w:cs="Arial" w:eastAsia="Arial" w:hAnsi="Arial"/>
          <w:sz w:val="16"/>
          <w:szCs w:val="16"/>
          <w:b w:val="1"/>
          <w:bCs w:val="1"/>
          <w:u w:val="single" w:color="auto"/>
          <w:color w:val="auto"/>
        </w:rPr>
        <w:t>Landlord HM/C</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Interruption</w:t>
      </w:r>
      <w:r>
        <w:rPr>
          <w:rFonts w:ascii="Arial" w:cs="Arial" w:eastAsia="Arial" w:hAnsi="Arial"/>
          <w:sz w:val="16"/>
          <w:szCs w:val="16"/>
          <w:color w:val="auto"/>
        </w:rPr>
        <w:t>”) then Tenant shall be entitled to an equitable abatement of Base Rent, Operating Costs and Taxes based on the nature and duration of the Landlord HMC</w:t>
      </w:r>
      <w:r>
        <w:rPr>
          <w:rFonts w:ascii="Arial" w:cs="Arial" w:eastAsia="Arial" w:hAnsi="Arial"/>
          <w:sz w:val="16"/>
          <w:szCs w:val="16"/>
          <w:b w:val="1"/>
          <w:bCs w:val="1"/>
          <w:color w:val="auto"/>
        </w:rPr>
        <w:t xml:space="preserve"> </w:t>
      </w:r>
      <w:r>
        <w:rPr>
          <w:rFonts w:ascii="Arial" w:cs="Arial" w:eastAsia="Arial" w:hAnsi="Arial"/>
          <w:sz w:val="16"/>
          <w:szCs w:val="16"/>
          <w:color w:val="auto"/>
        </w:rPr>
        <w:t>Interruption and the area of the Premises affected, for any and all days (“</w:t>
      </w:r>
      <w:r>
        <w:rPr>
          <w:rFonts w:ascii="Arial" w:cs="Arial" w:eastAsia="Arial" w:hAnsi="Arial"/>
          <w:sz w:val="16"/>
          <w:szCs w:val="16"/>
          <w:b w:val="1"/>
          <w:bCs w:val="1"/>
          <w:u w:val="single" w:color="auto"/>
          <w:color w:val="auto"/>
        </w:rPr>
        <w:t>Landlord HM/C Abatement Period</w:t>
      </w:r>
      <w:r>
        <w:rPr>
          <w:rFonts w:ascii="Arial" w:cs="Arial" w:eastAsia="Arial" w:hAnsi="Arial"/>
          <w:sz w:val="16"/>
          <w:szCs w:val="16"/>
          <w:color w:val="auto"/>
        </w:rPr>
        <w:t>”) following the applicable Landlord HM/C Cure Period that both (x) the Landlord HM/C Interruption is continuing and (y) Tenant does not use such affected areas of the Premises for a bona fide business purpose. The “</w:t>
      </w:r>
      <w:r>
        <w:rPr>
          <w:rFonts w:ascii="Arial" w:cs="Arial" w:eastAsia="Arial" w:hAnsi="Arial"/>
          <w:sz w:val="16"/>
          <w:szCs w:val="16"/>
          <w:b w:val="1"/>
          <w:bCs w:val="1"/>
          <w:u w:val="single" w:color="auto"/>
          <w:color w:val="auto"/>
        </w:rPr>
        <w:t>Landlord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HM/C Cure Period</w:t>
      </w:r>
      <w:r>
        <w:rPr>
          <w:rFonts w:ascii="Arial" w:cs="Arial" w:eastAsia="Arial" w:hAnsi="Arial"/>
          <w:sz w:val="16"/>
          <w:szCs w:val="16"/>
          <w:color w:val="auto"/>
        </w:rPr>
        <w:t>” shall be defined as five (5) consecutive business days following receipt by Landlord of written notice (the “</w:t>
      </w:r>
      <w:r>
        <w:rPr>
          <w:rFonts w:ascii="Arial" w:cs="Arial" w:eastAsia="Arial" w:hAnsi="Arial"/>
          <w:sz w:val="16"/>
          <w:szCs w:val="16"/>
          <w:b w:val="1"/>
          <w:bCs w:val="1"/>
          <w:u w:val="single" w:color="auto"/>
          <w:color w:val="auto"/>
        </w:rPr>
        <w:t>Landlord HM/C Notice</w:t>
      </w:r>
      <w:r>
        <w:rPr>
          <w:rFonts w:ascii="Arial" w:cs="Arial" w:eastAsia="Arial" w:hAnsi="Arial"/>
          <w:sz w:val="16"/>
          <w:szCs w:val="16"/>
          <w:color w:val="auto"/>
        </w:rPr>
        <w:t>”) from Tenant</w:t>
      </w:r>
      <w:r>
        <w:rPr>
          <w:rFonts w:ascii="Arial" w:cs="Arial" w:eastAsia="Arial" w:hAnsi="Arial"/>
          <w:sz w:val="16"/>
          <w:szCs w:val="16"/>
          <w:b w:val="1"/>
          <w:bCs w:val="1"/>
          <w:color w:val="auto"/>
        </w:rPr>
        <w:t xml:space="preserve"> </w:t>
      </w:r>
      <w:r>
        <w:rPr>
          <w:rFonts w:ascii="Arial" w:cs="Arial" w:eastAsia="Arial" w:hAnsi="Arial"/>
          <w:sz w:val="16"/>
          <w:szCs w:val="16"/>
          <w:color w:val="auto"/>
        </w:rPr>
        <w:t>describing the Landlord Representation HM/C or the Landlord Breach HM/C, as the case may be, and its effect on Tenant’s use of the Premises; provided however that the Landlord HM/C Cure Period shall be extended by reason of any delays in Landlord’s ability to remediate such Landlord HM/C Event because of Force Majeure, provided however, that in no event shall the Landlord HM/C Cure Period be longer than twelve (12) consecutive business days after Landlord receives the applicable Landlord HM/C Notice.</w:t>
      </w:r>
    </w:p>
    <w:p>
      <w:pPr>
        <w:spacing w:after="0" w:line="179" w:lineRule="exact"/>
        <w:rPr>
          <w:rFonts w:ascii="Arial" w:cs="Arial" w:eastAsia="Arial" w:hAnsi="Arial"/>
          <w:sz w:val="16"/>
          <w:szCs w:val="16"/>
          <w:color w:val="auto"/>
        </w:rPr>
      </w:pPr>
    </w:p>
    <w:p>
      <w:pPr>
        <w:ind w:right="840" w:firstLine="1172"/>
        <w:spacing w:after="0" w:line="285" w:lineRule="auto"/>
        <w:tabs>
          <w:tab w:leader="none" w:pos="1767" w:val="left"/>
        </w:tabs>
        <w:numPr>
          <w:ilvl w:val="0"/>
          <w:numId w:val="494"/>
        </w:numPr>
        <w:rPr>
          <w:rFonts w:ascii="Arial" w:cs="Arial" w:eastAsia="Arial" w:hAnsi="Arial"/>
          <w:sz w:val="16"/>
          <w:szCs w:val="16"/>
          <w:color w:val="auto"/>
        </w:rPr>
      </w:pPr>
      <w:r>
        <w:rPr>
          <w:rFonts w:ascii="Arial" w:cs="Arial" w:eastAsia="Arial" w:hAnsi="Arial"/>
          <w:sz w:val="16"/>
          <w:szCs w:val="16"/>
          <w:u w:val="single" w:color="auto"/>
          <w:color w:val="auto"/>
        </w:rPr>
        <w:t>Landlord Remediation</w:t>
      </w:r>
      <w:r>
        <w:rPr>
          <w:rFonts w:ascii="Arial" w:cs="Arial" w:eastAsia="Arial" w:hAnsi="Arial"/>
          <w:sz w:val="16"/>
          <w:szCs w:val="16"/>
          <w:color w:val="auto"/>
        </w:rPr>
        <w:t>. If Hazardous Materials are discovered in, on or under the Property which are not in compliance with applicable Environmental Laws, or which require investigation or remediation pursuant to Environmental Laws, and which are not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11" w:name="page512"/>
    <w:bookmarkEnd w:id="511"/>
    <w:p>
      <w:pPr>
        <w:ind w:left="2" w:right="360"/>
        <w:spacing w:after="0" w:line="285" w:lineRule="auto"/>
        <w:rPr>
          <w:sz w:val="20"/>
          <w:szCs w:val="20"/>
          <w:color w:val="auto"/>
        </w:rPr>
      </w:pPr>
      <w:r>
        <w:rPr>
          <w:rFonts w:ascii="Arial" w:cs="Arial" w:eastAsia="Arial" w:hAnsi="Arial"/>
          <w:sz w:val="16"/>
          <w:szCs w:val="16"/>
          <w:color w:val="auto"/>
        </w:rPr>
        <w:t>responsibility of Tenant pursuant to this Section 17, then Landlord shall remove or remediate the same, when, if, and in the manner required by applicable Environmental Laws.</w:t>
      </w:r>
    </w:p>
    <w:p>
      <w:pPr>
        <w:spacing w:after="0" w:line="150" w:lineRule="exact"/>
        <w:rPr>
          <w:sz w:val="20"/>
          <w:szCs w:val="20"/>
          <w:color w:val="auto"/>
        </w:rPr>
      </w:pPr>
    </w:p>
    <w:p>
      <w:pPr>
        <w:ind w:left="2" w:right="20" w:firstLine="1172"/>
        <w:spacing w:after="0" w:line="281" w:lineRule="auto"/>
        <w:tabs>
          <w:tab w:leader="none" w:pos="1772" w:val="left"/>
        </w:tabs>
        <w:numPr>
          <w:ilvl w:val="0"/>
          <w:numId w:val="495"/>
        </w:numPr>
        <w:rPr>
          <w:rFonts w:ascii="Arial" w:cs="Arial" w:eastAsia="Arial" w:hAnsi="Arial"/>
          <w:sz w:val="15"/>
          <w:szCs w:val="15"/>
          <w:color w:val="auto"/>
        </w:rPr>
      </w:pPr>
      <w:r>
        <w:rPr>
          <w:rFonts w:ascii="Arial" w:cs="Arial" w:eastAsia="Arial" w:hAnsi="Arial"/>
          <w:sz w:val="15"/>
          <w:szCs w:val="15"/>
          <w:color w:val="auto"/>
        </w:rPr>
        <w:t>Section 17.8 sets forth Tenant’s sole and exclusive remedies against Landlord in the event of the existence of Hazardous Materials in, on or about the Premises or the Property, whether caused by any Landlord Party or otherwise. The Lease sets forth Landlord’s sole and exclusive remedies against Tenant in the event of the existence of Hazardous Materials in, on or about the Premises or the Property, whether caused by any Tenant Party or otherwise. For the avoidance of doubt, Landlord’s remedies in the event of the existence of Hazardous Materials in, on or about the Premises or the Property caused by any Tenant Party include: (i) Landlord’s rights set forth in Section 17, (ii) Landlord’s rights under Section 20.2, Section 20.3, and Section 20.4, (iii) Landlord’s right to seek injunctive relief, and (iv) Landlord’s right to recover its damages which it suffers as the result of any breach of Tenant’s obligations under this Lease with respect to Hazardous Materials.</w:t>
      </w:r>
    </w:p>
    <w:p>
      <w:pPr>
        <w:spacing w:after="0" w:line="154"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17.9</w:t>
      </w:r>
      <w:r>
        <w:rPr>
          <w:sz w:val="20"/>
          <w:szCs w:val="20"/>
          <w:color w:val="auto"/>
        </w:rPr>
        <w:tab/>
      </w:r>
      <w:r>
        <w:rPr>
          <w:rFonts w:ascii="Arial" w:cs="Arial" w:eastAsia="Arial" w:hAnsi="Arial"/>
          <w:sz w:val="14"/>
          <w:szCs w:val="14"/>
          <w:color w:val="auto"/>
        </w:rPr>
        <w:t>To the extent any provision of this Lease is inconsistent with a provision in Section 17 of the Lease, the provision of Section 17 shall control.</w:t>
      </w:r>
    </w:p>
    <w:p>
      <w:pPr>
        <w:spacing w:after="0" w:line="207" w:lineRule="exact"/>
        <w:rPr>
          <w:sz w:val="20"/>
          <w:szCs w:val="20"/>
          <w:color w:val="auto"/>
        </w:rPr>
      </w:pPr>
    </w:p>
    <w:p>
      <w:pPr>
        <w:ind w:left="582" w:hanging="582"/>
        <w:spacing w:after="0"/>
        <w:tabs>
          <w:tab w:leader="none" w:pos="582" w:val="left"/>
        </w:tabs>
        <w:numPr>
          <w:ilvl w:val="0"/>
          <w:numId w:val="496"/>
        </w:numPr>
        <w:rPr>
          <w:rFonts w:ascii="Arial" w:cs="Arial" w:eastAsia="Arial" w:hAnsi="Arial"/>
          <w:sz w:val="16"/>
          <w:szCs w:val="16"/>
          <w:b w:val="1"/>
          <w:bCs w:val="1"/>
          <w:color w:val="auto"/>
        </w:rPr>
      </w:pPr>
      <w:r>
        <w:rPr>
          <w:rFonts w:ascii="Arial" w:cs="Arial" w:eastAsia="Arial" w:hAnsi="Arial"/>
          <w:sz w:val="16"/>
          <w:szCs w:val="16"/>
          <w:b w:val="1"/>
          <w:bCs w:val="1"/>
          <w:color w:val="auto"/>
        </w:rPr>
        <w:t>RULES AND REGULATIONS.</w:t>
      </w:r>
    </w:p>
    <w:p>
      <w:pPr>
        <w:spacing w:after="0" w:line="207" w:lineRule="exact"/>
        <w:rPr>
          <w:sz w:val="20"/>
          <w:szCs w:val="20"/>
          <w:color w:val="auto"/>
        </w:rPr>
      </w:pPr>
    </w:p>
    <w:p>
      <w:pPr>
        <w:ind w:left="2" w:right="120" w:firstLine="587"/>
        <w:spacing w:after="0" w:line="304" w:lineRule="auto"/>
        <w:rPr>
          <w:sz w:val="20"/>
          <w:szCs w:val="20"/>
          <w:color w:val="auto"/>
        </w:rPr>
      </w:pPr>
      <w:r>
        <w:rPr>
          <w:rFonts w:ascii="Arial" w:cs="Arial" w:eastAsia="Arial" w:hAnsi="Arial"/>
          <w:sz w:val="14"/>
          <w:szCs w:val="14"/>
          <w:b w:val="1"/>
          <w:bCs w:val="1"/>
          <w:color w:val="auto"/>
        </w:rPr>
        <w:t>18.1 Rules and Regulations</w:t>
      </w:r>
      <w:r>
        <w:rPr>
          <w:rFonts w:ascii="Arial" w:cs="Arial" w:eastAsia="Arial" w:hAnsi="Arial"/>
          <w:sz w:val="14"/>
          <w:szCs w:val="14"/>
          <w:color w:val="auto"/>
        </w:rPr>
        <w:t>. Tenant will observe and comply with the rules and regulations attached hereto as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Exhibit 8</w:t>
      </w:r>
      <w:r>
        <w:rPr>
          <w:rFonts w:ascii="Arial" w:cs="Arial" w:eastAsia="Arial" w:hAnsi="Arial"/>
          <w:sz w:val="14"/>
          <w:szCs w:val="14"/>
          <w:color w:val="auto"/>
        </w:rPr>
        <w:t>, and future reasonable rules and</w:t>
      </w:r>
      <w:r>
        <w:rPr>
          <w:rFonts w:ascii="Arial" w:cs="Arial" w:eastAsia="Arial" w:hAnsi="Arial"/>
          <w:sz w:val="14"/>
          <w:szCs w:val="14"/>
          <w:b w:val="1"/>
          <w:bCs w:val="1"/>
          <w:color w:val="auto"/>
        </w:rPr>
        <w:t xml:space="preserve"> </w:t>
      </w:r>
      <w:r>
        <w:rPr>
          <w:rFonts w:ascii="Arial" w:cs="Arial" w:eastAsia="Arial" w:hAnsi="Arial"/>
          <w:sz w:val="14"/>
          <w:szCs w:val="14"/>
          <w:color w:val="auto"/>
        </w:rPr>
        <w:t>regulations as may be promulgated from time to time with respect to the Building, the Property and construction within the Property, provided that a copy of any future rules and regulations is given to Tenant in advance (collectively, the “</w:t>
      </w:r>
      <w:r>
        <w:rPr>
          <w:rFonts w:ascii="Arial" w:cs="Arial" w:eastAsia="Arial" w:hAnsi="Arial"/>
          <w:sz w:val="14"/>
          <w:szCs w:val="14"/>
          <w:b w:val="1"/>
          <w:bCs w:val="1"/>
          <w:u w:val="single" w:color="auto"/>
          <w:color w:val="auto"/>
        </w:rPr>
        <w:t>Rules and Regulations</w:t>
      </w:r>
      <w:r>
        <w:rPr>
          <w:rFonts w:ascii="Arial" w:cs="Arial" w:eastAsia="Arial" w:hAnsi="Arial"/>
          <w:sz w:val="14"/>
          <w:szCs w:val="14"/>
          <w:color w:val="auto"/>
        </w:rPr>
        <w:t>”). Landlord agrees that: (i) any future Rules and Regulations shall not discriminate among similarly situated tenants, and (ii) in enforcing any Rules and Regulations, Landlord will not discriminate among similarly situated tenants. In the case of any conflict between the provisions of this Lease and any future rules and regulations, the provisions of this Lease shall control. Nothing contained in this Lease shall be construed to impose upon Landlord any duty or obligation to enforce the Rules and Regulations or the terms, covenants or conditions in any other lease as against any other tenant and Landlord shall not be liable to Tenant for violation of the same by any other tenant, its servants, employees, agents, contractors, visitors, invitees or licensees.</w:t>
      </w:r>
    </w:p>
    <w:p>
      <w:pPr>
        <w:spacing w:after="0" w:line="138" w:lineRule="exact"/>
        <w:rPr>
          <w:sz w:val="20"/>
          <w:szCs w:val="20"/>
          <w:color w:val="auto"/>
        </w:rPr>
      </w:pPr>
    </w:p>
    <w:p>
      <w:pPr>
        <w:ind w:left="582"/>
        <w:spacing w:after="0"/>
        <w:tabs>
          <w:tab w:leader="none" w:pos="1142" w:val="left"/>
        </w:tabs>
        <w:rPr>
          <w:sz w:val="20"/>
          <w:szCs w:val="20"/>
          <w:color w:val="auto"/>
        </w:rPr>
      </w:pPr>
      <w:r>
        <w:rPr>
          <w:rFonts w:ascii="Arial" w:cs="Arial" w:eastAsia="Arial" w:hAnsi="Arial"/>
          <w:sz w:val="16"/>
          <w:szCs w:val="16"/>
          <w:b w:val="1"/>
          <w:bCs w:val="1"/>
          <w:color w:val="auto"/>
        </w:rPr>
        <w:t>18.2</w:t>
      </w:r>
      <w:r>
        <w:rPr>
          <w:sz w:val="20"/>
          <w:szCs w:val="20"/>
          <w:color w:val="auto"/>
        </w:rPr>
        <w:tab/>
      </w:r>
      <w:r>
        <w:rPr>
          <w:rFonts w:ascii="Arial" w:cs="Arial" w:eastAsia="Arial" w:hAnsi="Arial"/>
          <w:sz w:val="14"/>
          <w:szCs w:val="14"/>
          <w:b w:val="1"/>
          <w:bCs w:val="1"/>
          <w:color w:val="auto"/>
        </w:rPr>
        <w:t>Energy Conservation</w:t>
      </w:r>
      <w:r>
        <w:rPr>
          <w:rFonts w:ascii="Arial" w:cs="Arial" w:eastAsia="Arial" w:hAnsi="Arial"/>
          <w:sz w:val="14"/>
          <w:szCs w:val="14"/>
          <w:color w:val="auto"/>
        </w:rPr>
        <w:t>. Landlord may institute upon written notice to Tenant such reasonable, non-discriminatory (as among similarly situated tenants)</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5"/>
          <w:szCs w:val="15"/>
          <w:color w:val="auto"/>
        </w:rPr>
        <w:t>policies, programs and measures as may be necessary, required, or expedient for the conservation and/or preservation of energy or energy services (collectively, the</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Conservation Program</w:t>
      </w:r>
      <w:r>
        <w:rPr>
          <w:rFonts w:ascii="Arial" w:cs="Arial" w:eastAsia="Arial" w:hAnsi="Arial"/>
          <w:sz w:val="15"/>
          <w:szCs w:val="15"/>
          <w:color w:val="auto"/>
        </w:rPr>
        <w:t>”), provided that: (i) such Conservation Program is necessary or required to comply with Legal Requirements or the provisions of this Lease, or</w:t>
      </w:r>
    </w:p>
    <w:p>
      <w:pPr>
        <w:spacing w:after="0" w:line="23" w:lineRule="exact"/>
        <w:rPr>
          <w:sz w:val="20"/>
          <w:szCs w:val="20"/>
          <w:color w:val="auto"/>
        </w:rPr>
      </w:pPr>
    </w:p>
    <w:p>
      <w:pPr>
        <w:ind w:left="2" w:hanging="2"/>
        <w:spacing w:after="0" w:line="262" w:lineRule="auto"/>
        <w:tabs>
          <w:tab w:leader="none" w:pos="242" w:val="left"/>
        </w:tabs>
        <w:numPr>
          <w:ilvl w:val="0"/>
          <w:numId w:val="497"/>
        </w:numPr>
        <w:rPr>
          <w:rFonts w:ascii="Arial" w:cs="Arial" w:eastAsia="Arial" w:hAnsi="Arial"/>
          <w:sz w:val="16"/>
          <w:szCs w:val="16"/>
          <w:color w:val="auto"/>
        </w:rPr>
      </w:pPr>
      <w:r>
        <w:rPr>
          <w:rFonts w:ascii="Arial" w:cs="Arial" w:eastAsia="Arial" w:hAnsi="Arial"/>
          <w:sz w:val="16"/>
          <w:szCs w:val="16"/>
          <w:color w:val="auto"/>
        </w:rPr>
        <w:t>the Conservation Program does not, by reason of such policies, programs and measures, reduce the level of energy or energy services being provided to the Premises below the level of energy or energy services then being provided in comparable combination laboratory, research and development and office buildings in the vicinity of the Premises. Upon receipt of such notice, Tenant shall comply with the Conservation Program.</w:t>
      </w:r>
    </w:p>
    <w:p>
      <w:pPr>
        <w:spacing w:after="0" w:line="164" w:lineRule="exact"/>
        <w:rPr>
          <w:sz w:val="20"/>
          <w:szCs w:val="20"/>
          <w:color w:val="auto"/>
        </w:rPr>
      </w:pPr>
    </w:p>
    <w:p>
      <w:pPr>
        <w:ind w:left="2" w:right="600" w:firstLine="587"/>
        <w:spacing w:after="0" w:line="290" w:lineRule="auto"/>
        <w:rPr>
          <w:sz w:val="20"/>
          <w:szCs w:val="20"/>
          <w:color w:val="auto"/>
        </w:rPr>
      </w:pPr>
      <w:r>
        <w:rPr>
          <w:rFonts w:ascii="Arial" w:cs="Arial" w:eastAsia="Arial" w:hAnsi="Arial"/>
          <w:sz w:val="16"/>
          <w:szCs w:val="16"/>
          <w:b w:val="1"/>
          <w:bCs w:val="1"/>
          <w:color w:val="auto"/>
        </w:rPr>
        <w:t>18.3 Recycling</w:t>
      </w:r>
      <w:r>
        <w:rPr>
          <w:rFonts w:ascii="Arial" w:cs="Arial" w:eastAsia="Arial" w:hAnsi="Arial"/>
          <w:sz w:val="16"/>
          <w:szCs w:val="16"/>
          <w:color w:val="auto"/>
        </w:rPr>
        <w:t>. Upon written notice, Landlord may establish reasonable, nondiscriminatory (as among similarly situated tenants) policies, programs and</w:t>
      </w:r>
      <w:r>
        <w:rPr>
          <w:rFonts w:ascii="Arial" w:cs="Arial" w:eastAsia="Arial" w:hAnsi="Arial"/>
          <w:sz w:val="16"/>
          <w:szCs w:val="16"/>
          <w:b w:val="1"/>
          <w:bCs w:val="1"/>
          <w:color w:val="auto"/>
        </w:rPr>
        <w:t xml:space="preserve"> </w:t>
      </w:r>
      <w:r>
        <w:rPr>
          <w:rFonts w:ascii="Arial" w:cs="Arial" w:eastAsia="Arial" w:hAnsi="Arial"/>
          <w:sz w:val="16"/>
          <w:szCs w:val="16"/>
          <w:color w:val="auto"/>
        </w:rPr>
        <w:t>measures for the</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512" w:name="page513"/>
    <w:bookmarkEnd w:id="512"/>
    <w:p>
      <w:pPr>
        <w:ind w:left="2" w:right="540"/>
        <w:spacing w:after="0" w:line="290" w:lineRule="auto"/>
        <w:rPr>
          <w:sz w:val="20"/>
          <w:szCs w:val="20"/>
          <w:color w:val="auto"/>
        </w:rPr>
      </w:pPr>
      <w:r>
        <w:rPr>
          <w:rFonts w:ascii="Arial" w:cs="Arial" w:eastAsia="Arial" w:hAnsi="Arial"/>
          <w:sz w:val="16"/>
          <w:szCs w:val="16"/>
          <w:color w:val="auto"/>
        </w:rPr>
        <w:t>recycling of paper, products, plastic, tin and other materials (a “</w:t>
      </w:r>
      <w:r>
        <w:rPr>
          <w:rFonts w:ascii="Arial" w:cs="Arial" w:eastAsia="Arial" w:hAnsi="Arial"/>
          <w:sz w:val="16"/>
          <w:szCs w:val="16"/>
          <w:b w:val="1"/>
          <w:bCs w:val="1"/>
          <w:u w:val="single" w:color="auto"/>
          <w:color w:val="auto"/>
        </w:rPr>
        <w:t>Recycling Program</w:t>
      </w:r>
      <w:r>
        <w:rPr>
          <w:rFonts w:ascii="Arial" w:cs="Arial" w:eastAsia="Arial" w:hAnsi="Arial"/>
          <w:sz w:val="16"/>
          <w:szCs w:val="16"/>
          <w:color w:val="auto"/>
        </w:rPr>
        <w:t>”). Upon receipt of such notice, Tenant will comply with the Recycling Program at Tenant’s sole cost and expense.</w:t>
      </w:r>
    </w:p>
    <w:p>
      <w:pPr>
        <w:spacing w:after="0" w:line="142" w:lineRule="exact"/>
        <w:rPr>
          <w:sz w:val="20"/>
          <w:szCs w:val="20"/>
          <w:color w:val="auto"/>
        </w:rPr>
      </w:pPr>
    </w:p>
    <w:p>
      <w:pPr>
        <w:ind w:left="582" w:hanging="582"/>
        <w:spacing w:after="0"/>
        <w:tabs>
          <w:tab w:leader="none" w:pos="582" w:val="left"/>
        </w:tabs>
        <w:numPr>
          <w:ilvl w:val="0"/>
          <w:numId w:val="498"/>
        </w:numPr>
        <w:rPr>
          <w:rFonts w:ascii="Arial" w:cs="Arial" w:eastAsia="Arial" w:hAnsi="Arial"/>
          <w:sz w:val="16"/>
          <w:szCs w:val="16"/>
          <w:b w:val="1"/>
          <w:bCs w:val="1"/>
          <w:color w:val="auto"/>
        </w:rPr>
      </w:pPr>
      <w:r>
        <w:rPr>
          <w:rFonts w:ascii="Arial" w:cs="Arial" w:eastAsia="Arial" w:hAnsi="Arial"/>
          <w:sz w:val="16"/>
          <w:szCs w:val="16"/>
          <w:b w:val="1"/>
          <w:bCs w:val="1"/>
          <w:color w:val="auto"/>
        </w:rPr>
        <w:t>LAWS AND PERMITS</w:t>
      </w:r>
      <w:r>
        <w:rPr>
          <w:rFonts w:ascii="Arial" w:cs="Arial" w:eastAsia="Arial" w:hAnsi="Arial"/>
          <w:sz w:val="16"/>
          <w:szCs w:val="16"/>
          <w:color w:val="auto"/>
        </w:rPr>
        <w:t>.</w:t>
      </w:r>
    </w:p>
    <w:p>
      <w:pPr>
        <w:spacing w:after="0" w:line="207"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19.1    Legal Requirements</w:t>
      </w:r>
      <w:r>
        <w:rPr>
          <w:rFonts w:ascii="Arial" w:cs="Arial" w:eastAsia="Arial" w:hAnsi="Arial"/>
          <w:sz w:val="16"/>
          <w:szCs w:val="16"/>
          <w:color w:val="auto"/>
        </w:rPr>
        <w:t>.</w:t>
      </w:r>
    </w:p>
    <w:p>
      <w:pPr>
        <w:spacing w:after="0" w:line="211" w:lineRule="exact"/>
        <w:rPr>
          <w:rFonts w:ascii="Arial" w:cs="Arial" w:eastAsia="Arial" w:hAnsi="Arial"/>
          <w:sz w:val="16"/>
          <w:szCs w:val="16"/>
          <w:b w:val="1"/>
          <w:bCs w:val="1"/>
          <w:color w:val="auto"/>
        </w:rPr>
      </w:pPr>
    </w:p>
    <w:p>
      <w:pPr>
        <w:ind w:left="2" w:firstLine="1172"/>
        <w:spacing w:after="0" w:line="295" w:lineRule="auto"/>
        <w:tabs>
          <w:tab w:leader="none" w:pos="1760" w:val="left"/>
        </w:tabs>
        <w:numPr>
          <w:ilvl w:val="1"/>
          <w:numId w:val="498"/>
        </w:numPr>
        <w:rPr>
          <w:rFonts w:ascii="Arial" w:cs="Arial" w:eastAsia="Arial" w:hAnsi="Arial"/>
          <w:sz w:val="14"/>
          <w:szCs w:val="14"/>
          <w:color w:val="auto"/>
        </w:rPr>
      </w:pPr>
      <w:r>
        <w:rPr>
          <w:rFonts w:ascii="Arial" w:cs="Arial" w:eastAsia="Arial" w:hAnsi="Arial"/>
          <w:sz w:val="14"/>
          <w:szCs w:val="14"/>
          <w:u w:val="single" w:color="auto"/>
          <w:color w:val="auto"/>
        </w:rPr>
        <w:t>Tenant Obligations</w:t>
      </w:r>
      <w:r>
        <w:rPr>
          <w:rFonts w:ascii="Arial" w:cs="Arial" w:eastAsia="Arial" w:hAnsi="Arial"/>
          <w:sz w:val="14"/>
          <w:szCs w:val="14"/>
          <w:color w:val="auto"/>
        </w:rPr>
        <w:t>. Tenant shall not cause or permit the Premises, or cause the Property or the Building to be used in any way that violates in any material respect any Legal Requirement, order, permit, approval, variance, covenant or restrictions of record or any provisions of this Lease, interferes, in any material way, with the rights of tenants of the Building, or constitutes a material nuisance or waste. Tenant shall obtain, maintain and pay for all permits and approvals needed for the operation of Tenant’s business and shall, promptly take all actions necessary to comply with all Legal Requirements, including, without limitation, the Occupational Safety and Health Act, applicable to Tenant’s use of the Premises, the Property or the Building. Tenant shall maintain in full force and effect all certifications or permissions required by any authority having jurisdiction to authorize, franchise or regulate Tenant’s use of the Premises. Tenant shall be solely responsible for procuring and complying at all times with any and all necessary permits and approvals directly or indirectly relating or incident to: the conduct of its activities on the Premises; its scientific experimentation, transportation, storage, handling, use and disposal of any chemical or radioactive or bacteriological or pathological substances or organisms or other hazardous wastes or environmentally dangerous substances or materials or medical waste or animals or laboratory specimens. Notwithstanding the foregoing, Landlord shall cooperate with Tenant in such manner as Tenant may reasonably request in procuring any permits and approvals necessary to enable Tenant to conduct its activities in the Premises consistent with the Permitted Uses and the provisions of this Lease, provided however, that Landlord shall not be required to incur any cost or liability in providing such cooperation. Within ten (10) business days of a request by Landlord, which request shall be made not more than once during each period of twelve (12) consecutive months during the Term hereof, unless otherwise requested by any Mortgagee or unless Landlord reasonably suspects that Tenant has violated the provisions of this Section 19.1, Tenant shall furnish Landlord with copies of all such permits and approvals that Tenant possesses or has obtained together with a certificate certifying that such permits are all of the permits that Tenant possesses or has obtained with respect to the Premises. Tenant shall promptly give written notice to Landlord of any warnings or violations relative to the above received in writing from any federal, state or municipal agency or by any court of law and shall promptly cure the conditions causing any such violations. Tenant shall not be deemed to be in default of its obligations under the preceding sentence to promptly cure any condition causing any such violation in the event that, in lieu of such cure, Tenant shall contest the validity of such violation by appellate or other proceedings permitted under applicable law, provided that (a) any such contest is made reasonably and in good faith, (b) Tenant makes provisions, including, without limitation, posting bond(s) or giving other security, reasonably acceptable to Landlord to protect Landlord, the Building and the Property from any liability, costs, damages or expenses arising in connection with such alleged violation and failure to cure, (c) Tenant shall agree to indemnify, defend (with counsel reasonably acceptable to Landlord) and hold Landlord harmless from and against any and all Claims arising in connection with such condition and/or violation,</w:t>
      </w:r>
    </w:p>
    <w:p>
      <w:pPr>
        <w:spacing w:after="0" w:line="162" w:lineRule="exact"/>
        <w:rPr>
          <w:rFonts w:ascii="Arial" w:cs="Arial" w:eastAsia="Arial" w:hAnsi="Arial"/>
          <w:sz w:val="14"/>
          <w:szCs w:val="14"/>
          <w:color w:val="auto"/>
        </w:rPr>
      </w:pPr>
    </w:p>
    <w:p>
      <w:pPr>
        <w:ind w:left="2"/>
        <w:spacing w:after="0"/>
        <w:rPr>
          <w:rFonts w:ascii="Arial" w:cs="Arial" w:eastAsia="Arial" w:hAnsi="Arial"/>
          <w:sz w:val="14"/>
          <w:szCs w:val="14"/>
          <w:color w:val="auto"/>
        </w:rPr>
      </w:pPr>
      <w:r>
        <w:rPr>
          <w:rFonts w:ascii="Arial" w:cs="Arial" w:eastAsia="Arial" w:hAnsi="Arial"/>
          <w:sz w:val="16"/>
          <w:szCs w:val="16"/>
          <w:color w:val="auto"/>
        </w:rPr>
        <w:t>(d) Tenant shall promptly cure any violation in the event that its appeal of such violation is finally overruled or rejected (without further</w:t>
      </w:r>
    </w:p>
    <w:p>
      <w:pPr>
        <w:spacing w:after="0" w:line="19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18" w:right="239" w:bottom="1440" w:gutter="0" w:footer="0" w:header="0"/>
        </w:sectPr>
      </w:pPr>
    </w:p>
    <w:bookmarkStart w:id="513" w:name="page514"/>
    <w:bookmarkEnd w:id="513"/>
    <w:p>
      <w:pPr>
        <w:ind w:left="2" w:right="40"/>
        <w:spacing w:after="0" w:line="265" w:lineRule="auto"/>
        <w:rPr>
          <w:sz w:val="20"/>
          <w:szCs w:val="20"/>
          <w:color w:val="auto"/>
        </w:rPr>
      </w:pPr>
      <w:r>
        <w:rPr>
          <w:rFonts w:ascii="Arial" w:cs="Arial" w:eastAsia="Arial" w:hAnsi="Arial"/>
          <w:sz w:val="16"/>
          <w:szCs w:val="16"/>
          <w:color w:val="auto"/>
        </w:rPr>
        <w:t>opportunity to appeal), or such earlier time as Tenant may be required, notwithstanding appeal by Tenant, to cure such violation pursuant to court order, and (e) Tenant’s decision to delay such cure shall not, in Landlord’s good faith determination, be likely to result in any actual or threatened bodily injury, property damage, or any civil or criminal liability to Landlord, any tenant or occupant of the Building or the Property, or any other person or entity. Nothing contained in this Section 19.1 shall be construed to expand the uses permitted hereunder beyond the Permitted Uses.</w:t>
      </w:r>
    </w:p>
    <w:p>
      <w:pPr>
        <w:spacing w:after="0" w:line="166" w:lineRule="exact"/>
        <w:rPr>
          <w:sz w:val="20"/>
          <w:szCs w:val="20"/>
          <w:color w:val="auto"/>
        </w:rPr>
      </w:pPr>
    </w:p>
    <w:p>
      <w:pPr>
        <w:ind w:left="2" w:right="80" w:firstLine="1172"/>
        <w:spacing w:after="0" w:line="265" w:lineRule="auto"/>
        <w:tabs>
          <w:tab w:leader="none" w:pos="1769" w:val="left"/>
        </w:tabs>
        <w:numPr>
          <w:ilvl w:val="0"/>
          <w:numId w:val="499"/>
        </w:numPr>
        <w:rPr>
          <w:rFonts w:ascii="Arial" w:cs="Arial" w:eastAsia="Arial" w:hAnsi="Arial"/>
          <w:sz w:val="16"/>
          <w:szCs w:val="16"/>
          <w:color w:val="auto"/>
        </w:rPr>
      </w:pPr>
      <w:r>
        <w:rPr>
          <w:rFonts w:ascii="Arial" w:cs="Arial" w:eastAsia="Arial" w:hAnsi="Arial"/>
          <w:sz w:val="16"/>
          <w:szCs w:val="16"/>
          <w:u w:val="single" w:color="auto"/>
          <w:color w:val="auto"/>
        </w:rPr>
        <w:t>Landlord Obligations</w:t>
      </w:r>
      <w:r>
        <w:rPr>
          <w:rFonts w:ascii="Arial" w:cs="Arial" w:eastAsia="Arial" w:hAnsi="Arial"/>
          <w:sz w:val="16"/>
          <w:szCs w:val="16"/>
          <w:color w:val="auto"/>
        </w:rPr>
        <w:t>. Landlord shall comply with any Legal Requirements and with any direction of any public office or officer relating to the maintenance, repair, replacement and operation of: (i) the structural elements of the Building and common Building systems, (ii) the Common Areas, and (iii) any other portions of the Property that Landlord is obligated to repair, and the costs so incurred by Landlord may be included in Operating Costs, subject to, and in accordance with, the provisions of Section 5.2.</w:t>
      </w:r>
    </w:p>
    <w:p>
      <w:pPr>
        <w:spacing w:after="0" w:line="162" w:lineRule="exact"/>
        <w:rPr>
          <w:sz w:val="20"/>
          <w:szCs w:val="20"/>
          <w:color w:val="auto"/>
        </w:rPr>
      </w:pPr>
    </w:p>
    <w:p>
      <w:pPr>
        <w:ind w:left="2" w:firstLine="587"/>
        <w:spacing w:after="0" w:line="261" w:lineRule="auto"/>
        <w:rPr>
          <w:sz w:val="20"/>
          <w:szCs w:val="20"/>
          <w:color w:val="auto"/>
        </w:rPr>
      </w:pPr>
      <w:r>
        <w:rPr>
          <w:rFonts w:ascii="Arial" w:cs="Arial" w:eastAsia="Arial" w:hAnsi="Arial"/>
          <w:sz w:val="16"/>
          <w:szCs w:val="16"/>
          <w:b w:val="1"/>
          <w:bCs w:val="1"/>
          <w:color w:val="auto"/>
        </w:rPr>
        <w:t>19.2 Traffic Management</w:t>
      </w:r>
      <w:r>
        <w:rPr>
          <w:rFonts w:ascii="Arial" w:cs="Arial" w:eastAsia="Arial" w:hAnsi="Arial"/>
          <w:sz w:val="16"/>
          <w:szCs w:val="16"/>
          <w:color w:val="auto"/>
        </w:rPr>
        <w:t>. Tenant acknowledges that the Property is subject to a traffic mitigation and/or management plan, a copy of which is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10</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PTDM</w:t>
      </w:r>
      <w:r>
        <w:rPr>
          <w:rFonts w:ascii="Arial" w:cs="Arial" w:eastAsia="Arial" w:hAnsi="Arial"/>
          <w:sz w:val="16"/>
          <w:szCs w:val="16"/>
          <w:color w:val="auto"/>
        </w:rPr>
        <w:t>”). Tenant agrees not to violate the terms of the PTDM applicable to tenants of the Building. Tenant shall, at Tenant’s sole expense, for so long as the PTDM remains applicable to the Property, (a) participate in the Hartwell Avenue Transportation Management Association, (b) to the extent required by the PTDM, allow employees at the Premises to set-aside pre-tax funds as allowable under the Commuter Choice provision of the Federal tax code, and (c) reasonably cooperate with Landlord in (i) connection with Landlord’s reporting obligations under the PTDM and any amendments thereto, and (ii) encouraging employees to avoid vehicle trips at peak commuting hours and to seek alternate modes of transportation. The costs incurred by Landlord in connection with compliance with the PTDM shall be included in Operating Costs.</w:t>
      </w:r>
    </w:p>
    <w:p>
      <w:pPr>
        <w:spacing w:after="0" w:line="164" w:lineRule="exact"/>
        <w:rPr>
          <w:sz w:val="20"/>
          <w:szCs w:val="20"/>
          <w:color w:val="auto"/>
        </w:rPr>
      </w:pPr>
    </w:p>
    <w:p>
      <w:pPr>
        <w:ind w:left="582" w:hanging="582"/>
        <w:spacing w:after="0"/>
        <w:tabs>
          <w:tab w:leader="none" w:pos="582" w:val="left"/>
        </w:tabs>
        <w:numPr>
          <w:ilvl w:val="0"/>
          <w:numId w:val="500"/>
        </w:numPr>
        <w:rPr>
          <w:rFonts w:ascii="Arial" w:cs="Arial" w:eastAsia="Arial" w:hAnsi="Arial"/>
          <w:sz w:val="16"/>
          <w:szCs w:val="16"/>
          <w:b w:val="1"/>
          <w:bCs w:val="1"/>
          <w:color w:val="auto"/>
        </w:rPr>
      </w:pPr>
      <w:r>
        <w:rPr>
          <w:rFonts w:ascii="Arial" w:cs="Arial" w:eastAsia="Arial" w:hAnsi="Arial"/>
          <w:sz w:val="16"/>
          <w:szCs w:val="16"/>
          <w:b w:val="1"/>
          <w:bCs w:val="1"/>
          <w:color w:val="auto"/>
        </w:rPr>
        <w:t>DEFAULT</w:t>
      </w:r>
    </w:p>
    <w:p>
      <w:pPr>
        <w:spacing w:after="0" w:line="207"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20.1    Events of Default</w:t>
      </w:r>
      <w:r>
        <w:rPr>
          <w:rFonts w:ascii="Arial" w:cs="Arial" w:eastAsia="Arial" w:hAnsi="Arial"/>
          <w:sz w:val="16"/>
          <w:szCs w:val="16"/>
          <w:color w:val="auto"/>
        </w:rPr>
        <w:t>. The occurrence of any one or more of the following events shall constitute an “</w:t>
      </w:r>
      <w:r>
        <w:rPr>
          <w:rFonts w:ascii="Arial" w:cs="Arial" w:eastAsia="Arial" w:hAnsi="Arial"/>
          <w:sz w:val="16"/>
          <w:szCs w:val="16"/>
          <w:b w:val="1"/>
          <w:bCs w:val="1"/>
          <w:u w:val="single" w:color="auto"/>
          <w:color w:val="auto"/>
        </w:rPr>
        <w:t>Event of Default</w:t>
      </w:r>
      <w:r>
        <w:rPr>
          <w:rFonts w:ascii="Arial" w:cs="Arial" w:eastAsia="Arial" w:hAnsi="Arial"/>
          <w:sz w:val="16"/>
          <w:szCs w:val="16"/>
          <w:color w:val="auto"/>
        </w:rPr>
        <w:t>” hereunder by Tenant:</w:t>
      </w:r>
    </w:p>
    <w:p>
      <w:pPr>
        <w:spacing w:after="0" w:line="211" w:lineRule="exact"/>
        <w:rPr>
          <w:rFonts w:ascii="Arial" w:cs="Arial" w:eastAsia="Arial" w:hAnsi="Arial"/>
          <w:sz w:val="16"/>
          <w:szCs w:val="16"/>
          <w:b w:val="1"/>
          <w:bCs w:val="1"/>
          <w:color w:val="auto"/>
        </w:rPr>
      </w:pPr>
    </w:p>
    <w:p>
      <w:pPr>
        <w:ind w:left="2" w:right="60" w:firstLine="1172"/>
        <w:spacing w:after="0" w:line="288" w:lineRule="auto"/>
        <w:tabs>
          <w:tab w:leader="none" w:pos="1760" w:val="left"/>
        </w:tabs>
        <w:numPr>
          <w:ilvl w:val="1"/>
          <w:numId w:val="500"/>
        </w:numPr>
        <w:rPr>
          <w:rFonts w:ascii="Arial" w:cs="Arial" w:eastAsia="Arial" w:hAnsi="Arial"/>
          <w:sz w:val="15"/>
          <w:szCs w:val="15"/>
          <w:color w:val="auto"/>
        </w:rPr>
      </w:pPr>
      <w:r>
        <w:rPr>
          <w:rFonts w:ascii="Arial" w:cs="Arial" w:eastAsia="Arial" w:hAnsi="Arial"/>
          <w:sz w:val="15"/>
          <w:szCs w:val="15"/>
          <w:color w:val="auto"/>
        </w:rPr>
        <w:t>If Tenant fails to make any payment of Rent or any other payment required hereunder, as and when due, and such failure shall continue for a period of five (5) business days after written notice thereof from Landlord to Tenant; provided, however, an Event of Default shall occur hereunder without any obligation of Landlord to give any notice if (i) Tenant fails to make any payment within five (5) business days after the due date therefor, and (ii) Landlord has given Tenant written notice under this Section 20.1(a) on more than two (2) occasions during the twelve (12) month interval preceding such failure by Tenant;</w:t>
      </w:r>
    </w:p>
    <w:p>
      <w:pPr>
        <w:spacing w:after="0" w:line="150" w:lineRule="exact"/>
        <w:rPr>
          <w:rFonts w:ascii="Arial" w:cs="Arial" w:eastAsia="Arial" w:hAnsi="Arial"/>
          <w:sz w:val="15"/>
          <w:szCs w:val="15"/>
          <w:color w:val="auto"/>
        </w:rPr>
      </w:pPr>
    </w:p>
    <w:p>
      <w:pPr>
        <w:ind w:left="2" w:right="240" w:firstLine="1172"/>
        <w:spacing w:after="0" w:line="360" w:lineRule="auto"/>
        <w:tabs>
          <w:tab w:leader="none" w:pos="1769" w:val="left"/>
        </w:tabs>
        <w:numPr>
          <w:ilvl w:val="1"/>
          <w:numId w:val="500"/>
        </w:numPr>
        <w:rPr>
          <w:rFonts w:ascii="Arial" w:cs="Arial" w:eastAsia="Arial" w:hAnsi="Arial"/>
          <w:sz w:val="14"/>
          <w:szCs w:val="14"/>
          <w:color w:val="auto"/>
        </w:rPr>
      </w:pPr>
      <w:r>
        <w:rPr>
          <w:rFonts w:ascii="Arial" w:cs="Arial" w:eastAsia="Arial" w:hAnsi="Arial"/>
          <w:sz w:val="14"/>
          <w:szCs w:val="14"/>
          <w:color w:val="auto"/>
        </w:rPr>
        <w:t>If Tenant shall abandon the Premises (whether or not the keys shall have been surrendered or the Rent shall have been paid); provided, however, that if Tenant merely vacates the Premises or a portion thereof, but continues to perform all of its obligations under this Lease, the same shall not constitute abandonment;</w:t>
      </w:r>
    </w:p>
    <w:p>
      <w:pPr>
        <w:spacing w:after="0" w:line="103" w:lineRule="exact"/>
        <w:rPr>
          <w:rFonts w:ascii="Arial" w:cs="Arial" w:eastAsia="Arial" w:hAnsi="Arial"/>
          <w:sz w:val="14"/>
          <w:szCs w:val="14"/>
          <w:color w:val="auto"/>
        </w:rPr>
      </w:pPr>
    </w:p>
    <w:p>
      <w:pPr>
        <w:ind w:left="2" w:right="520" w:firstLine="1172"/>
        <w:spacing w:after="0" w:line="285" w:lineRule="auto"/>
        <w:tabs>
          <w:tab w:leader="none" w:pos="1772" w:val="left"/>
        </w:tabs>
        <w:numPr>
          <w:ilvl w:val="1"/>
          <w:numId w:val="500"/>
        </w:numPr>
        <w:rPr>
          <w:rFonts w:ascii="Arial" w:cs="Arial" w:eastAsia="Arial" w:hAnsi="Arial"/>
          <w:sz w:val="16"/>
          <w:szCs w:val="16"/>
          <w:color w:val="auto"/>
        </w:rPr>
      </w:pPr>
      <w:r>
        <w:rPr>
          <w:rFonts w:ascii="Arial" w:cs="Arial" w:eastAsia="Arial" w:hAnsi="Arial"/>
          <w:sz w:val="16"/>
          <w:szCs w:val="16"/>
          <w:color w:val="auto"/>
        </w:rPr>
        <w:t>If Tenant shall fail to execute and deliver to Landlord an estoppel certificate pursuant to Section 16 above or a subordination and attornment agreement pursuant to Section 22 below, within the timeframes set forth therein, and Tenant fails to cure such failure within five (5)</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514" w:name="page515"/>
    <w:bookmarkEnd w:id="514"/>
    <w:p>
      <w:pPr>
        <w:jc w:val="both"/>
        <w:ind w:right="260"/>
        <w:spacing w:after="0" w:line="270" w:lineRule="auto"/>
        <w:rPr>
          <w:sz w:val="20"/>
          <w:szCs w:val="20"/>
          <w:color w:val="auto"/>
        </w:rPr>
      </w:pPr>
      <w:r>
        <w:rPr>
          <w:rFonts w:ascii="Arial" w:cs="Arial" w:eastAsia="Arial" w:hAnsi="Arial"/>
          <w:sz w:val="16"/>
          <w:szCs w:val="16"/>
          <w:color w:val="auto"/>
        </w:rPr>
        <w:t>business days after written notice from Landlord, and, following expiration of such five (5) business day period, Landlord shall deliver to Tenant a second written notice of such failure, which second written notice shall be written in capital letters and bold type, and such failure shall continue for a period of five (5) business days after Tenant’s receipt of such second written notice;</w:t>
      </w:r>
    </w:p>
    <w:p>
      <w:pPr>
        <w:spacing w:after="0" w:line="162" w:lineRule="exact"/>
        <w:rPr>
          <w:sz w:val="20"/>
          <w:szCs w:val="20"/>
          <w:color w:val="auto"/>
        </w:rPr>
      </w:pPr>
    </w:p>
    <w:p>
      <w:pPr>
        <w:ind w:left="1760" w:hanging="588"/>
        <w:spacing w:after="0"/>
        <w:tabs>
          <w:tab w:leader="none" w:pos="1760" w:val="left"/>
        </w:tabs>
        <w:numPr>
          <w:ilvl w:val="0"/>
          <w:numId w:val="501"/>
        </w:numPr>
        <w:rPr>
          <w:rFonts w:ascii="Arial" w:cs="Arial" w:eastAsia="Arial" w:hAnsi="Arial"/>
          <w:sz w:val="15"/>
          <w:szCs w:val="15"/>
          <w:color w:val="auto"/>
        </w:rPr>
      </w:pPr>
      <w:r>
        <w:rPr>
          <w:rFonts w:ascii="Arial" w:cs="Arial" w:eastAsia="Arial" w:hAnsi="Arial"/>
          <w:sz w:val="15"/>
          <w:szCs w:val="15"/>
          <w:color w:val="auto"/>
        </w:rPr>
        <w:t>If Tenant shall fail to maintain any insurance required hereunder, and such failure continues for more than thirty (30) days after written notice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Landlord;</w:t>
      </w:r>
    </w:p>
    <w:p>
      <w:pPr>
        <w:spacing w:after="0" w:line="196" w:lineRule="exact"/>
        <w:rPr>
          <w:sz w:val="20"/>
          <w:szCs w:val="20"/>
          <w:color w:val="auto"/>
        </w:rPr>
      </w:pPr>
    </w:p>
    <w:p>
      <w:pPr>
        <w:ind w:left="1760" w:hanging="588"/>
        <w:spacing w:after="0"/>
        <w:tabs>
          <w:tab w:leader="none" w:pos="1760" w:val="left"/>
        </w:tabs>
        <w:numPr>
          <w:ilvl w:val="0"/>
          <w:numId w:val="502"/>
        </w:numPr>
        <w:rPr>
          <w:rFonts w:ascii="Arial" w:cs="Arial" w:eastAsia="Arial" w:hAnsi="Arial"/>
          <w:sz w:val="14"/>
          <w:szCs w:val="14"/>
          <w:color w:val="auto"/>
        </w:rPr>
      </w:pPr>
      <w:r>
        <w:rPr>
          <w:rFonts w:ascii="Arial" w:cs="Arial" w:eastAsia="Arial" w:hAnsi="Arial"/>
          <w:sz w:val="14"/>
          <w:szCs w:val="14"/>
          <w:color w:val="auto"/>
        </w:rPr>
        <w:t>If Tenant shall fail to restore the Security Deposit to its original amount or deliver a replacement Letter of Credit as required under Section 7 above;</w:t>
      </w:r>
    </w:p>
    <w:p>
      <w:pPr>
        <w:spacing w:after="0" w:line="230" w:lineRule="exact"/>
        <w:rPr>
          <w:rFonts w:ascii="Arial" w:cs="Arial" w:eastAsia="Arial" w:hAnsi="Arial"/>
          <w:sz w:val="14"/>
          <w:szCs w:val="14"/>
          <w:color w:val="auto"/>
        </w:rPr>
      </w:pPr>
    </w:p>
    <w:p>
      <w:pPr>
        <w:ind w:firstLine="1172"/>
        <w:spacing w:after="0" w:line="270" w:lineRule="auto"/>
        <w:tabs>
          <w:tab w:leader="none" w:pos="1765" w:val="left"/>
        </w:tabs>
        <w:numPr>
          <w:ilvl w:val="0"/>
          <w:numId w:val="502"/>
        </w:numPr>
        <w:rPr>
          <w:rFonts w:ascii="Arial" w:cs="Arial" w:eastAsia="Arial" w:hAnsi="Arial"/>
          <w:sz w:val="16"/>
          <w:szCs w:val="16"/>
          <w:color w:val="auto"/>
        </w:rPr>
      </w:pPr>
      <w:r>
        <w:rPr>
          <w:rFonts w:ascii="Arial" w:cs="Arial" w:eastAsia="Arial" w:hAnsi="Arial"/>
          <w:sz w:val="16"/>
          <w:szCs w:val="16"/>
          <w:color w:val="auto"/>
        </w:rPr>
        <w:t>If Tenant shall make a Transfer in violation of the provisions of Section 13 above, or if any event shall occur or any contingency shall arise whereby this Lease, or the term and estate thereby created, would (by operation of law or otherwise) devolve upon or pass to any person, firm or corporation other than Tenant, except as expressly permitted under Section 13 hereof;</w:t>
      </w:r>
    </w:p>
    <w:p>
      <w:pPr>
        <w:spacing w:after="0" w:line="161" w:lineRule="exact"/>
        <w:rPr>
          <w:rFonts w:ascii="Arial" w:cs="Arial" w:eastAsia="Arial" w:hAnsi="Arial"/>
          <w:sz w:val="16"/>
          <w:szCs w:val="16"/>
          <w:color w:val="auto"/>
        </w:rPr>
      </w:pPr>
    </w:p>
    <w:p>
      <w:pPr>
        <w:ind w:firstLine="1172"/>
        <w:spacing w:after="0" w:line="265" w:lineRule="auto"/>
        <w:tabs>
          <w:tab w:leader="none" w:pos="1779" w:val="left"/>
        </w:tabs>
        <w:numPr>
          <w:ilvl w:val="0"/>
          <w:numId w:val="502"/>
        </w:numPr>
        <w:rPr>
          <w:rFonts w:ascii="Arial" w:cs="Arial" w:eastAsia="Arial" w:hAnsi="Arial"/>
          <w:sz w:val="16"/>
          <w:szCs w:val="16"/>
          <w:color w:val="auto"/>
        </w:rPr>
      </w:pPr>
      <w:r>
        <w:rPr>
          <w:rFonts w:ascii="Arial" w:cs="Arial" w:eastAsia="Arial" w:hAnsi="Arial"/>
          <w:sz w:val="16"/>
          <w:szCs w:val="16"/>
          <w:color w:val="auto"/>
        </w:rPr>
        <w:t>The failure by Tenant to observe or perform any of the covenants or provisions of this Lease to be observed or performed by Tenant, other than as specified above, and such failure continues for more than thirty (30) days after notice thereof from Landlord; provided, further, that if the nature of Tenant’s default is such that more than thirty (30) days are reasonably required for its cure, then Tenant shall not be deemed to be in default if Tenant shall commence such cure within said thirty (30) day period and thereafter diligently prosecute such cure to completion;</w:t>
      </w:r>
    </w:p>
    <w:p>
      <w:pPr>
        <w:spacing w:after="0" w:line="165" w:lineRule="exact"/>
        <w:rPr>
          <w:rFonts w:ascii="Arial" w:cs="Arial" w:eastAsia="Arial" w:hAnsi="Arial"/>
          <w:sz w:val="16"/>
          <w:szCs w:val="16"/>
          <w:color w:val="auto"/>
        </w:rPr>
      </w:pPr>
    </w:p>
    <w:p>
      <w:pPr>
        <w:ind w:left="1760" w:hanging="588"/>
        <w:spacing w:after="0"/>
        <w:tabs>
          <w:tab w:leader="none" w:pos="1760" w:val="left"/>
        </w:tabs>
        <w:numPr>
          <w:ilvl w:val="0"/>
          <w:numId w:val="502"/>
        </w:numPr>
        <w:rPr>
          <w:rFonts w:ascii="Arial" w:cs="Arial" w:eastAsia="Arial" w:hAnsi="Arial"/>
          <w:sz w:val="14"/>
          <w:szCs w:val="14"/>
          <w:color w:val="auto"/>
        </w:rPr>
      </w:pPr>
      <w:r>
        <w:rPr>
          <w:rFonts w:ascii="Arial" w:cs="Arial" w:eastAsia="Arial" w:hAnsi="Arial"/>
          <w:sz w:val="14"/>
          <w:szCs w:val="14"/>
          <w:color w:val="auto"/>
        </w:rPr>
        <w:t>Tenant shall make an assignment or trust mortgage, or other conveyance or transfer of like nature, of all or a substantial part of its property for the</w:t>
      </w:r>
    </w:p>
    <w:p>
      <w:pPr>
        <w:spacing w:after="0" w:line="4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benefit of its creditors,</w:t>
      </w:r>
    </w:p>
    <w:p>
      <w:pPr>
        <w:spacing w:after="0" w:line="195" w:lineRule="exact"/>
        <w:rPr>
          <w:rFonts w:ascii="Arial" w:cs="Arial" w:eastAsia="Arial" w:hAnsi="Arial"/>
          <w:sz w:val="14"/>
          <w:szCs w:val="14"/>
          <w:color w:val="auto"/>
        </w:rPr>
      </w:pPr>
    </w:p>
    <w:p>
      <w:pPr>
        <w:ind w:right="120" w:firstLine="1172"/>
        <w:spacing w:after="0" w:line="285" w:lineRule="auto"/>
        <w:tabs>
          <w:tab w:leader="none" w:pos="178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an attachment on mesne process, on execution or otherwise, or other legal process shall issue against Tenant or its property and a sale of any of its assets shall be held thereunder, and shall not be dismissed or vacated within ninety (90) days thereafter;</w:t>
      </w:r>
    </w:p>
    <w:p>
      <w:pPr>
        <w:spacing w:after="0" w:line="149" w:lineRule="exact"/>
        <w:rPr>
          <w:rFonts w:ascii="Arial" w:cs="Arial" w:eastAsia="Arial" w:hAnsi="Arial"/>
          <w:sz w:val="16"/>
          <w:szCs w:val="16"/>
          <w:color w:val="auto"/>
        </w:rPr>
      </w:pPr>
    </w:p>
    <w:p>
      <w:pPr>
        <w:ind w:firstLine="1172"/>
        <w:spacing w:after="0" w:line="270" w:lineRule="auto"/>
        <w:tabs>
          <w:tab w:leader="none" w:pos="1768" w:val="left"/>
        </w:tabs>
        <w:numPr>
          <w:ilvl w:val="0"/>
          <w:numId w:val="502"/>
        </w:numPr>
        <w:rPr>
          <w:rFonts w:ascii="Arial" w:cs="Arial" w:eastAsia="Arial" w:hAnsi="Arial"/>
          <w:sz w:val="16"/>
          <w:szCs w:val="16"/>
          <w:color w:val="auto"/>
        </w:rPr>
      </w:pPr>
      <w:r>
        <w:rPr>
          <w:rFonts w:ascii="Arial" w:cs="Arial" w:eastAsia="Arial" w:hAnsi="Arial"/>
          <w:sz w:val="16"/>
          <w:szCs w:val="16"/>
          <w:color w:val="auto"/>
        </w:rPr>
        <w:t>any judgment, attachment or the like in excess of $1,000,000 shall be entered, recorded or filed against Tenant in any court, registry, etc. and Tenant shall fail to pay such judgment within sixty (60) days after the judgment shall have become final beyond appeal or to discharge or secure by surety bond such lien, attachment, etc. within ninety (90) days of such entry, recording or filing, as the case may be;</w:t>
      </w:r>
    </w:p>
    <w:p>
      <w:pPr>
        <w:spacing w:after="0" w:line="161" w:lineRule="exact"/>
        <w:rPr>
          <w:rFonts w:ascii="Arial" w:cs="Arial" w:eastAsia="Arial" w:hAnsi="Arial"/>
          <w:sz w:val="16"/>
          <w:szCs w:val="16"/>
          <w:color w:val="auto"/>
        </w:rPr>
      </w:pPr>
    </w:p>
    <w:p>
      <w:pPr>
        <w:ind w:left="1760" w:hanging="588"/>
        <w:spacing w:after="0"/>
        <w:tabs>
          <w:tab w:leader="none" w:pos="1760" w:val="left"/>
        </w:tabs>
        <w:numPr>
          <w:ilvl w:val="0"/>
          <w:numId w:val="502"/>
        </w:numPr>
        <w:rPr>
          <w:rFonts w:ascii="Arial" w:cs="Arial" w:eastAsia="Arial" w:hAnsi="Arial"/>
          <w:sz w:val="15"/>
          <w:szCs w:val="15"/>
          <w:color w:val="auto"/>
        </w:rPr>
      </w:pPr>
      <w:r>
        <w:rPr>
          <w:rFonts w:ascii="Arial" w:cs="Arial" w:eastAsia="Arial" w:hAnsi="Arial"/>
          <w:sz w:val="15"/>
          <w:szCs w:val="15"/>
          <w:color w:val="auto"/>
        </w:rPr>
        <w:t>the leasehold hereby created shall be taken on execution or by other process of law and shall not be revested in Tenant within ninety (90) days</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thereafter;</w:t>
      </w:r>
    </w:p>
    <w:p>
      <w:pPr>
        <w:spacing w:after="0" w:line="195" w:lineRule="exact"/>
        <w:rPr>
          <w:rFonts w:ascii="Arial" w:cs="Arial" w:eastAsia="Arial" w:hAnsi="Arial"/>
          <w:sz w:val="15"/>
          <w:szCs w:val="15"/>
          <w:color w:val="auto"/>
        </w:rPr>
      </w:pPr>
    </w:p>
    <w:p>
      <w:pPr>
        <w:ind w:right="100" w:firstLine="1172"/>
        <w:spacing w:after="0" w:line="285" w:lineRule="auto"/>
        <w:tabs>
          <w:tab w:leader="none" w:pos="178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a receiver, sequesterer, trustee or similar officer shall be appointed by a court of competent jurisdiction to take charge of all or any part of Tenant’s Property and such appointment shall not be vacated within ninety (90) days;</w:t>
      </w:r>
    </w:p>
    <w:p>
      <w:pPr>
        <w:spacing w:after="0" w:line="149" w:lineRule="exact"/>
        <w:rPr>
          <w:rFonts w:ascii="Arial" w:cs="Arial" w:eastAsia="Arial" w:hAnsi="Arial"/>
          <w:sz w:val="16"/>
          <w:szCs w:val="16"/>
          <w:color w:val="auto"/>
        </w:rPr>
      </w:pPr>
    </w:p>
    <w:p>
      <w:pPr>
        <w:ind w:right="40" w:firstLine="1172"/>
        <w:spacing w:after="0" w:line="285" w:lineRule="auto"/>
        <w:tabs>
          <w:tab w:leader="none" w:pos="1764" w:val="left"/>
        </w:tabs>
        <w:numPr>
          <w:ilvl w:val="0"/>
          <w:numId w:val="502"/>
        </w:numPr>
        <w:rPr>
          <w:rFonts w:ascii="Arial" w:cs="Arial" w:eastAsia="Arial" w:hAnsi="Arial"/>
          <w:sz w:val="16"/>
          <w:szCs w:val="16"/>
          <w:color w:val="auto"/>
        </w:rPr>
      </w:pPr>
      <w:r>
        <w:rPr>
          <w:rFonts w:ascii="Arial" w:cs="Arial" w:eastAsia="Arial" w:hAnsi="Arial"/>
          <w:sz w:val="16"/>
          <w:szCs w:val="16"/>
          <w:color w:val="auto"/>
        </w:rPr>
        <w:t>any proceeding shall be instituted by or against Tenant pursuant to any of the provisions of any Act of Congress or State law relating to bankruptcy, reorganizations, arrangements, compositions or other relief from creditors, and, in the case of any proceeding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480"/>
        <w:spacing w:after="0" w:line="285" w:lineRule="auto"/>
        <w:rPr>
          <w:sz w:val="20"/>
          <w:szCs w:val="20"/>
          <w:color w:val="auto"/>
        </w:rPr>
      </w:pPr>
      <w:r>
        <w:rPr>
          <w:rFonts w:ascii="Arial" w:cs="Arial" w:eastAsia="Arial" w:hAnsi="Arial"/>
          <w:sz w:val="16"/>
          <w:szCs w:val="16"/>
          <w:color w:val="auto"/>
        </w:rPr>
        <w:t>instituted against it, if Tenant shall fail to have such proceedings dismissed within ninety (90) days or if Tenant is adjudged bankrupt or insolvent as a result of any such proceeding.</w:t>
      </w:r>
    </w:p>
    <w:p>
      <w:pPr>
        <w:spacing w:after="0" w:line="146" w:lineRule="exact"/>
        <w:rPr>
          <w:sz w:val="20"/>
          <w:szCs w:val="20"/>
          <w:color w:val="auto"/>
        </w:rPr>
      </w:pPr>
    </w:p>
    <w:p>
      <w:pPr>
        <w:ind w:right="160" w:firstLine="587"/>
        <w:spacing w:after="0" w:line="281" w:lineRule="auto"/>
        <w:rPr>
          <w:sz w:val="20"/>
          <w:szCs w:val="20"/>
          <w:color w:val="auto"/>
        </w:rPr>
      </w:pPr>
      <w:r>
        <w:rPr>
          <w:rFonts w:ascii="Arial" w:cs="Arial" w:eastAsia="Arial" w:hAnsi="Arial"/>
          <w:sz w:val="15"/>
          <w:szCs w:val="15"/>
          <w:b w:val="1"/>
          <w:bCs w:val="1"/>
          <w:color w:val="auto"/>
        </w:rPr>
        <w:t>20.2 Remedies</w:t>
      </w:r>
      <w:r>
        <w:rPr>
          <w:rFonts w:ascii="Arial" w:cs="Arial" w:eastAsia="Arial" w:hAnsi="Arial"/>
          <w:sz w:val="15"/>
          <w:szCs w:val="15"/>
          <w:color w:val="auto"/>
        </w:rPr>
        <w:t>. Upon an Event of Default, Landlord may, by notice to Tenant, elect to terminate this Lease; and thereupon (and without prejudice to any</w:t>
      </w:r>
      <w:r>
        <w:rPr>
          <w:rFonts w:ascii="Arial" w:cs="Arial" w:eastAsia="Arial" w:hAnsi="Arial"/>
          <w:sz w:val="15"/>
          <w:szCs w:val="15"/>
          <w:b w:val="1"/>
          <w:bCs w:val="1"/>
          <w:color w:val="auto"/>
        </w:rPr>
        <w:t xml:space="preserve"> </w:t>
      </w:r>
      <w:r>
        <w:rPr>
          <w:rFonts w:ascii="Arial" w:cs="Arial" w:eastAsia="Arial" w:hAnsi="Arial"/>
          <w:sz w:val="15"/>
          <w:szCs w:val="15"/>
          <w:color w:val="auto"/>
        </w:rPr>
        <w:t>remedies which might otherwise be available for arrears of Rent or preceding breach of covenant or agreement and without prejudice to Tenant’s liability for damages as hereinafter stated), upon the giving of such notice, this Lease shall terminate as of the date specified therein as though that were the Expiration Date. Upon such termination, Landlord shall have the right to utilize the Security Deposit or draw down the entire Letter of Credit, as applicable, and apply the proceeds thereof to its damages hereunder. Without being taken or deemed to be guilty of any manner of trespass or conversion, and without being liable to indictment, prosecution or damages therefor, Landlord may, by lawful process, enter into and upon the Premises (or any part thereof in the name of the whole); repossess the same, as of its former estate; and expel Tenant and those claiming under Tenant. The words “re-entry” and “re-enter” as used in this Lease are not restricted to their technical legal meanings.</w:t>
      </w:r>
    </w:p>
    <w:p>
      <w:pPr>
        <w:spacing w:after="0" w:line="15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b w:val="1"/>
          <w:bCs w:val="1"/>
          <w:color w:val="auto"/>
        </w:rPr>
        <w:t>20.3</w:t>
      </w:r>
      <w:r>
        <w:rPr>
          <w:sz w:val="20"/>
          <w:szCs w:val="20"/>
          <w:color w:val="auto"/>
        </w:rPr>
        <w:tab/>
      </w:r>
      <w:r>
        <w:rPr>
          <w:rFonts w:ascii="Arial" w:cs="Arial" w:eastAsia="Arial" w:hAnsi="Arial"/>
          <w:sz w:val="14"/>
          <w:szCs w:val="14"/>
          <w:b w:val="1"/>
          <w:bCs w:val="1"/>
          <w:color w:val="auto"/>
        </w:rPr>
        <w:t>Damages - Termination</w:t>
      </w:r>
      <w:r>
        <w:rPr>
          <w:rFonts w:ascii="Arial" w:cs="Arial" w:eastAsia="Arial" w:hAnsi="Arial"/>
          <w:sz w:val="14"/>
          <w:szCs w:val="14"/>
          <w:color w:val="auto"/>
        </w:rPr>
        <w:t>.</w:t>
      </w:r>
    </w:p>
    <w:p>
      <w:pPr>
        <w:spacing w:after="0" w:line="211" w:lineRule="exact"/>
        <w:rPr>
          <w:sz w:val="20"/>
          <w:szCs w:val="20"/>
          <w:color w:val="auto"/>
        </w:rPr>
      </w:pPr>
    </w:p>
    <w:p>
      <w:pPr>
        <w:ind w:right="240" w:firstLine="1172"/>
        <w:spacing w:after="0" w:line="320" w:lineRule="auto"/>
        <w:tabs>
          <w:tab w:leader="none" w:pos="1758" w:val="left"/>
        </w:tabs>
        <w:numPr>
          <w:ilvl w:val="0"/>
          <w:numId w:val="503"/>
        </w:numPr>
        <w:rPr>
          <w:rFonts w:ascii="Arial" w:cs="Arial" w:eastAsia="Arial" w:hAnsi="Arial"/>
          <w:sz w:val="15"/>
          <w:szCs w:val="15"/>
          <w:color w:val="auto"/>
        </w:rPr>
      </w:pPr>
      <w:r>
        <w:rPr>
          <w:rFonts w:ascii="Arial" w:cs="Arial" w:eastAsia="Arial" w:hAnsi="Arial"/>
          <w:sz w:val="15"/>
          <w:szCs w:val="15"/>
          <w:color w:val="auto"/>
        </w:rPr>
        <w:t>Upon the termination of this Lease under the provisions of this Section 20, Tenant shall pay to Landlord Rent up to the time of such termination, shall continue to be liable for any preceding breach of covenant, and in addition, shall pay to Landlord damages, at the election of Landlord, either:</w:t>
      </w:r>
    </w:p>
    <w:p>
      <w:pPr>
        <w:spacing w:after="0" w:line="126" w:lineRule="exact"/>
        <w:rPr>
          <w:rFonts w:ascii="Arial" w:cs="Arial" w:eastAsia="Arial" w:hAnsi="Arial"/>
          <w:sz w:val="15"/>
          <w:szCs w:val="15"/>
          <w:color w:val="auto"/>
        </w:rPr>
      </w:pPr>
    </w:p>
    <w:p>
      <w:pPr>
        <w:ind w:right="80" w:firstLine="1759"/>
        <w:spacing w:after="0" w:line="281" w:lineRule="auto"/>
        <w:tabs>
          <w:tab w:leader="none" w:pos="2367" w:val="left"/>
        </w:tabs>
        <w:numPr>
          <w:ilvl w:val="1"/>
          <w:numId w:val="503"/>
        </w:numPr>
        <w:rPr>
          <w:rFonts w:ascii="Arial" w:cs="Arial" w:eastAsia="Arial" w:hAnsi="Arial"/>
          <w:sz w:val="15"/>
          <w:szCs w:val="15"/>
          <w:color w:val="auto"/>
        </w:rPr>
      </w:pPr>
      <w:r>
        <w:rPr>
          <w:rFonts w:ascii="Arial" w:cs="Arial" w:eastAsia="Arial" w:hAnsi="Arial"/>
          <w:sz w:val="15"/>
          <w:szCs w:val="15"/>
          <w:color w:val="auto"/>
        </w:rPr>
        <w:t>the amount (discounted to present value at the discount rate then being paid under United States Treasury obligations having a maturity date which is the same as the date that the Term of the Lease would have expired, but for Tenant’s default, plus three percent (3%)) by which, at the time of the termination of this Lease (or at any time thereafter if Landlord shall have initially elected damages under Section 20.3(a)(ii) below), (x) the aggregate of Rent projected over the period commencing with such termination and ending on the Expiration Date, exceeds (y) the aggregate projected rental value of the Premises for such period, taking into account a reasonable time period during which the Premises shall be unoccupied, plus all Reletting Costs (hereinafter defined), Landlord hereby agreeing that if Landlord elects to recover damages under this clause (i), then such damages shall be liquidated and final damages; or</w:t>
      </w:r>
    </w:p>
    <w:p>
      <w:pPr>
        <w:spacing w:after="0" w:line="157" w:lineRule="exact"/>
        <w:rPr>
          <w:rFonts w:ascii="Arial" w:cs="Arial" w:eastAsia="Arial" w:hAnsi="Arial"/>
          <w:sz w:val="15"/>
          <w:szCs w:val="15"/>
          <w:color w:val="auto"/>
        </w:rPr>
      </w:pPr>
    </w:p>
    <w:p>
      <w:pPr>
        <w:ind w:firstLine="1759"/>
        <w:spacing w:after="0" w:line="259" w:lineRule="auto"/>
        <w:tabs>
          <w:tab w:leader="none" w:pos="2376" w:val="left"/>
        </w:tabs>
        <w:numPr>
          <w:ilvl w:val="1"/>
          <w:numId w:val="503"/>
        </w:numPr>
        <w:rPr>
          <w:rFonts w:ascii="Arial" w:cs="Arial" w:eastAsia="Arial" w:hAnsi="Arial"/>
          <w:sz w:val="16"/>
          <w:szCs w:val="16"/>
          <w:color w:val="auto"/>
        </w:rPr>
      </w:pPr>
      <w:r>
        <w:rPr>
          <w:rFonts w:ascii="Arial" w:cs="Arial" w:eastAsia="Arial" w:hAnsi="Arial"/>
          <w:sz w:val="16"/>
          <w:szCs w:val="16"/>
          <w:color w:val="auto"/>
        </w:rPr>
        <w:t>amounts equal to Rent which would have been payable by Tenant had this Lease not been so terminated, payable upon the due dates therefor specified herein following such termination and until the Expiration Date, provided, however, if Landlord shall re-let the Premises during such period, that Landlord shall credit Tenant with the net rents received by Landlord from such re-letting, such net rents to be determined by first deducting from the gross rents as and when received by Landlord from such re-letting the expenses incurred or paid by Landlord, in good faith, in terminating this Lease, as well as the expenses, incurred in good faith by Landlord, of re-letting, including altering and preparing the Premises for new tenants, brokers’ commissions, and all other similar and dissimilar expenses properly chargeable against the Premises and the rental therefrom (collectively, “</w:t>
      </w:r>
      <w:r>
        <w:rPr>
          <w:rFonts w:ascii="Arial" w:cs="Arial" w:eastAsia="Arial" w:hAnsi="Arial"/>
          <w:sz w:val="16"/>
          <w:szCs w:val="16"/>
          <w:b w:val="1"/>
          <w:bCs w:val="1"/>
          <w:u w:val="single" w:color="auto"/>
          <w:color w:val="auto"/>
        </w:rPr>
        <w:t>Reletting Costs</w:t>
      </w:r>
      <w:r>
        <w:rPr>
          <w:rFonts w:ascii="Arial" w:cs="Arial" w:eastAsia="Arial" w:hAnsi="Arial"/>
          <w:sz w:val="16"/>
          <w:szCs w:val="16"/>
          <w:color w:val="auto"/>
        </w:rPr>
        <w:t>”), it being understood that any such re-letting may be for a period equal to or shorter or longer than the remaining Term; and provided, further, that (x) in no event shall Tenant be entitled to receive any excess of such net rents over the sums payable by Tenant to Landlord hereunder and (y) in no event shall Tenant be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15" w:name="page516"/>
    <w:bookmarkEnd w:id="515"/>
    <w:p>
      <w:pPr>
        <w:ind w:right="280"/>
        <w:spacing w:after="0" w:line="296" w:lineRule="auto"/>
        <w:rPr>
          <w:sz w:val="20"/>
          <w:szCs w:val="20"/>
          <w:color w:val="auto"/>
        </w:rPr>
      </w:pPr>
      <w:r>
        <w:rPr>
          <w:rFonts w:ascii="Arial" w:cs="Arial" w:eastAsia="Arial" w:hAnsi="Arial"/>
          <w:sz w:val="15"/>
          <w:szCs w:val="15"/>
          <w:color w:val="auto"/>
        </w:rPr>
        <w:t>entitled in any suit for the collection of damages pursuant to this Section 20.3(a)(ii) to a credit in respect of any net rents from a re-letting except to the extent that such net rents are actually received by Landlord prior to the commencement of such suit. If the Premises or any part thereof should be re-let in combination with other space, then proper apportionment on a square foot area basis shall be made of the rent received from such re-letting and of the expenses of re-letting.</w:t>
      </w:r>
    </w:p>
    <w:p>
      <w:pPr>
        <w:spacing w:after="0" w:line="144" w:lineRule="exact"/>
        <w:rPr>
          <w:sz w:val="20"/>
          <w:szCs w:val="20"/>
          <w:color w:val="auto"/>
        </w:rPr>
      </w:pPr>
    </w:p>
    <w:p>
      <w:pPr>
        <w:ind w:right="100" w:firstLine="1172"/>
        <w:spacing w:after="0" w:line="270" w:lineRule="auto"/>
        <w:tabs>
          <w:tab w:leader="none" w:pos="1767" w:val="left"/>
        </w:tabs>
        <w:numPr>
          <w:ilvl w:val="0"/>
          <w:numId w:val="504"/>
        </w:numPr>
        <w:rPr>
          <w:rFonts w:ascii="Arial" w:cs="Arial" w:eastAsia="Arial" w:hAnsi="Arial"/>
          <w:sz w:val="16"/>
          <w:szCs w:val="16"/>
          <w:color w:val="auto"/>
        </w:rPr>
      </w:pPr>
      <w:r>
        <w:rPr>
          <w:rFonts w:ascii="Arial" w:cs="Arial" w:eastAsia="Arial" w:hAnsi="Arial"/>
          <w:sz w:val="16"/>
          <w:szCs w:val="16"/>
          <w:color w:val="auto"/>
        </w:rPr>
        <w:t>In calculating the amount due under Section 20.3(a)(i), above, there shall be included, in addition to the Base Rent, all other considerations agreed to be paid or performed by Tenant, including without limitation Tenant’s Share of Operating Costs and Taxes, on the assumption that all such amounts and considerations would have increased at the rate of two percent (2%) per annum for the balance of the full term hereby granted.</w:t>
      </w:r>
    </w:p>
    <w:p>
      <w:pPr>
        <w:spacing w:after="0" w:line="161" w:lineRule="exact"/>
        <w:rPr>
          <w:rFonts w:ascii="Arial" w:cs="Arial" w:eastAsia="Arial" w:hAnsi="Arial"/>
          <w:sz w:val="16"/>
          <w:szCs w:val="16"/>
          <w:color w:val="auto"/>
        </w:rPr>
      </w:pPr>
    </w:p>
    <w:p>
      <w:pPr>
        <w:jc w:val="both"/>
        <w:ind w:right="460" w:firstLine="1172"/>
        <w:spacing w:after="0" w:line="360" w:lineRule="auto"/>
        <w:tabs>
          <w:tab w:leader="none" w:pos="1770" w:val="left"/>
        </w:tabs>
        <w:numPr>
          <w:ilvl w:val="0"/>
          <w:numId w:val="504"/>
        </w:numPr>
        <w:rPr>
          <w:rFonts w:ascii="Arial" w:cs="Arial" w:eastAsia="Arial" w:hAnsi="Arial"/>
          <w:sz w:val="14"/>
          <w:szCs w:val="14"/>
          <w:color w:val="auto"/>
        </w:rPr>
      </w:pPr>
      <w:r>
        <w:rPr>
          <w:rFonts w:ascii="Arial" w:cs="Arial" w:eastAsia="Arial" w:hAnsi="Arial"/>
          <w:sz w:val="14"/>
          <w:szCs w:val="14"/>
          <w:color w:val="auto"/>
        </w:rPr>
        <w:t>Suit or suits for the recovery of such damages, or any installments thereof, may be brought by Landlord from time to time at its election, and nothing contained herein shall be deemed to require Landlord to postpone suit until the date when the Term would have expired if it had not been terminated hereunder.</w:t>
      </w:r>
    </w:p>
    <w:p>
      <w:pPr>
        <w:spacing w:after="0" w:line="103" w:lineRule="exact"/>
        <w:rPr>
          <w:rFonts w:ascii="Arial" w:cs="Arial" w:eastAsia="Arial" w:hAnsi="Arial"/>
          <w:sz w:val="14"/>
          <w:szCs w:val="14"/>
          <w:color w:val="auto"/>
        </w:rPr>
      </w:pPr>
    </w:p>
    <w:p>
      <w:pPr>
        <w:ind w:firstLine="1172"/>
        <w:spacing w:after="0" w:line="285" w:lineRule="auto"/>
        <w:tabs>
          <w:tab w:leader="none" w:pos="1767" w:val="left"/>
        </w:tabs>
        <w:numPr>
          <w:ilvl w:val="0"/>
          <w:numId w:val="504"/>
        </w:numPr>
        <w:rPr>
          <w:rFonts w:ascii="Arial" w:cs="Arial" w:eastAsia="Arial" w:hAnsi="Arial"/>
          <w:sz w:val="16"/>
          <w:szCs w:val="16"/>
          <w:color w:val="auto"/>
        </w:rPr>
      </w:pPr>
      <w:r>
        <w:rPr>
          <w:rFonts w:ascii="Arial" w:cs="Arial" w:eastAsia="Arial" w:hAnsi="Arial"/>
          <w:sz w:val="16"/>
          <w:szCs w:val="16"/>
          <w:color w:val="auto"/>
        </w:rPr>
        <w:t>Nothing herein contained shall be construed as limiting or precluding the recovery by Landlord against Tenant of any sums or damages to which, in addition to the damages particularly provided above, Landlord may lawfully be entitled by reason of any Event of Default hereunder.</w:t>
      </w:r>
    </w:p>
    <w:p>
      <w:pPr>
        <w:spacing w:after="0" w:line="149" w:lineRule="exact"/>
        <w:rPr>
          <w:rFonts w:ascii="Arial" w:cs="Arial" w:eastAsia="Arial" w:hAnsi="Arial"/>
          <w:sz w:val="16"/>
          <w:szCs w:val="16"/>
          <w:color w:val="auto"/>
        </w:rPr>
      </w:pPr>
    </w:p>
    <w:p>
      <w:pPr>
        <w:ind w:right="40" w:firstLine="1172"/>
        <w:spacing w:after="0" w:line="281" w:lineRule="auto"/>
        <w:tabs>
          <w:tab w:leader="none" w:pos="1770" w:val="left"/>
        </w:tabs>
        <w:numPr>
          <w:ilvl w:val="0"/>
          <w:numId w:val="504"/>
        </w:numPr>
        <w:rPr>
          <w:rFonts w:ascii="Arial" w:cs="Arial" w:eastAsia="Arial" w:hAnsi="Arial"/>
          <w:sz w:val="15"/>
          <w:szCs w:val="15"/>
          <w:color w:val="auto"/>
        </w:rPr>
      </w:pPr>
      <w:r>
        <w:rPr>
          <w:rFonts w:ascii="Arial" w:cs="Arial" w:eastAsia="Arial" w:hAnsi="Arial"/>
          <w:sz w:val="15"/>
          <w:szCs w:val="15"/>
          <w:color w:val="auto"/>
        </w:rPr>
        <w:t>Landlord agrees to use reasonable efforts to relet the Premises after Tenant vacates the Premises in the event that the Lease is terminated based upon a default by Tenant hereunder. Marketing of Tenant’s Premises in a manner similar to the manner in which Landlord markets other premises within Landlord’s control in the Building shall be deemed to have satisfied Landlord’s obligation to use “reasonable efforts.” In no event shall Landlord be required to (i) solicit or entertain negotiations with any other prospective tenants for the Premises until Landlord obtains full and complete possession of the Premises including, without limitation, the final and unappealable legal right to re-let the Premises free of any claim of Tenant, (ii) relet the Premises before leasing other vacant space in the Building, or (iii) lease the Premises for a rental less than the current fair market rental then prevailing for similar office space in the Building.</w:t>
      </w:r>
    </w:p>
    <w:p>
      <w:pPr>
        <w:spacing w:after="0" w:line="154" w:lineRule="exact"/>
        <w:rPr>
          <w:sz w:val="20"/>
          <w:szCs w:val="20"/>
          <w:color w:val="auto"/>
        </w:rPr>
      </w:pPr>
    </w:p>
    <w:p>
      <w:pPr>
        <w:ind w:right="80" w:firstLine="587"/>
        <w:spacing w:after="0" w:line="261" w:lineRule="auto"/>
        <w:rPr>
          <w:sz w:val="20"/>
          <w:szCs w:val="20"/>
          <w:color w:val="auto"/>
        </w:rPr>
      </w:pPr>
      <w:r>
        <w:rPr>
          <w:rFonts w:ascii="Arial" w:cs="Arial" w:eastAsia="Arial" w:hAnsi="Arial"/>
          <w:sz w:val="16"/>
          <w:szCs w:val="16"/>
          <w:b w:val="1"/>
          <w:bCs w:val="1"/>
          <w:color w:val="auto"/>
        </w:rPr>
        <w:t>20.4 Landlord’s Self-Help; Fees and Expenses</w:t>
      </w:r>
      <w:r>
        <w:rPr>
          <w:rFonts w:ascii="Arial" w:cs="Arial" w:eastAsia="Arial" w:hAnsi="Arial"/>
          <w:sz w:val="16"/>
          <w:szCs w:val="16"/>
          <w:color w:val="auto"/>
        </w:rPr>
        <w:t>. If Tenant shall default in the performance of any covenant on Tenant’s part to be performed in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contained, including without limitation the obligation to maintain the Premises in the required condition pursuant to Section 10.1 above, Landlord may, if Tenant fails to cure such default within the applicable Self-Help Cure Period, as hereinafter defined, perform the same for the account of Tenant. Tenant shall pay to Landlord within thirty (30) days of receipt of written notice from Landlord any reasonable costs incurred by Landlord in connection therewith, together with interest at the Default Rate until paid in full. The “</w:t>
      </w:r>
      <w:r>
        <w:rPr>
          <w:rFonts w:ascii="Arial" w:cs="Arial" w:eastAsia="Arial" w:hAnsi="Arial"/>
          <w:sz w:val="16"/>
          <w:szCs w:val="16"/>
          <w:b w:val="1"/>
          <w:bCs w:val="1"/>
          <w:u w:val="single" w:color="auto"/>
          <w:color w:val="auto"/>
        </w:rPr>
        <w:t>Self-Help Cure Period</w:t>
      </w:r>
      <w:r>
        <w:rPr>
          <w:rFonts w:ascii="Arial" w:cs="Arial" w:eastAsia="Arial" w:hAnsi="Arial"/>
          <w:sz w:val="16"/>
          <w:szCs w:val="16"/>
          <w:color w:val="auto"/>
        </w:rPr>
        <w:t>” shall be defined as thirty (30) days after Landlord gives written notice to Tenant of such default, or such longer period as Tenant may reasonably require to cure such default, provided that Tenant commences to cure such default within such thirty (30) day period and thereafter diligently prosecutes the same to completion, provided however that:</w:t>
      </w:r>
    </w:p>
    <w:p>
      <w:pPr>
        <w:spacing w:after="0" w:line="168" w:lineRule="exact"/>
        <w:rPr>
          <w:sz w:val="20"/>
          <w:szCs w:val="20"/>
          <w:color w:val="auto"/>
        </w:rPr>
      </w:pPr>
    </w:p>
    <w:p>
      <w:pPr>
        <w:ind w:left="1760" w:right="460" w:hanging="588"/>
        <w:spacing w:after="0" w:line="285" w:lineRule="auto"/>
        <w:tabs>
          <w:tab w:leader="none" w:pos="1757" w:val="left"/>
        </w:tabs>
        <w:numPr>
          <w:ilvl w:val="0"/>
          <w:numId w:val="505"/>
        </w:numPr>
        <w:rPr>
          <w:rFonts w:ascii="Arial" w:cs="Arial" w:eastAsia="Arial" w:hAnsi="Arial"/>
          <w:sz w:val="16"/>
          <w:szCs w:val="16"/>
          <w:color w:val="auto"/>
        </w:rPr>
      </w:pPr>
      <w:r>
        <w:rPr>
          <w:rFonts w:ascii="Arial" w:cs="Arial" w:eastAsia="Arial" w:hAnsi="Arial"/>
          <w:sz w:val="16"/>
          <w:szCs w:val="16"/>
          <w:color w:val="auto"/>
        </w:rPr>
        <w:t>In an emergency, there shall be no Self-Help Cure Period and Landlord may exercise its rights under this Section 20.4 without prior notice to Tenant;</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sectPr>
      </w:pPr>
    </w:p>
    <w:bookmarkStart w:id="516" w:name="page517"/>
    <w:bookmarkEnd w:id="516"/>
    <w:p>
      <w:pPr>
        <w:ind w:left="1760" w:right="160" w:hanging="588"/>
        <w:spacing w:after="0" w:line="285" w:lineRule="auto"/>
        <w:tabs>
          <w:tab w:leader="none" w:pos="1766" w:val="left"/>
        </w:tabs>
        <w:numPr>
          <w:ilvl w:val="0"/>
          <w:numId w:val="506"/>
        </w:numPr>
        <w:rPr>
          <w:rFonts w:ascii="Arial" w:cs="Arial" w:eastAsia="Arial" w:hAnsi="Arial"/>
          <w:sz w:val="16"/>
          <w:szCs w:val="16"/>
          <w:color w:val="auto"/>
        </w:rPr>
      </w:pPr>
      <w:r>
        <w:rPr>
          <w:rFonts w:ascii="Arial" w:cs="Arial" w:eastAsia="Arial" w:hAnsi="Arial"/>
          <w:sz w:val="16"/>
          <w:szCs w:val="16"/>
          <w:color w:val="auto"/>
        </w:rPr>
        <w:t>If Tenant shall fail to maintain any insurance required hereunder, the Self-Help Cure Period shall be fifteen (15) business days after written notice to Tenant;</w:t>
      </w:r>
    </w:p>
    <w:p>
      <w:pPr>
        <w:spacing w:after="0" w:line="149" w:lineRule="exact"/>
        <w:rPr>
          <w:rFonts w:ascii="Arial" w:cs="Arial" w:eastAsia="Arial" w:hAnsi="Arial"/>
          <w:sz w:val="16"/>
          <w:szCs w:val="16"/>
          <w:color w:val="auto"/>
        </w:rPr>
      </w:pPr>
    </w:p>
    <w:p>
      <w:pPr>
        <w:ind w:left="1760" w:hanging="588"/>
        <w:spacing w:after="0"/>
        <w:tabs>
          <w:tab w:leader="none" w:pos="176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Section 17.5(c) sets forth the Self-Help Cure Period in connection with Tenant’s Remediation; and</w:t>
      </w:r>
    </w:p>
    <w:p>
      <w:pPr>
        <w:spacing w:after="0" w:line="207" w:lineRule="exact"/>
        <w:rPr>
          <w:rFonts w:ascii="Arial" w:cs="Arial" w:eastAsia="Arial" w:hAnsi="Arial"/>
          <w:sz w:val="16"/>
          <w:szCs w:val="16"/>
          <w:color w:val="auto"/>
        </w:rPr>
      </w:pPr>
    </w:p>
    <w:p>
      <w:pPr>
        <w:ind w:left="1760" w:right="20" w:hanging="588"/>
        <w:spacing w:after="0" w:line="285" w:lineRule="auto"/>
        <w:tabs>
          <w:tab w:leader="none" w:pos="1766" w:val="left"/>
        </w:tabs>
        <w:numPr>
          <w:ilvl w:val="0"/>
          <w:numId w:val="506"/>
        </w:numPr>
        <w:rPr>
          <w:rFonts w:ascii="Arial" w:cs="Arial" w:eastAsia="Arial" w:hAnsi="Arial"/>
          <w:sz w:val="16"/>
          <w:szCs w:val="16"/>
          <w:color w:val="auto"/>
        </w:rPr>
      </w:pPr>
      <w:r>
        <w:rPr>
          <w:rFonts w:ascii="Arial" w:cs="Arial" w:eastAsia="Arial" w:hAnsi="Arial"/>
          <w:sz w:val="16"/>
          <w:szCs w:val="16"/>
          <w:color w:val="auto"/>
        </w:rPr>
        <w:t>If Tenant fails to discharge, by bonding or otherwise mechanic’s lien, the Self-Help Cure Period shall be ten (10) business days after Landlord gives Tenant written notice of the filing of such mechanic’s lien.</w:t>
      </w:r>
    </w:p>
    <w:p>
      <w:pPr>
        <w:spacing w:after="0" w:line="150"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In addition, Tenant shall pay all of Landlord’s reasonable out-of-pocket costs and expenses, including without limitation reasonable attorneys’ fees, incurred (i) in enforcing any obligation of Tenant under this Lease or (ii) as a result of Landlord or any of the Landlord Parties, without its fault, being made party to any litigation pending by or against any of the Tenant Parties. Landlord shall, within ten (10) days of request from Tenant, deliver to Tenant reasonable evidence (e.g., invoices) of any such costs and expenses which are reimbursable by Tenant to Landlord</w:t>
      </w:r>
    </w:p>
    <w:p>
      <w:pPr>
        <w:spacing w:after="0" w:line="162" w:lineRule="exact"/>
        <w:rPr>
          <w:sz w:val="20"/>
          <w:szCs w:val="20"/>
          <w:color w:val="auto"/>
        </w:rPr>
      </w:pPr>
    </w:p>
    <w:p>
      <w:pPr>
        <w:ind w:right="80" w:firstLine="587"/>
        <w:spacing w:after="0" w:line="290" w:lineRule="auto"/>
        <w:rPr>
          <w:sz w:val="20"/>
          <w:szCs w:val="20"/>
          <w:color w:val="auto"/>
        </w:rPr>
      </w:pPr>
      <w:r>
        <w:rPr>
          <w:rFonts w:ascii="Arial" w:cs="Arial" w:eastAsia="Arial" w:hAnsi="Arial"/>
          <w:sz w:val="15"/>
          <w:szCs w:val="15"/>
          <w:b w:val="1"/>
          <w:bCs w:val="1"/>
          <w:color w:val="auto"/>
        </w:rPr>
        <w:t>20.5 Waiver of Redemption, Statutory Notice and Grace Periods</w:t>
      </w:r>
      <w:r>
        <w:rPr>
          <w:rFonts w:ascii="Arial" w:cs="Arial" w:eastAsia="Arial" w:hAnsi="Arial"/>
          <w:sz w:val="15"/>
          <w:szCs w:val="15"/>
          <w:color w:val="auto"/>
        </w:rPr>
        <w:t>. Tenant does hereby waive and surrender all rights and privileges which it might have under</w:t>
      </w:r>
      <w:r>
        <w:rPr>
          <w:rFonts w:ascii="Arial" w:cs="Arial" w:eastAsia="Arial" w:hAnsi="Arial"/>
          <w:sz w:val="15"/>
          <w:szCs w:val="15"/>
          <w:b w:val="1"/>
          <w:bCs w:val="1"/>
          <w:color w:val="auto"/>
        </w:rPr>
        <w:t xml:space="preserve"> </w:t>
      </w:r>
      <w:r>
        <w:rPr>
          <w:rFonts w:ascii="Arial" w:cs="Arial" w:eastAsia="Arial" w:hAnsi="Arial"/>
          <w:sz w:val="15"/>
          <w:szCs w:val="15"/>
          <w:color w:val="auto"/>
        </w:rPr>
        <w:t>or by reason of any present or future Legal Requirements to redeem the Premises or to have a continuance of this Lease for the Term hereby demised after being dispossessed or ejected therefrom by process of law or under the terms of this Lease or after the termination of this Lease as herein provided. Except to the extent prohibited by Legal Requirements, any statutory notice and grace periods provided to Tenant by law are hereby expressly waived by Tenant.</w:t>
      </w:r>
    </w:p>
    <w:p>
      <w:pPr>
        <w:spacing w:after="0" w:line="145" w:lineRule="exact"/>
        <w:rPr>
          <w:sz w:val="20"/>
          <w:szCs w:val="20"/>
          <w:color w:val="auto"/>
        </w:rPr>
      </w:pPr>
    </w:p>
    <w:p>
      <w:pPr>
        <w:ind w:right="120" w:firstLine="587"/>
        <w:spacing w:after="0" w:line="272" w:lineRule="auto"/>
        <w:rPr>
          <w:sz w:val="20"/>
          <w:szCs w:val="20"/>
          <w:color w:val="auto"/>
        </w:rPr>
      </w:pPr>
      <w:r>
        <w:rPr>
          <w:rFonts w:ascii="Arial" w:cs="Arial" w:eastAsia="Arial" w:hAnsi="Arial"/>
          <w:sz w:val="16"/>
          <w:szCs w:val="16"/>
          <w:b w:val="1"/>
          <w:bCs w:val="1"/>
          <w:color w:val="auto"/>
        </w:rPr>
        <w:t>20.6 Landlord’s Remedies Not Exclusive</w:t>
      </w:r>
      <w:r>
        <w:rPr>
          <w:rFonts w:ascii="Arial" w:cs="Arial" w:eastAsia="Arial" w:hAnsi="Arial"/>
          <w:sz w:val="16"/>
          <w:szCs w:val="16"/>
          <w:color w:val="auto"/>
        </w:rPr>
        <w:t>. The specified remedies to which Landlord may resort hereunder are cumulative and are not intended to be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remedies or means of redress to which Landlord may at any time be lawfully entitled, and Landlord may invoke any remedy (including the remedy of specific performance) allowed at law or in equity as if specific remedies were not herein provided for.</w:t>
      </w:r>
    </w:p>
    <w:p>
      <w:pPr>
        <w:spacing w:after="0" w:line="157" w:lineRule="exact"/>
        <w:rPr>
          <w:sz w:val="20"/>
          <w:szCs w:val="20"/>
          <w:color w:val="auto"/>
        </w:rPr>
      </w:pPr>
    </w:p>
    <w:p>
      <w:pPr>
        <w:ind w:firstLine="587"/>
        <w:spacing w:after="0" w:line="279" w:lineRule="auto"/>
        <w:rPr>
          <w:sz w:val="20"/>
          <w:szCs w:val="20"/>
          <w:color w:val="auto"/>
        </w:rPr>
      </w:pPr>
      <w:r>
        <w:rPr>
          <w:rFonts w:ascii="Arial" w:cs="Arial" w:eastAsia="Arial" w:hAnsi="Arial"/>
          <w:sz w:val="15"/>
          <w:szCs w:val="15"/>
          <w:b w:val="1"/>
          <w:bCs w:val="1"/>
          <w:color w:val="auto"/>
        </w:rPr>
        <w:t>20.7 No Waiver</w:t>
      </w:r>
      <w:r>
        <w:rPr>
          <w:rFonts w:ascii="Arial" w:cs="Arial" w:eastAsia="Arial" w:hAnsi="Arial"/>
          <w:sz w:val="15"/>
          <w:szCs w:val="15"/>
          <w:color w:val="auto"/>
        </w:rPr>
        <w:t>. Landlord’s failure to seek redress for violation, or to insist upon the strict performance, of any covenant or condition of this Lease, or any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Rules and Regulations promulgated hereunder, shall not prevent a subsequent act, which would have originally constituted a violation, from having all the force and effect of an original violation. The receipt by Landlord of Rent with knowledge of the breach of any covenant of this Lease shall not be deemed a waiver of such breach. The failure of Landlord to enforce any of such Rules and Regulations against Tenant and/or any other tenant in the Building shall not be deemed a waiver of any such Rules and Regulations. No provisions of this Lease shall be deemed to have been waived by either party unless such waiver be in writing signed by such party. No payment by Tenant or receipt by Landlord of a lesser amount than the Rent herein stipulated shall be deemed to be other than on account of the stipulated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in this Lease provided.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517" w:name="page518"/>
    <w:bookmarkEnd w:id="517"/>
    <w:p>
      <w:pPr>
        <w:ind w:left="2" w:right="500" w:firstLine="587"/>
        <w:spacing w:after="0" w:line="290" w:lineRule="auto"/>
        <w:rPr>
          <w:sz w:val="20"/>
          <w:szCs w:val="20"/>
          <w:color w:val="auto"/>
        </w:rPr>
      </w:pPr>
      <w:r>
        <w:rPr>
          <w:rFonts w:ascii="Arial" w:cs="Arial" w:eastAsia="Arial" w:hAnsi="Arial"/>
          <w:sz w:val="16"/>
          <w:szCs w:val="16"/>
          <w:b w:val="1"/>
          <w:bCs w:val="1"/>
          <w:color w:val="auto"/>
        </w:rPr>
        <w:t>20.8 Restrictions on Tenant’s Rights</w:t>
      </w:r>
      <w:r>
        <w:rPr>
          <w:rFonts w:ascii="Arial" w:cs="Arial" w:eastAsia="Arial" w:hAnsi="Arial"/>
          <w:sz w:val="16"/>
          <w:szCs w:val="16"/>
          <w:color w:val="auto"/>
        </w:rPr>
        <w:t>. During the continuation of any Event of Default, Tenant shall not have the right to make, nor to request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or approval with respect to, any Alterations or Transfers.</w:t>
      </w:r>
    </w:p>
    <w:p>
      <w:pPr>
        <w:spacing w:after="0" w:line="142" w:lineRule="exact"/>
        <w:rPr>
          <w:sz w:val="20"/>
          <w:szCs w:val="20"/>
          <w:color w:val="auto"/>
        </w:rPr>
      </w:pPr>
    </w:p>
    <w:p>
      <w:pPr>
        <w:ind w:left="2" w:firstLine="587"/>
        <w:spacing w:after="0" w:line="278" w:lineRule="auto"/>
        <w:rPr>
          <w:sz w:val="20"/>
          <w:szCs w:val="20"/>
          <w:color w:val="auto"/>
        </w:rPr>
      </w:pPr>
      <w:r>
        <w:rPr>
          <w:rFonts w:ascii="Arial" w:cs="Arial" w:eastAsia="Arial" w:hAnsi="Arial"/>
          <w:sz w:val="15"/>
          <w:szCs w:val="15"/>
          <w:b w:val="1"/>
          <w:bCs w:val="1"/>
          <w:color w:val="auto"/>
        </w:rPr>
        <w:t>20.9 Landlord Default</w:t>
      </w:r>
      <w:r>
        <w:rPr>
          <w:rFonts w:ascii="Arial" w:cs="Arial" w:eastAsia="Arial" w:hAnsi="Arial"/>
          <w:sz w:val="15"/>
          <w:szCs w:val="15"/>
          <w:color w:val="auto"/>
        </w:rPr>
        <w:t>. Notwithstanding anything to the contrary contained in the Lease, Landlord shall in no event be in default in the performance of any of</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Landlord’s obligations under this Lease unless Landlord shall have failed to perform such obligations within thirty (30) days (or such additional time as is reasonably required to correct any such default, provided Landlord commences cure within 30 days and diligently prosecutes such cure to completion) after notice by Tenant to Landlord properly specifying wherein Landlord has failed to perform any such obligation, provided, however, that the provisions of this sentence shall not affect or delay Tenant’s rights and remedies under Section 10.7 of this Lease. Except as expressly set forth in this Lease, Tenant shall not have the right to terminate or cancel this Lease or to withhold rent or to set-off or deduct any claim or damages against rent as a result of any default by Landlord or breach by Landlord of its covenants or any warranties or promises hereunder, except in the case of a wrongful eviction of Tenant from the Premises (constructive or actual) by Landlord, and then only if the same continues after notice to Landlord thereof and an opportunity for Landlord to cure the same as set forth above. In addition, Tenant shall not assert any right to deduct the cost of repairs or any monetary claim against Landlord from rent thereafter due and payable under this Lease.</w:t>
      </w:r>
    </w:p>
    <w:p>
      <w:pPr>
        <w:spacing w:after="0" w:line="158" w:lineRule="exact"/>
        <w:rPr>
          <w:sz w:val="20"/>
          <w:szCs w:val="20"/>
          <w:color w:val="auto"/>
        </w:rPr>
      </w:pPr>
    </w:p>
    <w:p>
      <w:pPr>
        <w:ind w:left="582" w:right="6640" w:hanging="582"/>
        <w:spacing w:after="0" w:line="512" w:lineRule="auto"/>
        <w:tabs>
          <w:tab w:leader="none" w:pos="578" w:val="left"/>
        </w:tabs>
        <w:numPr>
          <w:ilvl w:val="0"/>
          <w:numId w:val="507"/>
        </w:numPr>
        <w:rPr>
          <w:rFonts w:ascii="Arial" w:cs="Arial" w:eastAsia="Arial" w:hAnsi="Arial"/>
          <w:sz w:val="16"/>
          <w:szCs w:val="16"/>
          <w:b w:val="1"/>
          <w:bCs w:val="1"/>
          <w:color w:val="auto"/>
        </w:rPr>
      </w:pPr>
      <w:r>
        <w:rPr>
          <w:rFonts w:ascii="Arial" w:cs="Arial" w:eastAsia="Arial" w:hAnsi="Arial"/>
          <w:sz w:val="16"/>
          <w:szCs w:val="16"/>
          <w:b w:val="1"/>
          <w:bCs w:val="1"/>
          <w:color w:val="auto"/>
        </w:rPr>
        <w:t>SURRENDER; ABANDONED PROPERTY; HOLD-OVER 21.1 Surrender</w:t>
      </w:r>
    </w:p>
    <w:p>
      <w:pPr>
        <w:spacing w:after="0" w:line="1" w:lineRule="exact"/>
        <w:rPr>
          <w:rFonts w:ascii="Arial" w:cs="Arial" w:eastAsia="Arial" w:hAnsi="Arial"/>
          <w:sz w:val="16"/>
          <w:szCs w:val="16"/>
          <w:b w:val="1"/>
          <w:bCs w:val="1"/>
          <w:color w:val="auto"/>
        </w:rPr>
      </w:pPr>
    </w:p>
    <w:p>
      <w:pPr>
        <w:ind w:left="2" w:right="40" w:firstLine="1172"/>
        <w:spacing w:after="0" w:line="280" w:lineRule="auto"/>
        <w:tabs>
          <w:tab w:leader="none" w:pos="1760" w:val="left"/>
        </w:tabs>
        <w:numPr>
          <w:ilvl w:val="1"/>
          <w:numId w:val="507"/>
        </w:numPr>
        <w:rPr>
          <w:rFonts w:ascii="Arial" w:cs="Arial" w:eastAsia="Arial" w:hAnsi="Arial"/>
          <w:sz w:val="15"/>
          <w:szCs w:val="15"/>
          <w:color w:val="auto"/>
        </w:rPr>
      </w:pPr>
      <w:r>
        <w:rPr>
          <w:rFonts w:ascii="Arial" w:cs="Arial" w:eastAsia="Arial" w:hAnsi="Arial"/>
          <w:sz w:val="15"/>
          <w:szCs w:val="15"/>
          <w:color w:val="auto"/>
        </w:rPr>
        <w:t>Upon the expiration or earlier termination of the Term, Tenant shall (i) peaceably quit and surrender to Landlord the Premises (including without limitation all fixed lab benches, fume hoods, electric, plumbing, heating and sprinkling systems, fixtures and outlets, vaults, paneling, molding, shelving, radiator enclosures, cork, rubber, linoleum and composition floors, ventilating, silencing, air conditioning and cooling equipment therein and all other furniture, fixtures, and equipment that were either provided by Landlord or paid for in whole or in part by any allowance provided to Tenant by Landlord under this Lease) broom clean, in good order, repair and condition excepting only ordinary wear and tear and damage by fire or other insured Casualty; (ii) remove all of Tenant’s Property, all autoclaves and cage washers and, to the extent specified by Landlord, Alterations made by Tenant; and (iii) repair any damages to the Premises or the Building caused by the installation or removal of Tenant’s Property and/or such Alterations. Tenant’s obligations under this Section 21.1(a) shall survive the expiration or earlier termination of this Lease.</w:t>
      </w:r>
    </w:p>
    <w:p>
      <w:pPr>
        <w:spacing w:after="0" w:line="156" w:lineRule="exact"/>
        <w:rPr>
          <w:rFonts w:ascii="Arial" w:cs="Arial" w:eastAsia="Arial" w:hAnsi="Arial"/>
          <w:sz w:val="15"/>
          <w:szCs w:val="15"/>
          <w:color w:val="auto"/>
        </w:rPr>
      </w:pPr>
    </w:p>
    <w:p>
      <w:pPr>
        <w:ind w:left="2" w:right="120" w:firstLine="1172"/>
        <w:spacing w:after="0" w:line="308" w:lineRule="auto"/>
        <w:tabs>
          <w:tab w:leader="none" w:pos="1769" w:val="left"/>
        </w:tabs>
        <w:numPr>
          <w:ilvl w:val="1"/>
          <w:numId w:val="507"/>
        </w:numPr>
        <w:rPr>
          <w:rFonts w:ascii="Arial" w:cs="Arial" w:eastAsia="Arial" w:hAnsi="Arial"/>
          <w:sz w:val="14"/>
          <w:szCs w:val="14"/>
          <w:color w:val="auto"/>
        </w:rPr>
      </w:pPr>
      <w:r>
        <w:rPr>
          <w:rFonts w:ascii="Arial" w:cs="Arial" w:eastAsia="Arial" w:hAnsi="Arial"/>
          <w:sz w:val="14"/>
          <w:szCs w:val="14"/>
          <w:color w:val="auto"/>
        </w:rPr>
        <w:t>Prior to the expiration of this Lease (or within thirty (30) days after any earlier termination), Tenant shall clean and otherwise decommission all interior surfaces (including floors, walls, ceilings, and counters), piping, supply lines, waste lines, acid neutralization systems and plumbing in and/or exclusively serving the Premises, and all exhaust or other ductwork in and/or exclusively serving the Premises, in each case which has carried or released or been contacted by any Hazardous Materials or other chemical or biological materials used in the operation of the Premises, and shall otherwise clean the Premises so as to permit the Surrender Plan (defined below) to be issued. At least thirty (30) days prior to the expiration of the Term (or, if applicable, within ten (10) business days after any earlier termination of this Lease),</w:t>
      </w:r>
    </w:p>
    <w:p>
      <w:pPr>
        <w:spacing w:after="0" w:line="14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19" w:right="259" w:bottom="1440" w:gutter="0" w:footer="0" w:header="0"/>
        </w:sectPr>
      </w:pPr>
    </w:p>
    <w:bookmarkStart w:id="518" w:name="page519"/>
    <w:bookmarkEnd w:id="518"/>
    <w:p>
      <w:pPr>
        <w:spacing w:after="0" w:line="274" w:lineRule="auto"/>
        <w:rPr>
          <w:sz w:val="20"/>
          <w:szCs w:val="20"/>
          <w:color w:val="auto"/>
        </w:rPr>
      </w:pPr>
      <w:r>
        <w:rPr>
          <w:rFonts w:ascii="Arial" w:cs="Arial" w:eastAsia="Arial" w:hAnsi="Arial"/>
          <w:sz w:val="15"/>
          <w:szCs w:val="15"/>
          <w:color w:val="auto"/>
        </w:rPr>
        <w:t>Tenant shall deliver to Landlord a reasonably detailed narrative description of the actions proposed (or required by any Legal Requirements) to be taken by Tenant in order to render the Premises (including any Alterations permitted or required by Landlord to remain therein) free of Hazardous Materials that would prevent satisfaction of the HM Delivery Standard, as defined in Section 3.1(a) or that would require special handling in connection with demolition of the Premises including without limitation, and if applicable, causing the Premises to be decommissioned in accordance with the regulations of the U.S. Nuclear Regulatory Commission and/or the Massachusetts Department of Public health (the “</w:t>
      </w:r>
      <w:r>
        <w:rPr>
          <w:rFonts w:ascii="Arial" w:cs="Arial" w:eastAsia="Arial" w:hAnsi="Arial"/>
          <w:sz w:val="15"/>
          <w:szCs w:val="15"/>
          <w:b w:val="1"/>
          <w:bCs w:val="1"/>
          <w:u w:val="single" w:color="auto"/>
          <w:color w:val="auto"/>
        </w:rPr>
        <w:t>MDPH</w:t>
      </w:r>
      <w:r>
        <w:rPr>
          <w:rFonts w:ascii="Arial" w:cs="Arial" w:eastAsia="Arial" w:hAnsi="Arial"/>
          <w:sz w:val="15"/>
          <w:szCs w:val="15"/>
          <w:color w:val="auto"/>
        </w:rPr>
        <w:t>”) for the control of radiation, and cause the Premises to be released for unrestricted use by the Radiation Control Program of the MDPH (the “</w:t>
      </w:r>
      <w:r>
        <w:rPr>
          <w:rFonts w:ascii="Arial" w:cs="Arial" w:eastAsia="Arial" w:hAnsi="Arial"/>
          <w:sz w:val="15"/>
          <w:szCs w:val="15"/>
          <w:b w:val="1"/>
          <w:bCs w:val="1"/>
          <w:u w:val="single" w:color="auto"/>
          <w:color w:val="auto"/>
        </w:rPr>
        <w:t>Surrender Plan</w:t>
      </w:r>
      <w:r>
        <w:rPr>
          <w:rFonts w:ascii="Arial" w:cs="Arial" w:eastAsia="Arial" w:hAnsi="Arial"/>
          <w:sz w:val="15"/>
          <w:szCs w:val="15"/>
          <w:color w:val="auto"/>
        </w:rPr>
        <w:t>”). The Surrender Plan (i) shall be accompanied by a current list of (A) all Required Permits held by or on behalf of any Tenant Party with respect to Hazardous Materials in, on, under, at or about the Premises, and (B) Tenant’s Hazardous Materials, and (ii) shall be subject to the review and approval of Landlord’s environmental consultant, such approval not to be unreasonably withheld, conditioned or delayed. In connection with review and approval of the Surrender Plan, upon request of Landlord, Tenant shall deliver to Landlord or its consultant such additional nonproprietary information concerning the use of and operations within the Premises as Landlord shall reasonably request. On or before the expiration of the Term (or within thirty (30) days after any earlier termination of this Lease, during which period Tenant’s use and occupancy of the Premises shall be governed by Section 21.3 below), Tenant shall (i) perform or cause to be performed all actions described in the approved Surrender Plan, and (ii) deliver to Landlord a certification from a third party certified industrial hygienist reasonably acceptable to Landlord certifying that the Premises do not contain any Hazardous Materials that would prevent satisfaction of the HM Delivery Standard, as defined in Section 3.1(a) or that would require special handling in connection with demolition of the Premises and evidence that the approved Surrender Plan shall have been satisfactorily completed by a contractor reasonably acceptable to Landlord, and Landlord shall have the right, upon three (3) business days’ advance written notice to Tenant, subject to reimbursement of reasonable costs, at Tenant’s expense as set forth below, to cause Landlord’s environmental consultant to inspect the Premises and perform such additional procedures as are reasonably necessary to confirm that the Premises are, as of the expiration of the Term (or, if applicable, the date which is thirty (30) days after any earlier termination of this Lease), free of Hazardous Materials that would prevent satisfaction of the HM Delivery Standard, as defined in Section 3.1(a) or that would require special handling in connection with demolition of the Premises as aforesaid. Landlord shall have the unrestricted right to deliver the Surrender Plan and any report by Landlord’s environmental consultant with respect to the surrender of the Premises to third parties. Such third parties and the Landlord Parties shall be entitled to rely on the Surrender Report. If Tenant shall fail to prepare or submit a Surrender Plan approved by Landlord in the exercise of its reasonable discretion, or if Tenant shall fail to complete the approved Surrender Plan, or if such Surrender Plan, whether or not approved by Landlord, shall fail to adequately address the use of Hazardous Materials by any of the Tenant Parties in, on, at, under or about the Premises, (A) Landlord shall have the right to take any such actions as are reasonable or appropriate to assure that the Premises and the Property are surrendered in the condition required hereunder, the reasonable cost of which actions shall be reimbursed by Tenant as Additional Rent upon demand; and (B) if the Term shall have ended, unless and until Landlord elects to take such actions to assure that the Premises are surrendered in the condition required hereunder, Tenant shall be deemed to be a holdover tenant subject to the provisions of Section 21.3 below until the date on which Tenant delivers the Surrender Report (in the form required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19" w:name="page520"/>
    <w:bookmarkEnd w:id="519"/>
    <w:p>
      <w:pPr>
        <w:ind w:right="100"/>
        <w:spacing w:after="0" w:line="265" w:lineRule="auto"/>
        <w:rPr>
          <w:sz w:val="20"/>
          <w:szCs w:val="20"/>
          <w:color w:val="auto"/>
        </w:rPr>
      </w:pPr>
      <w:r>
        <w:rPr>
          <w:rFonts w:ascii="Arial" w:cs="Arial" w:eastAsia="Arial" w:hAnsi="Arial"/>
          <w:sz w:val="16"/>
          <w:szCs w:val="16"/>
          <w:color w:val="auto"/>
        </w:rPr>
        <w:t>hereunder) to Landlord. Tenant’s obligations under this Section 21.1(b) shall survive the expiration or earlier termination of the Term. Nothing in this Section 21 shall require Tenant to investigate, remove or otherwise address (i) Disclosed Materials; or (ii) any Hazardous Materials or Contamination in, at, on or under the Premises, the Building or the Property first present as of the Execution Date; or (iii) any Landlord Breach HM/C; or (iv) any Hazardous Materials that have migrated to the Property from an off-site source, unless such migration of Hazardous Materials was caused by a Tenant Party.</w:t>
      </w:r>
    </w:p>
    <w:p>
      <w:pPr>
        <w:spacing w:after="0" w:line="166" w:lineRule="exact"/>
        <w:rPr>
          <w:sz w:val="20"/>
          <w:szCs w:val="20"/>
          <w:color w:val="auto"/>
        </w:rPr>
      </w:pPr>
    </w:p>
    <w:p>
      <w:pPr>
        <w:jc w:val="both"/>
        <w:ind w:right="140" w:firstLine="1172"/>
        <w:spacing w:after="0" w:line="265" w:lineRule="auto"/>
        <w:tabs>
          <w:tab w:leader="none" w:pos="1770" w:val="left"/>
        </w:tabs>
        <w:numPr>
          <w:ilvl w:val="0"/>
          <w:numId w:val="508"/>
        </w:numPr>
        <w:rPr>
          <w:rFonts w:ascii="Arial" w:cs="Arial" w:eastAsia="Arial" w:hAnsi="Arial"/>
          <w:sz w:val="16"/>
          <w:szCs w:val="16"/>
          <w:color w:val="auto"/>
        </w:rPr>
      </w:pPr>
      <w:r>
        <w:rPr>
          <w:rFonts w:ascii="Arial" w:cs="Arial" w:eastAsia="Arial" w:hAnsi="Arial"/>
          <w:sz w:val="16"/>
          <w:szCs w:val="16"/>
          <w:color w:val="auto"/>
        </w:rPr>
        <w:t>No act or thing done by Landlord during the Term shall be deemed an acceptance of a surrender of the Premises, and no agreement to accept such surrender shall be valid, unless in writing signed by Landlord. Unless otherwise agreed by the parties in writing, no employee of Landlord or of Landlord’s agents shall have any power to accept the keys of the Premises prior to the expiration or earlier termination of this Lease. The delivery of keys to any employee of Landlord or of Landlord’s agents shall not operate as a termination of this Lease or a surrender of the Premises.</w:t>
      </w:r>
    </w:p>
    <w:p>
      <w:pPr>
        <w:spacing w:after="0" w:line="165" w:lineRule="exact"/>
        <w:rPr>
          <w:rFonts w:ascii="Arial" w:cs="Arial" w:eastAsia="Arial" w:hAnsi="Arial"/>
          <w:sz w:val="16"/>
          <w:szCs w:val="16"/>
          <w:color w:val="auto"/>
        </w:rPr>
      </w:pPr>
    </w:p>
    <w:p>
      <w:pPr>
        <w:ind w:firstLine="1172"/>
        <w:spacing w:after="0" w:line="360" w:lineRule="auto"/>
        <w:tabs>
          <w:tab w:leader="none" w:pos="1767" w:val="left"/>
        </w:tabs>
        <w:numPr>
          <w:ilvl w:val="0"/>
          <w:numId w:val="508"/>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herein, Tenant shall, at its sole cost and expense, remove from the Premises, prior to the end of the Term, any item installed by or for Tenant and which, pursuant to Legal Requirements, must be removed therefrom before the Premises may be used by a subsequent tenant.</w:t>
      </w:r>
    </w:p>
    <w:p>
      <w:pPr>
        <w:spacing w:after="0" w:line="100" w:lineRule="exact"/>
        <w:rPr>
          <w:sz w:val="20"/>
          <w:szCs w:val="20"/>
          <w:color w:val="auto"/>
        </w:rPr>
      </w:pPr>
    </w:p>
    <w:p>
      <w:pPr>
        <w:ind w:right="40" w:firstLine="587"/>
        <w:spacing w:after="0" w:line="261" w:lineRule="auto"/>
        <w:rPr>
          <w:sz w:val="20"/>
          <w:szCs w:val="20"/>
          <w:color w:val="auto"/>
        </w:rPr>
      </w:pPr>
      <w:r>
        <w:rPr>
          <w:rFonts w:ascii="Arial" w:cs="Arial" w:eastAsia="Arial" w:hAnsi="Arial"/>
          <w:sz w:val="16"/>
          <w:szCs w:val="16"/>
          <w:b w:val="1"/>
          <w:bCs w:val="1"/>
          <w:color w:val="auto"/>
        </w:rPr>
        <w:t>21.2 Abandoned Property</w:t>
      </w:r>
      <w:r>
        <w:rPr>
          <w:rFonts w:ascii="Arial" w:cs="Arial" w:eastAsia="Arial" w:hAnsi="Arial"/>
          <w:sz w:val="16"/>
          <w:szCs w:val="16"/>
          <w:color w:val="auto"/>
        </w:rPr>
        <w:t>. After the expiration or earlier termination hereof, if Tenant fails to remove any property from the Building or the Premises which</w:t>
      </w:r>
      <w:r>
        <w:rPr>
          <w:rFonts w:ascii="Arial" w:cs="Arial" w:eastAsia="Arial" w:hAnsi="Arial"/>
          <w:sz w:val="16"/>
          <w:szCs w:val="16"/>
          <w:b w:val="1"/>
          <w:bCs w:val="1"/>
          <w:color w:val="auto"/>
        </w:rPr>
        <w:t xml:space="preserve"> </w:t>
      </w:r>
      <w:r>
        <w:rPr>
          <w:rFonts w:ascii="Arial" w:cs="Arial" w:eastAsia="Arial" w:hAnsi="Arial"/>
          <w:sz w:val="16"/>
          <w:szCs w:val="16"/>
          <w:color w:val="auto"/>
        </w:rPr>
        <w:t>Tenant is obligated by the terms of this Lease to remove within five (5) business days after written notice from Landlord, such property (the “</w:t>
      </w:r>
      <w:r>
        <w:rPr>
          <w:rFonts w:ascii="Arial" w:cs="Arial" w:eastAsia="Arial" w:hAnsi="Arial"/>
          <w:sz w:val="16"/>
          <w:szCs w:val="16"/>
          <w:b w:val="1"/>
          <w:bCs w:val="1"/>
          <w:u w:val="single" w:color="auto"/>
          <w:color w:val="auto"/>
        </w:rPr>
        <w:t>Abandoned Property</w:t>
      </w:r>
      <w:r>
        <w:rPr>
          <w:rFonts w:ascii="Arial" w:cs="Arial" w:eastAsia="Arial" w:hAnsi="Arial"/>
          <w:sz w:val="16"/>
          <w:szCs w:val="16"/>
          <w:color w:val="auto"/>
        </w:rPr>
        <w:t>”) shall be conclusively deemed to have been abandoned, and may either be retained by Landlord as its property or sold or otherwise disposed of in such manner as Landlord may see fit. If any item of Abandoned Property shall be sold, Tenant hereby agrees that Landlord may receive and retain the proceeds of such sale and apply the same, at its option, to the reasonable expenses of the sale, the reasonable cost of moving and storage, any damages to which Landlord may be entitled under Section 20 hereof or pursuant to law, and to any arrears of Rent. Landlord shall, within ten (10) days of written request from Tenant, deliver to Tenant reasonable evidence (e.g., invoices) of any such costs and expenses which are reimbursable by Tenant to Landlord.</w:t>
      </w:r>
    </w:p>
    <w:p>
      <w:pPr>
        <w:spacing w:after="0" w:line="164" w:lineRule="exact"/>
        <w:rPr>
          <w:sz w:val="20"/>
          <w:szCs w:val="20"/>
          <w:color w:val="auto"/>
        </w:rPr>
      </w:pPr>
    </w:p>
    <w:p>
      <w:pPr>
        <w:ind w:right="20" w:firstLine="587"/>
        <w:spacing w:after="0" w:line="260" w:lineRule="auto"/>
        <w:rPr>
          <w:sz w:val="20"/>
          <w:szCs w:val="20"/>
          <w:color w:val="auto"/>
        </w:rPr>
      </w:pPr>
      <w:r>
        <w:rPr>
          <w:rFonts w:ascii="Arial" w:cs="Arial" w:eastAsia="Arial" w:hAnsi="Arial"/>
          <w:sz w:val="16"/>
          <w:szCs w:val="16"/>
          <w:b w:val="1"/>
          <w:bCs w:val="1"/>
          <w:color w:val="auto"/>
        </w:rPr>
        <w:t>21.3 Holdover</w:t>
      </w:r>
      <w:r>
        <w:rPr>
          <w:rFonts w:ascii="Arial" w:cs="Arial" w:eastAsia="Arial" w:hAnsi="Arial"/>
          <w:sz w:val="16"/>
          <w:szCs w:val="16"/>
          <w:color w:val="auto"/>
        </w:rPr>
        <w:t>. If any of the Tenant Parties holds over (which term shall include, without limitation, the failure of Tenant or any Tenant Party to perform all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Section 21.1 above) after the end of the Term, Tenant shall be deemed a tenant-at-sufferance subject to the provisions of this Lease; provided that whether or not Landlord has previously accepted payments of Rent from Tenant, (i) Tenant shall pay Base Rent at the Hold Over Percentage, as hereinafter defined, of the highest rate of Base Rent payable during the Term, (ii) Tenant shall continue to pay to Landlord all additional rent, and (iii) if such holdover continues for a period of more than thirty (30) days, Tenant shall be liable for all damages, including without limitation lost business and consequential damages, incurred by Landlord as a result of such holding over, Tenant hereby acknowledging that Landlord may need the Premises after the end of the Term for other tenants and that the damages which Landlord may suffer as the result of Tenant’s holding over cannot be determined as of the Execution Date. The “</w:t>
      </w:r>
      <w:r>
        <w:rPr>
          <w:rFonts w:ascii="Arial" w:cs="Arial" w:eastAsia="Arial" w:hAnsi="Arial"/>
          <w:sz w:val="16"/>
          <w:szCs w:val="16"/>
          <w:b w:val="1"/>
          <w:bCs w:val="1"/>
          <w:color w:val="auto"/>
        </w:rPr>
        <w:t>Hold Over Percentage</w:t>
      </w:r>
      <w:r>
        <w:rPr>
          <w:rFonts w:ascii="Arial" w:cs="Arial" w:eastAsia="Arial" w:hAnsi="Arial"/>
          <w:sz w:val="16"/>
          <w:szCs w:val="16"/>
          <w:color w:val="auto"/>
        </w:rPr>
        <w:t>” shall be 150% with respect to the first 30 days of hold over, and 200% with respect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20" w:name="page521"/>
    <w:bookmarkEnd w:id="520"/>
    <w:p>
      <w:pPr>
        <w:ind w:left="2"/>
        <w:spacing w:after="0"/>
        <w:rPr>
          <w:sz w:val="20"/>
          <w:szCs w:val="20"/>
          <w:color w:val="auto"/>
        </w:rPr>
      </w:pPr>
      <w:r>
        <w:rPr>
          <w:rFonts w:ascii="Arial" w:cs="Arial" w:eastAsia="Arial" w:hAnsi="Arial"/>
          <w:sz w:val="15"/>
          <w:szCs w:val="15"/>
          <w:color w:val="auto"/>
        </w:rPr>
        <w:t>to any period of hold over after the first 30 days. Nothing contained herein shall grant Tenant the right to holdover after the expiration or earlier termination of the Term.</w:t>
      </w:r>
    </w:p>
    <w:p>
      <w:pPr>
        <w:spacing w:after="0" w:line="215" w:lineRule="exact"/>
        <w:rPr>
          <w:sz w:val="20"/>
          <w:szCs w:val="20"/>
          <w:color w:val="auto"/>
        </w:rPr>
      </w:pPr>
    </w:p>
    <w:p>
      <w:pPr>
        <w:jc w:val="both"/>
        <w:ind w:left="2" w:right="180" w:firstLine="587"/>
        <w:spacing w:after="0" w:line="272" w:lineRule="auto"/>
        <w:rPr>
          <w:sz w:val="20"/>
          <w:szCs w:val="20"/>
          <w:color w:val="auto"/>
        </w:rPr>
      </w:pPr>
      <w:r>
        <w:rPr>
          <w:rFonts w:ascii="Arial" w:cs="Arial" w:eastAsia="Arial" w:hAnsi="Arial"/>
          <w:sz w:val="16"/>
          <w:szCs w:val="16"/>
          <w:b w:val="1"/>
          <w:bCs w:val="1"/>
          <w:color w:val="auto"/>
        </w:rPr>
        <w:t>21.4 Warranties</w:t>
      </w:r>
      <w:r>
        <w:rPr>
          <w:rFonts w:ascii="Arial" w:cs="Arial" w:eastAsia="Arial" w:hAnsi="Arial"/>
          <w:sz w:val="16"/>
          <w:szCs w:val="16"/>
          <w:color w:val="auto"/>
        </w:rPr>
        <w:t>. Tenant hereby assigns to Landlord any warranties in effect on the last day of the Term with respect to any fixtures and Alterations installed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Tenant shall provide Landlord with copies of any such warranties prior to the expiration of the Term (or, if the Lease is earlier terminated, within five (5) days thereafter).</w:t>
      </w:r>
    </w:p>
    <w:p>
      <w:pPr>
        <w:spacing w:after="0" w:line="157" w:lineRule="exact"/>
        <w:rPr>
          <w:sz w:val="20"/>
          <w:szCs w:val="20"/>
          <w:color w:val="auto"/>
        </w:rPr>
      </w:pPr>
    </w:p>
    <w:p>
      <w:pPr>
        <w:ind w:left="582" w:hanging="582"/>
        <w:spacing w:after="0"/>
        <w:tabs>
          <w:tab w:leader="none" w:pos="582" w:val="left"/>
        </w:tabs>
        <w:numPr>
          <w:ilvl w:val="0"/>
          <w:numId w:val="509"/>
        </w:numPr>
        <w:rPr>
          <w:rFonts w:ascii="Arial" w:cs="Arial" w:eastAsia="Arial" w:hAnsi="Arial"/>
          <w:sz w:val="16"/>
          <w:szCs w:val="16"/>
          <w:b w:val="1"/>
          <w:bCs w:val="1"/>
          <w:color w:val="auto"/>
        </w:rPr>
      </w:pPr>
      <w:r>
        <w:rPr>
          <w:rFonts w:ascii="Arial" w:cs="Arial" w:eastAsia="Arial" w:hAnsi="Arial"/>
          <w:sz w:val="16"/>
          <w:szCs w:val="16"/>
          <w:b w:val="1"/>
          <w:bCs w:val="1"/>
          <w:color w:val="auto"/>
        </w:rPr>
        <w:t>MORTGAGEE RIGHTS</w:t>
      </w:r>
    </w:p>
    <w:p>
      <w:pPr>
        <w:spacing w:after="0" w:line="207" w:lineRule="exact"/>
        <w:rPr>
          <w:sz w:val="20"/>
          <w:szCs w:val="20"/>
          <w:color w:val="auto"/>
        </w:rPr>
      </w:pPr>
    </w:p>
    <w:p>
      <w:pPr>
        <w:ind w:left="2" w:right="40" w:firstLine="587"/>
        <w:spacing w:after="0" w:line="259" w:lineRule="auto"/>
        <w:rPr>
          <w:sz w:val="20"/>
          <w:szCs w:val="20"/>
          <w:color w:val="auto"/>
        </w:rPr>
      </w:pPr>
      <w:r>
        <w:rPr>
          <w:rFonts w:ascii="Arial" w:cs="Arial" w:eastAsia="Arial" w:hAnsi="Arial"/>
          <w:sz w:val="16"/>
          <w:szCs w:val="16"/>
          <w:b w:val="1"/>
          <w:bCs w:val="1"/>
          <w:color w:val="auto"/>
        </w:rPr>
        <w:t>22.1 Subordination</w:t>
      </w:r>
      <w:r>
        <w:rPr>
          <w:rFonts w:ascii="Arial" w:cs="Arial" w:eastAsia="Arial" w:hAnsi="Arial"/>
          <w:sz w:val="16"/>
          <w:szCs w:val="16"/>
          <w:color w:val="auto"/>
        </w:rPr>
        <w:t>. Tenant’s rights and interests under this Lease shall be (i) subject and subordinate to any ground lease, overleases, mortgage, deed of trust, or</w:t>
      </w:r>
      <w:r>
        <w:rPr>
          <w:rFonts w:ascii="Arial" w:cs="Arial" w:eastAsia="Arial" w:hAnsi="Arial"/>
          <w:sz w:val="16"/>
          <w:szCs w:val="16"/>
          <w:b w:val="1"/>
          <w:bCs w:val="1"/>
          <w:color w:val="auto"/>
        </w:rPr>
        <w:t xml:space="preserve"> </w:t>
      </w:r>
      <w:r>
        <w:rPr>
          <w:rFonts w:ascii="Arial" w:cs="Arial" w:eastAsia="Arial" w:hAnsi="Arial"/>
          <w:sz w:val="16"/>
          <w:szCs w:val="16"/>
          <w:color w:val="auto"/>
        </w:rPr>
        <w:t>similar instrument covering the Premises, the Building and/or the Land and to all advances, modifications, renewals, replacements, and extensions thereof (each of the foregoing, a “</w:t>
      </w:r>
      <w:r>
        <w:rPr>
          <w:rFonts w:ascii="Arial" w:cs="Arial" w:eastAsia="Arial" w:hAnsi="Arial"/>
          <w:sz w:val="16"/>
          <w:szCs w:val="16"/>
          <w:b w:val="1"/>
          <w:bCs w:val="1"/>
          <w:u w:val="single" w:color="auto"/>
          <w:color w:val="auto"/>
        </w:rPr>
        <w:t>Mortgage</w:t>
      </w:r>
      <w:r>
        <w:rPr>
          <w:rFonts w:ascii="Arial" w:cs="Arial" w:eastAsia="Arial" w:hAnsi="Arial"/>
          <w:sz w:val="16"/>
          <w:szCs w:val="16"/>
          <w:color w:val="auto"/>
        </w:rPr>
        <w:t>”), or (ii) if any Mortgagee elects, prior to the lien of any present or future Mortgage. Tenant further shall attorn to and recognize any successor landlord, whether through foreclosure or otherwise, as if the successor landlord were the originally named landlord. The provisions of this Section 22.1 shall be self-operative and no further instrument shall be required to effect such subordination or attornment; however, Tenant agrees to execute, acknowledge and deliver such instruments, confirming such subordination and attornment in such form as shall be requested by any such holder within fifteen (15) days of request therefor. Landlord shall obtain an SNDA (as defined below) from the holder of the existing Mortgage affecting the Property, if any. Notwithstanding the foregoing, it shall be a condition to Tenant’s obligation to subordinate this Lease to any existing or future Mortgage that Landlord obtains a subordination, non-disturbance and attornment agreement from the holder of such Mortgage (or ground lessor, as the case may be) in the standard form used by such Mortgagee (or ground lessor, as the case may be), with such commercially reasonable changes as Tenant may request (“</w:t>
      </w:r>
      <w:r>
        <w:rPr>
          <w:rFonts w:ascii="Arial" w:cs="Arial" w:eastAsia="Arial" w:hAnsi="Arial"/>
          <w:sz w:val="16"/>
          <w:szCs w:val="16"/>
          <w:b w:val="1"/>
          <w:bCs w:val="1"/>
          <w:u w:val="single" w:color="auto"/>
          <w:color w:val="auto"/>
        </w:rPr>
        <w:t>SNDA</w:t>
      </w:r>
      <w:r>
        <w:rPr>
          <w:rFonts w:ascii="Arial" w:cs="Arial" w:eastAsia="Arial" w:hAnsi="Arial"/>
          <w:sz w:val="16"/>
          <w:szCs w:val="16"/>
          <w:color w:val="auto"/>
        </w:rPr>
        <w:t>”).</w:t>
      </w:r>
    </w:p>
    <w:p>
      <w:pPr>
        <w:spacing w:after="0" w:line="166" w:lineRule="exact"/>
        <w:rPr>
          <w:sz w:val="20"/>
          <w:szCs w:val="20"/>
          <w:color w:val="auto"/>
        </w:rPr>
      </w:pPr>
    </w:p>
    <w:p>
      <w:pPr>
        <w:ind w:left="2" w:right="60" w:firstLine="587"/>
        <w:spacing w:after="0" w:line="267" w:lineRule="auto"/>
        <w:rPr>
          <w:sz w:val="20"/>
          <w:szCs w:val="20"/>
          <w:color w:val="auto"/>
        </w:rPr>
      </w:pPr>
      <w:r>
        <w:rPr>
          <w:rFonts w:ascii="Arial" w:cs="Arial" w:eastAsia="Arial" w:hAnsi="Arial"/>
          <w:sz w:val="16"/>
          <w:szCs w:val="16"/>
          <w:b w:val="1"/>
          <w:bCs w:val="1"/>
          <w:color w:val="auto"/>
        </w:rPr>
        <w:t>22.2 Notices</w:t>
      </w:r>
      <w:r>
        <w:rPr>
          <w:rFonts w:ascii="Arial" w:cs="Arial" w:eastAsia="Arial" w:hAnsi="Arial"/>
          <w:sz w:val="16"/>
          <w:szCs w:val="16"/>
          <w:color w:val="auto"/>
        </w:rPr>
        <w:t>. Tenant shall give each Mortgagee of which the Tenant is given written notice with the same notices given to Landlord concurrently with the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to Landlord. Each such Mortgagee shall have the concurrent grace period afforded to Landlord to cure a Landlord default (except that, with respect to any default which is the basis for Tenant to terminate the Lease, each Mortgagee shall have a commercially reasonable additional period of time to cure such default, as set forth in the Mortgagee’s SNDA with Tenant), and Mortgagee’s curing of any of Landlord’s default shall be treated as performance by Landlord.</w:t>
      </w:r>
    </w:p>
    <w:p>
      <w:pPr>
        <w:spacing w:after="0" w:line="159" w:lineRule="exact"/>
        <w:rPr>
          <w:sz w:val="20"/>
          <w:szCs w:val="20"/>
          <w:color w:val="auto"/>
        </w:rPr>
      </w:pPr>
    </w:p>
    <w:p>
      <w:pPr>
        <w:ind w:left="2" w:right="40" w:firstLine="587"/>
        <w:spacing w:after="0" w:line="272" w:lineRule="auto"/>
        <w:rPr>
          <w:sz w:val="20"/>
          <w:szCs w:val="20"/>
          <w:color w:val="auto"/>
        </w:rPr>
      </w:pPr>
      <w:r>
        <w:rPr>
          <w:rFonts w:ascii="Arial" w:cs="Arial" w:eastAsia="Arial" w:hAnsi="Arial"/>
          <w:sz w:val="16"/>
          <w:szCs w:val="16"/>
          <w:b w:val="1"/>
          <w:bCs w:val="1"/>
          <w:color w:val="auto"/>
        </w:rPr>
        <w:t>22.3 Mortgagee Consent</w:t>
      </w:r>
      <w:r>
        <w:rPr>
          <w:rFonts w:ascii="Arial" w:cs="Arial" w:eastAsia="Arial" w:hAnsi="Arial"/>
          <w:sz w:val="16"/>
          <w:szCs w:val="16"/>
          <w:color w:val="auto"/>
        </w:rPr>
        <w:t>. Tenant acknowledges that, where applicable, any consent or approval hereafter given by Landlord may be subject to the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or approval of a Mortgagee; and the failure or refusal of such Mortgagee to give such consent or approval shall, notwithstanding anything to the contrary in this Lease contained, constitute reasonable justification for Landlord’s withholding its consent or approval.</w:t>
      </w:r>
    </w:p>
    <w:p>
      <w:pPr>
        <w:spacing w:after="0" w:line="157" w:lineRule="exact"/>
        <w:rPr>
          <w:sz w:val="20"/>
          <w:szCs w:val="20"/>
          <w:color w:val="auto"/>
        </w:rPr>
      </w:pPr>
    </w:p>
    <w:p>
      <w:pPr>
        <w:ind w:left="2" w:firstLine="587"/>
        <w:spacing w:after="0" w:line="272" w:lineRule="auto"/>
        <w:rPr>
          <w:sz w:val="20"/>
          <w:szCs w:val="20"/>
          <w:color w:val="auto"/>
        </w:rPr>
      </w:pPr>
      <w:r>
        <w:rPr>
          <w:rFonts w:ascii="Arial" w:cs="Arial" w:eastAsia="Arial" w:hAnsi="Arial"/>
          <w:sz w:val="16"/>
          <w:szCs w:val="16"/>
          <w:b w:val="1"/>
          <w:bCs w:val="1"/>
          <w:color w:val="auto"/>
        </w:rPr>
        <w:t>22.4 Mortgagee Liability</w:t>
      </w:r>
      <w:r>
        <w:rPr>
          <w:rFonts w:ascii="Arial" w:cs="Arial" w:eastAsia="Arial" w:hAnsi="Arial"/>
          <w:sz w:val="16"/>
          <w:szCs w:val="16"/>
          <w:color w:val="auto"/>
        </w:rPr>
        <w:t>. Tenant acknowledges and agrees that if any Mortgage shall be foreclosed, (a) the liability of the Mortgagee and its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shall exist only so long as such Mortgagee or purchaser is the owner of the Premises, and such liability shall not continue or survive after further transfer of ownership; and (b) such Mortgagee and its successors or assigns shall not be (i) liable for any act or omission of any prior lessor under this Lease; (ii)</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521" w:name="page522"/>
    <w:bookmarkEnd w:id="521"/>
    <w:p>
      <w:pPr>
        <w:ind w:left="2" w:right="120"/>
        <w:spacing w:after="0" w:line="281" w:lineRule="auto"/>
        <w:rPr>
          <w:sz w:val="20"/>
          <w:szCs w:val="20"/>
          <w:color w:val="auto"/>
        </w:rPr>
      </w:pPr>
      <w:r>
        <w:rPr>
          <w:rFonts w:ascii="Arial" w:cs="Arial" w:eastAsia="Arial" w:hAnsi="Arial"/>
          <w:sz w:val="15"/>
          <w:szCs w:val="15"/>
          <w:color w:val="auto"/>
        </w:rPr>
        <w:t>liable for the performance of Landlord’s covenants pursuant to the provisions of this Lease which arise and accrue prior to such entity succeeding to the interest of Landlord under this Lease or acquiring such right to possession; (iii) subject to any offsets or defense which Tenant may have at any time against Landlord; (iv) bound by any base rent or other sum which Tenant may have paid previously for more than one (1) month; or (v) liable for the performance of any covenant of Landlord under this Lease which is capable of performance only by the original Landlord; provided, however, that the foregoing shall not release such Mortgagee and/or its successors or assigns from any obligation to make repairs or perform maintenance which are required to be performed by the party-landlord under the Lease on the basis that the need for such maintenance or repairs were first required prior to the time that Mortgagee or its successor or assign succeeded to Landlord’s interest under the Lease.</w:t>
      </w:r>
    </w:p>
    <w:p>
      <w:pPr>
        <w:spacing w:after="0" w:line="154" w:lineRule="exact"/>
        <w:rPr>
          <w:sz w:val="20"/>
          <w:szCs w:val="20"/>
          <w:color w:val="auto"/>
        </w:rPr>
      </w:pPr>
    </w:p>
    <w:p>
      <w:pPr>
        <w:ind w:left="2" w:firstLine="587"/>
        <w:spacing w:after="0" w:line="296" w:lineRule="auto"/>
        <w:rPr>
          <w:sz w:val="20"/>
          <w:szCs w:val="20"/>
          <w:color w:val="auto"/>
        </w:rPr>
      </w:pPr>
      <w:r>
        <w:rPr>
          <w:rFonts w:ascii="Arial" w:cs="Arial" w:eastAsia="Arial" w:hAnsi="Arial"/>
          <w:sz w:val="14"/>
          <w:szCs w:val="14"/>
          <w:b w:val="1"/>
          <w:bCs w:val="1"/>
          <w:color w:val="auto"/>
        </w:rPr>
        <w:t>22.5 Landlord Subordination of Lien Rights</w:t>
      </w:r>
      <w:r>
        <w:rPr>
          <w:rFonts w:ascii="Arial" w:cs="Arial" w:eastAsia="Arial" w:hAnsi="Arial"/>
          <w:sz w:val="14"/>
          <w:szCs w:val="14"/>
          <w:color w:val="auto"/>
        </w:rPr>
        <w:t>. If Tenant desires to grant a security interest in defined personal property, trade fixtures and/or business equipment</w:t>
      </w:r>
      <w:r>
        <w:rPr>
          <w:rFonts w:ascii="Arial" w:cs="Arial" w:eastAsia="Arial" w:hAnsi="Arial"/>
          <w:sz w:val="14"/>
          <w:szCs w:val="14"/>
          <w:b w:val="1"/>
          <w:bCs w:val="1"/>
          <w:color w:val="auto"/>
        </w:rPr>
        <w:t xml:space="preserve"> </w:t>
      </w:r>
      <w:r>
        <w:rPr>
          <w:rFonts w:ascii="Arial" w:cs="Arial" w:eastAsia="Arial" w:hAnsi="Arial"/>
          <w:sz w:val="14"/>
          <w:szCs w:val="14"/>
          <w:color w:val="auto"/>
        </w:rPr>
        <w:t>of Tenant (collectively “</w:t>
      </w:r>
      <w:r>
        <w:rPr>
          <w:rFonts w:ascii="Arial" w:cs="Arial" w:eastAsia="Arial" w:hAnsi="Arial"/>
          <w:sz w:val="14"/>
          <w:szCs w:val="14"/>
          <w:b w:val="1"/>
          <w:bCs w:val="1"/>
          <w:u w:val="single" w:color="auto"/>
          <w:color w:val="auto"/>
        </w:rPr>
        <w:t>Collateral</w:t>
      </w:r>
      <w:r>
        <w:rPr>
          <w:rFonts w:ascii="Arial" w:cs="Arial" w:eastAsia="Arial" w:hAnsi="Arial"/>
          <w:sz w:val="14"/>
          <w:szCs w:val="14"/>
          <w:color w:val="auto"/>
        </w:rPr>
        <w:t>”) to a secured party, or to lease any Collateral from a lessor (any such secured party or lessor being referred to herein as “</w:t>
      </w:r>
      <w:r>
        <w:rPr>
          <w:rFonts w:ascii="Arial" w:cs="Arial" w:eastAsia="Arial" w:hAnsi="Arial"/>
          <w:sz w:val="14"/>
          <w:szCs w:val="14"/>
          <w:b w:val="1"/>
          <w:bCs w:val="1"/>
          <w:u w:val="single" w:color="auto"/>
          <w:color w:val="auto"/>
        </w:rPr>
        <w:t>Secured Party</w:t>
      </w:r>
      <w:r>
        <w:rPr>
          <w:rFonts w:ascii="Arial" w:cs="Arial" w:eastAsia="Arial" w:hAnsi="Arial"/>
          <w:sz w:val="14"/>
          <w:szCs w:val="14"/>
          <w:color w:val="auto"/>
        </w:rPr>
        <w:t>”), then Landlord shall, upon written request of Tenant, execute such commercially reasonable subordination of Landlord’s lien rights to the rights of such Secured Party, provided however, that such Secured Party acknowledges and agrees that: (i) no auction sale shall be held in the Premises, the Building or the Property, (ii) Secured Party may only enter the Premises during the Term of the Lease, (iii) Secured Party shall give Landlord at least five (5) business days prior to exercising any right to enter the Premises,</w:t>
      </w:r>
    </w:p>
    <w:p>
      <w:pPr>
        <w:spacing w:after="0" w:line="1" w:lineRule="exact"/>
        <w:rPr>
          <w:sz w:val="20"/>
          <w:szCs w:val="20"/>
          <w:color w:val="auto"/>
        </w:rPr>
      </w:pPr>
    </w:p>
    <w:p>
      <w:pPr>
        <w:jc w:val="both"/>
        <w:ind w:left="2" w:right="100" w:hanging="2"/>
        <w:spacing w:after="0" w:line="282" w:lineRule="auto"/>
        <w:tabs>
          <w:tab w:leader="none" w:pos="278" w:val="left"/>
        </w:tabs>
        <w:numPr>
          <w:ilvl w:val="0"/>
          <w:numId w:val="510"/>
        </w:numPr>
        <w:rPr>
          <w:rFonts w:ascii="Arial" w:cs="Arial" w:eastAsia="Arial" w:hAnsi="Arial"/>
          <w:sz w:val="15"/>
          <w:szCs w:val="15"/>
          <w:color w:val="auto"/>
        </w:rPr>
      </w:pPr>
      <w:r>
        <w:rPr>
          <w:rFonts w:ascii="Arial" w:cs="Arial" w:eastAsia="Arial" w:hAnsi="Arial"/>
          <w:sz w:val="15"/>
          <w:szCs w:val="15"/>
          <w:color w:val="auto"/>
        </w:rPr>
        <w:t>Secured Party shall, prior to making any such entry, deliver to Landlord reasonable evidence that it has obtained commercial general liability insurance, naming Landlord and Landlord’s managing agent as an additional insured party, with a single limit of not less than $2,000,000.00, (v) Secured Party shall indemnity, defend and hold Landlord and Landlord’s managing agent harmless from and against any losses, costs or damage arising from any entry by Secured Party, or its agents, employees, contractors or other invitees, and (vi) Secured Party shall repair any damage to the Premises or the Building caused by the installation or removal of the Collateral.</w:t>
      </w:r>
    </w:p>
    <w:p>
      <w:pPr>
        <w:spacing w:after="0" w:line="152" w:lineRule="exact"/>
        <w:rPr>
          <w:sz w:val="20"/>
          <w:szCs w:val="20"/>
          <w:color w:val="auto"/>
        </w:rPr>
      </w:pPr>
    </w:p>
    <w:p>
      <w:pPr>
        <w:ind w:left="582" w:hanging="582"/>
        <w:spacing w:after="0"/>
        <w:tabs>
          <w:tab w:leader="none" w:pos="582" w:val="left"/>
        </w:tabs>
        <w:numPr>
          <w:ilvl w:val="0"/>
          <w:numId w:val="511"/>
        </w:numPr>
        <w:rPr>
          <w:rFonts w:ascii="Arial" w:cs="Arial" w:eastAsia="Arial" w:hAnsi="Arial"/>
          <w:sz w:val="16"/>
          <w:szCs w:val="16"/>
          <w:b w:val="1"/>
          <w:bCs w:val="1"/>
          <w:color w:val="auto"/>
        </w:rPr>
      </w:pPr>
      <w:r>
        <w:rPr>
          <w:rFonts w:ascii="Arial" w:cs="Arial" w:eastAsia="Arial" w:hAnsi="Arial"/>
          <w:sz w:val="16"/>
          <w:szCs w:val="16"/>
          <w:b w:val="1"/>
          <w:bCs w:val="1"/>
          <w:color w:val="auto"/>
        </w:rPr>
        <w:t>QUIET ENJOYMENT</w:t>
      </w:r>
      <w:r>
        <w:rPr>
          <w:rFonts w:ascii="Arial" w:cs="Arial" w:eastAsia="Arial" w:hAnsi="Arial"/>
          <w:sz w:val="16"/>
          <w:szCs w:val="16"/>
          <w:color w:val="auto"/>
        </w:rPr>
        <w:t>.</w:t>
      </w:r>
    </w:p>
    <w:p>
      <w:pPr>
        <w:spacing w:after="0" w:line="211" w:lineRule="exact"/>
        <w:rPr>
          <w:sz w:val="20"/>
          <w:szCs w:val="20"/>
          <w:color w:val="auto"/>
        </w:rPr>
      </w:pPr>
    </w:p>
    <w:p>
      <w:pPr>
        <w:jc w:val="both"/>
        <w:ind w:left="2" w:right="40" w:firstLine="587"/>
        <w:spacing w:after="0" w:line="288" w:lineRule="auto"/>
        <w:rPr>
          <w:sz w:val="20"/>
          <w:szCs w:val="20"/>
          <w:color w:val="auto"/>
        </w:rPr>
      </w:pPr>
      <w:r>
        <w:rPr>
          <w:rFonts w:ascii="Arial" w:cs="Arial" w:eastAsia="Arial" w:hAnsi="Arial"/>
          <w:sz w:val="15"/>
          <w:szCs w:val="15"/>
          <w:color w:val="auto"/>
        </w:rPr>
        <w:t>Landlord covenants that so long as Tenant keeps and performs each and every covenant, agreement, term, provision and condition herein contained on the part and on behalf of Tenant to be kept and performed, Tenant shall peaceably and quietly hold, occupy and enjoy the Premises during the Term from and against the claims of all persons lawfully claiming by, through or under Landlord subject, nevertheless, to the covenants, agreements, terms, provisions and conditions of this Lease, any matters of record or of which Tenant has knowledge and to any Mortgage to which this Lease is subject and subordinate, as hereinabove set forth.</w:t>
      </w:r>
    </w:p>
    <w:p>
      <w:pPr>
        <w:spacing w:after="0" w:line="146" w:lineRule="exact"/>
        <w:rPr>
          <w:sz w:val="20"/>
          <w:szCs w:val="20"/>
          <w:color w:val="auto"/>
        </w:rPr>
      </w:pPr>
    </w:p>
    <w:p>
      <w:pPr>
        <w:ind w:left="582" w:hanging="582"/>
        <w:spacing w:after="0"/>
        <w:tabs>
          <w:tab w:leader="none" w:pos="582" w:val="left"/>
        </w:tabs>
        <w:numPr>
          <w:ilvl w:val="0"/>
          <w:numId w:val="512"/>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w:t>
      </w:r>
    </w:p>
    <w:p>
      <w:pPr>
        <w:spacing w:after="0" w:line="211" w:lineRule="exact"/>
        <w:rPr>
          <w:sz w:val="20"/>
          <w:szCs w:val="20"/>
          <w:color w:val="auto"/>
        </w:rPr>
      </w:pPr>
    </w:p>
    <w:p>
      <w:pPr>
        <w:jc w:val="both"/>
        <w:ind w:left="2" w:right="80" w:firstLine="587"/>
        <w:spacing w:after="0" w:line="360" w:lineRule="auto"/>
        <w:rPr>
          <w:sz w:val="20"/>
          <w:szCs w:val="20"/>
          <w:color w:val="auto"/>
        </w:rPr>
      </w:pPr>
      <w:r>
        <w:rPr>
          <w:rFonts w:ascii="Arial" w:cs="Arial" w:eastAsia="Arial" w:hAnsi="Arial"/>
          <w:sz w:val="14"/>
          <w:szCs w:val="14"/>
          <w:color w:val="auto"/>
        </w:rPr>
        <w:t>Any notice, consent, request, bill, demand or statement hereunder (each, a “Notice”) by either party to the other party shall be in writing and shall be deemed to have been duly given when either delivered by hand or by nationally recognized overnight courier (in either case with evidence of delivery or refusal thereof) addressed as follows:</w:t>
      </w:r>
    </w:p>
    <w:p>
      <w:pPr>
        <w:spacing w:after="0" w:line="10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42"/>
          </w:cols>
          <w:pgMar w:left="238" w:top="322" w:right="219" w:bottom="1440" w:gutter="0" w:footer="0" w:header="0"/>
        </w:sectPr>
      </w:pPr>
    </w:p>
    <w:bookmarkStart w:id="522" w:name="page523"/>
    <w:bookmarkEnd w:id="522"/>
    <w:p>
      <w:pPr>
        <w:ind w:left="882"/>
        <w:spacing w:after="0"/>
        <w:rPr>
          <w:sz w:val="20"/>
          <w:szCs w:val="20"/>
          <w:color w:val="auto"/>
        </w:rPr>
      </w:pPr>
      <w:r>
        <w:rPr>
          <w:rFonts w:ascii="Arial" w:cs="Arial" w:eastAsia="Arial" w:hAnsi="Arial"/>
          <w:sz w:val="15"/>
          <w:szCs w:val="15"/>
          <w:color w:val="auto"/>
        </w:rPr>
        <w:t>If to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King 4 Hartwell Place, LLC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 King Street Properties</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200 Cambridge Park Drive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Cambridge, MA 02140</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Attention: Stephen D. Lynch</w:t>
      </w:r>
    </w:p>
    <w:p>
      <w:pPr>
        <w:spacing w:after="0" w:line="200" w:lineRule="exact"/>
        <w:rPr>
          <w:sz w:val="20"/>
          <w:szCs w:val="20"/>
          <w:color w:val="auto"/>
        </w:rPr>
      </w:pPr>
    </w:p>
    <w:p>
      <w:pPr>
        <w:sectPr>
          <w:pgSz w:w="11900" w:h="16838" w:orient="portrait"/>
          <w:cols w:equalWidth="0" w:num="2">
            <w:col w:w="3562" w:space="720"/>
            <w:col w:w="7140"/>
          </w:cols>
          <w:pgMar w:left="238" w:top="322" w:right="239" w:bottom="1058" w:gutter="0" w:footer="0" w:header="0"/>
        </w:sectPr>
      </w:pPr>
    </w:p>
    <w:p>
      <w:pPr>
        <w:spacing w:after="0" w:line="7" w:lineRule="exact"/>
        <w:rPr>
          <w:sz w:val="20"/>
          <w:szCs w:val="20"/>
          <w:color w:val="auto"/>
        </w:rPr>
      </w:pPr>
    </w:p>
    <w:p>
      <w:pPr>
        <w:ind w:left="1462"/>
        <w:spacing w:after="0"/>
        <w:rPr>
          <w:sz w:val="20"/>
          <w:szCs w:val="20"/>
          <w:color w:val="auto"/>
        </w:rPr>
      </w:pPr>
      <w:r>
        <w:rPr>
          <w:rFonts w:ascii="Arial" w:cs="Arial" w:eastAsia="Arial" w:hAnsi="Arial"/>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Goulston &amp; Storrs PC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400 Atlantic Avenue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Boston, MA 02110</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Attention: Raymond M. Kwasnick, Esquire</w:t>
      </w:r>
    </w:p>
    <w:p>
      <w:pPr>
        <w:spacing w:after="0" w:line="200" w:lineRule="exact"/>
        <w:rPr>
          <w:sz w:val="20"/>
          <w:szCs w:val="20"/>
          <w:color w:val="auto"/>
        </w:rPr>
      </w:pPr>
    </w:p>
    <w:p>
      <w:pPr>
        <w:sectPr>
          <w:pgSz w:w="11900" w:h="16838" w:orient="portrait"/>
          <w:cols w:equalWidth="0" w:num="2">
            <w:col w:w="3562" w:space="720"/>
            <w:col w:w="7140"/>
          </w:cols>
          <w:pgMar w:left="238" w:top="322" w:right="239" w:bottom="1058" w:gutter="0" w:footer="0" w:header="0"/>
          <w:type w:val="continuous"/>
        </w:sectPr>
      </w:pPr>
    </w:p>
    <w:p>
      <w:pPr>
        <w:spacing w:after="0" w:line="7" w:lineRule="exact"/>
        <w:rPr>
          <w:sz w:val="20"/>
          <w:szCs w:val="20"/>
          <w:color w:val="auto"/>
        </w:rPr>
      </w:pPr>
    </w:p>
    <w:p>
      <w:pPr>
        <w:ind w:left="882"/>
        <w:spacing w:after="0"/>
        <w:rPr>
          <w:sz w:val="20"/>
          <w:szCs w:val="20"/>
          <w:color w:val="auto"/>
        </w:rPr>
      </w:pPr>
      <w:r>
        <w:rPr>
          <w:rFonts w:ascii="Arial" w:cs="Arial" w:eastAsia="Arial" w:hAnsi="Arial"/>
          <w:sz w:val="15"/>
          <w:szCs w:val="15"/>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Prior to the Term Commencement Date:</w:t>
      </w:r>
    </w:p>
    <w:p>
      <w:pPr>
        <w:spacing w:after="0" w:line="211" w:lineRule="exact"/>
        <w:rPr>
          <w:sz w:val="20"/>
          <w:szCs w:val="20"/>
          <w:color w:val="auto"/>
        </w:rPr>
      </w:pPr>
    </w:p>
    <w:p>
      <w:pPr>
        <w:sectPr>
          <w:pgSz w:w="11900" w:h="16838" w:orient="portrait"/>
          <w:cols w:equalWidth="0" w:num="2">
            <w:col w:w="3562" w:space="720"/>
            <w:col w:w="7140"/>
          </w:cols>
          <w:pgMar w:left="238" w:top="322" w:right="239" w:bottom="1058" w:gutter="0" w:footer="0" w:header="0"/>
          <w:type w:val="continuous"/>
        </w:sectPr>
      </w:pPr>
    </w:p>
    <w:p>
      <w:pPr>
        <w:spacing w:after="0" w:line="19" w:lineRule="exact"/>
        <w:rPr>
          <w:sz w:val="20"/>
          <w:szCs w:val="20"/>
          <w:color w:val="auto"/>
        </w:rPr>
      </w:pPr>
    </w:p>
    <w:p>
      <w:pPr>
        <w:ind w:left="4282"/>
        <w:spacing w:after="0"/>
        <w:rPr>
          <w:sz w:val="20"/>
          <w:szCs w:val="20"/>
          <w:color w:val="auto"/>
        </w:rPr>
      </w:pPr>
      <w:r>
        <w:rPr>
          <w:rFonts w:ascii="Arial" w:cs="Arial" w:eastAsia="Arial" w:hAnsi="Arial"/>
          <w:sz w:val="16"/>
          <w:szCs w:val="16"/>
          <w:color w:val="auto"/>
        </w:rPr>
        <w:t>Bicycle Therapeutics, Inc.</w:t>
      </w:r>
    </w:p>
    <w:p>
      <w:pPr>
        <w:spacing w:after="0" w:line="23" w:lineRule="exact"/>
        <w:rPr>
          <w:sz w:val="20"/>
          <w:szCs w:val="20"/>
          <w:color w:val="auto"/>
        </w:rPr>
      </w:pPr>
    </w:p>
    <w:p>
      <w:pPr>
        <w:ind w:left="4282"/>
        <w:spacing w:after="0"/>
        <w:rPr>
          <w:sz w:val="20"/>
          <w:szCs w:val="20"/>
          <w:color w:val="auto"/>
        </w:rPr>
      </w:pPr>
      <w:r>
        <w:rPr>
          <w:rFonts w:ascii="Arial" w:cs="Arial" w:eastAsia="Arial" w:hAnsi="Arial"/>
          <w:sz w:val="15"/>
          <w:szCs w:val="15"/>
          <w:color w:val="auto"/>
        </w:rPr>
        <w:t>200 Cambridge Park Drive, 2nd Floor</w:t>
      </w:r>
    </w:p>
    <w:p>
      <w:pPr>
        <w:spacing w:after="0" w:line="23" w:lineRule="exact"/>
        <w:rPr>
          <w:sz w:val="20"/>
          <w:szCs w:val="20"/>
          <w:color w:val="auto"/>
        </w:rPr>
      </w:pPr>
    </w:p>
    <w:p>
      <w:pPr>
        <w:ind w:left="4282"/>
        <w:spacing w:after="0"/>
        <w:rPr>
          <w:sz w:val="20"/>
          <w:szCs w:val="20"/>
          <w:color w:val="auto"/>
        </w:rPr>
      </w:pPr>
      <w:r>
        <w:rPr>
          <w:rFonts w:ascii="Arial" w:cs="Arial" w:eastAsia="Arial" w:hAnsi="Arial"/>
          <w:sz w:val="16"/>
          <w:szCs w:val="16"/>
          <w:color w:val="auto"/>
        </w:rPr>
        <w:t>Cambridge, MA 02140</w:t>
      </w:r>
    </w:p>
    <w:p>
      <w:pPr>
        <w:spacing w:after="0" w:line="12" w:lineRule="exact"/>
        <w:rPr>
          <w:sz w:val="20"/>
          <w:szCs w:val="20"/>
          <w:color w:val="auto"/>
        </w:rPr>
      </w:pPr>
    </w:p>
    <w:p>
      <w:pPr>
        <w:ind w:left="4282"/>
        <w:spacing w:after="0"/>
        <w:rPr>
          <w:sz w:val="20"/>
          <w:szCs w:val="20"/>
          <w:color w:val="auto"/>
        </w:rPr>
      </w:pPr>
      <w:r>
        <w:rPr>
          <w:rFonts w:ascii="Arial" w:cs="Arial" w:eastAsia="Arial" w:hAnsi="Arial"/>
          <w:sz w:val="16"/>
          <w:szCs w:val="16"/>
          <w:color w:val="auto"/>
        </w:rPr>
        <w:t>Attention: Ros Deegan</w:t>
      </w:r>
    </w:p>
    <w:p>
      <w:pPr>
        <w:spacing w:after="0" w:line="196" w:lineRule="exact"/>
        <w:rPr>
          <w:sz w:val="20"/>
          <w:szCs w:val="20"/>
          <w:color w:val="auto"/>
        </w:rPr>
      </w:pPr>
    </w:p>
    <w:p>
      <w:pPr>
        <w:ind w:left="4282"/>
        <w:spacing w:after="0"/>
        <w:rPr>
          <w:sz w:val="20"/>
          <w:szCs w:val="20"/>
          <w:color w:val="auto"/>
        </w:rPr>
      </w:pPr>
      <w:r>
        <w:rPr>
          <w:rFonts w:ascii="Arial" w:cs="Arial" w:eastAsia="Arial" w:hAnsi="Arial"/>
          <w:sz w:val="14"/>
          <w:szCs w:val="14"/>
          <w:color w:val="auto"/>
        </w:rPr>
        <w:t>After the Term Commencement Date:</w:t>
      </w:r>
    </w:p>
    <w:p>
      <w:pPr>
        <w:spacing w:after="0" w:line="230" w:lineRule="exact"/>
        <w:rPr>
          <w:sz w:val="20"/>
          <w:szCs w:val="20"/>
          <w:color w:val="auto"/>
        </w:rPr>
      </w:pPr>
    </w:p>
    <w:p>
      <w:pPr>
        <w:ind w:left="4282"/>
        <w:spacing w:after="0"/>
        <w:rPr>
          <w:sz w:val="20"/>
          <w:szCs w:val="20"/>
          <w:color w:val="auto"/>
        </w:rPr>
      </w:pPr>
      <w:r>
        <w:rPr>
          <w:rFonts w:ascii="Arial" w:cs="Arial" w:eastAsia="Arial" w:hAnsi="Arial"/>
          <w:sz w:val="16"/>
          <w:szCs w:val="16"/>
          <w:color w:val="auto"/>
        </w:rPr>
        <w:t>The Premises</w:t>
      </w:r>
    </w:p>
    <w:p>
      <w:pPr>
        <w:spacing w:after="0" w:line="23" w:lineRule="exact"/>
        <w:rPr>
          <w:sz w:val="20"/>
          <w:szCs w:val="20"/>
          <w:color w:val="auto"/>
        </w:rPr>
      </w:pPr>
    </w:p>
    <w:p>
      <w:pPr>
        <w:ind w:left="4282"/>
        <w:spacing w:after="0"/>
        <w:rPr>
          <w:sz w:val="20"/>
          <w:szCs w:val="20"/>
          <w:color w:val="auto"/>
        </w:rPr>
      </w:pPr>
      <w:r>
        <w:rPr>
          <w:rFonts w:ascii="Arial" w:cs="Arial" w:eastAsia="Arial" w:hAnsi="Arial"/>
          <w:sz w:val="16"/>
          <w:szCs w:val="16"/>
          <w:color w:val="auto"/>
        </w:rPr>
        <w:t>Attention: Ros Deegan</w:t>
      </w:r>
    </w:p>
    <w:p>
      <w:pPr>
        <w:sectPr>
          <w:pgSz w:w="11900" w:h="16838" w:orient="portrait"/>
          <w:cols w:equalWidth="0" w:num="1">
            <w:col w:w="11422"/>
          </w:cols>
          <w:pgMar w:left="238" w:top="322" w:right="239" w:bottom="1058" w:gutter="0" w:footer="0" w:header="0"/>
          <w:type w:val="continuous"/>
        </w:sectPr>
      </w:pPr>
    </w:p>
    <w:p>
      <w:pPr>
        <w:spacing w:after="0" w:line="196" w:lineRule="exact"/>
        <w:rPr>
          <w:sz w:val="20"/>
          <w:szCs w:val="20"/>
          <w:color w:val="auto"/>
        </w:rPr>
      </w:pPr>
    </w:p>
    <w:p>
      <w:pPr>
        <w:ind w:left="1462"/>
        <w:spacing w:after="0"/>
        <w:rPr>
          <w:sz w:val="20"/>
          <w:szCs w:val="20"/>
          <w:color w:val="auto"/>
        </w:rPr>
      </w:pPr>
      <w:r>
        <w:rPr>
          <w:rFonts w:ascii="Arial" w:cs="Arial" w:eastAsia="Arial" w:hAnsi="Arial"/>
          <w:sz w:val="15"/>
          <w:szCs w:val="15"/>
          <w:color w:val="auto"/>
        </w:rPr>
        <w:t>With a copy to:</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Dechert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1095 Avenue of the Americas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10036</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Attention: Francois Quintard-Morenas, Esquire</w:t>
      </w:r>
    </w:p>
    <w:p>
      <w:pPr>
        <w:spacing w:after="0" w:line="200" w:lineRule="exact"/>
        <w:rPr>
          <w:sz w:val="20"/>
          <w:szCs w:val="20"/>
          <w:color w:val="auto"/>
        </w:rPr>
      </w:pPr>
    </w:p>
    <w:p>
      <w:pPr>
        <w:sectPr>
          <w:pgSz w:w="11900" w:h="16838" w:orient="portrait"/>
          <w:cols w:equalWidth="0" w:num="2">
            <w:col w:w="3562" w:space="720"/>
            <w:col w:w="7140"/>
          </w:cols>
          <w:pgMar w:left="238" w:top="322" w:right="239" w:bottom="1058" w:gutter="0" w:footer="0" w:header="0"/>
          <w:type w:val="continuous"/>
        </w:sectPr>
      </w:pPr>
    </w:p>
    <w:p>
      <w:pPr>
        <w:spacing w:after="0" w:line="7" w:lineRule="exact"/>
        <w:rPr>
          <w:sz w:val="20"/>
          <w:szCs w:val="20"/>
          <w:color w:val="auto"/>
        </w:rPr>
      </w:pPr>
    </w:p>
    <w:p>
      <w:pPr>
        <w:ind w:left="2" w:right="80"/>
        <w:spacing w:after="0" w:line="261" w:lineRule="auto"/>
        <w:rPr>
          <w:sz w:val="20"/>
          <w:szCs w:val="20"/>
          <w:color w:val="auto"/>
        </w:rPr>
      </w:pPr>
      <w:r>
        <w:rPr>
          <w:rFonts w:ascii="Arial" w:cs="Arial" w:eastAsia="Arial" w:hAnsi="Arial"/>
          <w:sz w:val="16"/>
          <w:szCs w:val="16"/>
          <w:color w:val="auto"/>
        </w:rPr>
        <w:t>Notwithstanding the foregoing, any notice from Landlord to Tenant regarding ordinary business operations (e.g., exercise of a right of access to the Premises, maintenance activities, invoices, etc., but expressly not a default or any notice which may materially impact Tenant’s rights hereunder) may also be given by written notice delivered by facsimile to any person at the Premises whom Landlord reasonably believes is authorized to receive such notice on behalf of Tenant without copies as specified above. Either party may at any time change the address or specify an additional address for such Notices by delivering or mailing, as aforesaid, to the other party a notice stating the change and setting forth the changed or additional address, provided such changed or additional address is within the United States. Notices shall be effective upon the date of receipt or refusal thereof.</w:t>
      </w:r>
    </w:p>
    <w:p>
      <w:pPr>
        <w:spacing w:after="0" w:line="165" w:lineRule="exact"/>
        <w:rPr>
          <w:sz w:val="20"/>
          <w:szCs w:val="20"/>
          <w:color w:val="auto"/>
        </w:rPr>
      </w:pPr>
    </w:p>
    <w:p>
      <w:pPr>
        <w:ind w:left="582" w:hanging="582"/>
        <w:spacing w:after="0"/>
        <w:tabs>
          <w:tab w:leader="none" w:pos="582" w:val="left"/>
        </w:tabs>
        <w:numPr>
          <w:ilvl w:val="0"/>
          <w:numId w:val="513"/>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07" w:lineRule="exact"/>
        <w:rPr>
          <w:sz w:val="20"/>
          <w:szCs w:val="20"/>
          <w:color w:val="auto"/>
        </w:rPr>
      </w:pPr>
    </w:p>
    <w:p>
      <w:pPr>
        <w:ind w:left="2" w:right="220" w:firstLine="587"/>
        <w:spacing w:after="0" w:line="272" w:lineRule="auto"/>
        <w:rPr>
          <w:sz w:val="20"/>
          <w:szCs w:val="20"/>
          <w:color w:val="auto"/>
        </w:rPr>
      </w:pPr>
      <w:r>
        <w:rPr>
          <w:rFonts w:ascii="Arial" w:cs="Arial" w:eastAsia="Arial" w:hAnsi="Arial"/>
          <w:sz w:val="16"/>
          <w:szCs w:val="16"/>
          <w:b w:val="1"/>
          <w:bCs w:val="1"/>
          <w:color w:val="auto"/>
        </w:rPr>
        <w:t>25.1 Separability</w:t>
      </w:r>
      <w:r>
        <w:rPr>
          <w:rFonts w:ascii="Arial" w:cs="Arial" w:eastAsia="Arial" w:hAnsi="Arial"/>
          <w:sz w:val="16"/>
          <w:szCs w:val="16"/>
          <w:color w:val="auto"/>
        </w:rPr>
        <w:t>. If any provision of this Lease or portion of such provision or the application thereof to any person or circumstance is for any reason held</w:t>
      </w:r>
      <w:r>
        <w:rPr>
          <w:rFonts w:ascii="Arial" w:cs="Arial" w:eastAsia="Arial" w:hAnsi="Arial"/>
          <w:sz w:val="16"/>
          <w:szCs w:val="16"/>
          <w:b w:val="1"/>
          <w:bCs w:val="1"/>
          <w:color w:val="auto"/>
        </w:rPr>
        <w:t xml:space="preserve"> </w:t>
      </w:r>
      <w:r>
        <w:rPr>
          <w:rFonts w:ascii="Arial" w:cs="Arial" w:eastAsia="Arial" w:hAnsi="Arial"/>
          <w:sz w:val="16"/>
          <w:szCs w:val="16"/>
          <w:color w:val="auto"/>
        </w:rPr>
        <w:t>invalid or unenforceable, the remainder of this Lease (or the remainder of such provision) and the application thereof to other persons or circumstances shall not be affected thereby.</w:t>
      </w:r>
    </w:p>
    <w:p>
      <w:pPr>
        <w:spacing w:after="0" w:line="16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 w:firstLine="587"/>
        <w:spacing w:after="0" w:line="290" w:lineRule="auto"/>
        <w:rPr>
          <w:sz w:val="20"/>
          <w:szCs w:val="20"/>
          <w:color w:val="auto"/>
        </w:rPr>
      </w:pPr>
      <w:r>
        <w:rPr>
          <w:rFonts w:ascii="Arial" w:cs="Arial" w:eastAsia="Arial" w:hAnsi="Arial"/>
          <w:sz w:val="16"/>
          <w:szCs w:val="16"/>
          <w:b w:val="1"/>
          <w:bCs w:val="1"/>
          <w:color w:val="auto"/>
        </w:rPr>
        <w:t>25.2 Captions</w:t>
      </w:r>
      <w:r>
        <w:rPr>
          <w:rFonts w:ascii="Arial" w:cs="Arial" w:eastAsia="Arial" w:hAnsi="Arial"/>
          <w:sz w:val="16"/>
          <w:szCs w:val="16"/>
          <w:color w:val="auto"/>
        </w:rPr>
        <w:t>. The captions are inserted only as a matter of convenience and for reference, and in no way define, limit or describe the scope of this Lease nor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intent of any provisions thereof.</w:t>
      </w:r>
    </w:p>
    <w:p>
      <w:pPr>
        <w:spacing w:after="0" w:line="142" w:lineRule="exact"/>
        <w:rPr>
          <w:sz w:val="20"/>
          <w:szCs w:val="20"/>
          <w:color w:val="auto"/>
        </w:rPr>
      </w:pPr>
    </w:p>
    <w:p>
      <w:pPr>
        <w:ind w:left="2" w:right="180" w:firstLine="587"/>
        <w:spacing w:after="0" w:line="329" w:lineRule="auto"/>
        <w:rPr>
          <w:sz w:val="20"/>
          <w:szCs w:val="20"/>
          <w:color w:val="auto"/>
        </w:rPr>
      </w:pPr>
      <w:r>
        <w:rPr>
          <w:rFonts w:ascii="Arial" w:cs="Arial" w:eastAsia="Arial" w:hAnsi="Arial"/>
          <w:sz w:val="14"/>
          <w:szCs w:val="14"/>
          <w:b w:val="1"/>
          <w:bCs w:val="1"/>
          <w:color w:val="auto"/>
        </w:rPr>
        <w:t>25.3 Broker</w:t>
      </w:r>
      <w:r>
        <w:rPr>
          <w:rFonts w:ascii="Arial" w:cs="Arial" w:eastAsia="Arial" w:hAnsi="Arial"/>
          <w:sz w:val="14"/>
          <w:szCs w:val="14"/>
          <w:color w:val="auto"/>
        </w:rPr>
        <w:t>. Tenant and Landlord each warrants and represents that it has dealt with no broker in connection with the consummation of this Lease other than</w:t>
      </w:r>
      <w:r>
        <w:rPr>
          <w:rFonts w:ascii="Arial" w:cs="Arial" w:eastAsia="Arial" w:hAnsi="Arial"/>
          <w:sz w:val="14"/>
          <w:szCs w:val="14"/>
          <w:b w:val="1"/>
          <w:bCs w:val="1"/>
          <w:color w:val="auto"/>
        </w:rPr>
        <w:t xml:space="preserve"> </w:t>
      </w:r>
      <w:r>
        <w:rPr>
          <w:rFonts w:ascii="Arial" w:cs="Arial" w:eastAsia="Arial" w:hAnsi="Arial"/>
          <w:sz w:val="14"/>
          <w:szCs w:val="14"/>
          <w:color w:val="auto"/>
        </w:rPr>
        <w:t>Jones Lang LaSalle (the “</w:t>
      </w:r>
      <w:r>
        <w:rPr>
          <w:rFonts w:ascii="Arial" w:cs="Arial" w:eastAsia="Arial" w:hAnsi="Arial"/>
          <w:sz w:val="14"/>
          <w:szCs w:val="14"/>
          <w:b w:val="1"/>
          <w:bCs w:val="1"/>
          <w:u w:val="single" w:color="auto"/>
          <w:color w:val="auto"/>
        </w:rPr>
        <w:t>Broker</w:t>
      </w:r>
      <w:r>
        <w:rPr>
          <w:rFonts w:ascii="Arial" w:cs="Arial" w:eastAsia="Arial" w:hAnsi="Arial"/>
          <w:sz w:val="14"/>
          <w:szCs w:val="14"/>
          <w:color w:val="auto"/>
        </w:rPr>
        <w:t>”). Tenant and Landlord each agrees to defend, indemnify and save the other harmless from and against any Claims arising in breach of the representation and warranty set forth in the immediately preceding sentence. Landlord shall be solely responsible for the payment of any brokerage commissions to Broker.</w:t>
      </w:r>
    </w:p>
    <w:p>
      <w:pPr>
        <w:spacing w:after="0" w:line="120" w:lineRule="exact"/>
        <w:rPr>
          <w:sz w:val="20"/>
          <w:szCs w:val="20"/>
          <w:color w:val="auto"/>
        </w:rPr>
      </w:pPr>
    </w:p>
    <w:p>
      <w:pPr>
        <w:ind w:left="2" w:right="20" w:firstLine="587"/>
        <w:spacing w:after="0" w:line="316" w:lineRule="auto"/>
        <w:rPr>
          <w:sz w:val="20"/>
          <w:szCs w:val="20"/>
          <w:color w:val="auto"/>
        </w:rPr>
      </w:pPr>
      <w:r>
        <w:rPr>
          <w:rFonts w:ascii="Arial" w:cs="Arial" w:eastAsia="Arial" w:hAnsi="Arial"/>
          <w:sz w:val="14"/>
          <w:szCs w:val="14"/>
          <w:b w:val="1"/>
          <w:bCs w:val="1"/>
          <w:color w:val="auto"/>
        </w:rPr>
        <w:t>25.4 Entire Agreement</w:t>
      </w:r>
      <w:r>
        <w:rPr>
          <w:rFonts w:ascii="Arial" w:cs="Arial" w:eastAsia="Arial" w:hAnsi="Arial"/>
          <w:sz w:val="14"/>
          <w:szCs w:val="14"/>
          <w:color w:val="auto"/>
        </w:rPr>
        <w:t>. This Lease, Lease Summary Sheet and</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Exhibits 1-8</w:t>
      </w:r>
      <w:r>
        <w:rPr>
          <w:rFonts w:ascii="Arial" w:cs="Arial" w:eastAsia="Arial" w:hAnsi="Arial"/>
          <w:sz w:val="14"/>
          <w:szCs w:val="14"/>
          <w:b w:val="1"/>
          <w:bCs w:val="1"/>
          <w:color w:val="auto"/>
        </w:rPr>
        <w:t xml:space="preserve"> </w:t>
      </w:r>
      <w:r>
        <w:rPr>
          <w:rFonts w:ascii="Arial" w:cs="Arial" w:eastAsia="Arial" w:hAnsi="Arial"/>
          <w:sz w:val="14"/>
          <w:szCs w:val="14"/>
          <w:color w:val="auto"/>
        </w:rPr>
        <w:t>attached hereto and incorporated herein contain the entire and only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between the parties and any and all statements and representations, written and oral, including previous correspondence and agreements between the parties hereto, are merged herein. Tenant acknowledges that all representations and statements upon which it relied in executing this Lease are contained herein and that Tenant in no way relied upon any other statements or representations, written or oral. This Lease may not be modified orally or in any manner other than by written agreement signed by the parties hereto.</w:t>
      </w:r>
    </w:p>
    <w:p>
      <w:pPr>
        <w:spacing w:after="0" w:line="130" w:lineRule="exact"/>
        <w:rPr>
          <w:sz w:val="20"/>
          <w:szCs w:val="20"/>
          <w:color w:val="auto"/>
        </w:rPr>
      </w:pPr>
    </w:p>
    <w:p>
      <w:pPr>
        <w:ind w:left="2" w:right="780" w:firstLine="587"/>
        <w:spacing w:after="0" w:line="290" w:lineRule="auto"/>
        <w:rPr>
          <w:sz w:val="20"/>
          <w:szCs w:val="20"/>
          <w:color w:val="auto"/>
        </w:rPr>
      </w:pPr>
      <w:r>
        <w:rPr>
          <w:rFonts w:ascii="Arial" w:cs="Arial" w:eastAsia="Arial" w:hAnsi="Arial"/>
          <w:sz w:val="16"/>
          <w:szCs w:val="16"/>
          <w:b w:val="1"/>
          <w:bCs w:val="1"/>
          <w:color w:val="auto"/>
        </w:rPr>
        <w:t>25.5 Governing Law</w:t>
      </w:r>
      <w:r>
        <w:rPr>
          <w:rFonts w:ascii="Arial" w:cs="Arial" w:eastAsia="Arial" w:hAnsi="Arial"/>
          <w:sz w:val="16"/>
          <w:szCs w:val="16"/>
          <w:color w:val="auto"/>
        </w:rPr>
        <w:t>. This Lease is made pursuant to, and shall be governed by, and construed in accordance with, the laws of the Commonwealth of</w:t>
      </w:r>
      <w:r>
        <w:rPr>
          <w:rFonts w:ascii="Arial" w:cs="Arial" w:eastAsia="Arial" w:hAnsi="Arial"/>
          <w:sz w:val="16"/>
          <w:szCs w:val="16"/>
          <w:b w:val="1"/>
          <w:bCs w:val="1"/>
          <w:color w:val="auto"/>
        </w:rPr>
        <w:t xml:space="preserve"> </w:t>
      </w:r>
      <w:r>
        <w:rPr>
          <w:rFonts w:ascii="Arial" w:cs="Arial" w:eastAsia="Arial" w:hAnsi="Arial"/>
          <w:sz w:val="16"/>
          <w:szCs w:val="16"/>
          <w:color w:val="auto"/>
        </w:rPr>
        <w:t>Massachusetts and any applicable local municipal rules, regulations, by-laws, ordinances and the like.</w:t>
      </w:r>
    </w:p>
    <w:p>
      <w:pPr>
        <w:spacing w:after="0" w:line="142" w:lineRule="exact"/>
        <w:rPr>
          <w:sz w:val="20"/>
          <w:szCs w:val="20"/>
          <w:color w:val="auto"/>
        </w:rPr>
      </w:pPr>
    </w:p>
    <w:p>
      <w:pPr>
        <w:ind w:left="2" w:right="180" w:firstLine="587"/>
        <w:spacing w:after="0" w:line="290" w:lineRule="auto"/>
        <w:rPr>
          <w:sz w:val="20"/>
          <w:szCs w:val="20"/>
          <w:color w:val="auto"/>
        </w:rPr>
      </w:pPr>
      <w:r>
        <w:rPr>
          <w:rFonts w:ascii="Arial" w:cs="Arial" w:eastAsia="Arial" w:hAnsi="Arial"/>
          <w:sz w:val="16"/>
          <w:szCs w:val="16"/>
          <w:b w:val="1"/>
          <w:bCs w:val="1"/>
          <w:color w:val="auto"/>
        </w:rPr>
        <w:t>25.6 Representation of Authority</w:t>
      </w:r>
      <w:r>
        <w:rPr>
          <w:rFonts w:ascii="Arial" w:cs="Arial" w:eastAsia="Arial" w:hAnsi="Arial"/>
          <w:sz w:val="16"/>
          <w:szCs w:val="16"/>
          <w:color w:val="auto"/>
        </w:rPr>
        <w:t>. By his or her execution hereof, each of the signatories on behalf of the respective parties hereby warrants and represents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other that he or she is duly authorized to execute this Lease on behalf of such party.</w:t>
      </w:r>
    </w:p>
    <w:p>
      <w:pPr>
        <w:spacing w:after="0" w:line="142" w:lineRule="exact"/>
        <w:rPr>
          <w:sz w:val="20"/>
          <w:szCs w:val="20"/>
          <w:color w:val="auto"/>
        </w:rPr>
      </w:pPr>
    </w:p>
    <w:p>
      <w:pPr>
        <w:ind w:left="582"/>
        <w:spacing w:after="0"/>
        <w:tabs>
          <w:tab w:leader="none" w:pos="1182" w:val="left"/>
        </w:tabs>
        <w:rPr>
          <w:sz w:val="20"/>
          <w:szCs w:val="20"/>
          <w:color w:val="auto"/>
        </w:rPr>
      </w:pPr>
      <w:r>
        <w:rPr>
          <w:rFonts w:ascii="Arial" w:cs="Arial" w:eastAsia="Arial" w:hAnsi="Arial"/>
          <w:sz w:val="16"/>
          <w:szCs w:val="16"/>
          <w:b w:val="1"/>
          <w:bCs w:val="1"/>
          <w:color w:val="auto"/>
        </w:rPr>
        <w:t>25.7</w:t>
      </w:r>
      <w:r>
        <w:rPr>
          <w:sz w:val="20"/>
          <w:szCs w:val="20"/>
          <w:color w:val="auto"/>
        </w:rPr>
        <w:tab/>
      </w:r>
      <w:r>
        <w:rPr>
          <w:rFonts w:ascii="Arial" w:cs="Arial" w:eastAsia="Arial" w:hAnsi="Arial"/>
          <w:sz w:val="14"/>
          <w:szCs w:val="14"/>
          <w:b w:val="1"/>
          <w:bCs w:val="1"/>
          <w:color w:val="auto"/>
        </w:rPr>
        <w:t>Expenses Incurred by Landlord Upon Tenant Requests</w:t>
      </w:r>
      <w:r>
        <w:rPr>
          <w:rFonts w:ascii="Arial" w:cs="Arial" w:eastAsia="Arial" w:hAnsi="Arial"/>
          <w:sz w:val="14"/>
          <w:szCs w:val="14"/>
          <w:color w:val="auto"/>
        </w:rPr>
        <w:t>. Tenant shall, upon thirty (30) days following receipt of a written notice, reimburse Landlord for</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5"/>
          <w:szCs w:val="15"/>
          <w:color w:val="auto"/>
        </w:rPr>
        <w:t>all reasonable expenses, including, without limitation, reasonable legal fees, incurred by Landlord in connection with all requests by Tenant for consents, approvals or</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5"/>
          <w:szCs w:val="15"/>
          <w:color w:val="auto"/>
        </w:rPr>
        <w:t>execution of collateral documentation related to this Lease, including, without limitation, costs incurred by Landlord in the review and approval of Tenant’s plans and</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5"/>
          <w:szCs w:val="15"/>
          <w:color w:val="auto"/>
        </w:rPr>
        <w:t>specifications in connection with proposed Alterations to be made by Tenant to the Premises or in connection with requests by Tenant for Landlord’s consent to make a</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5"/>
          <w:szCs w:val="15"/>
          <w:color w:val="auto"/>
        </w:rPr>
        <w:t>Transfer; provided however, that the maximum amount payable by Tenant on account of fees incurred by Landlord with respect to any request by Tenant for Landlord’s</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5"/>
          <w:szCs w:val="15"/>
          <w:color w:val="auto"/>
        </w:rPr>
        <w:t>consent to a proposed Transfer shall be the Transfer Cost Cap, as hereinafter defined. The “</w:t>
      </w:r>
      <w:r>
        <w:rPr>
          <w:rFonts w:ascii="Arial" w:cs="Arial" w:eastAsia="Arial" w:hAnsi="Arial"/>
          <w:sz w:val="15"/>
          <w:szCs w:val="15"/>
          <w:b w:val="1"/>
          <w:bCs w:val="1"/>
          <w:u w:val="single" w:color="auto"/>
          <w:color w:val="auto"/>
        </w:rPr>
        <w:t>Transfer Cost Cap</w:t>
      </w:r>
      <w:r>
        <w:rPr>
          <w:rFonts w:ascii="Arial" w:cs="Arial" w:eastAsia="Arial" w:hAnsi="Arial"/>
          <w:sz w:val="15"/>
          <w:szCs w:val="15"/>
          <w:color w:val="auto"/>
        </w:rPr>
        <w:t>” shall be $2,000 during the initial Term of the Lease, and</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4"/>
          <w:szCs w:val="14"/>
          <w:color w:val="auto"/>
        </w:rPr>
        <w:t>$2,500 during the Extension Term, provided however, that there shall be no Transfer Cost Cap in connection with: (i) a request for Landlord’s consent to a sub-sublease of any</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4"/>
          <w:szCs w:val="14"/>
          <w:color w:val="auto"/>
        </w:rPr>
        <w:t>tier, and (ii) a consent to a Transfer where Tenant requests that the Lease be amended in any way. Landlord shall, within ten (10) days of request from Tenant, deliver to Tenant</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6"/>
          <w:szCs w:val="16"/>
          <w:color w:val="auto"/>
        </w:rPr>
        <w:t>reasonable evidence (e.g., invoices) of any such expenses which are reimbursable by Tenant to Landlord.</w:t>
      </w:r>
    </w:p>
    <w:p>
      <w:pPr>
        <w:spacing w:after="0" w:line="192" w:lineRule="exact"/>
        <w:rPr>
          <w:sz w:val="20"/>
          <w:szCs w:val="20"/>
          <w:color w:val="auto"/>
        </w:rPr>
      </w:pPr>
    </w:p>
    <w:p>
      <w:pPr>
        <w:ind w:left="2" w:right="60" w:firstLine="587"/>
        <w:spacing w:after="0" w:line="290" w:lineRule="auto"/>
        <w:rPr>
          <w:sz w:val="20"/>
          <w:szCs w:val="20"/>
          <w:color w:val="auto"/>
        </w:rPr>
      </w:pPr>
      <w:r>
        <w:rPr>
          <w:rFonts w:ascii="Arial" w:cs="Arial" w:eastAsia="Arial" w:hAnsi="Arial"/>
          <w:sz w:val="16"/>
          <w:szCs w:val="16"/>
          <w:b w:val="1"/>
          <w:bCs w:val="1"/>
          <w:color w:val="auto"/>
        </w:rPr>
        <w:t>25.8 Survival</w:t>
      </w:r>
      <w:r>
        <w:rPr>
          <w:rFonts w:ascii="Arial" w:cs="Arial" w:eastAsia="Arial" w:hAnsi="Arial"/>
          <w:sz w:val="16"/>
          <w:szCs w:val="16"/>
          <w:color w:val="auto"/>
        </w:rPr>
        <w:t>. Without limiting any other obligation of either party which may survive the expiration or prior termination of the Term, all obligations on the part</w:t>
      </w:r>
      <w:r>
        <w:rPr>
          <w:rFonts w:ascii="Arial" w:cs="Arial" w:eastAsia="Arial" w:hAnsi="Arial"/>
          <w:sz w:val="16"/>
          <w:szCs w:val="16"/>
          <w:b w:val="1"/>
          <w:bCs w:val="1"/>
          <w:color w:val="auto"/>
        </w:rPr>
        <w:t xml:space="preserve"> </w:t>
      </w:r>
      <w:r>
        <w:rPr>
          <w:rFonts w:ascii="Arial" w:cs="Arial" w:eastAsia="Arial" w:hAnsi="Arial"/>
          <w:sz w:val="16"/>
          <w:szCs w:val="16"/>
          <w:color w:val="auto"/>
        </w:rPr>
        <w:t>of either party to</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058" w:gutter="0" w:footer="0" w:header="0"/>
          <w:type w:val="continuous"/>
        </w:sectPr>
      </w:pPr>
    </w:p>
    <w:bookmarkStart w:id="523" w:name="page524"/>
    <w:bookmarkEnd w:id="523"/>
    <w:p>
      <w:pPr>
        <w:spacing w:after="0"/>
        <w:rPr>
          <w:sz w:val="20"/>
          <w:szCs w:val="20"/>
          <w:color w:val="auto"/>
        </w:rPr>
      </w:pPr>
      <w:r>
        <w:rPr>
          <w:rFonts w:ascii="Arial" w:cs="Arial" w:eastAsia="Arial" w:hAnsi="Arial"/>
          <w:sz w:val="16"/>
          <w:szCs w:val="16"/>
          <w:color w:val="auto"/>
        </w:rPr>
        <w:t>indemnify, defend, or hold the other party harmless, as set forth in this Lease shall survive the expiration or prior termination of the Term.</w:t>
      </w:r>
    </w:p>
    <w:p>
      <w:pPr>
        <w:spacing w:after="0" w:line="203"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6"/>
          <w:szCs w:val="16"/>
          <w:b w:val="1"/>
          <w:bCs w:val="1"/>
          <w:color w:val="auto"/>
        </w:rPr>
        <w:t>25.9</w:t>
      </w:r>
      <w:r>
        <w:rPr>
          <w:sz w:val="20"/>
          <w:szCs w:val="20"/>
          <w:color w:val="auto"/>
        </w:rPr>
        <w:tab/>
      </w:r>
      <w:r>
        <w:rPr>
          <w:rFonts w:ascii="Arial" w:cs="Arial" w:eastAsia="Arial" w:hAnsi="Arial"/>
          <w:sz w:val="15"/>
          <w:szCs w:val="15"/>
          <w:b w:val="1"/>
          <w:bCs w:val="1"/>
          <w:color w:val="auto"/>
        </w:rPr>
        <w:t>Limitation of Liability</w:t>
      </w:r>
      <w:r>
        <w:rPr>
          <w:rFonts w:ascii="Arial" w:cs="Arial" w:eastAsia="Arial" w:hAnsi="Arial"/>
          <w:sz w:val="15"/>
          <w:szCs w:val="15"/>
          <w:color w:val="auto"/>
        </w:rPr>
        <w:t>.</w:t>
      </w:r>
    </w:p>
    <w:p>
      <w:pPr>
        <w:spacing w:after="0" w:line="211" w:lineRule="exact"/>
        <w:rPr>
          <w:sz w:val="20"/>
          <w:szCs w:val="20"/>
          <w:color w:val="auto"/>
        </w:rPr>
      </w:pPr>
    </w:p>
    <w:p>
      <w:pPr>
        <w:ind w:firstLine="1172"/>
        <w:spacing w:after="0" w:line="281" w:lineRule="auto"/>
        <w:tabs>
          <w:tab w:leader="none" w:pos="1803" w:val="left"/>
        </w:tabs>
        <w:numPr>
          <w:ilvl w:val="0"/>
          <w:numId w:val="514"/>
        </w:numPr>
        <w:rPr>
          <w:rFonts w:ascii="Arial" w:cs="Arial" w:eastAsia="Arial" w:hAnsi="Arial"/>
          <w:sz w:val="15"/>
          <w:szCs w:val="15"/>
          <w:color w:val="auto"/>
        </w:rPr>
      </w:pPr>
      <w:r>
        <w:rPr>
          <w:rFonts w:ascii="Arial" w:cs="Arial" w:eastAsia="Arial" w:hAnsi="Arial"/>
          <w:sz w:val="15"/>
          <w:szCs w:val="15"/>
          <w:u w:val="single" w:color="auto"/>
          <w:color w:val="auto"/>
        </w:rPr>
        <w:t>Limitations on Landlord’s Liability</w:t>
      </w:r>
      <w:r>
        <w:rPr>
          <w:rFonts w:ascii="Arial" w:cs="Arial" w:eastAsia="Arial" w:hAnsi="Arial"/>
          <w:sz w:val="15"/>
          <w:szCs w:val="15"/>
          <w:color w:val="auto"/>
        </w:rPr>
        <w:t>. Tenant shall neither assert nor seek to enforce any claim against Landlord or any of the Landlord Parties, or the assets of any of the Landlord Parties, for breach of this Lease or otherwise, other than against Landlord’s interest in the Building and in the uncollected rents, issues and profits thereof, and Tenant agrees to look solely to such interest for the satisfaction of any liability of Landlord under this Lease. This Section 25.9 shall not limit any right that Tenant might otherwise have to obtain injunctive relief against Landlord. Landlord and Tenant specifically agree that in no event shall any officer, director, trustee, employee or representative of Landlord or any of the other Landlord Parties ever be personally liable for any obligation under this Lease, nor shall Landlord or any of the other Landlord Parties be liable for consequential, indirect or incidental damages or for lost income or lost profits whatsoever in connection with this Lease.</w:t>
      </w:r>
    </w:p>
    <w:p>
      <w:pPr>
        <w:spacing w:after="0" w:line="157" w:lineRule="exact"/>
        <w:rPr>
          <w:rFonts w:ascii="Arial" w:cs="Arial" w:eastAsia="Arial" w:hAnsi="Arial"/>
          <w:sz w:val="15"/>
          <w:szCs w:val="15"/>
          <w:color w:val="auto"/>
        </w:rPr>
      </w:pPr>
    </w:p>
    <w:p>
      <w:pPr>
        <w:ind w:right="80" w:firstLine="1172"/>
        <w:spacing w:after="0" w:line="262" w:lineRule="auto"/>
        <w:tabs>
          <w:tab w:leader="none" w:pos="1812" w:val="left"/>
        </w:tabs>
        <w:numPr>
          <w:ilvl w:val="0"/>
          <w:numId w:val="514"/>
        </w:numPr>
        <w:rPr>
          <w:rFonts w:ascii="Arial" w:cs="Arial" w:eastAsia="Arial" w:hAnsi="Arial"/>
          <w:sz w:val="16"/>
          <w:szCs w:val="16"/>
          <w:color w:val="auto"/>
        </w:rPr>
      </w:pPr>
      <w:r>
        <w:rPr>
          <w:rFonts w:ascii="Arial" w:cs="Arial" w:eastAsia="Arial" w:hAnsi="Arial"/>
          <w:sz w:val="16"/>
          <w:szCs w:val="16"/>
          <w:u w:val="single" w:color="auto"/>
          <w:color w:val="auto"/>
        </w:rPr>
        <w:t>Limitations on Tenant’s Liability</w:t>
      </w:r>
      <w:r>
        <w:rPr>
          <w:rFonts w:ascii="Arial" w:cs="Arial" w:eastAsia="Arial" w:hAnsi="Arial"/>
          <w:sz w:val="16"/>
          <w:szCs w:val="16"/>
          <w:color w:val="auto"/>
        </w:rPr>
        <w:t>. Landlord and Tenant specifically agree that in no event shall any officer, director, trustee, employee or representative of Tenant (“</w:t>
      </w:r>
      <w:r>
        <w:rPr>
          <w:rFonts w:ascii="Arial" w:cs="Arial" w:eastAsia="Arial" w:hAnsi="Arial"/>
          <w:sz w:val="16"/>
          <w:szCs w:val="16"/>
          <w:b w:val="1"/>
          <w:bCs w:val="1"/>
          <w:u w:val="single" w:color="auto"/>
          <w:color w:val="auto"/>
        </w:rPr>
        <w:t>Tenant Limited Parties</w:t>
      </w:r>
      <w:r>
        <w:rPr>
          <w:rFonts w:ascii="Arial" w:cs="Arial" w:eastAsia="Arial" w:hAnsi="Arial"/>
          <w:sz w:val="16"/>
          <w:szCs w:val="16"/>
          <w:color w:val="auto"/>
        </w:rPr>
        <w:t>”) ever be personally liable for any obligation under this Lease, nor shall Tenant or any of the other Tenant Limited Parties be liable for consequential, indirect or incidental damages or for lost income or lost profits whatsoever in connection with this Lease; provided however, that nothing in this Section 25.9(b) shall release, affect, or limit Tenant from any liability or obligation which Tenant may have in the event of any breach by Tenant under either Section 17 (Hazardous Materials) or Section 21.3 (Hold Over).</w:t>
      </w:r>
    </w:p>
    <w:p>
      <w:pPr>
        <w:spacing w:after="0" w:line="166" w:lineRule="exact"/>
        <w:rPr>
          <w:sz w:val="20"/>
          <w:szCs w:val="20"/>
          <w:color w:val="auto"/>
        </w:rPr>
      </w:pPr>
    </w:p>
    <w:p>
      <w:pPr>
        <w:jc w:val="both"/>
        <w:ind w:right="140" w:firstLine="587"/>
        <w:spacing w:after="0" w:line="272" w:lineRule="auto"/>
        <w:rPr>
          <w:sz w:val="20"/>
          <w:szCs w:val="20"/>
          <w:color w:val="auto"/>
        </w:rPr>
      </w:pPr>
      <w:r>
        <w:rPr>
          <w:rFonts w:ascii="Arial" w:cs="Arial" w:eastAsia="Arial" w:hAnsi="Arial"/>
          <w:sz w:val="16"/>
          <w:szCs w:val="16"/>
          <w:b w:val="1"/>
          <w:bCs w:val="1"/>
          <w:color w:val="auto"/>
        </w:rPr>
        <w:t>25.10 Binding Effect</w:t>
      </w:r>
      <w:r>
        <w:rPr>
          <w:rFonts w:ascii="Arial" w:cs="Arial" w:eastAsia="Arial" w:hAnsi="Arial"/>
          <w:sz w:val="16"/>
          <w:szCs w:val="16"/>
          <w:color w:val="auto"/>
        </w:rPr>
        <w:t>. The covenants, agreements, terms, provisions and conditions of this Lease shall bind and benefit the successors and assigns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with the same effect as if mentioned in each instance where a party hereto is named or referred to, except that no violation of the provisions of Section 13 hereof shall operate to vest any rights in any successor or assignee of Tenant.</w:t>
      </w:r>
    </w:p>
    <w:p>
      <w:pPr>
        <w:spacing w:after="0" w:line="157" w:lineRule="exact"/>
        <w:rPr>
          <w:sz w:val="20"/>
          <w:szCs w:val="20"/>
          <w:color w:val="auto"/>
        </w:rPr>
      </w:pPr>
    </w:p>
    <w:p>
      <w:pPr>
        <w:ind w:right="160" w:firstLine="587"/>
        <w:spacing w:after="0" w:line="316" w:lineRule="auto"/>
        <w:rPr>
          <w:sz w:val="20"/>
          <w:szCs w:val="20"/>
          <w:color w:val="auto"/>
        </w:rPr>
      </w:pPr>
      <w:r>
        <w:rPr>
          <w:rFonts w:ascii="Arial" w:cs="Arial" w:eastAsia="Arial" w:hAnsi="Arial"/>
          <w:sz w:val="14"/>
          <w:szCs w:val="14"/>
          <w:b w:val="1"/>
          <w:bCs w:val="1"/>
          <w:color w:val="auto"/>
        </w:rPr>
        <w:t>25.11 Landlord Obligations upon Transfer</w:t>
      </w:r>
      <w:r>
        <w:rPr>
          <w:rFonts w:ascii="Arial" w:cs="Arial" w:eastAsia="Arial" w:hAnsi="Arial"/>
          <w:sz w:val="14"/>
          <w:szCs w:val="14"/>
          <w:color w:val="auto"/>
        </w:rPr>
        <w:t>. Upon any sale, transfer or other disposition of the Building, Landlord shall be entirely freed and relieved from the</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and observance thereafter of all covenants and obligations hereunder on the part of Landlord to be performed and observed, it being understood and agreed in such event (and it shall be deemed and construed as a covenant running with the land) that the person succeeding to Landlord’s ownership of said reversionary interest shall thereupon and thereafter assume, and perform and observe, any and all of such covenants and obligations of Landlord, except as otherwise agreed in writing.</w:t>
      </w:r>
    </w:p>
    <w:p>
      <w:pPr>
        <w:spacing w:after="0" w:line="130" w:lineRule="exact"/>
        <w:rPr>
          <w:sz w:val="20"/>
          <w:szCs w:val="20"/>
          <w:color w:val="auto"/>
        </w:rPr>
      </w:pPr>
    </w:p>
    <w:p>
      <w:pPr>
        <w:ind w:right="100" w:firstLine="587"/>
        <w:spacing w:after="0" w:line="290" w:lineRule="auto"/>
        <w:rPr>
          <w:sz w:val="20"/>
          <w:szCs w:val="20"/>
          <w:color w:val="auto"/>
        </w:rPr>
      </w:pPr>
      <w:r>
        <w:rPr>
          <w:rFonts w:ascii="Arial" w:cs="Arial" w:eastAsia="Arial" w:hAnsi="Arial"/>
          <w:sz w:val="16"/>
          <w:szCs w:val="16"/>
          <w:b w:val="1"/>
          <w:bCs w:val="1"/>
          <w:color w:val="auto"/>
        </w:rPr>
        <w:t>25.12 No Grant of Interest</w:t>
      </w:r>
      <w:r>
        <w:rPr>
          <w:rFonts w:ascii="Arial" w:cs="Arial" w:eastAsia="Arial" w:hAnsi="Arial"/>
          <w:sz w:val="16"/>
          <w:szCs w:val="16"/>
          <w:color w:val="auto"/>
        </w:rPr>
        <w:t>. Tenant shall not grant any interest whatsoever in any fixtures within the Premises or any item paid in whole or in part by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 or by Landlord.</w:t>
      </w:r>
    </w:p>
    <w:p>
      <w:pPr>
        <w:spacing w:after="0" w:line="142" w:lineRule="exact"/>
        <w:rPr>
          <w:sz w:val="20"/>
          <w:szCs w:val="20"/>
          <w:color w:val="auto"/>
        </w:rPr>
      </w:pPr>
    </w:p>
    <w:p>
      <w:pPr>
        <w:ind w:right="280" w:firstLine="587"/>
        <w:spacing w:after="0" w:line="290" w:lineRule="auto"/>
        <w:rPr>
          <w:sz w:val="20"/>
          <w:szCs w:val="20"/>
          <w:color w:val="auto"/>
        </w:rPr>
      </w:pPr>
      <w:r>
        <w:rPr>
          <w:rFonts w:ascii="Arial" w:cs="Arial" w:eastAsia="Arial" w:hAnsi="Arial"/>
          <w:sz w:val="16"/>
          <w:szCs w:val="16"/>
          <w:b w:val="1"/>
          <w:bCs w:val="1"/>
          <w:color w:val="auto"/>
        </w:rPr>
        <w:t>25.13 UBTI</w:t>
      </w:r>
      <w:r>
        <w:rPr>
          <w:rFonts w:ascii="Arial" w:cs="Arial" w:eastAsia="Arial" w:hAnsi="Arial"/>
          <w:sz w:val="16"/>
          <w:szCs w:val="16"/>
          <w:color w:val="auto"/>
        </w:rPr>
        <w:t>. Landlord and Tenant hereby agree that it is their intent that all Rent (including without limitation, Base Rent and all additional rent and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payable to Landlord under this Lease) shall qualify as “rents from real property” within the meaning of</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sectPr>
      </w:pPr>
    </w:p>
    <w:bookmarkStart w:id="524" w:name="page525"/>
    <w:bookmarkEnd w:id="524"/>
    <w:p>
      <w:pPr>
        <w:spacing w:after="0"/>
        <w:rPr>
          <w:sz w:val="20"/>
          <w:szCs w:val="20"/>
          <w:color w:val="auto"/>
        </w:rPr>
      </w:pPr>
      <w:r>
        <w:rPr>
          <w:rFonts w:ascii="Arial" w:cs="Arial" w:eastAsia="Arial" w:hAnsi="Arial"/>
          <w:sz w:val="15"/>
          <w:szCs w:val="15"/>
          <w:color w:val="auto"/>
        </w:rPr>
        <w:t>Section 512(b)(3) of the Internal Revenue Code of 1986, as amended (the “</w:t>
      </w:r>
      <w:r>
        <w:rPr>
          <w:rFonts w:ascii="Arial" w:cs="Arial" w:eastAsia="Arial" w:hAnsi="Arial"/>
          <w:sz w:val="15"/>
          <w:szCs w:val="15"/>
          <w:b w:val="1"/>
          <w:bCs w:val="1"/>
          <w:u w:val="single" w:color="auto"/>
          <w:color w:val="auto"/>
        </w:rPr>
        <w:t>Code</w:t>
      </w:r>
      <w:r>
        <w:rPr>
          <w:rFonts w:ascii="Arial" w:cs="Arial" w:eastAsia="Arial" w:hAnsi="Arial"/>
          <w:sz w:val="15"/>
          <w:szCs w:val="15"/>
          <w:color w:val="auto"/>
        </w:rPr>
        <w:t>”) and the U.S. Department of the Treasury Regulations promulgated thereunder (the</w:t>
      </w:r>
    </w:p>
    <w:p>
      <w:pPr>
        <w:spacing w:after="0" w:line="39"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Regulations</w:t>
      </w:r>
      <w:r>
        <w:rPr>
          <w:rFonts w:ascii="Arial" w:cs="Arial" w:eastAsia="Arial" w:hAnsi="Arial"/>
          <w:sz w:val="16"/>
          <w:szCs w:val="16"/>
          <w:color w:val="auto"/>
        </w:rPr>
        <w:t>”). In the event that (a) the Code or the Regulations, or interpretations thereof by the Internal Revenue Service contained in revenue rulings or other similar public pronouncements, shall be changed so that any Rent no longer qualifies as “rent from real property” for purposes of said Section 512(b)(3), or (b) Landlord, in its sole discretion, determines that there is any risk that all or part of any Rent shall not qualify as “rents from real property” for the purposes of said Section 512(b)(3), Tenant agrees to cooperate with Landlord and enter into such amendment(s) to this Lease as Landlord deems necessary to qualify all Rent as “rents from real property,” provided, however, that (i) any amendment required under this Section 25.13 shall be made so as to produce, to the extent possible, the equivalent (in economic terms) Rent as payable before the amendment(s), and (ii) in the event that Landlord determines that an amendment cannot produce economically equivalent Rent as described in clause (i), the Rent payable under any such amendment(s) shall not be less favorable to Tenant than the Rent payable under this Lease immediately prior to such amendment(s). The parties agree to execute such further commercially reasonable instrument(s) as may reasonably be required by Landlord in order to give effect to the foregoing provisions of this Section 25.13.</w:t>
      </w:r>
    </w:p>
    <w:p>
      <w:pPr>
        <w:spacing w:after="0" w:line="168" w:lineRule="exact"/>
        <w:rPr>
          <w:sz w:val="20"/>
          <w:szCs w:val="20"/>
          <w:color w:val="auto"/>
        </w:rPr>
      </w:pPr>
    </w:p>
    <w:p>
      <w:pPr>
        <w:ind w:right="20" w:firstLine="587"/>
        <w:spacing w:after="0" w:line="264" w:lineRule="auto"/>
        <w:rPr>
          <w:sz w:val="20"/>
          <w:szCs w:val="20"/>
          <w:color w:val="auto"/>
        </w:rPr>
      </w:pPr>
      <w:r>
        <w:rPr>
          <w:rFonts w:ascii="Arial" w:cs="Arial" w:eastAsia="Arial" w:hAnsi="Arial"/>
          <w:sz w:val="16"/>
          <w:szCs w:val="16"/>
          <w:b w:val="1"/>
          <w:bCs w:val="1"/>
          <w:color w:val="auto"/>
        </w:rPr>
        <w:t>25.14 Percentage Rent</w:t>
      </w:r>
      <w:r>
        <w:rPr>
          <w:rFonts w:ascii="Arial" w:cs="Arial" w:eastAsia="Arial" w:hAnsi="Arial"/>
          <w:sz w:val="16"/>
          <w:szCs w:val="16"/>
          <w:color w:val="auto"/>
        </w:rPr>
        <w:t>. Tenant expressly covenants and agrees not to enter into any sublease, transfer or assignment of this Lease (including, for avoidance of</w:t>
      </w:r>
      <w:r>
        <w:rPr>
          <w:rFonts w:ascii="Arial" w:cs="Arial" w:eastAsia="Arial" w:hAnsi="Arial"/>
          <w:sz w:val="16"/>
          <w:szCs w:val="16"/>
          <w:b w:val="1"/>
          <w:bCs w:val="1"/>
          <w:color w:val="auto"/>
        </w:rPr>
        <w:t xml:space="preserve"> </w:t>
      </w:r>
      <w:r>
        <w:rPr>
          <w:rFonts w:ascii="Arial" w:cs="Arial" w:eastAsia="Arial" w:hAnsi="Arial"/>
          <w:sz w:val="16"/>
          <w:szCs w:val="16"/>
          <w:color w:val="auto"/>
        </w:rPr>
        <w:t>doubt, any Transfer to an Affiliated Entity or Successor under Section 13.6) that provides for rental or other payment for such use, occupancy or utilization based in whole or in part on the income or profits derived by any person from the property leases, used, occupied or utilized (other than an amount based on a fixed percentage or percentages of receipts or sales) and that any such purported sublease or assignment shall be absolutely void and ineffective as a conveyance of any right or interest in the possession use, occupancy, or utilization of any part of the Premises.</w:t>
      </w:r>
    </w:p>
    <w:p>
      <w:pPr>
        <w:spacing w:after="0" w:line="162" w:lineRule="exact"/>
        <w:rPr>
          <w:sz w:val="20"/>
          <w:szCs w:val="20"/>
          <w:color w:val="auto"/>
        </w:rPr>
      </w:pPr>
    </w:p>
    <w:p>
      <w:pPr>
        <w:ind w:firstLine="587"/>
        <w:spacing w:after="0" w:line="262" w:lineRule="auto"/>
        <w:rPr>
          <w:sz w:val="20"/>
          <w:szCs w:val="20"/>
          <w:color w:val="auto"/>
        </w:rPr>
      </w:pPr>
      <w:r>
        <w:rPr>
          <w:rFonts w:ascii="Arial" w:cs="Arial" w:eastAsia="Arial" w:hAnsi="Arial"/>
          <w:sz w:val="16"/>
          <w:szCs w:val="16"/>
          <w:b w:val="1"/>
          <w:bCs w:val="1"/>
          <w:color w:val="auto"/>
        </w:rPr>
        <w:t>25.15 Financial Information</w:t>
      </w:r>
      <w:r>
        <w:rPr>
          <w:rFonts w:ascii="Arial" w:cs="Arial" w:eastAsia="Arial" w:hAnsi="Arial"/>
          <w:sz w:val="16"/>
          <w:szCs w:val="16"/>
          <w:color w:val="auto"/>
        </w:rPr>
        <w:t>. Tenant shall deliver to Landlord, within ten (10) business days after Landlord’s reasonable request, Tenant’s most recently</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balance sheet and related statements of income, shareholder’s equity and cash flows (audited if available) prepared and certified by an independent certified public accountant and certified by an officer of Tenant as being true and correct in all material respects; provided however, that Tenant shall not be required to deliver such documentation to Landlord more than one time per calendar year, unless Landlord requires updated financial information in connection with any prospective sale, financing or refinancing of the Property. Any such financial information may be relied upon by Landlord, any actual or potential lessor, purchaser, or mortgagee of the Property or any portion thereof.</w:t>
      </w:r>
    </w:p>
    <w:p>
      <w:pPr>
        <w:spacing w:after="0" w:line="164" w:lineRule="exact"/>
        <w:rPr>
          <w:sz w:val="20"/>
          <w:szCs w:val="20"/>
          <w:color w:val="auto"/>
        </w:rPr>
      </w:pPr>
    </w:p>
    <w:p>
      <w:pPr>
        <w:ind w:right="140" w:firstLine="587"/>
        <w:spacing w:after="0" w:line="299" w:lineRule="auto"/>
        <w:rPr>
          <w:sz w:val="20"/>
          <w:szCs w:val="20"/>
          <w:color w:val="auto"/>
        </w:rPr>
      </w:pPr>
      <w:r>
        <w:rPr>
          <w:rFonts w:ascii="Arial" w:cs="Arial" w:eastAsia="Arial" w:hAnsi="Arial"/>
          <w:sz w:val="15"/>
          <w:szCs w:val="15"/>
          <w:b w:val="1"/>
          <w:bCs w:val="1"/>
          <w:color w:val="auto"/>
        </w:rPr>
        <w:t>25.16 No Air Rights</w:t>
      </w:r>
      <w:r>
        <w:rPr>
          <w:rFonts w:ascii="Arial" w:cs="Arial" w:eastAsia="Arial" w:hAnsi="Arial"/>
          <w:sz w:val="15"/>
          <w:szCs w:val="15"/>
          <w:color w:val="auto"/>
        </w:rPr>
        <w:t>. No rights to any view or to light or air over any property, whether belonging to Landlord or any other person, are granted to Tenant by this</w:t>
      </w:r>
      <w:r>
        <w:rPr>
          <w:rFonts w:ascii="Arial" w:cs="Arial" w:eastAsia="Arial" w:hAnsi="Arial"/>
          <w:sz w:val="15"/>
          <w:szCs w:val="15"/>
          <w:b w:val="1"/>
          <w:bCs w:val="1"/>
          <w:color w:val="auto"/>
        </w:rPr>
        <w:t xml:space="preserve"> </w:t>
      </w:r>
      <w:r>
        <w:rPr>
          <w:rFonts w:ascii="Arial" w:cs="Arial" w:eastAsia="Arial" w:hAnsi="Arial"/>
          <w:sz w:val="15"/>
          <w:szCs w:val="15"/>
          <w:color w:val="auto"/>
        </w:rPr>
        <w:t>Lease. If at any time any windows of the Premises are temporarily darkened or the light therefrom is obstructed by reason of any repairs, improvements, maintenance or cleaning in or about the Property, the same shall be without liability to Landlord and without any reduction or diminution of Tenant’s obligations under this Lease.</w:t>
      </w:r>
    </w:p>
    <w:p>
      <w:pPr>
        <w:spacing w:after="0" w:line="138" w:lineRule="exact"/>
        <w:rPr>
          <w:sz w:val="20"/>
          <w:szCs w:val="20"/>
          <w:color w:val="auto"/>
        </w:rPr>
      </w:pPr>
    </w:p>
    <w:p>
      <w:pPr>
        <w:ind w:right="80" w:firstLine="587"/>
        <w:spacing w:after="0" w:line="272" w:lineRule="auto"/>
        <w:rPr>
          <w:sz w:val="20"/>
          <w:szCs w:val="20"/>
          <w:color w:val="auto"/>
        </w:rPr>
      </w:pPr>
      <w:r>
        <w:rPr>
          <w:rFonts w:ascii="Arial" w:cs="Arial" w:eastAsia="Arial" w:hAnsi="Arial"/>
          <w:sz w:val="16"/>
          <w:szCs w:val="16"/>
          <w:b w:val="1"/>
          <w:bCs w:val="1"/>
          <w:color w:val="auto"/>
        </w:rPr>
        <w:t>25.17 OFAC Certificate and Indemnity</w:t>
      </w:r>
      <w:r>
        <w:rPr>
          <w:rFonts w:ascii="Arial" w:cs="Arial" w:eastAsia="Arial" w:hAnsi="Arial"/>
          <w:sz w:val="16"/>
          <w:szCs w:val="16"/>
          <w:color w:val="auto"/>
        </w:rPr>
        <w:t>. Executive Order No. 13224 on Terrorist Financing, effective September 24, 2001 (the “</w:t>
      </w:r>
      <w:r>
        <w:rPr>
          <w:rFonts w:ascii="Arial" w:cs="Arial" w:eastAsia="Arial" w:hAnsi="Arial"/>
          <w:sz w:val="16"/>
          <w:szCs w:val="16"/>
          <w:b w:val="1"/>
          <w:bCs w:val="1"/>
          <w:u w:val="single" w:color="auto"/>
          <w:color w:val="auto"/>
        </w:rPr>
        <w:t>Executive Order</w:t>
      </w:r>
      <w:r>
        <w:rPr>
          <w:rFonts w:ascii="Arial" w:cs="Arial" w:eastAsia="Arial" w:hAnsi="Arial"/>
          <w:sz w:val="16"/>
          <w:szCs w:val="16"/>
          <w:color w:val="auto"/>
        </w:rPr>
        <w: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Uniting and Strengthening America by Providing Appropriate Tools Required to Intercept and Obstruct Terrorism Act of 2001 (Public Law 10756, the “Patriot Act”) prohibit certain property transfers.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sectPr>
      </w:pPr>
    </w:p>
    <w:bookmarkStart w:id="525" w:name="page526"/>
    <w:bookmarkEnd w:id="525"/>
    <w:p>
      <w:pPr>
        <w:spacing w:after="0" w:line="276" w:lineRule="auto"/>
        <w:rPr>
          <w:sz w:val="20"/>
          <w:szCs w:val="20"/>
          <w:color w:val="auto"/>
        </w:rPr>
      </w:pPr>
      <w:r>
        <w:rPr>
          <w:rFonts w:ascii="Arial" w:cs="Arial" w:eastAsia="Arial" w:hAnsi="Arial"/>
          <w:sz w:val="15"/>
          <w:szCs w:val="15"/>
          <w:color w:val="auto"/>
        </w:rPr>
        <w:t>Tenant hereby represents and warrants to Landlord (which representations and warranties shall be deemed to be continuing and re-made at all times during the Term) that neither Tenant nor any stockholder, manager, beneficiary, partner, or principal of Tenant is subject to the Executive Order, that none of them is listed on the United States Department of the Treasury Office of Foreign Assets Control (“</w:t>
      </w:r>
      <w:r>
        <w:rPr>
          <w:rFonts w:ascii="Arial" w:cs="Arial" w:eastAsia="Arial" w:hAnsi="Arial"/>
          <w:sz w:val="15"/>
          <w:szCs w:val="15"/>
          <w:b w:val="1"/>
          <w:bCs w:val="1"/>
          <w:u w:val="single" w:color="auto"/>
          <w:color w:val="auto"/>
        </w:rPr>
        <w:t>OFAC</w:t>
      </w:r>
      <w:r>
        <w:rPr>
          <w:rFonts w:ascii="Arial" w:cs="Arial" w:eastAsia="Arial" w:hAnsi="Arial"/>
          <w:sz w:val="15"/>
          <w:szCs w:val="15"/>
          <w:color w:val="auto"/>
        </w:rPr>
        <w:t>”) list of “Specially Designated Nationals and Blocked Persons” as modified from time to time, and that none of them is otherwise subject to the provisions of the Executive Order or the Patriot Act. As of the Execution Date, the most current list of “Specially Designated Nationals and Blocked Persons” can be found at http://www.treas.gov/offices/eotffc/ofac/sdn/index.html. Tenant shall from time to time, within ten (10) days after request by Landlord, deliver to Landlord any certification or other evidence requested from time to time by Landlord in its reasonable discretion, confirming Tenant’s compliance with these provisions. No assignment or subletting shall be effective unless and until the assignee or subtenant thereunder delivers to Landlord written confirmation of such party’s compliance with the provisions of this subsection, in form and content reasonably satisfactory to Landlord. If for any reason the representations and warranties set forth in this subsection, or any certificate or other evidence of compliance delivered to Landlord hereunder, is untrue in any respect when made or delivered, or thereafter becomes untrue in any respect, then an Event of Default hereunder shall be deemed to occur immediately, and there shall be no opportunity to cure. Tenant shall indemnify, defend with counsel reasonably acceptable to Landlord, and hold Landlord harmless from and against, any and all Claims arising from or related to the breach of any of the foregoing representations, warranties, and duties of Tenant. The provisions of this subsection shall survive the. expiration or earlier termination of this Lease for the longest period permitted by law.</w:t>
      </w:r>
    </w:p>
    <w:p>
      <w:pPr>
        <w:spacing w:after="0" w:line="156"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6"/>
          <w:szCs w:val="16"/>
          <w:b w:val="1"/>
          <w:bCs w:val="1"/>
          <w:color w:val="auto"/>
        </w:rPr>
        <w:t>25.18</w:t>
      </w:r>
      <w:r>
        <w:rPr>
          <w:sz w:val="20"/>
          <w:szCs w:val="20"/>
          <w:color w:val="auto"/>
        </w:rPr>
        <w:tab/>
      </w:r>
      <w:r>
        <w:rPr>
          <w:rFonts w:ascii="Arial" w:cs="Arial" w:eastAsia="Arial" w:hAnsi="Arial"/>
          <w:sz w:val="14"/>
          <w:szCs w:val="14"/>
          <w:b w:val="1"/>
          <w:bCs w:val="1"/>
          <w:color w:val="auto"/>
        </w:rPr>
        <w:t>Confidentiality</w:t>
      </w:r>
      <w:r>
        <w:rPr>
          <w:rFonts w:ascii="Arial" w:cs="Arial" w:eastAsia="Arial" w:hAnsi="Arial"/>
          <w:sz w:val="14"/>
          <w:szCs w:val="14"/>
          <w:color w:val="auto"/>
        </w:rPr>
        <w:t>.</w:t>
      </w:r>
    </w:p>
    <w:p>
      <w:pPr>
        <w:spacing w:after="0" w:line="211" w:lineRule="exact"/>
        <w:rPr>
          <w:sz w:val="20"/>
          <w:szCs w:val="20"/>
          <w:color w:val="auto"/>
        </w:rPr>
      </w:pPr>
    </w:p>
    <w:p>
      <w:pPr>
        <w:ind w:right="80" w:firstLine="1172"/>
        <w:spacing w:after="0" w:line="278" w:lineRule="auto"/>
        <w:tabs>
          <w:tab w:leader="none" w:pos="1803" w:val="left"/>
        </w:tabs>
        <w:numPr>
          <w:ilvl w:val="0"/>
          <w:numId w:val="515"/>
        </w:numPr>
        <w:rPr>
          <w:rFonts w:ascii="Arial" w:cs="Arial" w:eastAsia="Arial" w:hAnsi="Arial"/>
          <w:sz w:val="15"/>
          <w:szCs w:val="15"/>
          <w:color w:val="auto"/>
        </w:rPr>
      </w:pPr>
      <w:r>
        <w:rPr>
          <w:rFonts w:ascii="Arial" w:cs="Arial" w:eastAsia="Arial" w:hAnsi="Arial"/>
          <w:sz w:val="15"/>
          <w:szCs w:val="15"/>
          <w:color w:val="auto"/>
        </w:rPr>
        <w:t>Each party acknowledges and agrees that the terms of this Lease are confidential. Disclosure of the terms hereof could adversely affect the ability of Landlord to negotiate other leases with respect to the Building and may impair Landlord’s relationship with other tenants of the Building. Each party agrees that it and its partners, officers, directors, employees, brokers, and attorneys, if any, shall not disclose the terms and conditions of this Lease to any other person or entity without the prior written consent of the other party which may be given or withheld by such other party, in such other party’s sole discretion, except as required for financial disclosures or securities filings, as required by the order of any court or public body with authority over such party, or in connection with any litigation between the parties with respect this Lease. In addition, either party may disclose such information to its actual and prospective lenders, investors, partners and others who need to know such information in the ordinary operation of such party’s business, provided that such party advises the recipients of such party’s confidentiality obligations under this Section 25.18(a). It is understood and agreed that damages alone would be an inadequate remedy for the breach of this provision by either party, and each party shall also have the right to seek specific performance of this provision and to seek injunctive relief to prevent its breach or continued breach.</w:t>
      </w:r>
    </w:p>
    <w:p>
      <w:pPr>
        <w:spacing w:after="0" w:line="158" w:lineRule="exact"/>
        <w:rPr>
          <w:rFonts w:ascii="Arial" w:cs="Arial" w:eastAsia="Arial" w:hAnsi="Arial"/>
          <w:sz w:val="15"/>
          <w:szCs w:val="15"/>
          <w:color w:val="auto"/>
        </w:rPr>
      </w:pPr>
    </w:p>
    <w:p>
      <w:pPr>
        <w:ind w:right="220" w:firstLine="1172"/>
        <w:spacing w:after="0" w:line="296" w:lineRule="auto"/>
        <w:tabs>
          <w:tab w:leader="none" w:pos="1812" w:val="left"/>
        </w:tabs>
        <w:numPr>
          <w:ilvl w:val="0"/>
          <w:numId w:val="515"/>
        </w:numPr>
        <w:rPr>
          <w:rFonts w:ascii="Arial" w:cs="Arial" w:eastAsia="Arial" w:hAnsi="Arial"/>
          <w:sz w:val="15"/>
          <w:szCs w:val="15"/>
          <w:color w:val="auto"/>
        </w:rPr>
      </w:pPr>
      <w:r>
        <w:rPr>
          <w:rFonts w:ascii="Arial" w:cs="Arial" w:eastAsia="Arial" w:hAnsi="Arial"/>
          <w:sz w:val="15"/>
          <w:szCs w:val="15"/>
          <w:color w:val="auto"/>
        </w:rPr>
        <w:t>Except as provided in this Section 25.18(b), Landlord shall not release to any third party any Tenant Confidential Information, as hereinafter defined. “Tenant Confidential Information” shall mean any non-public financial information or other non-public information that Tenant gives Landlord regarding Tenant’s ownership structure, its business operations, research or financial condition which Tenant identifies to Landlord in writing as confidential at the time of</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0"/>
          </w:cols>
          <w:pgMar w:left="240" w:top="322" w:right="279" w:bottom="1440" w:gutter="0" w:footer="0" w:header="0"/>
        </w:sectPr>
      </w:pPr>
    </w:p>
    <w:bookmarkStart w:id="526" w:name="page527"/>
    <w:bookmarkEnd w:id="526"/>
    <w:p>
      <w:pPr>
        <w:ind w:right="60"/>
        <w:spacing w:after="0" w:line="261" w:lineRule="auto"/>
        <w:rPr>
          <w:sz w:val="20"/>
          <w:szCs w:val="20"/>
          <w:color w:val="auto"/>
        </w:rPr>
      </w:pPr>
      <w:r>
        <w:rPr>
          <w:rFonts w:ascii="Arial" w:cs="Arial" w:eastAsia="Arial" w:hAnsi="Arial"/>
          <w:sz w:val="16"/>
          <w:szCs w:val="16"/>
          <w:color w:val="auto"/>
        </w:rPr>
        <w:t>disclosure to Landlord. Notwithstanding the foregoing, Tenant Confidential Information under this Section may be released by Landlord or Tenant under the following circumstances: (i) if required by applicable Legal Requirements, order of governmental authority or court order, provided that (if reasonably feasible), Landlord gives Tenant reasonable prior notice of such requirement, (ii) to Landlord’s attorneys, accountants, brokers, other bona fide consultants or advisers (with respect to this Lease only), (iii) to Landlord’s actual and prospective lenders, investors, and purchasers, and (iv) with respect to the Surrender Plan, to any prospective or actual successor tenant of the Premises; provided that, in the cases of disclosures pursuant to clauses (ii), (iii) and (iv) above, Landlord advises the recipients of Landlord’s confidentiality obligations under this Section 25.18(b).</w:t>
      </w:r>
    </w:p>
    <w:p>
      <w:pPr>
        <w:spacing w:after="0" w:line="169" w:lineRule="exact"/>
        <w:rPr>
          <w:sz w:val="20"/>
          <w:szCs w:val="20"/>
          <w:color w:val="auto"/>
        </w:rPr>
      </w:pPr>
    </w:p>
    <w:p>
      <w:pPr>
        <w:ind w:firstLine="1172"/>
        <w:spacing w:after="0" w:line="265" w:lineRule="auto"/>
        <w:tabs>
          <w:tab w:leader="none" w:pos="1803" w:val="left"/>
        </w:tabs>
        <w:numPr>
          <w:ilvl w:val="0"/>
          <w:numId w:val="516"/>
        </w:numPr>
        <w:rPr>
          <w:rFonts w:ascii="Arial" w:cs="Arial" w:eastAsia="Arial" w:hAnsi="Arial"/>
          <w:sz w:val="16"/>
          <w:szCs w:val="16"/>
          <w:color w:val="auto"/>
        </w:rPr>
      </w:pPr>
      <w:r>
        <w:rPr>
          <w:rFonts w:ascii="Arial" w:cs="Arial" w:eastAsia="Arial" w:hAnsi="Arial"/>
          <w:sz w:val="16"/>
          <w:szCs w:val="16"/>
          <w:color w:val="auto"/>
        </w:rPr>
        <w:t>Each party’s obligations under this Section 25.18 shall not be applicable to information that is or becomes generally known to, or ascertainable by, the public, other than as a result of an unauthorized disclosure by such party or by persons or entities to whom such party has made an unauthorized disclosure. It is understood and agreed that damages alone would be an inadequate remedy for the breach of this provision by either party, and each party shall also have the right to seek specific performance of this provision and to seek injunctive relief to prevent its breach or continued breach.</w:t>
      </w:r>
    </w:p>
    <w:p>
      <w:pPr>
        <w:spacing w:after="0" w:line="165" w:lineRule="exact"/>
        <w:rPr>
          <w:rFonts w:ascii="Arial" w:cs="Arial" w:eastAsia="Arial" w:hAnsi="Arial"/>
          <w:sz w:val="16"/>
          <w:szCs w:val="16"/>
          <w:color w:val="auto"/>
        </w:rPr>
      </w:pPr>
    </w:p>
    <w:p>
      <w:pPr>
        <w:ind w:right="140" w:firstLine="1172"/>
        <w:spacing w:after="0" w:line="270" w:lineRule="auto"/>
        <w:tabs>
          <w:tab w:leader="none" w:pos="1812" w:val="left"/>
        </w:tabs>
        <w:numPr>
          <w:ilvl w:val="0"/>
          <w:numId w:val="516"/>
        </w:numPr>
        <w:rPr>
          <w:rFonts w:ascii="Arial" w:cs="Arial" w:eastAsia="Arial" w:hAnsi="Arial"/>
          <w:sz w:val="16"/>
          <w:szCs w:val="16"/>
          <w:color w:val="auto"/>
        </w:rPr>
      </w:pPr>
      <w:r>
        <w:rPr>
          <w:rFonts w:ascii="Arial" w:cs="Arial" w:eastAsia="Arial" w:hAnsi="Arial"/>
          <w:sz w:val="16"/>
          <w:szCs w:val="16"/>
          <w:color w:val="auto"/>
        </w:rPr>
        <w:t>The provisions of confidentiality set forth in this Section 25.18 supersede and replace that certain Confidentiality Agreement, dated as of July 12, 2017, by and between Landlord and Bicycle Therapeutics Limited (“</w:t>
      </w:r>
      <w:r>
        <w:rPr>
          <w:rFonts w:ascii="Arial" w:cs="Arial" w:eastAsia="Arial" w:hAnsi="Arial"/>
          <w:sz w:val="16"/>
          <w:szCs w:val="16"/>
          <w:b w:val="1"/>
          <w:bCs w:val="1"/>
          <w:u w:val="single" w:color="auto"/>
          <w:color w:val="auto"/>
        </w:rPr>
        <w:t>Existing CA</w:t>
      </w:r>
      <w:r>
        <w:rPr>
          <w:rFonts w:ascii="Arial" w:cs="Arial" w:eastAsia="Arial" w:hAnsi="Arial"/>
          <w:sz w:val="16"/>
          <w:szCs w:val="16"/>
          <w:color w:val="auto"/>
        </w:rPr>
        <w:t>”), the parties hereby expressly agreeing that the Existing CA is void and without force or effect.</w:t>
      </w:r>
    </w:p>
    <w:p>
      <w:pPr>
        <w:spacing w:after="0" w:line="158" w:lineRule="exact"/>
        <w:rPr>
          <w:sz w:val="20"/>
          <w:szCs w:val="20"/>
          <w:color w:val="auto"/>
        </w:rPr>
      </w:pPr>
    </w:p>
    <w:p>
      <w:pPr>
        <w:ind w:right="140" w:firstLine="587"/>
        <w:spacing w:after="0" w:line="264" w:lineRule="auto"/>
        <w:rPr>
          <w:sz w:val="20"/>
          <w:szCs w:val="20"/>
          <w:color w:val="auto"/>
        </w:rPr>
      </w:pPr>
      <w:r>
        <w:rPr>
          <w:rFonts w:ascii="Arial" w:cs="Arial" w:eastAsia="Arial" w:hAnsi="Arial"/>
          <w:sz w:val="16"/>
          <w:szCs w:val="16"/>
          <w:b w:val="1"/>
          <w:bCs w:val="1"/>
          <w:color w:val="auto"/>
        </w:rPr>
        <w:t>25.19 Force Majeure</w:t>
      </w:r>
      <w:r>
        <w:rPr>
          <w:rFonts w:ascii="Arial" w:cs="Arial" w:eastAsia="Arial" w:hAnsi="Arial"/>
          <w:sz w:val="16"/>
          <w:szCs w:val="16"/>
          <w:color w:val="auto"/>
        </w:rPr>
        <w:t>. Other than Tenant’s obligations under this Lease that can be performed by the payment of money (e.g., payment of Rent and maintenance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acts of terrorism, governmental laws, regulations, or restrictions, or any other causes of any kind whatsoever which are beyond the control of such party (collectively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Force Majeure</w:t>
      </w:r>
      <w:r>
        <w:rPr>
          <w:rFonts w:ascii="Arial" w:cs="Arial" w:eastAsia="Arial" w:hAnsi="Arial"/>
          <w:sz w:val="16"/>
          <w:szCs w:val="16"/>
          <w:color w:val="auto"/>
        </w:rPr>
        <w:t>”). In no event shall financial inability of a party be deemed to be Force Majeure.</w:t>
      </w:r>
    </w:p>
    <w:p>
      <w:pPr>
        <w:spacing w:after="0" w:line="162" w:lineRule="exact"/>
        <w:rPr>
          <w:sz w:val="20"/>
          <w:szCs w:val="20"/>
          <w:color w:val="auto"/>
        </w:rPr>
      </w:pPr>
    </w:p>
    <w:p>
      <w:pPr>
        <w:ind w:right="60" w:firstLine="587"/>
        <w:spacing w:after="0" w:line="279" w:lineRule="auto"/>
        <w:rPr>
          <w:sz w:val="20"/>
          <w:szCs w:val="20"/>
          <w:color w:val="auto"/>
        </w:rPr>
      </w:pPr>
      <w:r>
        <w:rPr>
          <w:rFonts w:ascii="Arial" w:cs="Arial" w:eastAsia="Arial" w:hAnsi="Arial"/>
          <w:sz w:val="15"/>
          <w:szCs w:val="15"/>
          <w:b w:val="1"/>
          <w:bCs w:val="1"/>
          <w:color w:val="auto"/>
        </w:rPr>
        <w:t>25.20 Furniture, Fixtures and Equipment</w:t>
      </w:r>
      <w:r>
        <w:rPr>
          <w:rFonts w:ascii="Arial" w:cs="Arial" w:eastAsia="Arial" w:hAnsi="Arial"/>
          <w:sz w:val="15"/>
          <w:szCs w:val="15"/>
          <w:color w:val="auto"/>
        </w:rPr>
        <w:t>. During the Term, Tenant shall have the right to the exclusive use of the lab and office furniture, fixtures, and</w:t>
      </w:r>
      <w:r>
        <w:rPr>
          <w:rFonts w:ascii="Arial" w:cs="Arial" w:eastAsia="Arial" w:hAnsi="Arial"/>
          <w:sz w:val="15"/>
          <w:szCs w:val="15"/>
          <w:b w:val="1"/>
          <w:bCs w:val="1"/>
          <w:color w:val="auto"/>
        </w:rPr>
        <w:t xml:space="preserve"> </w:t>
      </w:r>
      <w:r>
        <w:rPr>
          <w:rFonts w:ascii="Arial" w:cs="Arial" w:eastAsia="Arial" w:hAnsi="Arial"/>
          <w:sz w:val="15"/>
          <w:szCs w:val="15"/>
          <w:color w:val="auto"/>
        </w:rPr>
        <w:t>equipment (the “</w:t>
      </w:r>
      <w:r>
        <w:rPr>
          <w:rFonts w:ascii="Arial" w:cs="Arial" w:eastAsia="Arial" w:hAnsi="Arial"/>
          <w:sz w:val="15"/>
          <w:szCs w:val="15"/>
          <w:b w:val="1"/>
          <w:bCs w:val="1"/>
          <w:u w:val="single" w:color="auto"/>
          <w:color w:val="auto"/>
        </w:rPr>
        <w:t>FF&amp;E</w:t>
      </w:r>
      <w:r>
        <w:rPr>
          <w:rFonts w:ascii="Arial" w:cs="Arial" w:eastAsia="Arial" w:hAnsi="Arial"/>
          <w:sz w:val="15"/>
          <w:szCs w:val="15"/>
          <w:color w:val="auto"/>
        </w:rPr>
        <w:t xml:space="preserve">”) that is listed on </w:t>
      </w:r>
      <w:r>
        <w:rPr>
          <w:rFonts w:ascii="Arial" w:cs="Arial" w:eastAsia="Arial" w:hAnsi="Arial"/>
          <w:sz w:val="15"/>
          <w:szCs w:val="15"/>
          <w:u w:val="single" w:color="auto"/>
          <w:color w:val="auto"/>
        </w:rPr>
        <w:t>Exhibit 11</w:t>
      </w:r>
      <w:r>
        <w:rPr>
          <w:rFonts w:ascii="Arial" w:cs="Arial" w:eastAsia="Arial" w:hAnsi="Arial"/>
          <w:sz w:val="15"/>
          <w:szCs w:val="15"/>
          <w:color w:val="auto"/>
        </w:rPr>
        <w:t xml:space="preserve"> attached hereto, which is currently located in the Premises. Tenant, at Tenant’s sole cost and expense, shall maintain and make any necessary repairs or replacements to the FF&amp;E so as to maintain it in good condition throughout the Term (damage caused by fire and other casualty excepted). At Landlord’s election, Tenant shall, upon the expiration or prior termination of the Term of the Lease, either: (i) deliver the FF&amp;E to Landlord in good condition, reasonable wear and tear, and damage by fire or other casualty excepted, or (ii) remove the FF&amp;E from the Premises and repair any damage to the Premises or the Property caused by such removal (in which event, the FF&amp;E shall be deemed to be a part of Tenant’s Property). Tenant shall take the FF&amp;E in its “as is”, “where is” condition in which the FF&amp;E is in as of the Term Commencement Date, without any obligation on the part of Landlord to prepare the FF&amp;E for Tenant’s use or occupancy. Without limiting the foregoing, Landlord makes no warranties or representations to Tenant as to the suitability of the FF&amp;E for Tenant’s use.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27" w:name="page528"/>
    <w:bookmarkEnd w:id="527"/>
    <w:p>
      <w:pPr>
        <w:ind w:firstLine="587"/>
        <w:spacing w:after="0" w:line="278" w:lineRule="auto"/>
        <w:rPr>
          <w:sz w:val="20"/>
          <w:szCs w:val="20"/>
          <w:color w:val="auto"/>
        </w:rPr>
      </w:pPr>
      <w:r>
        <w:rPr>
          <w:rFonts w:ascii="Arial" w:cs="Arial" w:eastAsia="Arial" w:hAnsi="Arial"/>
          <w:sz w:val="15"/>
          <w:szCs w:val="15"/>
          <w:b w:val="1"/>
          <w:bCs w:val="1"/>
          <w:color w:val="auto"/>
        </w:rPr>
        <w:t>25.21 Condition to Lease</w:t>
      </w:r>
      <w:r>
        <w:rPr>
          <w:rFonts w:ascii="Arial" w:cs="Arial" w:eastAsia="Arial" w:hAnsi="Arial"/>
          <w:sz w:val="15"/>
          <w:szCs w:val="15"/>
          <w:color w:val="auto"/>
        </w:rPr>
        <w:t>. Reference is made to the fact that the Premises are presently leased to the Existing Tenant, and Landlord is negotiating in good faith to</w:t>
      </w:r>
      <w:r>
        <w:rPr>
          <w:rFonts w:ascii="Arial" w:cs="Arial" w:eastAsia="Arial" w:hAnsi="Arial"/>
          <w:sz w:val="15"/>
          <w:szCs w:val="15"/>
          <w:b w:val="1"/>
          <w:bCs w:val="1"/>
          <w:color w:val="auto"/>
        </w:rPr>
        <w:t xml:space="preserve"> </w:t>
      </w:r>
      <w:r>
        <w:rPr>
          <w:rFonts w:ascii="Arial" w:cs="Arial" w:eastAsia="Arial" w:hAnsi="Arial"/>
          <w:sz w:val="15"/>
          <w:szCs w:val="15"/>
          <w:color w:val="auto"/>
        </w:rPr>
        <w:t>enter into an agreement with the Existing Tenant to terminate the Existing Tenant’s lease prior to December 15, 2017, the lease expiration date. If the Existing Tenant fails to execute and deliver to Landlord an agreement in form and substance acceptable to Landlord, in Landlord’s sole discretion (the “</w:t>
      </w:r>
      <w:r>
        <w:rPr>
          <w:rFonts w:ascii="Arial" w:cs="Arial" w:eastAsia="Arial" w:hAnsi="Arial"/>
          <w:sz w:val="15"/>
          <w:szCs w:val="15"/>
          <w:b w:val="1"/>
          <w:bCs w:val="1"/>
          <w:u w:val="single" w:color="auto"/>
          <w:color w:val="auto"/>
        </w:rPr>
        <w:t>Surrender Agreement</w:t>
      </w:r>
      <w:r>
        <w:rPr>
          <w:rFonts w:ascii="Arial" w:cs="Arial" w:eastAsia="Arial" w:hAnsi="Arial"/>
          <w:sz w:val="15"/>
          <w:szCs w:val="15"/>
          <w:color w:val="auto"/>
        </w:rPr>
        <w:t>”), whereby the Existing Tenant agrees to terminate the term of its lease with Landlord prior to the Term Commencement Date, then either party shall have the right, exercisable upon written notice to the other party given no sooner than September 30, 2017, with respect to Landlord’s written notice to Tenant, and October 30, 2017, with respect to Tenant’s written notice to Landlord, to render the foregoing Lease void and without force or effect and the Term shall expire as of that date which is five (5) days from the date of such notice unless the Existing Tenant executes and delivers to Landlord the Surrender Agreement within such five (5)-day period. If this Lease is terminated as aforesaid, Landlord shall promptly refund any prepaid monies and the Security Deposit to Tenant. Landlord shall provide a redacted copy of the Surrender Agreement to Tenant promptly upon receipt thereof. If the Existing Tenant holds over in the Premises after the expiration of the term of its lease with Landlord, Landlord shall use commercially reasonable, good faith efforts to recover possession of the Premises from the Existing Tenant and deliver possession to Tenant by January 1, 2018.</w:t>
      </w:r>
    </w:p>
    <w:p>
      <w:pPr>
        <w:spacing w:after="0" w:line="154" w:lineRule="exact"/>
        <w:rPr>
          <w:sz w:val="20"/>
          <w:szCs w:val="20"/>
          <w:color w:val="auto"/>
        </w:rPr>
      </w:pPr>
    </w:p>
    <w:p>
      <w:pPr>
        <w:ind w:right="140" w:firstLine="587"/>
        <w:spacing w:after="0" w:line="290" w:lineRule="auto"/>
        <w:rPr>
          <w:sz w:val="20"/>
          <w:szCs w:val="20"/>
          <w:color w:val="auto"/>
        </w:rPr>
      </w:pPr>
      <w:r>
        <w:rPr>
          <w:rFonts w:ascii="Arial" w:cs="Arial" w:eastAsia="Arial" w:hAnsi="Arial"/>
          <w:sz w:val="16"/>
          <w:szCs w:val="16"/>
          <w:b w:val="1"/>
          <w:bCs w:val="1"/>
          <w:color w:val="auto"/>
        </w:rPr>
        <w:t>25.22 Counterparts</w:t>
      </w:r>
      <w:r>
        <w:rPr>
          <w:rFonts w:ascii="Arial" w:cs="Arial" w:eastAsia="Arial" w:hAnsi="Arial"/>
          <w:sz w:val="16"/>
          <w:szCs w:val="16"/>
          <w:color w:val="auto"/>
        </w:rPr>
        <w:t>. This Lease may be executed in several counterparts and for convenience purposes may be executed in portable document file (PDF) form,</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shall be deemed an original, and all of which shall constitute but one and the same instrument.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0"/>
          </w:cols>
          <w:pgMar w:left="240" w:top="318" w:right="299" w:bottom="1440" w:gutter="0" w:footer="0" w:header="0"/>
        </w:sectPr>
      </w:pPr>
    </w:p>
    <w:bookmarkStart w:id="528" w:name="page529"/>
    <w:bookmarkEnd w:id="528"/>
    <w:p>
      <w:pPr>
        <w:ind w:left="580"/>
        <w:spacing w:after="0"/>
        <w:rPr>
          <w:sz w:val="20"/>
          <w:szCs w:val="20"/>
          <w:color w:val="auto"/>
        </w:rPr>
      </w:pPr>
      <w:r>
        <w:rPr>
          <w:rFonts w:ascii="Arial" w:cs="Arial" w:eastAsia="Arial" w:hAnsi="Arial"/>
          <w:sz w:val="16"/>
          <w:szCs w:val="16"/>
          <w:color w:val="auto"/>
        </w:rPr>
        <w:t>IN WITNESS WHEREOF the parties hereto have executed this Lease as a sealed instrument as of the Execution Date.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LANDLORD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KING 4 HARTWELL PLACE, LLC</w:t>
      </w:r>
      <w:r>
        <w:rPr>
          <w:rFonts w:ascii="Arial" w:cs="Arial" w:eastAsia="Arial" w:hAnsi="Arial"/>
          <w:sz w:val="16"/>
          <w:szCs w:val="16"/>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liability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11000" w:type="dxa"/>
            <w:vAlign w:val="bottom"/>
            <w:gridSpan w:val="3"/>
          </w:tcPr>
          <w:p>
            <w:pPr>
              <w:ind w:left="220"/>
              <w:spacing w:after="0"/>
              <w:rPr>
                <w:sz w:val="20"/>
                <w:szCs w:val="20"/>
                <w:color w:val="auto"/>
              </w:rPr>
            </w:pPr>
            <w:r>
              <w:rPr>
                <w:rFonts w:ascii="Arial" w:cs="Arial" w:eastAsia="Arial" w:hAnsi="Arial"/>
                <w:sz w:val="16"/>
                <w:szCs w:val="16"/>
                <w:color w:val="auto"/>
              </w:rPr>
              <w:t>King Maris LLC, its operating partner</w:t>
            </w:r>
          </w:p>
        </w:tc>
      </w:tr>
      <w:tr>
        <w:trPr>
          <w:trHeight w:val="391"/>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6"/>
                <w:szCs w:val="16"/>
                <w:color w:val="auto"/>
              </w:rPr>
              <w:t>By:</w:t>
            </w:r>
          </w:p>
        </w:tc>
        <w:tc>
          <w:tcPr>
            <w:tcW w:w="10360" w:type="dxa"/>
            <w:vAlign w:val="bottom"/>
            <w:gridSpan w:val="2"/>
          </w:tcPr>
          <w:p>
            <w:pPr>
              <w:ind w:left="180"/>
              <w:spacing w:after="0"/>
              <w:rPr>
                <w:sz w:val="20"/>
                <w:szCs w:val="20"/>
                <w:color w:val="auto"/>
              </w:rPr>
            </w:pPr>
            <w:r>
              <w:rPr>
                <w:rFonts w:ascii="Arial" w:cs="Arial" w:eastAsia="Arial" w:hAnsi="Arial"/>
                <w:sz w:val="16"/>
                <w:szCs w:val="16"/>
                <w:color w:val="auto"/>
              </w:rPr>
              <w:t>King Street Properties Investments LLC, its manager</w:t>
            </w:r>
          </w:p>
        </w:tc>
      </w:tr>
      <w:tr>
        <w:trPr>
          <w:trHeight w:val="392"/>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6"/>
                <w:szCs w:val="16"/>
                <w:color w:val="auto"/>
              </w:rPr>
              <w:t>By:</w:t>
            </w:r>
          </w:p>
        </w:tc>
        <w:tc>
          <w:tcPr>
            <w:tcW w:w="9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D. Lynch</w:t>
            </w:r>
          </w:p>
        </w:tc>
      </w:tr>
      <w:tr>
        <w:trPr>
          <w:trHeight w:val="200"/>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80" w:type="dxa"/>
            <w:vAlign w:val="bottom"/>
          </w:tcPr>
          <w:p>
            <w:pPr>
              <w:spacing w:after="0"/>
              <w:rPr>
                <w:sz w:val="20"/>
                <w:szCs w:val="20"/>
                <w:color w:val="auto"/>
              </w:rPr>
            </w:pPr>
            <w:r>
              <w:rPr>
                <w:rFonts w:ascii="Arial" w:cs="Arial" w:eastAsia="Arial" w:hAnsi="Arial"/>
                <w:sz w:val="16"/>
                <w:szCs w:val="16"/>
                <w:color w:val="auto"/>
              </w:rPr>
              <w:t>Stephen D. Lynch, manager</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TENANT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BICYCLE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Rosamond Deegan</w:t>
            </w:r>
          </w:p>
        </w:tc>
      </w:tr>
      <w:tr>
        <w:trPr>
          <w:trHeight w:val="383"/>
        </w:trPr>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Rosamond Deegan</w:t>
            </w:r>
          </w:p>
        </w:tc>
      </w:tr>
      <w:tr>
        <w:trPr>
          <w:trHeight w:val="383"/>
        </w:trPr>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President &amp; CBO</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EXHIBIT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LEASE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529" w:name="page530"/>
    <w:bookmarkEnd w:id="5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989330</wp:posOffset>
            </wp:positionH>
            <wp:positionV relativeFrom="page">
              <wp:posOffset>212725</wp:posOffset>
            </wp:positionV>
            <wp:extent cx="5590540" cy="86417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clrChange>
                        <a:clrFrom>
                          <a:srgbClr val="FFFFFF"/>
                        </a:clrFrom>
                        <a:clrTo>
                          <a:srgbClr val="FFFFFF">
                            <a:alpha val="0"/>
                          </a:srgbClr>
                        </a:clrTo>
                      </a:clrChange>
                      <a:extLst>
                        <a:ext uri="{28A0092B-C50C-407E-A947-70E740481C1C}"/>
                      </a:extLst>
                    </a:blip>
                    <a:srcRect/>
                    <a:stretch>
                      <a:fillRect/>
                    </a:stretch>
                  </pic:blipFill>
                  <pic:spPr bwMode="auto">
                    <a:xfrm>
                      <a:off x="0" y="0"/>
                      <a:ext cx="5590540" cy="864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89535</wp:posOffset>
            </wp:positionV>
            <wp:extent cx="7280275" cy="279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0" w:name="page531"/>
    <w:bookmarkEnd w:id="530"/>
    <w:p>
      <w:pPr>
        <w:jc w:val="center"/>
        <w:ind w:right="500"/>
        <w:spacing w:after="0"/>
        <w:rPr>
          <w:sz w:val="20"/>
          <w:szCs w:val="20"/>
          <w:color w:val="auto"/>
        </w:rPr>
      </w:pPr>
      <w:r>
        <w:rPr>
          <w:rFonts w:ascii="Arial" w:cs="Arial" w:eastAsia="Arial" w:hAnsi="Arial"/>
          <w:sz w:val="16"/>
          <w:szCs w:val="16"/>
          <w:u w:val="single" w:color="auto"/>
          <w:color w:val="auto"/>
        </w:rPr>
        <w:t>EXHIBIT 1A</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CONTROL AREAS</w:t>
      </w:r>
    </w:p>
    <w:p>
      <w:pPr>
        <w:spacing w:after="0" w:line="203"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4 Hartwell Place</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Lexington, MA</w:t>
      </w:r>
    </w:p>
    <w:p>
      <w:pPr>
        <w:spacing w:after="0" w:line="12"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Control Zones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132080</wp:posOffset>
            </wp:positionV>
            <wp:extent cx="5590540" cy="44646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590540" cy="446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74930</wp:posOffset>
            </wp:positionV>
            <wp:extent cx="7280275" cy="279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500"/>
        <w:spacing w:after="0"/>
        <w:rPr>
          <w:sz w:val="20"/>
          <w:szCs w:val="20"/>
          <w:color w:val="auto"/>
        </w:rPr>
      </w:pPr>
      <w:r>
        <w:rPr>
          <w:rFonts w:ascii="Arial" w:cs="Arial" w:eastAsia="Arial" w:hAnsi="Arial"/>
          <w:sz w:val="16"/>
          <w:szCs w:val="16"/>
          <w:u w:val="single" w:color="auto"/>
          <w:color w:val="auto"/>
        </w:rPr>
        <w:t>EXHIBIT 2</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LEGAL DESCRIPTION</w:t>
      </w:r>
    </w:p>
    <w:p>
      <w:pPr>
        <w:spacing w:after="0" w:line="20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land, together with the improvements thereon, in Lexington, Middlesex County, Massachusetts, commonly known and numbered as 4 Hartwell Place and being bounded and described as follows: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Northeasterly by Hartwell Place, being a curving line, two hundred feet;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Southeasterly by Lot 7 as shown on plan hereinafter mentioned, four hundred eighteen and 82/100 feel;</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Southwesterly by Lot 5 on said plan, five hundred sixteen and 79/100 feet;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Northwesterly by land now or formerly of the United States of America, three hundred three and 58/100 feet; and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Northerly by Lot 10 on said plan, three hundred seventy four and 57/100 feet.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Said parcel is shown as Lot 9 on said plan, (Plan No. 31330D).</w:t>
      </w:r>
    </w:p>
    <w:p>
      <w:pPr>
        <w:spacing w:after="0" w:line="20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All of said boundaries are determined by the Land Court to be located as shown on a subdivision plan, as approved by the Land Court filed in the Land Registration Office, a copy of which is filed in the Registry of Deeds for the South Registry District of Middlesex County in Registration Book 835, Page 146, with Certificate No. 141096.</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The above described land is subject to and has the benefit of the ditches as approximately shown on said plan at date of original decree (May 17, 1963).</w:t>
      </w:r>
    </w:p>
    <w:p>
      <w:pPr>
        <w:spacing w:after="0" w:line="219" w:lineRule="exact"/>
        <w:rPr>
          <w:sz w:val="20"/>
          <w:szCs w:val="20"/>
          <w:color w:val="auto"/>
        </w:rPr>
      </w:pPr>
    </w:p>
    <w:p>
      <w:pPr>
        <w:ind w:right="520"/>
        <w:spacing w:after="0" w:line="285" w:lineRule="auto"/>
        <w:rPr>
          <w:sz w:val="20"/>
          <w:szCs w:val="20"/>
          <w:color w:val="auto"/>
        </w:rPr>
      </w:pPr>
      <w:r>
        <w:rPr>
          <w:rFonts w:ascii="Arial" w:cs="Arial" w:eastAsia="Arial" w:hAnsi="Arial"/>
          <w:sz w:val="16"/>
          <w:szCs w:val="16"/>
          <w:color w:val="auto"/>
        </w:rPr>
        <w:t>So much of the above described land as is included within the area marked “Avigation Easement A-130 — 1 -2 - 3” is subject to the easement set forth in the declaration of taking by the United States of America dated February 12, 1954, duly recorded in Book 8219, Page 421.</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 is appurtenant to the above described land the right to use Hartwell Place in common with all others lawfully entitled thereto, for all purposes for which streets and ways may be used in the Town of Lexington, set forth in Deed Document No. 511667.</w:t>
      </w:r>
    </w:p>
    <w:p>
      <w:pPr>
        <w:spacing w:after="0" w:line="150" w:lineRule="exact"/>
        <w:rPr>
          <w:sz w:val="20"/>
          <w:szCs w:val="20"/>
          <w:color w:val="auto"/>
        </w:rPr>
      </w:pPr>
    </w:p>
    <w:p>
      <w:pPr>
        <w:ind w:right="440"/>
        <w:spacing w:after="0" w:line="285" w:lineRule="auto"/>
        <w:rPr>
          <w:sz w:val="20"/>
          <w:szCs w:val="20"/>
          <w:color w:val="auto"/>
        </w:rPr>
      </w:pPr>
      <w:r>
        <w:rPr>
          <w:rFonts w:ascii="Arial" w:cs="Arial" w:eastAsia="Arial" w:hAnsi="Arial"/>
          <w:sz w:val="16"/>
          <w:szCs w:val="16"/>
          <w:color w:val="auto"/>
        </w:rPr>
        <w:t>There is appurtenant to the above described land the right to use the twenty (20) feet wide drainage easement over Lot 10, on said plan in common with others entitled thereto, set forth in Deed Document No. 511667.</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 above described land has the benefit of the Grant of Easement for utilities and construction purposes more particularly set forth in need Document No, 511667.</w:t>
      </w:r>
    </w:p>
    <w:p>
      <w:pPr>
        <w:sectPr>
          <w:pgSz w:w="11900" w:h="16838" w:orient="portrait"/>
          <w:cols w:equalWidth="0" w:num="1">
            <w:col w:w="10760"/>
          </w:cols>
          <w:pgMar w:left="820" w:top="323" w:right="319" w:bottom="0" w:gutter="0" w:footer="0" w:header="0"/>
        </w:sectPr>
      </w:pPr>
    </w:p>
    <w:bookmarkStart w:id="531" w:name="page532"/>
    <w:bookmarkEnd w:id="531"/>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89535</wp:posOffset>
            </wp:positionV>
            <wp:extent cx="7280275" cy="279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sectPr>
      </w:pPr>
    </w:p>
    <w:bookmarkStart w:id="532" w:name="page533"/>
    <w:bookmarkEnd w:id="532"/>
    <w:p>
      <w:pPr>
        <w:jc w:val="center"/>
        <w:spacing w:after="0"/>
        <w:rPr>
          <w:sz w:val="20"/>
          <w:szCs w:val="20"/>
          <w:color w:val="auto"/>
        </w:rPr>
      </w:pPr>
      <w:r>
        <w:rPr>
          <w:rFonts w:ascii="Arial" w:cs="Arial" w:eastAsia="Arial" w:hAnsi="Arial"/>
          <w:sz w:val="16"/>
          <w:szCs w:val="16"/>
          <w:u w:val="single" w:color="auto"/>
          <w:color w:val="auto"/>
        </w:rPr>
        <w:t>EXHIBIT 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INTENTIONALLY OMITTED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74930</wp:posOffset>
            </wp:positionV>
            <wp:extent cx="7280275" cy="279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sectPr>
      </w:pPr>
    </w:p>
    <w:bookmarkStart w:id="533" w:name="page534"/>
    <w:bookmarkEnd w:id="533"/>
    <w:p>
      <w:pPr>
        <w:jc w:val="center"/>
        <w:spacing w:after="0"/>
        <w:rPr>
          <w:sz w:val="20"/>
          <w:szCs w:val="20"/>
          <w:color w:val="auto"/>
        </w:rPr>
      </w:pPr>
      <w:r>
        <w:rPr>
          <w:rFonts w:ascii="Arial" w:cs="Arial" w:eastAsia="Arial" w:hAnsi="Arial"/>
          <w:sz w:val="16"/>
          <w:szCs w:val="16"/>
          <w:u w:val="single" w:color="auto"/>
          <w:color w:val="auto"/>
        </w:rPr>
        <w:t>EXHIBIT 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INTENTIONALLY OMITTED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74930</wp:posOffset>
            </wp:positionV>
            <wp:extent cx="7280275" cy="279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sectPr>
      </w:pPr>
    </w:p>
    <w:bookmarkStart w:id="534" w:name="page535"/>
    <w:bookmarkEnd w:id="534"/>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EXHIBIT 5</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407"/>
        </w:trPr>
        <w:tc>
          <w:tcPr>
            <w:tcW w:w="3280" w:type="dxa"/>
            <w:vAlign w:val="bottom"/>
          </w:tcPr>
          <w:p>
            <w:pPr>
              <w:spacing w:after="0"/>
              <w:rPr>
                <w:sz w:val="24"/>
                <w:szCs w:val="24"/>
                <w:color w:val="auto"/>
              </w:rPr>
            </w:pPr>
          </w:p>
        </w:tc>
        <w:tc>
          <w:tcPr>
            <w:tcW w:w="3780" w:type="dxa"/>
            <w:vAlign w:val="bottom"/>
            <w:gridSpan w:val="4"/>
          </w:tcPr>
          <w:p>
            <w:pPr>
              <w:jc w:val="center"/>
              <w:ind w:left="1019"/>
              <w:spacing w:after="0"/>
              <w:rPr>
                <w:sz w:val="20"/>
                <w:szCs w:val="20"/>
                <w:color w:val="auto"/>
              </w:rPr>
            </w:pPr>
            <w:r>
              <w:rPr>
                <w:rFonts w:ascii="Arial" w:cs="Arial" w:eastAsia="Arial" w:hAnsi="Arial"/>
                <w:sz w:val="16"/>
                <w:szCs w:val="16"/>
                <w:color w:val="auto"/>
                <w:w w:val="97"/>
              </w:rPr>
              <w:t>FORM OF LETTER OF CREDIT</w:t>
            </w:r>
          </w:p>
        </w:tc>
      </w:tr>
      <w:tr>
        <w:trPr>
          <w:trHeight w:val="391"/>
        </w:trPr>
        <w:tc>
          <w:tcPr>
            <w:tcW w:w="3280" w:type="dxa"/>
            <w:vAlign w:val="bottom"/>
          </w:tcPr>
          <w:p>
            <w:pPr>
              <w:spacing w:after="0"/>
              <w:rPr>
                <w:sz w:val="20"/>
                <w:szCs w:val="20"/>
                <w:color w:val="auto"/>
              </w:rPr>
            </w:pPr>
            <w:r>
              <w:rPr>
                <w:rFonts w:ascii="Arial" w:cs="Arial" w:eastAsia="Arial" w:hAnsi="Arial"/>
                <w:sz w:val="16"/>
                <w:szCs w:val="16"/>
                <w:color w:val="auto"/>
              </w:rPr>
              <w:t>BENEFICIARY:</w:t>
            </w:r>
          </w:p>
        </w:tc>
        <w:tc>
          <w:tcPr>
            <w:tcW w:w="3160" w:type="dxa"/>
            <w:vAlign w:val="bottom"/>
            <w:gridSpan w:val="3"/>
          </w:tcPr>
          <w:p>
            <w:pPr>
              <w:ind w:left="1840"/>
              <w:spacing w:after="0"/>
              <w:rPr>
                <w:sz w:val="20"/>
                <w:szCs w:val="20"/>
                <w:color w:val="auto"/>
              </w:rPr>
            </w:pPr>
            <w:r>
              <w:rPr>
                <w:rFonts w:ascii="Arial" w:cs="Arial" w:eastAsia="Arial" w:hAnsi="Arial"/>
                <w:sz w:val="16"/>
                <w:szCs w:val="16"/>
                <w:color w:val="auto"/>
                <w:w w:val="97"/>
              </w:rPr>
              <w:t>ISSUANCE DATE:</w:t>
            </w:r>
          </w:p>
        </w:tc>
        <w:tc>
          <w:tcPr>
            <w:tcW w:w="620" w:type="dxa"/>
            <w:vAlign w:val="bottom"/>
          </w:tcPr>
          <w:p>
            <w:pPr>
              <w:spacing w:after="0"/>
              <w:rPr>
                <w:sz w:val="24"/>
                <w:szCs w:val="24"/>
                <w:color w:val="auto"/>
              </w:rPr>
            </w:pPr>
          </w:p>
        </w:tc>
      </w:tr>
      <w:tr>
        <w:trPr>
          <w:trHeight w:val="391"/>
        </w:trPr>
        <w:tc>
          <w:tcPr>
            <w:tcW w:w="3280" w:type="dxa"/>
            <w:vAlign w:val="bottom"/>
          </w:tcPr>
          <w:p>
            <w:pPr>
              <w:spacing w:after="0"/>
              <w:rPr>
                <w:sz w:val="20"/>
                <w:szCs w:val="20"/>
                <w:color w:val="auto"/>
              </w:rPr>
            </w:pPr>
            <w:r>
              <w:rPr>
                <w:rFonts w:ascii="Arial" w:cs="Arial" w:eastAsia="Arial" w:hAnsi="Arial"/>
                <w:sz w:val="16"/>
                <w:szCs w:val="16"/>
                <w:color w:val="auto"/>
              </w:rPr>
              <w:t>&lt; &gt;</w:t>
            </w: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1"/>
        </w:trPr>
        <w:tc>
          <w:tcPr>
            <w:tcW w:w="3280" w:type="dxa"/>
            <w:vAlign w:val="bottom"/>
          </w:tcPr>
          <w:p>
            <w:pPr>
              <w:spacing w:after="0"/>
              <w:rPr>
                <w:sz w:val="20"/>
                <w:szCs w:val="20"/>
                <w:color w:val="auto"/>
              </w:rPr>
            </w:pPr>
            <w:r>
              <w:rPr>
                <w:rFonts w:ascii="Arial" w:cs="Arial" w:eastAsia="Arial" w:hAnsi="Arial"/>
                <w:sz w:val="16"/>
                <w:szCs w:val="16"/>
                <w:color w:val="auto"/>
              </w:rPr>
              <w:t>[LANDLORD]</w:t>
            </w: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80"/>
        </w:trPr>
        <w:tc>
          <w:tcPr>
            <w:tcW w:w="3280" w:type="dxa"/>
            <w:vAlign w:val="bottom"/>
          </w:tcPr>
          <w:p>
            <w:pPr>
              <w:spacing w:after="0"/>
              <w:rPr>
                <w:sz w:val="24"/>
                <w:szCs w:val="24"/>
                <w:color w:val="auto"/>
              </w:rPr>
            </w:pPr>
          </w:p>
        </w:tc>
        <w:tc>
          <w:tcPr>
            <w:tcW w:w="3780" w:type="dxa"/>
            <w:vAlign w:val="bottom"/>
            <w:gridSpan w:val="4"/>
          </w:tcPr>
          <w:p>
            <w:pPr>
              <w:ind w:left="1840"/>
              <w:spacing w:after="0"/>
              <w:rPr>
                <w:sz w:val="20"/>
                <w:szCs w:val="20"/>
                <w:color w:val="auto"/>
              </w:rPr>
            </w:pPr>
            <w:r>
              <w:rPr>
                <w:rFonts w:ascii="Arial" w:cs="Arial" w:eastAsia="Arial" w:hAnsi="Arial"/>
                <w:sz w:val="16"/>
                <w:szCs w:val="16"/>
                <w:color w:val="auto"/>
                <w:w w:val="99"/>
              </w:rPr>
              <w:t>IRREVOCABLE STANDBY</w:t>
            </w:r>
          </w:p>
        </w:tc>
      </w:tr>
      <w:tr>
        <w:trPr>
          <w:trHeight w:val="207"/>
        </w:trPr>
        <w:tc>
          <w:tcPr>
            <w:tcW w:w="3280" w:type="dxa"/>
            <w:vAlign w:val="bottom"/>
          </w:tcPr>
          <w:p>
            <w:pPr>
              <w:spacing w:after="0"/>
              <w:rPr>
                <w:sz w:val="18"/>
                <w:szCs w:val="18"/>
                <w:color w:val="auto"/>
              </w:rPr>
            </w:pPr>
          </w:p>
        </w:tc>
        <w:tc>
          <w:tcPr>
            <w:tcW w:w="3780" w:type="dxa"/>
            <w:vAlign w:val="bottom"/>
            <w:gridSpan w:val="4"/>
          </w:tcPr>
          <w:p>
            <w:pPr>
              <w:ind w:left="1840"/>
              <w:spacing w:after="0"/>
              <w:rPr>
                <w:sz w:val="20"/>
                <w:szCs w:val="20"/>
                <w:color w:val="auto"/>
              </w:rPr>
            </w:pPr>
            <w:r>
              <w:rPr>
                <w:rFonts w:ascii="Arial" w:cs="Arial" w:eastAsia="Arial" w:hAnsi="Arial"/>
                <w:sz w:val="16"/>
                <w:szCs w:val="16"/>
                <w:color w:val="auto"/>
              </w:rPr>
              <w:t>LETTER OF CREDIT NO.</w:t>
            </w:r>
          </w:p>
        </w:tc>
      </w:tr>
      <w:tr>
        <w:trPr>
          <w:trHeight w:val="380"/>
        </w:trPr>
        <w:tc>
          <w:tcPr>
            <w:tcW w:w="3280" w:type="dxa"/>
            <w:vAlign w:val="bottom"/>
          </w:tcPr>
          <w:p>
            <w:pPr>
              <w:spacing w:after="0"/>
              <w:rPr>
                <w:sz w:val="20"/>
                <w:szCs w:val="20"/>
                <w:color w:val="auto"/>
              </w:rPr>
            </w:pPr>
            <w:r>
              <w:rPr>
                <w:rFonts w:ascii="Arial" w:cs="Arial" w:eastAsia="Arial" w:hAnsi="Arial"/>
                <w:sz w:val="16"/>
                <w:szCs w:val="16"/>
                <w:color w:val="auto"/>
              </w:rPr>
              <w:t>ACCOUNTEE/APPLICANT:</w:t>
            </w:r>
          </w:p>
        </w:tc>
        <w:tc>
          <w:tcPr>
            <w:tcW w:w="3780" w:type="dxa"/>
            <w:vAlign w:val="bottom"/>
            <w:gridSpan w:val="4"/>
          </w:tcPr>
          <w:p>
            <w:pPr>
              <w:ind w:left="1840"/>
              <w:spacing w:after="0"/>
              <w:rPr>
                <w:sz w:val="20"/>
                <w:szCs w:val="20"/>
                <w:color w:val="auto"/>
              </w:rPr>
            </w:pPr>
            <w:r>
              <w:rPr>
                <w:rFonts w:ascii="Arial" w:cs="Arial" w:eastAsia="Arial" w:hAnsi="Arial"/>
                <w:sz w:val="16"/>
                <w:szCs w:val="16"/>
                <w:color w:val="auto"/>
              </w:rPr>
              <w:t>MAXIMUM/AGGREGATE</w:t>
            </w:r>
          </w:p>
        </w:tc>
      </w:tr>
      <w:tr>
        <w:trPr>
          <w:trHeight w:val="196"/>
        </w:trPr>
        <w:tc>
          <w:tcPr>
            <w:tcW w:w="3280" w:type="dxa"/>
            <w:vAlign w:val="bottom"/>
          </w:tcPr>
          <w:p>
            <w:pPr>
              <w:spacing w:after="0"/>
              <w:rPr>
                <w:sz w:val="17"/>
                <w:szCs w:val="17"/>
                <w:color w:val="auto"/>
              </w:rPr>
            </w:pPr>
          </w:p>
        </w:tc>
        <w:tc>
          <w:tcPr>
            <w:tcW w:w="3780" w:type="dxa"/>
            <w:vAlign w:val="bottom"/>
            <w:gridSpan w:val="4"/>
          </w:tcPr>
          <w:p>
            <w:pPr>
              <w:ind w:left="1840"/>
              <w:spacing w:after="0"/>
              <w:rPr>
                <w:sz w:val="20"/>
                <w:szCs w:val="20"/>
                <w:color w:val="auto"/>
              </w:rPr>
            </w:pPr>
            <w:r>
              <w:rPr>
                <w:rFonts w:ascii="Arial" w:cs="Arial" w:eastAsia="Arial" w:hAnsi="Arial"/>
                <w:sz w:val="16"/>
                <w:szCs w:val="16"/>
                <w:color w:val="auto"/>
              </w:rPr>
              <w:t>CREDIT AMOUNT:</w:t>
            </w:r>
          </w:p>
        </w:tc>
      </w:tr>
      <w:tr>
        <w:trPr>
          <w:trHeight w:val="207"/>
        </w:trPr>
        <w:tc>
          <w:tcPr>
            <w:tcW w:w="3280" w:type="dxa"/>
            <w:vAlign w:val="bottom"/>
          </w:tcPr>
          <w:p>
            <w:pPr>
              <w:spacing w:after="0"/>
              <w:rPr>
                <w:sz w:val="20"/>
                <w:szCs w:val="20"/>
                <w:color w:val="auto"/>
              </w:rPr>
            </w:pPr>
            <w:r>
              <w:rPr>
                <w:rFonts w:ascii="Arial" w:cs="Arial" w:eastAsia="Arial" w:hAnsi="Arial"/>
                <w:sz w:val="16"/>
                <w:szCs w:val="16"/>
                <w:color w:val="auto"/>
              </w:rPr>
              <w:t>&lt; &gt;</w:t>
            </w:r>
          </w:p>
        </w:tc>
        <w:tc>
          <w:tcPr>
            <w:tcW w:w="3160" w:type="dxa"/>
            <w:vAlign w:val="bottom"/>
            <w:gridSpan w:val="3"/>
          </w:tcPr>
          <w:p>
            <w:pPr>
              <w:ind w:left="1840"/>
              <w:spacing w:after="0"/>
              <w:rPr>
                <w:sz w:val="20"/>
                <w:szCs w:val="20"/>
                <w:color w:val="auto"/>
              </w:rPr>
            </w:pPr>
            <w:r>
              <w:rPr>
                <w:rFonts w:ascii="Arial" w:cs="Arial" w:eastAsia="Arial" w:hAnsi="Arial"/>
                <w:sz w:val="16"/>
                <w:szCs w:val="16"/>
                <w:color w:val="auto"/>
              </w:rPr>
              <w:t>USD: $</w:t>
            </w:r>
          </w:p>
        </w:tc>
        <w:tc>
          <w:tcPr>
            <w:tcW w:w="620" w:type="dxa"/>
            <w:vAlign w:val="bottom"/>
          </w:tcPr>
          <w:p>
            <w:pPr>
              <w:jc w:val="right"/>
              <w:ind w:right="459"/>
              <w:spacing w:after="0"/>
              <w:rPr>
                <w:sz w:val="20"/>
                <w:szCs w:val="20"/>
                <w:color w:val="auto"/>
              </w:rPr>
            </w:pPr>
            <w:r>
              <w:rPr>
                <w:rFonts w:ascii="Arial" w:cs="Arial" w:eastAsia="Arial" w:hAnsi="Arial"/>
                <w:sz w:val="16"/>
                <w:szCs w:val="16"/>
                <w:color w:val="auto"/>
              </w:rPr>
              <w:t>.</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6"/>
                <w:szCs w:val="16"/>
                <w:color w:val="auto"/>
              </w:rPr>
              <w:t>[TENANT]</w:t>
            </w:r>
          </w:p>
        </w:tc>
        <w:tc>
          <w:tcPr>
            <w:tcW w:w="4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91"/>
        </w:trPr>
        <w:tc>
          <w:tcPr>
            <w:tcW w:w="10420" w:type="dxa"/>
            <w:vAlign w:val="bottom"/>
            <w:gridSpan w:val="3"/>
          </w:tcPr>
          <w:p>
            <w:pPr>
              <w:spacing w:after="0"/>
              <w:rPr>
                <w:sz w:val="20"/>
                <w:szCs w:val="20"/>
                <w:color w:val="auto"/>
              </w:rPr>
            </w:pPr>
            <w:r>
              <w:rPr>
                <w:rFonts w:ascii="Arial" w:cs="Arial" w:eastAsia="Arial" w:hAnsi="Arial"/>
                <w:sz w:val="16"/>
                <w:szCs w:val="16"/>
                <w:color w:val="auto"/>
              </w:rPr>
              <w:t>LADIES AND GENTLEMEN:</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80"/>
        </w:trPr>
        <w:tc>
          <w:tcPr>
            <w:tcW w:w="10420" w:type="dxa"/>
            <w:vAlign w:val="bottom"/>
            <w:gridSpan w:val="3"/>
          </w:tcPr>
          <w:p>
            <w:pPr>
              <w:ind w:left="580"/>
              <w:spacing w:after="0"/>
              <w:rPr>
                <w:sz w:val="20"/>
                <w:szCs w:val="20"/>
                <w:color w:val="auto"/>
              </w:rPr>
            </w:pPr>
            <w:r>
              <w:rPr>
                <w:rFonts w:ascii="Arial" w:cs="Arial" w:eastAsia="Arial" w:hAnsi="Arial"/>
                <w:sz w:val="16"/>
                <w:szCs w:val="16"/>
                <w:color w:val="auto"/>
              </w:rPr>
              <w:t>We hereby establish our irrevocable letter of credit in your favor for account of the applicant up to an aggregate amount not to exceed</w:t>
            </w:r>
          </w:p>
        </w:tc>
        <w:tc>
          <w:tcPr>
            <w:tcW w:w="380" w:type="dxa"/>
            <w:vAlign w:val="bottom"/>
          </w:tcPr>
          <w:p>
            <w:pPr>
              <w:ind w:left="20"/>
              <w:spacing w:after="0"/>
              <w:rPr>
                <w:sz w:val="20"/>
                <w:szCs w:val="20"/>
                <w:color w:val="auto"/>
              </w:rPr>
            </w:pPr>
            <w:r>
              <w:rPr>
                <w:rFonts w:ascii="Arial" w:cs="Arial" w:eastAsia="Arial" w:hAnsi="Arial"/>
                <w:sz w:val="16"/>
                <w:szCs w:val="16"/>
                <w:color w:val="auto"/>
              </w:rPr>
              <w:t>and</w:t>
            </w:r>
          </w:p>
        </w:tc>
        <w:tc>
          <w:tcPr>
            <w:tcW w:w="4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7"/>
        </w:trPr>
        <w:tc>
          <w:tcPr>
            <w:tcW w:w="1100" w:type="dxa"/>
            <w:vAlign w:val="bottom"/>
          </w:tcPr>
          <w:p>
            <w:pPr>
              <w:spacing w:after="0"/>
              <w:rPr>
                <w:sz w:val="20"/>
                <w:szCs w:val="20"/>
                <w:color w:val="auto"/>
              </w:rPr>
            </w:pPr>
            <w:r>
              <w:rPr>
                <w:rFonts w:ascii="Arial" w:cs="Arial" w:eastAsia="Arial" w:hAnsi="Arial"/>
                <w:sz w:val="16"/>
                <w:szCs w:val="16"/>
                <w:color w:val="auto"/>
              </w:rPr>
              <w:t>US Dollars ($</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900" w:type="dxa"/>
            <w:vAlign w:val="bottom"/>
          </w:tcPr>
          <w:p>
            <w:pPr>
              <w:ind w:left="160"/>
              <w:spacing w:after="0"/>
              <w:rPr>
                <w:sz w:val="20"/>
                <w:szCs w:val="20"/>
                <w:color w:val="auto"/>
              </w:rPr>
            </w:pPr>
            <w:r>
              <w:rPr>
                <w:rFonts w:ascii="Arial" w:cs="Arial" w:eastAsia="Arial" w:hAnsi="Arial"/>
                <w:sz w:val="16"/>
                <w:szCs w:val="16"/>
                <w:color w:val="auto"/>
                <w:w w:val="92"/>
              </w:rPr>
              <w:t>) available by your draft(s) drawn on ourselves at sight bearing the clause “Drawn under Irrevocable Standby Letter of Credit Number</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ind w:right="60" w:firstLine="937"/>
        <w:spacing w:after="0" w:line="262" w:lineRule="auto"/>
        <w:rPr>
          <w:sz w:val="20"/>
          <w:szCs w:val="20"/>
          <w:color w:val="auto"/>
        </w:rPr>
      </w:pPr>
      <w:r>
        <w:rPr>
          <w:rFonts w:ascii="Arial" w:cs="Arial" w:eastAsia="Arial" w:hAnsi="Arial"/>
          <w:sz w:val="16"/>
          <w:szCs w:val="16"/>
          <w:color w:val="auto"/>
        </w:rPr>
        <w:t>” and indicating the amount to be drawn down and whether payment should be made by wire transfer (including wiring instructions) or by certified check (including mailing address) accompanied by the original of this Letter of Credit and all amendments, if any. The original Letter of Credit and all amendments, if any, shall be returned to you unless fully utilized.</w:t>
      </w:r>
    </w:p>
    <w:p>
      <w:pPr>
        <w:spacing w:after="0" w:line="168" w:lineRule="exact"/>
        <w:rPr>
          <w:sz w:val="20"/>
          <w:szCs w:val="20"/>
          <w:color w:val="auto"/>
        </w:rPr>
      </w:pPr>
    </w:p>
    <w:p>
      <w:pPr>
        <w:ind w:right="40" w:firstLine="587"/>
        <w:spacing w:after="0" w:line="270" w:lineRule="auto"/>
        <w:rPr>
          <w:sz w:val="20"/>
          <w:szCs w:val="20"/>
          <w:color w:val="auto"/>
        </w:rPr>
      </w:pPr>
      <w:r>
        <w:rPr>
          <w:rFonts w:ascii="Arial" w:cs="Arial" w:eastAsia="Arial" w:hAnsi="Arial"/>
          <w:sz w:val="16"/>
          <w:szCs w:val="16"/>
          <w:color w:val="auto"/>
        </w:rPr>
        <w:t>Unless otherwise stated, all correspondence, documents and sight drafts are to be sent via facsimile to ( ) - with originals to follow by hand delivery with receipted delivery, nationally recognized overnight courier with receipted delivery or certified mail, return receipt requested to our counters at &lt;address&gt;. The date of presentment of any draw shall be the date copies of the Letter of Credit and sight draft are faxed by Beneficiary to &lt;bank&gt;.</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You shall have the right to make partial draws against this Letter of Credit, from time to time.</w:t>
      </w:r>
    </w:p>
    <w:p>
      <w:pPr>
        <w:spacing w:after="0" w:line="207" w:lineRule="exact"/>
        <w:rPr>
          <w:sz w:val="20"/>
          <w:szCs w:val="20"/>
          <w:color w:val="auto"/>
        </w:rPr>
      </w:pPr>
    </w:p>
    <w:p>
      <w:pPr>
        <w:jc w:val="both"/>
        <w:ind w:right="40" w:firstLine="587"/>
        <w:spacing w:after="0" w:line="360" w:lineRule="auto"/>
        <w:rPr>
          <w:sz w:val="20"/>
          <w:szCs w:val="20"/>
          <w:color w:val="auto"/>
        </w:rPr>
      </w:pPr>
      <w:r>
        <w:rPr>
          <w:rFonts w:ascii="Arial" w:cs="Arial" w:eastAsia="Arial" w:hAnsi="Arial"/>
          <w:sz w:val="14"/>
          <w:szCs w:val="14"/>
          <w:color w:val="auto"/>
        </w:rPr>
        <w:t>You shall be entitled to assign your interest in this Irrevocable Standby Letter of Credit from time to time to your lender(s) and/or your successors in interest without our approval and without charge. In the event of an assignment, we reserve the right to require reasonable evidence of such assignment as a condition to any draw hereunder.</w:t>
      </w:r>
    </w:p>
    <w:p>
      <w:pPr>
        <w:spacing w:after="0" w:line="104" w:lineRule="exact"/>
        <w:rPr>
          <w:sz w:val="20"/>
          <w:szCs w:val="20"/>
          <w:color w:val="auto"/>
        </w:rPr>
      </w:pPr>
    </w:p>
    <w:p>
      <w:pPr>
        <w:ind w:firstLine="587"/>
        <w:spacing w:after="0" w:line="285" w:lineRule="auto"/>
        <w:rPr>
          <w:sz w:val="20"/>
          <w:szCs w:val="20"/>
          <w:color w:val="auto"/>
        </w:rPr>
      </w:pPr>
      <w:r>
        <w:rPr>
          <w:rFonts w:ascii="Arial" w:cs="Arial" w:eastAsia="Arial" w:hAnsi="Arial"/>
          <w:sz w:val="16"/>
          <w:szCs w:val="16"/>
          <w:color w:val="auto"/>
        </w:rPr>
        <w:t>Except as otherwise expressly stated herein, this Letter of Credit is subject to the “Uniform Customs and practice for Documentary Credits, International Chamber of Commerce, Publication No. 500 (1993 Revision)”.</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0"/>
          </w:cols>
          <w:pgMar w:left="240" w:top="309" w:right="299" w:bottom="1440" w:gutter="0" w:footer="0" w:header="0"/>
        </w:sectPr>
      </w:pPr>
    </w:p>
    <w:bookmarkStart w:id="535" w:name="page536"/>
    <w:bookmarkEnd w:id="535"/>
    <w:p>
      <w:pPr>
        <w:ind w:right="120" w:firstLine="587"/>
        <w:spacing w:after="0" w:line="262" w:lineRule="auto"/>
        <w:rPr>
          <w:sz w:val="20"/>
          <w:szCs w:val="20"/>
          <w:color w:val="auto"/>
        </w:rPr>
      </w:pPr>
      <w:r>
        <w:rPr>
          <w:rFonts w:ascii="Arial" w:cs="Arial" w:eastAsia="Arial" w:hAnsi="Arial"/>
          <w:sz w:val="16"/>
          <w:szCs w:val="16"/>
          <w:color w:val="auto"/>
        </w:rPr>
        <w:t>This Letter of Credit shall expire at our office on , 20 (the “</w:t>
      </w:r>
      <w:r>
        <w:rPr>
          <w:rFonts w:ascii="Arial" w:cs="Arial" w:eastAsia="Arial" w:hAnsi="Arial"/>
          <w:sz w:val="16"/>
          <w:szCs w:val="16"/>
          <w:b w:val="1"/>
          <w:bCs w:val="1"/>
          <w:u w:val="single" w:color="auto"/>
          <w:color w:val="auto"/>
        </w:rPr>
        <w:t>Stated Expiration Date</w:t>
      </w:r>
      <w:r>
        <w:rPr>
          <w:rFonts w:ascii="Arial" w:cs="Arial" w:eastAsia="Arial" w:hAnsi="Arial"/>
          <w:sz w:val="16"/>
          <w:szCs w:val="16"/>
          <w:color w:val="auto"/>
        </w:rPr>
        <w:t>”). It is a condition of this Letter of Credit that the Stated Expiration Date shall be deemed automatically extended without amendment for successive one (1) year periods from such Stated Expiration Date, unless at least sixty (60) days prior to such Stated Expiration Date (or any anniversary thereof) we shall send a written notice to you, with a copy to Goulston &amp; Storrs, 400 Atlantic Avenue, Boston, MA 02110, Attention: Colleen P. Hussey and to the Accountee/Applicant, by hand delivery, nationally recognized overnight courier with receipted delivery or by certified mail (return receipt requested) that we elect not to consider this Letter of Credit extended for any such additional one (1) year period. In the event that this Letter of Credit is not extended for an additional period as provided above, you may draw the entire amount available hereunder.</w:t>
      </w:r>
    </w:p>
    <w:p>
      <w:pPr>
        <w:spacing w:after="0" w:line="168" w:lineRule="exact"/>
        <w:rPr>
          <w:sz w:val="20"/>
          <w:szCs w:val="20"/>
          <w:color w:val="auto"/>
        </w:rPr>
      </w:pPr>
    </w:p>
    <w:p>
      <w:pPr>
        <w:ind w:firstLine="587"/>
        <w:spacing w:after="0" w:line="270" w:lineRule="auto"/>
        <w:rPr>
          <w:sz w:val="20"/>
          <w:szCs w:val="20"/>
          <w:color w:val="auto"/>
        </w:rPr>
      </w:pPr>
      <w:r>
        <w:rPr>
          <w:rFonts w:ascii="Arial" w:cs="Arial" w:eastAsia="Arial" w:hAnsi="Arial"/>
          <w:sz w:val="16"/>
          <w:szCs w:val="16"/>
          <w:color w:val="auto"/>
        </w:rPr>
        <w:t>If at any time prior to presentation of documents for payment hereunder, we receive a notarized certificate signed by one who purports to be a duly authorized representative on your behalf to execute and deliver such certificate, stating that this Letter of Credit has been lost, stolen, damaged or destroyed, we will mail you a “Certified True Copy” of this Letter of Credit, which shall be treated by us as an original.</w:t>
      </w:r>
    </w:p>
    <w:p>
      <w:pPr>
        <w:spacing w:after="0" w:line="162" w:lineRule="exact"/>
        <w:rPr>
          <w:sz w:val="20"/>
          <w:szCs w:val="20"/>
          <w:color w:val="auto"/>
        </w:rPr>
      </w:pPr>
    </w:p>
    <w:p>
      <w:pPr>
        <w:ind w:right="140" w:firstLine="587"/>
        <w:spacing w:after="0" w:line="285" w:lineRule="auto"/>
        <w:rPr>
          <w:sz w:val="20"/>
          <w:szCs w:val="20"/>
          <w:color w:val="auto"/>
        </w:rPr>
      </w:pPr>
      <w:r>
        <w:rPr>
          <w:rFonts w:ascii="Arial" w:cs="Arial" w:eastAsia="Arial" w:hAnsi="Arial"/>
          <w:sz w:val="16"/>
          <w:szCs w:val="16"/>
          <w:color w:val="auto"/>
        </w:rPr>
        <w:t>In order to cancel this Letter of Credit prior to expiration, you must return this original Letter of Credit and any amendments hereto to our counters with a statement signed by you stating that the Letter of Credit is no longer required and is being returned to the issuing bank for cancellation.</w:t>
      </w:r>
    </w:p>
    <w:p>
      <w:pPr>
        <w:spacing w:after="0" w:line="150" w:lineRule="exact"/>
        <w:rPr>
          <w:sz w:val="20"/>
          <w:szCs w:val="20"/>
          <w:color w:val="auto"/>
        </w:rPr>
      </w:pPr>
    </w:p>
    <w:p>
      <w:pPr>
        <w:ind w:right="60" w:firstLine="587"/>
        <w:spacing w:after="0" w:line="285" w:lineRule="auto"/>
        <w:rPr>
          <w:sz w:val="20"/>
          <w:szCs w:val="20"/>
          <w:color w:val="auto"/>
        </w:rPr>
      </w:pPr>
      <w:r>
        <w:rPr>
          <w:rFonts w:ascii="Arial" w:cs="Arial" w:eastAsia="Arial" w:hAnsi="Arial"/>
          <w:sz w:val="16"/>
          <w:szCs w:val="16"/>
          <w:color w:val="auto"/>
        </w:rPr>
        <w:t>We hereby agree with the drawers, endorsers and bonafide holders that the drafts drawn under and in accordance with the terms and condition of this Letter of Credit shall be duly honored upon presentation.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sectPr>
      </w:pPr>
    </w:p>
    <w:bookmarkStart w:id="536" w:name="page537"/>
    <w:bookmarkEnd w:id="536"/>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Hot/cold water to restrooms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Electricity for Common Areas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Management services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Grounds maintenance (including snow and ice removal)</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Removal of trash from the common dumpster</w:t>
      </w:r>
    </w:p>
    <w:p>
      <w:pPr>
        <w:spacing w:after="0" w:line="20" w:lineRule="exact"/>
        <w:rPr>
          <w:sz w:val="20"/>
          <w:szCs w:val="20"/>
          <w:color w:val="auto"/>
        </w:rPr>
      </w:pPr>
      <w:r>
        <w:rPr>
          <w:sz w:val="20"/>
          <w:szCs w:val="20"/>
          <w:color w:val="auto"/>
        </w:rPr>
        <w:br w:type="column"/>
      </w:r>
    </w:p>
    <w:p>
      <w:pPr>
        <w:jc w:val="center"/>
        <w:ind w:right="3579"/>
        <w:spacing w:after="0"/>
        <w:rPr>
          <w:sz w:val="20"/>
          <w:szCs w:val="20"/>
          <w:color w:val="auto"/>
        </w:rPr>
      </w:pPr>
      <w:r>
        <w:rPr>
          <w:rFonts w:ascii="Arial" w:cs="Arial" w:eastAsia="Arial" w:hAnsi="Arial"/>
          <w:sz w:val="16"/>
          <w:szCs w:val="16"/>
          <w:u w:val="single" w:color="auto"/>
          <w:color w:val="auto"/>
        </w:rPr>
        <w:t>EXHIBIT 6</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LANDLORD’S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74930</wp:posOffset>
            </wp:positionV>
            <wp:extent cx="7280275" cy="279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2">
            <w:col w:w="4080" w:space="720"/>
            <w:col w:w="5419"/>
          </w:cols>
          <w:pgMar w:left="240" w:top="322" w:right="1440" w:bottom="1440" w:gutter="0" w:footer="0" w:header="0"/>
        </w:sectPr>
      </w:pPr>
    </w:p>
    <w:bookmarkStart w:id="537" w:name="page538"/>
    <w:bookmarkEnd w:id="537"/>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EXHIBIT 7</w:t>
            </w:r>
          </w:p>
        </w:tc>
        <w:tc>
          <w:tcPr>
            <w:tcW w:w="5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4"/>
          </w:tcPr>
          <w:p>
            <w:pPr>
              <w:jc w:val="center"/>
              <w:ind w:right="3600"/>
              <w:spacing w:after="0"/>
              <w:rPr>
                <w:sz w:val="20"/>
                <w:szCs w:val="20"/>
                <w:color w:val="auto"/>
              </w:rPr>
            </w:pPr>
            <w:r>
              <w:rPr>
                <w:rFonts w:ascii="Arial" w:cs="Arial" w:eastAsia="Arial" w:hAnsi="Arial"/>
                <w:sz w:val="16"/>
                <w:szCs w:val="16"/>
                <w:color w:val="auto"/>
              </w:rPr>
              <w:t>TENANT’S HAZARDOUS MATERIALS</w:t>
            </w:r>
          </w:p>
        </w:tc>
        <w:tc>
          <w:tcPr>
            <w:tcW w:w="0" w:type="dxa"/>
            <w:vAlign w:val="bottom"/>
          </w:tcPr>
          <w:p>
            <w:pPr>
              <w:spacing w:after="0"/>
              <w:rPr>
                <w:sz w:val="1"/>
                <w:szCs w:val="1"/>
                <w:color w:val="auto"/>
              </w:rPr>
            </w:pPr>
          </w:p>
        </w:tc>
      </w:tr>
      <w:tr>
        <w:trPr>
          <w:trHeight w:val="311"/>
        </w:trPr>
        <w:tc>
          <w:tcPr>
            <w:tcW w:w="3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Chemical name</w:t>
            </w:r>
          </w:p>
        </w:tc>
        <w:tc>
          <w:tcPr>
            <w:tcW w:w="7880" w:type="dxa"/>
            <w:vAlign w:val="bottom"/>
            <w:gridSpan w:val="4"/>
          </w:tcPr>
          <w:p>
            <w:pPr>
              <w:ind w:left="56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55"/>
        </w:trPr>
        <w:tc>
          <w:tcPr>
            <w:tcW w:w="3580" w:type="dxa"/>
            <w:vAlign w:val="bottom"/>
            <w:gridSpan w:val="2"/>
            <w:vMerge w:val="continue"/>
          </w:tcPr>
          <w:p>
            <w:pPr>
              <w:spacing w:after="0"/>
              <w:rPr>
                <w:sz w:val="13"/>
                <w:szCs w:val="13"/>
                <w:color w:val="auto"/>
              </w:rPr>
            </w:pPr>
          </w:p>
        </w:tc>
        <w:tc>
          <w:tcPr>
            <w:tcW w:w="7880" w:type="dxa"/>
            <w:vAlign w:val="bottom"/>
            <w:gridSpan w:val="4"/>
          </w:tcPr>
          <w:p>
            <w:pPr>
              <w:ind w:left="580"/>
              <w:spacing w:after="0"/>
              <w:rPr>
                <w:sz w:val="20"/>
                <w:szCs w:val="20"/>
                <w:color w:val="auto"/>
              </w:rPr>
            </w:pPr>
            <w:r>
              <w:rPr>
                <w:rFonts w:ascii="Arial" w:cs="Arial" w:eastAsia="Arial" w:hAnsi="Arial"/>
                <w:sz w:val="13"/>
                <w:szCs w:val="13"/>
                <w:b w:val="1"/>
                <w:bCs w:val="1"/>
                <w:color w:val="auto"/>
              </w:rPr>
              <w:t>Quantity</w:t>
            </w:r>
          </w:p>
        </w:tc>
        <w:tc>
          <w:tcPr>
            <w:tcW w:w="0" w:type="dxa"/>
            <w:vAlign w:val="bottom"/>
          </w:tcPr>
          <w:p>
            <w:pPr>
              <w:spacing w:after="0"/>
              <w:rPr>
                <w:sz w:val="1"/>
                <w:szCs w:val="1"/>
                <w:color w:val="auto"/>
              </w:rPr>
            </w:pPr>
          </w:p>
        </w:tc>
      </w:tr>
      <w:tr>
        <w:trPr>
          <w:trHeight w:val="188"/>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Ethanol</w:t>
            </w:r>
          </w:p>
        </w:tc>
        <w:tc>
          <w:tcPr>
            <w:tcW w:w="2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4 gallons</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Methanol</w:t>
            </w:r>
          </w:p>
        </w:tc>
        <w:tc>
          <w:tcPr>
            <w:tcW w:w="1680" w:type="dxa"/>
            <w:vAlign w:val="bottom"/>
          </w:tcPr>
          <w:p>
            <w:pPr>
              <w:spacing w:after="0"/>
              <w:rPr>
                <w:sz w:val="20"/>
                <w:szCs w:val="20"/>
                <w:color w:val="auto"/>
              </w:rPr>
            </w:pPr>
            <w:r>
              <w:rPr>
                <w:rFonts w:ascii="Arial" w:cs="Arial" w:eastAsia="Arial" w:hAnsi="Arial"/>
                <w:sz w:val="16"/>
                <w:szCs w:val="16"/>
                <w:color w:val="auto"/>
              </w:rPr>
              <w:t>4 gallons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Bleach</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24 Liters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Isopropanol</w:t>
            </w:r>
          </w:p>
        </w:tc>
        <w:tc>
          <w:tcPr>
            <w:tcW w:w="1680" w:type="dxa"/>
            <w:vAlign w:val="bottom"/>
          </w:tcPr>
          <w:p>
            <w:pPr>
              <w:spacing w:after="0"/>
              <w:rPr>
                <w:sz w:val="20"/>
                <w:szCs w:val="20"/>
                <w:color w:val="auto"/>
              </w:rPr>
            </w:pPr>
            <w:r>
              <w:rPr>
                <w:rFonts w:ascii="Arial" w:cs="Arial" w:eastAsia="Arial" w:hAnsi="Arial"/>
                <w:sz w:val="16"/>
                <w:szCs w:val="16"/>
                <w:color w:val="auto"/>
              </w:rPr>
              <w:t>12 gallons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2-Mercaptoethanol</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500 mL</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DMSO</w:t>
            </w:r>
          </w:p>
        </w:tc>
        <w:tc>
          <w:tcPr>
            <w:tcW w:w="1680" w:type="dxa"/>
            <w:vAlign w:val="bottom"/>
          </w:tcPr>
          <w:p>
            <w:pPr>
              <w:spacing w:after="0"/>
              <w:rPr>
                <w:sz w:val="20"/>
                <w:szCs w:val="20"/>
                <w:color w:val="auto"/>
              </w:rPr>
            </w:pPr>
            <w:r>
              <w:rPr>
                <w:rFonts w:ascii="Arial" w:cs="Arial" w:eastAsia="Arial" w:hAnsi="Arial"/>
                <w:sz w:val="16"/>
                <w:szCs w:val="16"/>
                <w:color w:val="auto"/>
              </w:rPr>
              <w:t>2 gallon</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Acetone</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2 gallon</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Acetic acid</w:t>
            </w:r>
          </w:p>
        </w:tc>
        <w:tc>
          <w:tcPr>
            <w:tcW w:w="1680" w:type="dxa"/>
            <w:vAlign w:val="bottom"/>
          </w:tcPr>
          <w:p>
            <w:pPr>
              <w:spacing w:after="0"/>
              <w:rPr>
                <w:sz w:val="20"/>
                <w:szCs w:val="20"/>
                <w:color w:val="auto"/>
              </w:rPr>
            </w:pPr>
            <w:r>
              <w:rPr>
                <w:rFonts w:ascii="Arial" w:cs="Arial" w:eastAsia="Arial" w:hAnsi="Arial"/>
                <w:sz w:val="16"/>
                <w:szCs w:val="16"/>
                <w:color w:val="auto"/>
              </w:rPr>
              <w:t>4 Liters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Sodium Azide</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300 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Phenol:</w:t>
            </w: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Chloroform: IAA</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4 Liters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Sodium hydroxide</w:t>
            </w:r>
          </w:p>
        </w:tc>
        <w:tc>
          <w:tcPr>
            <w:tcW w:w="1680" w:type="dxa"/>
            <w:vAlign w:val="bottom"/>
          </w:tcPr>
          <w:p>
            <w:pPr>
              <w:spacing w:after="0"/>
              <w:rPr>
                <w:sz w:val="20"/>
                <w:szCs w:val="20"/>
                <w:color w:val="auto"/>
              </w:rPr>
            </w:pPr>
            <w:r>
              <w:rPr>
                <w:rFonts w:ascii="Arial" w:cs="Arial" w:eastAsia="Arial" w:hAnsi="Arial"/>
                <w:sz w:val="16"/>
                <w:szCs w:val="16"/>
                <w:color w:val="auto"/>
              </w:rPr>
              <w:t>2000 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Hydrochloric acid</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2 Liter</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Phosphoric acid</w:t>
            </w:r>
          </w:p>
        </w:tc>
        <w:tc>
          <w:tcPr>
            <w:tcW w:w="1680" w:type="dxa"/>
            <w:vAlign w:val="bottom"/>
          </w:tcPr>
          <w:p>
            <w:pPr>
              <w:spacing w:after="0"/>
              <w:rPr>
                <w:sz w:val="20"/>
                <w:szCs w:val="20"/>
                <w:color w:val="auto"/>
              </w:rPr>
            </w:pPr>
            <w:r>
              <w:rPr>
                <w:rFonts w:ascii="Arial" w:cs="Arial" w:eastAsia="Arial" w:hAnsi="Arial"/>
                <w:sz w:val="16"/>
                <w:szCs w:val="16"/>
                <w:color w:val="auto"/>
              </w:rPr>
              <w:t>2 Liter</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Tween 20</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2 Liter</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TBE (Tris Base)</w:t>
            </w:r>
          </w:p>
        </w:tc>
        <w:tc>
          <w:tcPr>
            <w:tcW w:w="1680" w:type="dxa"/>
            <w:vAlign w:val="bottom"/>
          </w:tcPr>
          <w:p>
            <w:pPr>
              <w:spacing w:after="0"/>
              <w:rPr>
                <w:sz w:val="20"/>
                <w:szCs w:val="20"/>
                <w:color w:val="auto"/>
              </w:rPr>
            </w:pPr>
            <w:r>
              <w:rPr>
                <w:rFonts w:ascii="Arial" w:cs="Arial" w:eastAsia="Arial" w:hAnsi="Arial"/>
                <w:sz w:val="16"/>
                <w:szCs w:val="16"/>
                <w:color w:val="auto"/>
              </w:rPr>
              <w:t>2000 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Tris-HCL</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2000 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Sodium Chloride</w:t>
            </w:r>
          </w:p>
        </w:tc>
        <w:tc>
          <w:tcPr>
            <w:tcW w:w="1680" w:type="dxa"/>
            <w:vAlign w:val="bottom"/>
          </w:tcPr>
          <w:p>
            <w:pPr>
              <w:spacing w:after="0"/>
              <w:rPr>
                <w:sz w:val="20"/>
                <w:szCs w:val="20"/>
                <w:color w:val="auto"/>
              </w:rPr>
            </w:pPr>
            <w:r>
              <w:rPr>
                <w:rFonts w:ascii="Arial" w:cs="Arial" w:eastAsia="Arial" w:hAnsi="Arial"/>
                <w:sz w:val="16"/>
                <w:szCs w:val="16"/>
                <w:color w:val="auto"/>
              </w:rPr>
              <w:t>2000 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Hepes buffer</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6 Liters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Calcium chloride</w:t>
            </w:r>
          </w:p>
        </w:tc>
        <w:tc>
          <w:tcPr>
            <w:tcW w:w="1680" w:type="dxa"/>
            <w:vAlign w:val="bottom"/>
          </w:tcPr>
          <w:p>
            <w:pPr>
              <w:spacing w:after="0"/>
              <w:rPr>
                <w:sz w:val="20"/>
                <w:szCs w:val="20"/>
                <w:color w:val="auto"/>
              </w:rPr>
            </w:pPr>
            <w:r>
              <w:rPr>
                <w:rFonts w:ascii="Arial" w:cs="Arial" w:eastAsia="Arial" w:hAnsi="Arial"/>
                <w:sz w:val="16"/>
                <w:szCs w:val="16"/>
                <w:color w:val="auto"/>
              </w:rPr>
              <w:t>2000 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EDTA</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2000 mL</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Glycerol solution</w:t>
            </w:r>
          </w:p>
        </w:tc>
        <w:tc>
          <w:tcPr>
            <w:tcW w:w="1680" w:type="dxa"/>
            <w:vAlign w:val="bottom"/>
          </w:tcPr>
          <w:p>
            <w:pPr>
              <w:spacing w:after="0"/>
              <w:rPr>
                <w:sz w:val="20"/>
                <w:szCs w:val="20"/>
                <w:color w:val="auto"/>
              </w:rPr>
            </w:pPr>
            <w:r>
              <w:rPr>
                <w:rFonts w:ascii="Arial" w:cs="Arial" w:eastAsia="Arial" w:hAnsi="Arial"/>
                <w:sz w:val="16"/>
                <w:szCs w:val="16"/>
                <w:color w:val="auto"/>
              </w:rPr>
              <w:t>2000 mL</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Sodium Acetate</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2000 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Triton X</w:t>
            </w:r>
          </w:p>
        </w:tc>
        <w:tc>
          <w:tcPr>
            <w:tcW w:w="1680" w:type="dxa"/>
            <w:vAlign w:val="bottom"/>
          </w:tcPr>
          <w:p>
            <w:pPr>
              <w:spacing w:after="0"/>
              <w:rPr>
                <w:sz w:val="20"/>
                <w:szCs w:val="20"/>
                <w:color w:val="auto"/>
              </w:rPr>
            </w:pPr>
            <w:r>
              <w:rPr>
                <w:rFonts w:ascii="Arial" w:cs="Arial" w:eastAsia="Arial" w:hAnsi="Arial"/>
                <w:sz w:val="16"/>
                <w:szCs w:val="16"/>
                <w:color w:val="auto"/>
              </w:rPr>
              <w:t>1000 mL</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Phosphate buffered solution</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40 Liters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Ficoll-paque</w:t>
            </w:r>
          </w:p>
        </w:tc>
        <w:tc>
          <w:tcPr>
            <w:tcW w:w="1680" w:type="dxa"/>
            <w:vAlign w:val="bottom"/>
          </w:tcPr>
          <w:p>
            <w:pPr>
              <w:spacing w:after="0"/>
              <w:rPr>
                <w:sz w:val="20"/>
                <w:szCs w:val="20"/>
                <w:color w:val="auto"/>
              </w:rPr>
            </w:pPr>
            <w:r>
              <w:rPr>
                <w:rFonts w:ascii="Arial" w:cs="Arial" w:eastAsia="Arial" w:hAnsi="Arial"/>
                <w:sz w:val="16"/>
                <w:szCs w:val="16"/>
                <w:color w:val="auto"/>
              </w:rPr>
              <w:t>20 Liters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Pure Chloroform or Phenol</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1 Liter</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SDS</w:t>
            </w:r>
          </w:p>
        </w:tc>
        <w:tc>
          <w:tcPr>
            <w:tcW w:w="1680" w:type="dxa"/>
            <w:vAlign w:val="bottom"/>
          </w:tcPr>
          <w:p>
            <w:pPr>
              <w:spacing w:after="0"/>
              <w:rPr>
                <w:sz w:val="20"/>
                <w:szCs w:val="20"/>
                <w:color w:val="auto"/>
              </w:rPr>
            </w:pPr>
            <w:r>
              <w:rPr>
                <w:rFonts w:ascii="Arial" w:cs="Arial" w:eastAsia="Arial" w:hAnsi="Arial"/>
                <w:sz w:val="16"/>
                <w:szCs w:val="16"/>
                <w:color w:val="auto"/>
              </w:rPr>
              <w:t>500 grams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Potassium Hydroxide</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1 killogram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Ammonium Acetate</w:t>
            </w:r>
          </w:p>
        </w:tc>
        <w:tc>
          <w:tcPr>
            <w:tcW w:w="1680" w:type="dxa"/>
            <w:vAlign w:val="bottom"/>
          </w:tcPr>
          <w:p>
            <w:pPr>
              <w:spacing w:after="0"/>
              <w:rPr>
                <w:sz w:val="20"/>
                <w:szCs w:val="20"/>
                <w:color w:val="auto"/>
              </w:rPr>
            </w:pPr>
            <w:r>
              <w:rPr>
                <w:rFonts w:ascii="Arial" w:cs="Arial" w:eastAsia="Arial" w:hAnsi="Arial"/>
                <w:sz w:val="16"/>
                <w:szCs w:val="16"/>
                <w:color w:val="auto"/>
              </w:rPr>
              <w:t>1 killogram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Potassium Acetate</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1 killogram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Magnesium Chloride</w:t>
            </w:r>
          </w:p>
        </w:tc>
        <w:tc>
          <w:tcPr>
            <w:tcW w:w="1680" w:type="dxa"/>
            <w:vAlign w:val="bottom"/>
          </w:tcPr>
          <w:p>
            <w:pPr>
              <w:spacing w:after="0"/>
              <w:rPr>
                <w:sz w:val="20"/>
                <w:szCs w:val="20"/>
                <w:color w:val="auto"/>
              </w:rPr>
            </w:pPr>
            <w:r>
              <w:rPr>
                <w:rFonts w:ascii="Arial" w:cs="Arial" w:eastAsia="Arial" w:hAnsi="Arial"/>
                <w:sz w:val="16"/>
                <w:szCs w:val="16"/>
                <w:color w:val="auto"/>
              </w:rPr>
              <w:t>1 killogram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Magnesium Sulfate</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1 killogram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rPr>
                <w:sz w:val="20"/>
                <w:szCs w:val="20"/>
                <w:color w:val="auto"/>
              </w:rPr>
            </w:pPr>
            <w:r>
              <w:rPr>
                <w:rFonts w:ascii="Arial" w:cs="Arial" w:eastAsia="Arial" w:hAnsi="Arial"/>
                <w:sz w:val="16"/>
                <w:szCs w:val="16"/>
                <w:color w:val="auto"/>
              </w:rPr>
              <w:t>MOPS Buffer</w:t>
            </w:r>
          </w:p>
        </w:tc>
        <w:tc>
          <w:tcPr>
            <w:tcW w:w="1680" w:type="dxa"/>
            <w:vAlign w:val="bottom"/>
          </w:tcPr>
          <w:p>
            <w:pPr>
              <w:spacing w:after="0"/>
              <w:rPr>
                <w:sz w:val="20"/>
                <w:szCs w:val="20"/>
                <w:color w:val="auto"/>
              </w:rPr>
            </w:pPr>
            <w:r>
              <w:rPr>
                <w:rFonts w:ascii="Arial" w:cs="Arial" w:eastAsia="Arial" w:hAnsi="Arial"/>
                <w:sz w:val="16"/>
                <w:szCs w:val="16"/>
                <w:color w:val="auto"/>
              </w:rPr>
              <w:t>1 killogram</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Dithiothreitol (DTT)</w:t>
            </w:r>
          </w:p>
        </w:tc>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100 grams</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3"/>
          </w:tcPr>
          <w:p>
            <w:pPr>
              <w:jc w:val="center"/>
              <w:ind w:left="1679"/>
              <w:spacing w:after="0"/>
              <w:rPr>
                <w:sz w:val="20"/>
                <w:szCs w:val="20"/>
                <w:color w:val="auto"/>
              </w:rPr>
            </w:pPr>
            <w:r>
              <w:rPr>
                <w:rFonts w:ascii="Arial" w:cs="Arial" w:eastAsia="Arial" w:hAnsi="Arial"/>
                <w:sz w:val="16"/>
                <w:szCs w:val="16"/>
                <w:color w:val="auto"/>
                <w:w w:val="89"/>
              </w:rPr>
              <w:t>1</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0" w:right="199" w:bottom="1440" w:gutter="0" w:footer="0" w:header="0"/>
        </w:sectPr>
      </w:pPr>
    </w:p>
    <w:bookmarkStart w:id="538" w:name="page539"/>
    <w:bookmarkEnd w:id="538"/>
    <w:tbl>
      <w:tblPr>
        <w:tblLayout w:type="fixed"/>
        <w:tblInd w:w="0" w:type="dxa"/>
        <w:tblCellMar>
          <w:top w:w="0" w:type="dxa"/>
          <w:left w:w="0" w:type="dxa"/>
          <w:bottom w:w="0" w:type="dxa"/>
          <w:right w:w="0" w:type="dxa"/>
        </w:tblCellMar>
      </w:tblPr>
      <w:tr>
        <w:trPr>
          <w:trHeight w:val="196"/>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Sodium Carbonate</w:t>
            </w:r>
          </w:p>
        </w:tc>
        <w:tc>
          <w:tcPr>
            <w:tcW w:w="26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1 killogram</w:t>
            </w:r>
          </w:p>
        </w:tc>
      </w:tr>
      <w:tr>
        <w:trPr>
          <w:trHeight w:val="196"/>
        </w:trPr>
        <w:tc>
          <w:tcPr>
            <w:tcW w:w="2580" w:type="dxa"/>
            <w:vAlign w:val="bottom"/>
          </w:tcPr>
          <w:p>
            <w:pPr>
              <w:spacing w:after="0"/>
              <w:rPr>
                <w:sz w:val="20"/>
                <w:szCs w:val="20"/>
                <w:color w:val="auto"/>
              </w:rPr>
            </w:pPr>
            <w:r>
              <w:rPr>
                <w:rFonts w:ascii="Arial" w:cs="Arial" w:eastAsia="Arial" w:hAnsi="Arial"/>
                <w:sz w:val="16"/>
                <w:szCs w:val="16"/>
                <w:color w:val="auto"/>
              </w:rPr>
              <w:t>Guandine Thiocyanate</w:t>
            </w:r>
          </w:p>
        </w:tc>
        <w:tc>
          <w:tcPr>
            <w:tcW w:w="1100" w:type="dxa"/>
            <w:vAlign w:val="bottom"/>
          </w:tcPr>
          <w:p>
            <w:pPr>
              <w:ind w:left="1000"/>
              <w:spacing w:after="0"/>
              <w:rPr>
                <w:sz w:val="20"/>
                <w:szCs w:val="20"/>
                <w:color w:val="auto"/>
              </w:rPr>
            </w:pPr>
            <w:r>
              <w:rPr>
                <w:rFonts w:ascii="Arial" w:cs="Arial" w:eastAsia="Arial" w:hAnsi="Arial"/>
                <w:sz w:val="16"/>
                <w:szCs w:val="16"/>
                <w:color w:val="auto"/>
                <w:w w:val="89"/>
              </w:rPr>
              <w:t>2</w:t>
            </w:r>
          </w:p>
        </w:tc>
        <w:tc>
          <w:tcPr>
            <w:tcW w:w="1580" w:type="dxa"/>
            <w:vAlign w:val="bottom"/>
          </w:tcPr>
          <w:p>
            <w:pPr>
              <w:ind w:left="20"/>
              <w:spacing w:after="0"/>
              <w:rPr>
                <w:sz w:val="20"/>
                <w:szCs w:val="20"/>
                <w:color w:val="auto"/>
              </w:rPr>
            </w:pPr>
            <w:r>
              <w:rPr>
                <w:rFonts w:ascii="Arial" w:cs="Arial" w:eastAsia="Arial" w:hAnsi="Arial"/>
                <w:sz w:val="16"/>
                <w:szCs w:val="16"/>
                <w:color w:val="auto"/>
              </w:rPr>
              <w:t>Liters or 1000 grams</w:t>
            </w:r>
          </w:p>
        </w:tc>
      </w:tr>
      <w:tr>
        <w:trPr>
          <w:trHeight w:val="196"/>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Xylene</w:t>
            </w:r>
          </w:p>
        </w:tc>
        <w:tc>
          <w:tcPr>
            <w:tcW w:w="26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1 gallons</w:t>
            </w:r>
          </w:p>
        </w:tc>
      </w:tr>
      <w:tr>
        <w:trPr>
          <w:trHeight w:val="196"/>
        </w:trPr>
        <w:tc>
          <w:tcPr>
            <w:tcW w:w="2580" w:type="dxa"/>
            <w:vAlign w:val="bottom"/>
          </w:tcPr>
          <w:p>
            <w:pPr>
              <w:spacing w:after="0"/>
              <w:rPr>
                <w:sz w:val="20"/>
                <w:szCs w:val="20"/>
                <w:color w:val="auto"/>
              </w:rPr>
            </w:pPr>
            <w:r>
              <w:rPr>
                <w:rFonts w:ascii="Arial" w:cs="Arial" w:eastAsia="Arial" w:hAnsi="Arial"/>
                <w:sz w:val="16"/>
                <w:szCs w:val="16"/>
                <w:color w:val="auto"/>
              </w:rPr>
              <w:t>Any Ethidium bromide?</w:t>
            </w:r>
          </w:p>
        </w:tc>
        <w:tc>
          <w:tcPr>
            <w:tcW w:w="2680" w:type="dxa"/>
            <w:vAlign w:val="bottom"/>
            <w:gridSpan w:val="2"/>
          </w:tcPr>
          <w:p>
            <w:pPr>
              <w:ind w:left="1000"/>
              <w:spacing w:after="0"/>
              <w:rPr>
                <w:sz w:val="20"/>
                <w:szCs w:val="20"/>
                <w:color w:val="auto"/>
              </w:rPr>
            </w:pPr>
            <w:r>
              <w:rPr>
                <w:rFonts w:ascii="Arial" w:cs="Arial" w:eastAsia="Arial" w:hAnsi="Arial"/>
                <w:sz w:val="16"/>
                <w:szCs w:val="16"/>
                <w:color w:val="auto"/>
              </w:rPr>
              <w:t>500 mL</w:t>
            </w:r>
          </w:p>
        </w:tc>
      </w:tr>
      <w:tr>
        <w:trPr>
          <w:trHeight w:val="196"/>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Formaldehyde/Formalin</w:t>
            </w:r>
          </w:p>
        </w:tc>
        <w:tc>
          <w:tcPr>
            <w:tcW w:w="1100" w:type="dxa"/>
            <w:vAlign w:val="bottom"/>
            <w:shd w:val="clear" w:color="auto" w:fill="CCEEFF"/>
          </w:tcPr>
          <w:p>
            <w:pPr>
              <w:ind w:left="1000"/>
              <w:spacing w:after="0"/>
              <w:rPr>
                <w:sz w:val="20"/>
                <w:szCs w:val="20"/>
                <w:color w:val="auto"/>
              </w:rPr>
            </w:pPr>
            <w:r>
              <w:rPr>
                <w:rFonts w:ascii="Arial" w:cs="Arial" w:eastAsia="Arial" w:hAnsi="Arial"/>
                <w:sz w:val="16"/>
                <w:szCs w:val="16"/>
                <w:color w:val="auto"/>
                <w:w w:val="89"/>
              </w:rPr>
              <w:t>2</w:t>
            </w:r>
          </w:p>
        </w:tc>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Liters</w:t>
            </w:r>
          </w:p>
        </w:tc>
      </w:tr>
      <w:tr>
        <w:trPr>
          <w:trHeight w:val="196"/>
        </w:trPr>
        <w:tc>
          <w:tcPr>
            <w:tcW w:w="2580" w:type="dxa"/>
            <w:vAlign w:val="bottom"/>
          </w:tcPr>
          <w:p>
            <w:pPr>
              <w:spacing w:after="0"/>
              <w:rPr>
                <w:sz w:val="20"/>
                <w:szCs w:val="20"/>
                <w:color w:val="auto"/>
              </w:rPr>
            </w:pPr>
            <w:r>
              <w:rPr>
                <w:rFonts w:ascii="Arial" w:cs="Arial" w:eastAsia="Arial" w:hAnsi="Arial"/>
                <w:sz w:val="16"/>
                <w:szCs w:val="16"/>
                <w:color w:val="auto"/>
              </w:rPr>
              <w:t>Gluteraldehyde</w:t>
            </w:r>
          </w:p>
        </w:tc>
        <w:tc>
          <w:tcPr>
            <w:tcW w:w="1100" w:type="dxa"/>
            <w:vAlign w:val="bottom"/>
          </w:tcPr>
          <w:p>
            <w:pPr>
              <w:ind w:left="1000"/>
              <w:spacing w:after="0"/>
              <w:rPr>
                <w:sz w:val="20"/>
                <w:szCs w:val="20"/>
                <w:color w:val="auto"/>
              </w:rPr>
            </w:pPr>
            <w:r>
              <w:rPr>
                <w:rFonts w:ascii="Arial" w:cs="Arial" w:eastAsia="Arial" w:hAnsi="Arial"/>
                <w:sz w:val="16"/>
                <w:szCs w:val="16"/>
                <w:color w:val="auto"/>
                <w:w w:val="89"/>
              </w:rPr>
              <w:t>2</w:t>
            </w:r>
          </w:p>
        </w:tc>
        <w:tc>
          <w:tcPr>
            <w:tcW w:w="1580" w:type="dxa"/>
            <w:vAlign w:val="bottom"/>
          </w:tcPr>
          <w:p>
            <w:pPr>
              <w:ind w:left="20"/>
              <w:spacing w:after="0"/>
              <w:rPr>
                <w:sz w:val="20"/>
                <w:szCs w:val="20"/>
                <w:color w:val="auto"/>
              </w:rPr>
            </w:pPr>
            <w:r>
              <w:rPr>
                <w:rFonts w:ascii="Arial" w:cs="Arial" w:eastAsia="Arial" w:hAnsi="Arial"/>
                <w:sz w:val="16"/>
                <w:szCs w:val="16"/>
                <w:color w:val="auto"/>
              </w:rPr>
              <w:t>Liters</w:t>
            </w:r>
          </w:p>
        </w:tc>
      </w:tr>
      <w:tr>
        <w:trPr>
          <w:trHeight w:val="196"/>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Hydrogen peroxide</w:t>
            </w:r>
          </w:p>
        </w:tc>
        <w:tc>
          <w:tcPr>
            <w:tcW w:w="26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1 liters</w:t>
            </w:r>
          </w:p>
        </w:tc>
      </w:tr>
      <w:tr>
        <w:trPr>
          <w:trHeight w:val="196"/>
        </w:trPr>
        <w:tc>
          <w:tcPr>
            <w:tcW w:w="2580" w:type="dxa"/>
            <w:vAlign w:val="bottom"/>
          </w:tcPr>
          <w:p>
            <w:pPr>
              <w:spacing w:after="0"/>
              <w:rPr>
                <w:sz w:val="20"/>
                <w:szCs w:val="20"/>
                <w:color w:val="auto"/>
              </w:rPr>
            </w:pPr>
            <w:r>
              <w:rPr>
                <w:rFonts w:ascii="Arial" w:cs="Arial" w:eastAsia="Arial" w:hAnsi="Arial"/>
                <w:sz w:val="16"/>
                <w:szCs w:val="16"/>
                <w:color w:val="auto"/>
              </w:rPr>
              <w:t>Sodium Perchlorate</w:t>
            </w:r>
          </w:p>
        </w:tc>
        <w:tc>
          <w:tcPr>
            <w:tcW w:w="2680" w:type="dxa"/>
            <w:vAlign w:val="bottom"/>
            <w:gridSpan w:val="2"/>
          </w:tcPr>
          <w:p>
            <w:pPr>
              <w:ind w:left="1000"/>
              <w:spacing w:after="0"/>
              <w:rPr>
                <w:sz w:val="20"/>
                <w:szCs w:val="20"/>
                <w:color w:val="auto"/>
              </w:rPr>
            </w:pPr>
            <w:r>
              <w:rPr>
                <w:rFonts w:ascii="Arial" w:cs="Arial" w:eastAsia="Arial" w:hAnsi="Arial"/>
                <w:sz w:val="16"/>
                <w:szCs w:val="16"/>
                <w:color w:val="auto"/>
              </w:rPr>
              <w:t>500 grams</w:t>
            </w:r>
          </w:p>
        </w:tc>
      </w:tr>
      <w:tr>
        <w:trPr>
          <w:trHeight w:val="196"/>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Paraformaldehyde</w:t>
            </w:r>
          </w:p>
        </w:tc>
        <w:tc>
          <w:tcPr>
            <w:tcW w:w="26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500 grams</w:t>
            </w:r>
          </w:p>
        </w:tc>
      </w:tr>
      <w:tr>
        <w:trPr>
          <w:trHeight w:val="207"/>
        </w:trPr>
        <w:tc>
          <w:tcPr>
            <w:tcW w:w="2580" w:type="dxa"/>
            <w:vAlign w:val="bottom"/>
          </w:tcPr>
          <w:p>
            <w:pPr>
              <w:spacing w:after="0"/>
              <w:rPr>
                <w:sz w:val="20"/>
                <w:szCs w:val="20"/>
                <w:color w:val="auto"/>
              </w:rPr>
            </w:pPr>
            <w:r>
              <w:rPr>
                <w:rFonts w:ascii="Arial" w:cs="Arial" w:eastAsia="Arial" w:hAnsi="Arial"/>
                <w:sz w:val="16"/>
                <w:szCs w:val="16"/>
                <w:color w:val="auto"/>
              </w:rPr>
              <w:t>Trizol</w:t>
            </w:r>
          </w:p>
        </w:tc>
        <w:tc>
          <w:tcPr>
            <w:tcW w:w="1100" w:type="dxa"/>
            <w:vAlign w:val="bottom"/>
          </w:tcPr>
          <w:p>
            <w:pPr>
              <w:ind w:left="1000"/>
              <w:spacing w:after="0"/>
              <w:rPr>
                <w:sz w:val="20"/>
                <w:szCs w:val="20"/>
                <w:color w:val="auto"/>
              </w:rPr>
            </w:pPr>
            <w:r>
              <w:rPr>
                <w:rFonts w:ascii="Arial" w:cs="Arial" w:eastAsia="Arial" w:hAnsi="Arial"/>
                <w:sz w:val="16"/>
                <w:szCs w:val="16"/>
                <w:color w:val="auto"/>
                <w:w w:val="89"/>
              </w:rPr>
              <w:t>2</w:t>
            </w:r>
          </w:p>
        </w:tc>
        <w:tc>
          <w:tcPr>
            <w:tcW w:w="1580" w:type="dxa"/>
            <w:vAlign w:val="bottom"/>
          </w:tcPr>
          <w:p>
            <w:pPr>
              <w:ind w:left="20"/>
              <w:spacing w:after="0"/>
              <w:rPr>
                <w:sz w:val="20"/>
                <w:szCs w:val="20"/>
                <w:color w:val="auto"/>
              </w:rPr>
            </w:pPr>
            <w:r>
              <w:rPr>
                <w:rFonts w:ascii="Arial" w:cs="Arial" w:eastAsia="Arial" w:hAnsi="Arial"/>
                <w:sz w:val="16"/>
                <w:szCs w:val="16"/>
                <w:color w:val="auto"/>
              </w:rPr>
              <w:t>Liters</w:t>
            </w:r>
          </w:p>
        </w:tc>
      </w:tr>
    </w:tbl>
    <w:p>
      <w:pPr>
        <w:spacing w:after="0" w:line="172" w:lineRule="exact"/>
        <w:rPr>
          <w:sz w:val="20"/>
          <w:szCs w:val="20"/>
          <w:color w:val="auto"/>
        </w:rPr>
      </w:pPr>
    </w:p>
    <w:p>
      <w:pPr>
        <w:jc w:val="right"/>
        <w:ind w:right="44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219"/>
          </w:cols>
          <w:pgMar w:left="240" w:top="335" w:right="1440" w:bottom="1440" w:gutter="0" w:footer="0" w:header="0"/>
        </w:sectPr>
      </w:pPr>
    </w:p>
    <w:bookmarkStart w:id="539" w:name="page540"/>
    <w:bookmarkEnd w:id="539"/>
    <w:p>
      <w:pPr>
        <w:jc w:val="center"/>
        <w:ind w:right="-21"/>
        <w:spacing w:after="0"/>
        <w:rPr>
          <w:sz w:val="20"/>
          <w:szCs w:val="20"/>
          <w:color w:val="auto"/>
        </w:rPr>
      </w:pPr>
      <w:r>
        <w:rPr>
          <w:rFonts w:ascii="Arial" w:cs="Arial" w:eastAsia="Arial" w:hAnsi="Arial"/>
          <w:sz w:val="16"/>
          <w:szCs w:val="16"/>
          <w:u w:val="single" w:color="auto"/>
          <w:color w:val="auto"/>
        </w:rPr>
        <w:t>EXHIBIT 7A</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u w:val="single" w:color="auto"/>
          <w:color w:val="auto"/>
        </w:rPr>
        <w:t>ENVIRONMENTAL ASSESSMENT REPORT</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Phase I Environmental Site Assessment</w:t>
      </w:r>
    </w:p>
    <w:p>
      <w:pPr>
        <w:spacing w:after="0" w:line="2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 Hartwell Place</w:t>
      </w:r>
    </w:p>
    <w:p>
      <w:pPr>
        <w:spacing w:after="0" w:line="1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Lexington, Massachusetts 02421</w:t>
      </w:r>
    </w:p>
    <w:p>
      <w:pPr>
        <w:spacing w:after="0" w:line="19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Prepared for:</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King Street Properties, LLC</w:t>
      </w:r>
    </w:p>
    <w:p>
      <w:pPr>
        <w:spacing w:after="0" w:line="2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Thomas Ragno</w:t>
      </w:r>
    </w:p>
    <w:p>
      <w:pPr>
        <w:spacing w:after="0" w:line="19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Prepared by:</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Boston Environmental Corporation</w:t>
      </w:r>
    </w:p>
    <w:p>
      <w:pPr>
        <w:spacing w:after="0" w:line="2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338 Howard Street</w:t>
      </w:r>
    </w:p>
    <w:p>
      <w:pPr>
        <w:spacing w:after="0" w:line="1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Brockton, Massachusetts 02302</w:t>
      </w:r>
    </w:p>
    <w:p>
      <w:pPr>
        <w:spacing w:after="0" w:line="19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December 15, 2014</w:t>
      </w:r>
    </w:p>
    <w:p>
      <w:pPr>
        <w:spacing w:after="0" w:line="2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Project No. BEC 14-187</w:t>
      </w:r>
    </w:p>
    <w:p>
      <w:pPr>
        <w:spacing w:after="0" w:line="19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21"/>
        <w:spacing w:after="0"/>
        <w:rPr>
          <w:sz w:val="20"/>
          <w:szCs w:val="20"/>
          <w:color w:val="auto"/>
        </w:rPr>
      </w:pPr>
      <w:r>
        <w:rPr>
          <w:rFonts w:ascii="Arial" w:cs="Arial" w:eastAsia="Arial" w:hAnsi="Arial"/>
          <w:sz w:val="16"/>
          <w:szCs w:val="16"/>
          <w:u w:val="single" w:color="auto"/>
          <w:color w:val="auto"/>
        </w:rPr>
        <w:t>EXHIBIT 8</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RULES AND REGULATIONS</w:t>
      </w:r>
    </w:p>
    <w:p>
      <w:pPr>
        <w:spacing w:after="0" w:line="203" w:lineRule="exact"/>
        <w:rPr>
          <w:sz w:val="20"/>
          <w:szCs w:val="20"/>
          <w:color w:val="auto"/>
        </w:rPr>
      </w:pPr>
    </w:p>
    <w:p>
      <w:pPr>
        <w:ind w:left="602" w:hanging="602"/>
        <w:spacing w:after="0"/>
        <w:tabs>
          <w:tab w:leader="none" w:pos="602" w:val="left"/>
        </w:tabs>
        <w:numPr>
          <w:ilvl w:val="0"/>
          <w:numId w:val="518"/>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211" w:lineRule="exact"/>
        <w:rPr>
          <w:sz w:val="20"/>
          <w:szCs w:val="20"/>
          <w:color w:val="auto"/>
        </w:rPr>
      </w:pPr>
    </w:p>
    <w:p>
      <w:pPr>
        <w:ind w:left="582" w:right="140" w:hanging="582"/>
        <w:spacing w:after="0" w:line="270" w:lineRule="auto"/>
        <w:tabs>
          <w:tab w:leader="none" w:pos="582" w:val="left"/>
        </w:tabs>
        <w:numPr>
          <w:ilvl w:val="0"/>
          <w:numId w:val="519"/>
        </w:numPr>
        <w:rPr>
          <w:rFonts w:ascii="Arial" w:cs="Arial" w:eastAsia="Arial" w:hAnsi="Arial"/>
          <w:sz w:val="16"/>
          <w:szCs w:val="16"/>
          <w:color w:val="auto"/>
        </w:rPr>
      </w:pPr>
      <w:r>
        <w:rPr>
          <w:rFonts w:ascii="Arial" w:cs="Arial" w:eastAsia="Arial" w:hAnsi="Arial"/>
          <w:sz w:val="16"/>
          <w:szCs w:val="16"/>
          <w:color w:val="auto"/>
        </w:rPr>
        <w:t>Tenant and its employees shall not in any way obstruct the sidewalks, halls, stairways, or exterior vestibules of the Building, and shall use the same only as a means of passage to and from their respective offices. At no time shall Tenants permit its employees, contractors, or other representatives to loiter in Common Areas or elsewhere in and about the Property.</w:t>
      </w:r>
    </w:p>
    <w:p>
      <w:pPr>
        <w:spacing w:after="0" w:line="161" w:lineRule="exact"/>
        <w:rPr>
          <w:rFonts w:ascii="Arial" w:cs="Arial" w:eastAsia="Arial" w:hAnsi="Arial"/>
          <w:sz w:val="16"/>
          <w:szCs w:val="16"/>
          <w:color w:val="auto"/>
        </w:rPr>
      </w:pPr>
    </w:p>
    <w:p>
      <w:pPr>
        <w:ind w:left="582" w:hanging="582"/>
        <w:spacing w:after="0"/>
        <w:tabs>
          <w:tab w:leader="none" w:pos="582" w:val="left"/>
        </w:tabs>
        <w:numPr>
          <w:ilvl w:val="0"/>
          <w:numId w:val="519"/>
        </w:numPr>
        <w:rPr>
          <w:rFonts w:ascii="Arial" w:cs="Arial" w:eastAsia="Arial" w:hAnsi="Arial"/>
          <w:sz w:val="16"/>
          <w:szCs w:val="16"/>
          <w:color w:val="auto"/>
        </w:rPr>
      </w:pPr>
      <w:r>
        <w:rPr>
          <w:rFonts w:ascii="Arial" w:cs="Arial" w:eastAsia="Arial" w:hAnsi="Arial"/>
          <w:sz w:val="16"/>
          <w:szCs w:val="16"/>
          <w:color w:val="auto"/>
        </w:rPr>
        <w:t>Corridor doors, when not in use, shall be kept closed.</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519"/>
        </w:numPr>
        <w:rPr>
          <w:rFonts w:ascii="Arial" w:cs="Arial" w:eastAsia="Arial" w:hAnsi="Arial"/>
          <w:sz w:val="16"/>
          <w:szCs w:val="16"/>
          <w:color w:val="auto"/>
        </w:rPr>
      </w:pPr>
      <w:r>
        <w:rPr>
          <w:rFonts w:ascii="Arial" w:cs="Arial" w:eastAsia="Arial" w:hAnsi="Arial"/>
          <w:sz w:val="16"/>
          <w:szCs w:val="16"/>
          <w:color w:val="auto"/>
        </w:rPr>
        <w:t>Areas used in common by tenants shall be subject to such regulations as are posted therein.</w:t>
      </w:r>
    </w:p>
    <w:p>
      <w:pPr>
        <w:spacing w:after="0" w:line="207" w:lineRule="exact"/>
        <w:rPr>
          <w:rFonts w:ascii="Arial" w:cs="Arial" w:eastAsia="Arial" w:hAnsi="Arial"/>
          <w:sz w:val="16"/>
          <w:szCs w:val="16"/>
          <w:color w:val="auto"/>
        </w:rPr>
      </w:pPr>
    </w:p>
    <w:p>
      <w:pPr>
        <w:ind w:left="582" w:right="60" w:hanging="582"/>
        <w:spacing w:after="0" w:line="285" w:lineRule="auto"/>
        <w:tabs>
          <w:tab w:leader="none" w:pos="582" w:val="left"/>
        </w:tabs>
        <w:numPr>
          <w:ilvl w:val="0"/>
          <w:numId w:val="519"/>
        </w:numPr>
        <w:rPr>
          <w:rFonts w:ascii="Arial" w:cs="Arial" w:eastAsia="Arial" w:hAnsi="Arial"/>
          <w:sz w:val="16"/>
          <w:szCs w:val="16"/>
          <w:color w:val="auto"/>
        </w:rPr>
      </w:pPr>
      <w:r>
        <w:rPr>
          <w:rFonts w:ascii="Arial" w:cs="Arial" w:eastAsia="Arial" w:hAnsi="Arial"/>
          <w:sz w:val="16"/>
          <w:szCs w:val="16"/>
          <w:color w:val="auto"/>
        </w:rPr>
        <w:t>Any Tenant or vendor sponsored activity or event in the Common Area must be approved and scheduled through Landlord’s representative, which approval shall not be unreasonably withheld.</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519"/>
        </w:numPr>
        <w:rPr>
          <w:rFonts w:ascii="Arial" w:cs="Arial" w:eastAsia="Arial" w:hAnsi="Arial"/>
          <w:sz w:val="16"/>
          <w:szCs w:val="16"/>
          <w:color w:val="auto"/>
        </w:rPr>
      </w:pPr>
      <w:r>
        <w:rPr>
          <w:rFonts w:ascii="Arial" w:cs="Arial" w:eastAsia="Arial" w:hAnsi="Arial"/>
          <w:sz w:val="16"/>
          <w:szCs w:val="16"/>
          <w:color w:val="auto"/>
        </w:rPr>
        <w:t>No animals, except Seeing Eye dogs, shall be brought into or kept in, on or about the Premises or Common Areas.</w:t>
      </w:r>
    </w:p>
    <w:p>
      <w:pPr>
        <w:spacing w:after="0" w:line="207" w:lineRule="exact"/>
        <w:rPr>
          <w:rFonts w:ascii="Arial" w:cs="Arial" w:eastAsia="Arial" w:hAnsi="Arial"/>
          <w:sz w:val="16"/>
          <w:szCs w:val="16"/>
          <w:color w:val="auto"/>
        </w:rPr>
      </w:pPr>
    </w:p>
    <w:p>
      <w:pPr>
        <w:ind w:left="582" w:hanging="582"/>
        <w:spacing w:after="0" w:line="296" w:lineRule="auto"/>
        <w:tabs>
          <w:tab w:leader="none" w:pos="582" w:val="left"/>
        </w:tabs>
        <w:numPr>
          <w:ilvl w:val="0"/>
          <w:numId w:val="519"/>
        </w:numPr>
        <w:rPr>
          <w:rFonts w:ascii="Arial" w:cs="Arial" w:eastAsia="Arial" w:hAnsi="Arial"/>
          <w:sz w:val="15"/>
          <w:szCs w:val="15"/>
          <w:color w:val="auto"/>
        </w:rPr>
      </w:pPr>
      <w:r>
        <w:rPr>
          <w:rFonts w:ascii="Arial" w:cs="Arial" w:eastAsia="Arial" w:hAnsi="Arial"/>
          <w:sz w:val="15"/>
          <w:szCs w:val="15"/>
          <w:color w:val="auto"/>
        </w:rPr>
        <w:t>Alcoholic beverages (without Landlord’s prior written consent), illegal drugs or other illegal controlled substances are not permitted in the Common Areas, nor will any person under the influence of the same be permitted in the Common Areas. Landlord reserves the right to exclude or expel from the Building any persons who, in the judgment of the Landlord, is under the influence of alcohol or drugs, or shall do any act in violation of the rules and regulations of the Building.</w:t>
      </w:r>
    </w:p>
    <w:p>
      <w:pPr>
        <w:spacing w:after="0" w:line="144" w:lineRule="exact"/>
        <w:rPr>
          <w:rFonts w:ascii="Arial" w:cs="Arial" w:eastAsia="Arial" w:hAnsi="Arial"/>
          <w:sz w:val="15"/>
          <w:szCs w:val="15"/>
          <w:color w:val="auto"/>
        </w:rPr>
      </w:pPr>
    </w:p>
    <w:p>
      <w:pPr>
        <w:ind w:left="582" w:hanging="582"/>
        <w:spacing w:after="0"/>
        <w:tabs>
          <w:tab w:leader="none" w:pos="582" w:val="left"/>
        </w:tabs>
        <w:numPr>
          <w:ilvl w:val="0"/>
          <w:numId w:val="519"/>
        </w:numPr>
        <w:rPr>
          <w:rFonts w:ascii="Arial" w:cs="Arial" w:eastAsia="Arial" w:hAnsi="Arial"/>
          <w:sz w:val="16"/>
          <w:szCs w:val="16"/>
          <w:color w:val="auto"/>
        </w:rPr>
      </w:pPr>
      <w:r>
        <w:rPr>
          <w:rFonts w:ascii="Arial" w:cs="Arial" w:eastAsia="Arial" w:hAnsi="Arial"/>
          <w:sz w:val="16"/>
          <w:szCs w:val="16"/>
          <w:color w:val="auto"/>
        </w:rPr>
        <w:t>No firearms or other weapons are permitted in the Common Areas.</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519"/>
        </w:numPr>
        <w:rPr>
          <w:rFonts w:ascii="Arial" w:cs="Arial" w:eastAsia="Arial" w:hAnsi="Arial"/>
          <w:sz w:val="16"/>
          <w:szCs w:val="16"/>
          <w:color w:val="auto"/>
        </w:rPr>
      </w:pPr>
      <w:r>
        <w:rPr>
          <w:rFonts w:ascii="Arial" w:cs="Arial" w:eastAsia="Arial" w:hAnsi="Arial"/>
          <w:sz w:val="16"/>
          <w:szCs w:val="16"/>
          <w:color w:val="auto"/>
        </w:rPr>
        <w:t>No fighting or “horseplay” will be tolerated at any time in the Common Areas.</w:t>
      </w:r>
    </w:p>
    <w:p>
      <w:pPr>
        <w:spacing w:after="0" w:line="207" w:lineRule="exact"/>
        <w:rPr>
          <w:rFonts w:ascii="Arial" w:cs="Arial" w:eastAsia="Arial" w:hAnsi="Arial"/>
          <w:sz w:val="16"/>
          <w:szCs w:val="16"/>
          <w:color w:val="auto"/>
        </w:rPr>
      </w:pPr>
    </w:p>
    <w:p>
      <w:pPr>
        <w:ind w:left="582" w:right="340" w:hanging="582"/>
        <w:spacing w:after="0" w:line="285" w:lineRule="auto"/>
        <w:tabs>
          <w:tab w:leader="none" w:pos="582" w:val="left"/>
        </w:tabs>
        <w:numPr>
          <w:ilvl w:val="0"/>
          <w:numId w:val="519"/>
        </w:numPr>
        <w:rPr>
          <w:rFonts w:ascii="Arial" w:cs="Arial" w:eastAsia="Arial" w:hAnsi="Arial"/>
          <w:sz w:val="16"/>
          <w:szCs w:val="16"/>
          <w:color w:val="auto"/>
        </w:rPr>
      </w:pPr>
      <w:r>
        <w:rPr>
          <w:rFonts w:ascii="Arial" w:cs="Arial" w:eastAsia="Arial" w:hAnsi="Arial"/>
          <w:sz w:val="16"/>
          <w:szCs w:val="16"/>
          <w:color w:val="auto"/>
        </w:rPr>
        <w:t>Tenant shall not cause any unnecessary janitorial labor or services in the Common Areas by reason of Tenant’s carelessness or indifference in the preservation of good order and cleanliness.</w:t>
      </w:r>
    </w:p>
    <w:p>
      <w:pPr>
        <w:spacing w:after="0" w:line="149" w:lineRule="exact"/>
        <w:rPr>
          <w:rFonts w:ascii="Arial" w:cs="Arial" w:eastAsia="Arial" w:hAnsi="Arial"/>
          <w:sz w:val="16"/>
          <w:szCs w:val="16"/>
          <w:color w:val="auto"/>
        </w:rPr>
      </w:pPr>
    </w:p>
    <w:p>
      <w:pPr>
        <w:ind w:left="582" w:right="120" w:hanging="582"/>
        <w:spacing w:after="0" w:line="285" w:lineRule="auto"/>
        <w:tabs>
          <w:tab w:leader="none" w:pos="578" w:val="left"/>
        </w:tabs>
        <w:numPr>
          <w:ilvl w:val="0"/>
          <w:numId w:val="519"/>
        </w:numPr>
        <w:rPr>
          <w:rFonts w:ascii="Arial" w:cs="Arial" w:eastAsia="Arial" w:hAnsi="Arial"/>
          <w:sz w:val="16"/>
          <w:szCs w:val="16"/>
          <w:color w:val="auto"/>
        </w:rPr>
      </w:pPr>
      <w:r>
        <w:rPr>
          <w:rFonts w:ascii="Arial" w:cs="Arial" w:eastAsia="Arial" w:hAnsi="Arial"/>
          <w:sz w:val="16"/>
          <w:szCs w:val="16"/>
          <w:color w:val="auto"/>
        </w:rPr>
        <w:t>Smoking and discarding of smoking materials by Tenant and/or any Tenant Party is permitted only in exterior locations designated by Landlord. Tenant will instruct and notify its employees and visitors of such policy.</w:t>
      </w:r>
    </w:p>
    <w:p>
      <w:pPr>
        <w:spacing w:after="0" w:line="149" w:lineRule="exact"/>
        <w:rPr>
          <w:rFonts w:ascii="Arial" w:cs="Arial" w:eastAsia="Arial" w:hAnsi="Arial"/>
          <w:sz w:val="16"/>
          <w:szCs w:val="16"/>
          <w:color w:val="auto"/>
        </w:rPr>
      </w:pPr>
    </w:p>
    <w:p>
      <w:pPr>
        <w:ind w:left="582" w:right="400" w:hanging="582"/>
        <w:spacing w:after="0" w:line="285" w:lineRule="auto"/>
        <w:tabs>
          <w:tab w:leader="none" w:pos="572" w:val="left"/>
        </w:tabs>
        <w:numPr>
          <w:ilvl w:val="0"/>
          <w:numId w:val="519"/>
        </w:numPr>
        <w:rPr>
          <w:rFonts w:ascii="Arial" w:cs="Arial" w:eastAsia="Arial" w:hAnsi="Arial"/>
          <w:sz w:val="16"/>
          <w:szCs w:val="16"/>
          <w:color w:val="auto"/>
        </w:rPr>
      </w:pPr>
      <w:r>
        <w:rPr>
          <w:rFonts w:ascii="Arial" w:cs="Arial" w:eastAsia="Arial" w:hAnsi="Arial"/>
          <w:sz w:val="16"/>
          <w:szCs w:val="16"/>
          <w:color w:val="auto"/>
        </w:rPr>
        <w:t>Bicycles and other vehicles are not permitted inside or on the walkways outside the Building, except in those areas specifically designated by Landlord for such purposes.</w:t>
      </w:r>
    </w:p>
    <w:p>
      <w:pPr>
        <w:spacing w:after="0" w:line="149" w:lineRule="exact"/>
        <w:rPr>
          <w:rFonts w:ascii="Arial" w:cs="Arial" w:eastAsia="Arial" w:hAnsi="Arial"/>
          <w:sz w:val="16"/>
          <w:szCs w:val="16"/>
          <w:color w:val="auto"/>
        </w:rPr>
      </w:pPr>
    </w:p>
    <w:p>
      <w:pPr>
        <w:ind w:left="582" w:right="500" w:hanging="582"/>
        <w:spacing w:after="0" w:line="285" w:lineRule="auto"/>
        <w:tabs>
          <w:tab w:leader="none" w:pos="578" w:val="left"/>
        </w:tabs>
        <w:numPr>
          <w:ilvl w:val="0"/>
          <w:numId w:val="519"/>
        </w:numPr>
        <w:rPr>
          <w:rFonts w:ascii="Arial" w:cs="Arial" w:eastAsia="Arial" w:hAnsi="Arial"/>
          <w:sz w:val="16"/>
          <w:szCs w:val="16"/>
          <w:color w:val="auto"/>
        </w:rPr>
      </w:pPr>
      <w:r>
        <w:rPr>
          <w:rFonts w:ascii="Arial" w:cs="Arial" w:eastAsia="Arial" w:hAnsi="Arial"/>
          <w:sz w:val="16"/>
          <w:szCs w:val="16"/>
          <w:color w:val="auto"/>
        </w:rPr>
        <w:t>Tenant shall not operate or permit to be operated on the Premises any coin or token operated vending machine or similar device (including, without limitation, telephones,</w:t>
      </w:r>
    </w:p>
    <w:p>
      <w:pPr>
        <w:spacing w:after="0" w:line="1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540" w:name="page541"/>
    <w:bookmarkEnd w:id="540"/>
    <w:p>
      <w:pPr>
        <w:ind w:left="582" w:right="160"/>
        <w:spacing w:after="0" w:line="285" w:lineRule="auto"/>
        <w:rPr>
          <w:sz w:val="20"/>
          <w:szCs w:val="20"/>
          <w:color w:val="auto"/>
        </w:rPr>
      </w:pPr>
      <w:r>
        <w:rPr>
          <w:rFonts w:ascii="Arial" w:cs="Arial" w:eastAsia="Arial" w:hAnsi="Arial"/>
          <w:sz w:val="16"/>
          <w:szCs w:val="16"/>
          <w:color w:val="auto"/>
        </w:rPr>
        <w:t>lockers, toilets, scales, amusement devices and machines for sale of beverages food, candy, cigarettes or other goods), except for those vending machines or similar devices which are for the sole and exclusive use of tenant’s employees.</w:t>
      </w:r>
    </w:p>
    <w:p>
      <w:pPr>
        <w:spacing w:after="0" w:line="150" w:lineRule="exact"/>
        <w:rPr>
          <w:sz w:val="20"/>
          <w:szCs w:val="20"/>
          <w:color w:val="auto"/>
        </w:rPr>
      </w:pPr>
    </w:p>
    <w:p>
      <w:pPr>
        <w:ind w:left="582" w:right="60" w:hanging="582"/>
        <w:spacing w:after="0" w:line="285" w:lineRule="auto"/>
        <w:tabs>
          <w:tab w:leader="none" w:pos="578" w:val="left"/>
        </w:tabs>
        <w:numPr>
          <w:ilvl w:val="0"/>
          <w:numId w:val="520"/>
        </w:numPr>
        <w:rPr>
          <w:rFonts w:ascii="Arial" w:cs="Arial" w:eastAsia="Arial" w:hAnsi="Arial"/>
          <w:sz w:val="16"/>
          <w:szCs w:val="16"/>
          <w:color w:val="auto"/>
        </w:rPr>
      </w:pPr>
      <w:r>
        <w:rPr>
          <w:rFonts w:ascii="Arial" w:cs="Arial" w:eastAsia="Arial" w:hAnsi="Arial"/>
          <w:sz w:val="16"/>
          <w:szCs w:val="16"/>
          <w:color w:val="auto"/>
        </w:rPr>
        <w:t>Canvassing, soliciting, and peddling in or about the Building is prohibited. Tenant, its employees, agents and contractors shall cooperate with said policy, and Tenant shall cooperate and use best efforts to prevent the same by Tenant’s invitees.</w:t>
      </w:r>
    </w:p>
    <w:p>
      <w:pPr>
        <w:spacing w:after="0" w:line="149" w:lineRule="exact"/>
        <w:rPr>
          <w:rFonts w:ascii="Arial" w:cs="Arial" w:eastAsia="Arial" w:hAnsi="Arial"/>
          <w:sz w:val="16"/>
          <w:szCs w:val="16"/>
          <w:color w:val="auto"/>
        </w:rPr>
      </w:pPr>
    </w:p>
    <w:p>
      <w:pPr>
        <w:ind w:left="582" w:hanging="582"/>
        <w:spacing w:after="0" w:line="285" w:lineRule="auto"/>
        <w:tabs>
          <w:tab w:leader="none" w:pos="578" w:val="left"/>
        </w:tabs>
        <w:numPr>
          <w:ilvl w:val="0"/>
          <w:numId w:val="520"/>
        </w:numPr>
        <w:rPr>
          <w:rFonts w:ascii="Arial" w:cs="Arial" w:eastAsia="Arial" w:hAnsi="Arial"/>
          <w:sz w:val="16"/>
          <w:szCs w:val="16"/>
          <w:color w:val="auto"/>
        </w:rPr>
      </w:pPr>
      <w:r>
        <w:rPr>
          <w:rFonts w:ascii="Arial" w:cs="Arial" w:eastAsia="Arial" w:hAnsi="Arial"/>
          <w:sz w:val="16"/>
          <w:szCs w:val="16"/>
          <w:color w:val="auto"/>
        </w:rPr>
        <w:t>Fire protection and prevention practices implemented by the Landlord from time to time in the Common Areas, including participation in fire drills, must be observed by Tenant at all times.</w:t>
      </w:r>
    </w:p>
    <w:p>
      <w:pPr>
        <w:spacing w:after="0" w:line="149" w:lineRule="exact"/>
        <w:rPr>
          <w:rFonts w:ascii="Arial" w:cs="Arial" w:eastAsia="Arial" w:hAnsi="Arial"/>
          <w:sz w:val="16"/>
          <w:szCs w:val="16"/>
          <w:color w:val="auto"/>
        </w:rPr>
      </w:pPr>
    </w:p>
    <w:p>
      <w:pPr>
        <w:ind w:left="582" w:right="60" w:hanging="582"/>
        <w:spacing w:after="0" w:line="285" w:lineRule="auto"/>
        <w:tabs>
          <w:tab w:leader="none" w:pos="578" w:val="left"/>
        </w:tabs>
        <w:numPr>
          <w:ilvl w:val="0"/>
          <w:numId w:val="520"/>
        </w:numPr>
        <w:rPr>
          <w:rFonts w:ascii="Arial" w:cs="Arial" w:eastAsia="Arial" w:hAnsi="Arial"/>
          <w:sz w:val="16"/>
          <w:szCs w:val="16"/>
          <w:color w:val="auto"/>
        </w:rPr>
      </w:pPr>
      <w:r>
        <w:rPr>
          <w:rFonts w:ascii="Arial" w:cs="Arial" w:eastAsia="Arial" w:hAnsi="Arial"/>
          <w:sz w:val="16"/>
          <w:szCs w:val="16"/>
          <w:color w:val="auto"/>
        </w:rPr>
        <w:t>Except as provided for in the Lease, no signs, advertisements or notices shall be painted or affixed on or to any windows, doors or other parts of the Building that are visible from the exterior of the Building unless approved in writing by the Landlord.</w:t>
      </w:r>
    </w:p>
    <w:p>
      <w:pPr>
        <w:spacing w:after="0" w:line="149" w:lineRule="exact"/>
        <w:rPr>
          <w:rFonts w:ascii="Arial" w:cs="Arial" w:eastAsia="Arial" w:hAnsi="Arial"/>
          <w:sz w:val="16"/>
          <w:szCs w:val="16"/>
          <w:color w:val="auto"/>
        </w:rPr>
      </w:pPr>
    </w:p>
    <w:p>
      <w:pPr>
        <w:ind w:left="582" w:right="120" w:hanging="582"/>
        <w:spacing w:after="0" w:line="285" w:lineRule="auto"/>
        <w:tabs>
          <w:tab w:leader="none" w:pos="578"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The restroom fixtures shall be used only for the purpose for which they were constructed and no rubbish, ashes, or other substances of any kind shall be thrown into them. Tenant will bear the expense of any damage resulting from misuse.</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Tenant will not interfere with or obstruct any perimeter heating, air conditioning or ventilating units.</w:t>
      </w:r>
    </w:p>
    <w:p>
      <w:pPr>
        <w:spacing w:after="0" w:line="207" w:lineRule="exact"/>
        <w:rPr>
          <w:rFonts w:ascii="Arial" w:cs="Arial" w:eastAsia="Arial" w:hAnsi="Arial"/>
          <w:sz w:val="16"/>
          <w:szCs w:val="16"/>
          <w:color w:val="auto"/>
        </w:rPr>
      </w:pPr>
    </w:p>
    <w:p>
      <w:pPr>
        <w:ind w:left="582" w:right="240" w:hanging="582"/>
        <w:spacing w:after="0" w:line="285" w:lineRule="auto"/>
        <w:tabs>
          <w:tab w:leader="none" w:pos="578"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Tenant shall utilize Waltham Pest Control Service or such other pest control service approved by Landlord (which approval shall not be unreasonably withheld) to control pests in the Premises.</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520"/>
        </w:numPr>
        <w:rPr>
          <w:rFonts w:ascii="Arial" w:cs="Arial" w:eastAsia="Arial" w:hAnsi="Arial"/>
          <w:sz w:val="16"/>
          <w:szCs w:val="16"/>
          <w:color w:val="auto"/>
        </w:rPr>
      </w:pPr>
      <w:r>
        <w:rPr>
          <w:rFonts w:ascii="Arial" w:cs="Arial" w:eastAsia="Arial" w:hAnsi="Arial"/>
          <w:sz w:val="16"/>
          <w:szCs w:val="16"/>
          <w:color w:val="auto"/>
        </w:rPr>
        <w:t>Except as included in Landlord’s Services, tenants shall bear the cost and expense of such pest control services.</w:t>
      </w:r>
    </w:p>
    <w:p>
      <w:pPr>
        <w:spacing w:after="0" w:line="207" w:lineRule="exact"/>
        <w:rPr>
          <w:rFonts w:ascii="Arial" w:cs="Arial" w:eastAsia="Arial" w:hAnsi="Arial"/>
          <w:sz w:val="16"/>
          <w:szCs w:val="16"/>
          <w:color w:val="auto"/>
        </w:rPr>
      </w:pPr>
    </w:p>
    <w:p>
      <w:pPr>
        <w:ind w:left="582" w:right="100" w:hanging="582"/>
        <w:spacing w:after="0" w:line="265" w:lineRule="auto"/>
        <w:tabs>
          <w:tab w:leader="none" w:pos="578"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Tenant shall not install, operate or maintain in the Premises or in any other area of the Building, any electrical equipment which does not bear the U/L (Underwriters Laboratories) seal of approval (other than in connection with the development of electronic equipment which is part of the ordinary operations of the Tenant), or which would overload the electrical system or any part thereof beyond its capacity for proper, efficient and safe operation as determined by Landlord, taking into consideration the overall electrical system and the present and future requirements of the Building.</w:t>
      </w:r>
    </w:p>
    <w:p>
      <w:pPr>
        <w:spacing w:after="0" w:line="165" w:lineRule="exact"/>
        <w:rPr>
          <w:rFonts w:ascii="Arial" w:cs="Arial" w:eastAsia="Arial" w:hAnsi="Arial"/>
          <w:sz w:val="16"/>
          <w:szCs w:val="16"/>
          <w:color w:val="auto"/>
        </w:rPr>
      </w:pPr>
    </w:p>
    <w:p>
      <w:pPr>
        <w:ind w:left="582" w:right="280" w:hanging="582"/>
        <w:spacing w:after="0" w:line="285" w:lineRule="auto"/>
        <w:tabs>
          <w:tab w:leader="none" w:pos="578"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Tenants shall not perform improvements or alterations within the Building or their Premises, if the work has the potential of disturbing the fireproofing which has been applied on the surfaces of structural steel members, without the prior written consent of Landlord.</w:t>
      </w:r>
    </w:p>
    <w:p>
      <w:pPr>
        <w:spacing w:after="0" w:line="149" w:lineRule="exact"/>
        <w:rPr>
          <w:rFonts w:ascii="Arial" w:cs="Arial" w:eastAsia="Arial" w:hAnsi="Arial"/>
          <w:sz w:val="16"/>
          <w:szCs w:val="16"/>
          <w:color w:val="auto"/>
        </w:rPr>
      </w:pPr>
    </w:p>
    <w:p>
      <w:pPr>
        <w:ind w:left="582" w:right="160" w:hanging="582"/>
        <w:spacing w:after="0" w:line="285" w:lineRule="auto"/>
        <w:tabs>
          <w:tab w:leader="none" w:pos="578" w:val="left"/>
        </w:tabs>
        <w:numPr>
          <w:ilvl w:val="0"/>
          <w:numId w:val="520"/>
        </w:numPr>
        <w:rPr>
          <w:rFonts w:ascii="Arial" w:cs="Arial" w:eastAsia="Arial" w:hAnsi="Arial"/>
          <w:sz w:val="16"/>
          <w:szCs w:val="16"/>
          <w:color w:val="auto"/>
        </w:rPr>
      </w:pPr>
      <w:r>
        <w:rPr>
          <w:rFonts w:ascii="Arial" w:cs="Arial" w:eastAsia="Arial" w:hAnsi="Arial"/>
          <w:sz w:val="16"/>
          <w:szCs w:val="16"/>
          <w:color w:val="auto"/>
        </w:rPr>
        <w:t>Tenant shall manage its waste removal program, at its sole cost and expense, keeping any recyclables, garbage, trash, rubbish and refuse in vermin-proof containers for Tenant’s sole use within the Landlord designated area until removed.</w:t>
      </w:r>
    </w:p>
    <w:p>
      <w:pPr>
        <w:spacing w:after="0" w:line="1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3" w:right="259" w:bottom="1440" w:gutter="0" w:footer="0" w:header="0"/>
        </w:sectPr>
      </w:pPr>
    </w:p>
    <w:bookmarkStart w:id="541" w:name="page542"/>
    <w:bookmarkEnd w:id="541"/>
    <w:p>
      <w:pPr>
        <w:ind w:left="582" w:hanging="582"/>
        <w:spacing w:after="0"/>
        <w:tabs>
          <w:tab w:leader="none" w:pos="582" w:val="left"/>
        </w:tabs>
        <w:numPr>
          <w:ilvl w:val="0"/>
          <w:numId w:val="521"/>
        </w:numPr>
        <w:rPr>
          <w:rFonts w:ascii="Arial" w:cs="Arial" w:eastAsia="Arial" w:hAnsi="Arial"/>
          <w:sz w:val="16"/>
          <w:szCs w:val="16"/>
          <w:color w:val="auto"/>
        </w:rPr>
      </w:pPr>
      <w:r>
        <w:rPr>
          <w:rFonts w:ascii="Arial" w:cs="Arial" w:eastAsia="Arial" w:hAnsi="Arial"/>
          <w:sz w:val="16"/>
          <w:szCs w:val="16"/>
          <w:color w:val="auto"/>
        </w:rPr>
        <w:t>Lab operators who travel outside lab space must abide by the one glove rule and remove lab coats where predetermined.</w:t>
      </w:r>
    </w:p>
    <w:p>
      <w:pPr>
        <w:spacing w:after="0" w:line="207" w:lineRule="exact"/>
        <w:rPr>
          <w:rFonts w:ascii="Arial" w:cs="Arial" w:eastAsia="Arial" w:hAnsi="Arial"/>
          <w:sz w:val="16"/>
          <w:szCs w:val="16"/>
          <w:color w:val="auto"/>
        </w:rPr>
      </w:pPr>
    </w:p>
    <w:p>
      <w:pPr>
        <w:ind w:left="582" w:right="160" w:hanging="582"/>
        <w:spacing w:after="0" w:line="285" w:lineRule="auto"/>
        <w:tabs>
          <w:tab w:leader="none" w:pos="578" w:val="left"/>
        </w:tabs>
        <w:numPr>
          <w:ilvl w:val="0"/>
          <w:numId w:val="521"/>
        </w:numPr>
        <w:rPr>
          <w:rFonts w:ascii="Arial" w:cs="Arial" w:eastAsia="Arial" w:hAnsi="Arial"/>
          <w:sz w:val="16"/>
          <w:szCs w:val="16"/>
          <w:color w:val="auto"/>
        </w:rPr>
      </w:pPr>
      <w:r>
        <w:rPr>
          <w:rFonts w:ascii="Arial" w:cs="Arial" w:eastAsia="Arial" w:hAnsi="Arial"/>
          <w:sz w:val="16"/>
          <w:szCs w:val="16"/>
          <w:color w:val="auto"/>
        </w:rPr>
        <w:t>Chemical lists and MSDS sheets must be readily available at a centralized location of which Landlord has been provided prior notice. In the event of an emergency, first responders will require this information in order to properly evaluate the situation.</w:t>
      </w:r>
    </w:p>
    <w:p>
      <w:pPr>
        <w:spacing w:after="0" w:line="149" w:lineRule="exact"/>
        <w:rPr>
          <w:rFonts w:ascii="Arial" w:cs="Arial" w:eastAsia="Arial" w:hAnsi="Arial"/>
          <w:sz w:val="16"/>
          <w:szCs w:val="16"/>
          <w:color w:val="auto"/>
        </w:rPr>
      </w:pPr>
    </w:p>
    <w:p>
      <w:pPr>
        <w:ind w:left="582" w:right="360" w:hanging="582"/>
        <w:spacing w:after="0" w:line="285" w:lineRule="auto"/>
        <w:tabs>
          <w:tab w:leader="none" w:pos="578" w:val="left"/>
        </w:tabs>
        <w:numPr>
          <w:ilvl w:val="0"/>
          <w:numId w:val="521"/>
        </w:numPr>
        <w:rPr>
          <w:rFonts w:ascii="Arial" w:cs="Arial" w:eastAsia="Arial" w:hAnsi="Arial"/>
          <w:sz w:val="16"/>
          <w:szCs w:val="16"/>
          <w:color w:val="auto"/>
        </w:rPr>
      </w:pPr>
      <w:r>
        <w:rPr>
          <w:rFonts w:ascii="Arial" w:cs="Arial" w:eastAsia="Arial" w:hAnsi="Arial"/>
          <w:sz w:val="16"/>
          <w:szCs w:val="16"/>
          <w:color w:val="auto"/>
        </w:rPr>
        <w:t>Tenant shall provide Landlord, in writing, the names and contact information of two (2) representatives authorized by Tenant to request Landlord services, either billable or non-billable and to act as a liaison for matters related to the Premises.</w:t>
      </w:r>
    </w:p>
    <w:p>
      <w:pPr>
        <w:spacing w:after="0" w:line="146" w:lineRule="exact"/>
        <w:rPr>
          <w:sz w:val="20"/>
          <w:szCs w:val="20"/>
          <w:color w:val="auto"/>
        </w:rPr>
      </w:pPr>
    </w:p>
    <w:p>
      <w:pPr>
        <w:ind w:left="582" w:hanging="582"/>
        <w:spacing w:after="0"/>
        <w:tabs>
          <w:tab w:leader="none" w:pos="582" w:val="left"/>
        </w:tabs>
        <w:numPr>
          <w:ilvl w:val="0"/>
          <w:numId w:val="522"/>
        </w:numPr>
        <w:rPr>
          <w:rFonts w:ascii="Arial" w:cs="Arial" w:eastAsia="Arial" w:hAnsi="Arial"/>
          <w:sz w:val="16"/>
          <w:szCs w:val="16"/>
          <w:b w:val="1"/>
          <w:bCs w:val="1"/>
          <w:color w:val="auto"/>
        </w:rPr>
      </w:pPr>
      <w:r>
        <w:rPr>
          <w:rFonts w:ascii="Arial" w:cs="Arial" w:eastAsia="Arial" w:hAnsi="Arial"/>
          <w:sz w:val="16"/>
          <w:szCs w:val="16"/>
          <w:b w:val="1"/>
          <w:bCs w:val="1"/>
          <w:color w:val="auto"/>
        </w:rPr>
        <w:t>Access &amp; Security</w:t>
      </w:r>
    </w:p>
    <w:p>
      <w:pPr>
        <w:spacing w:after="0" w:line="211" w:lineRule="exact"/>
        <w:rPr>
          <w:sz w:val="20"/>
          <w:szCs w:val="20"/>
          <w:color w:val="auto"/>
        </w:rPr>
      </w:pPr>
    </w:p>
    <w:p>
      <w:pPr>
        <w:ind w:left="582" w:right="140" w:hanging="582"/>
        <w:spacing w:after="0" w:line="265" w:lineRule="auto"/>
        <w:tabs>
          <w:tab w:leader="none" w:pos="582" w:val="left"/>
        </w:tabs>
        <w:numPr>
          <w:ilvl w:val="0"/>
          <w:numId w:val="523"/>
        </w:numPr>
        <w:rPr>
          <w:rFonts w:ascii="Arial" w:cs="Arial" w:eastAsia="Arial" w:hAnsi="Arial"/>
          <w:sz w:val="16"/>
          <w:szCs w:val="16"/>
          <w:color w:val="auto"/>
        </w:rPr>
      </w:pPr>
      <w:r>
        <w:rPr>
          <w:rFonts w:ascii="Arial" w:cs="Arial" w:eastAsia="Arial" w:hAnsi="Arial"/>
          <w:sz w:val="16"/>
          <w:szCs w:val="16"/>
          <w:color w:val="auto"/>
        </w:rPr>
        <w:t>Landlord reserves the right to close and keep locked all entrance and exit doors of the Building during the hours Landlord may deem advisable for the adequate protection of the Property. Use of the Building and the leased premises before 8 AM or after 6 PM, or any time during Saturdays, Sundays or legal holidays shall be allowed only to persons with a key/card key to the Building or guests accompanied by such persons. Any persons found in the Building after hours without such keys/card keys are subject to the surveillance of building staff.</w:t>
      </w:r>
    </w:p>
    <w:p>
      <w:pPr>
        <w:spacing w:after="0" w:line="165" w:lineRule="exact"/>
        <w:rPr>
          <w:rFonts w:ascii="Arial" w:cs="Arial" w:eastAsia="Arial" w:hAnsi="Arial"/>
          <w:sz w:val="16"/>
          <w:szCs w:val="16"/>
          <w:color w:val="auto"/>
        </w:rPr>
      </w:pPr>
    </w:p>
    <w:p>
      <w:pPr>
        <w:ind w:left="582" w:hanging="582"/>
        <w:spacing w:after="0" w:line="265" w:lineRule="auto"/>
        <w:tabs>
          <w:tab w:leader="none" w:pos="582" w:val="left"/>
        </w:tabs>
        <w:numPr>
          <w:ilvl w:val="0"/>
          <w:numId w:val="523"/>
        </w:numPr>
        <w:rPr>
          <w:rFonts w:ascii="Arial" w:cs="Arial" w:eastAsia="Arial" w:hAnsi="Arial"/>
          <w:sz w:val="16"/>
          <w:szCs w:val="16"/>
          <w:color w:val="auto"/>
        </w:rPr>
      </w:pPr>
      <w:r>
        <w:rPr>
          <w:rFonts w:ascii="Arial" w:cs="Arial" w:eastAsia="Arial" w:hAnsi="Arial"/>
          <w:sz w:val="16"/>
          <w:szCs w:val="16"/>
          <w:color w:val="auto"/>
        </w:rPr>
        <w:t>Tenant shall not place any additional lock or locks on any exterior door in the Premises or Building or on any door in the Building core within the Premises, including doors providing access to the telephone and electric closets and the slop sink, without Landlord’s prior written consent. A reasonable number of keys to the locks on the doors in the Premises shall be furnished by Landlord to Tenant at the cost of Tenant, and Tenant shall not have any duplicate keys made. All keys shall be returned to Landlord at the expiration or earlier termination of this Lease.</w:t>
      </w:r>
    </w:p>
    <w:p>
      <w:pPr>
        <w:spacing w:after="0" w:line="165" w:lineRule="exact"/>
        <w:rPr>
          <w:rFonts w:ascii="Arial" w:cs="Arial" w:eastAsia="Arial" w:hAnsi="Arial"/>
          <w:sz w:val="16"/>
          <w:szCs w:val="16"/>
          <w:color w:val="auto"/>
        </w:rPr>
      </w:pPr>
    </w:p>
    <w:p>
      <w:pPr>
        <w:jc w:val="both"/>
        <w:ind w:left="582" w:right="340" w:hanging="582"/>
        <w:spacing w:after="0" w:line="270" w:lineRule="auto"/>
        <w:tabs>
          <w:tab w:leader="none" w:pos="582" w:val="left"/>
        </w:tabs>
        <w:numPr>
          <w:ilvl w:val="0"/>
          <w:numId w:val="523"/>
        </w:numPr>
        <w:rPr>
          <w:rFonts w:ascii="Arial" w:cs="Arial" w:eastAsia="Arial" w:hAnsi="Arial"/>
          <w:sz w:val="16"/>
          <w:szCs w:val="16"/>
          <w:color w:val="auto"/>
        </w:rPr>
      </w:pPr>
      <w:r>
        <w:rPr>
          <w:rFonts w:ascii="Arial" w:cs="Arial" w:eastAsia="Arial" w:hAnsi="Arial"/>
          <w:sz w:val="16"/>
          <w:szCs w:val="16"/>
          <w:color w:val="auto"/>
        </w:rPr>
        <w:t>Landlord may from time to time adopt appropriate systems and procedures for the security or safety of the Building, its occupants, entry and use, or its contents, provided that Tenant shall have access to the Building 24 hours per day, 7 days a week. Tenant, Tenant’s agents, employees, contractors, guests and invitees shall comply with Landlord’s reasonable requirements relative thereto.</w:t>
      </w:r>
    </w:p>
    <w:p>
      <w:pPr>
        <w:spacing w:after="0" w:line="161" w:lineRule="exact"/>
        <w:rPr>
          <w:rFonts w:ascii="Arial" w:cs="Arial" w:eastAsia="Arial" w:hAnsi="Arial"/>
          <w:sz w:val="16"/>
          <w:szCs w:val="16"/>
          <w:color w:val="auto"/>
        </w:rPr>
      </w:pPr>
    </w:p>
    <w:p>
      <w:pPr>
        <w:ind w:left="582" w:right="80" w:hanging="582"/>
        <w:spacing w:after="0" w:line="270" w:lineRule="auto"/>
        <w:tabs>
          <w:tab w:leader="none" w:pos="582" w:val="left"/>
        </w:tabs>
        <w:numPr>
          <w:ilvl w:val="0"/>
          <w:numId w:val="523"/>
        </w:numPr>
        <w:rPr>
          <w:rFonts w:ascii="Arial" w:cs="Arial" w:eastAsia="Arial" w:hAnsi="Arial"/>
          <w:sz w:val="16"/>
          <w:szCs w:val="16"/>
          <w:color w:val="auto"/>
        </w:rPr>
      </w:pPr>
      <w:r>
        <w:rPr>
          <w:rFonts w:ascii="Arial" w:cs="Arial" w:eastAsia="Arial" w:hAnsi="Arial"/>
          <w:sz w:val="16"/>
          <w:szCs w:val="16"/>
          <w:color w:val="auto"/>
        </w:rPr>
        <w:t>Tenant acknowledges that Property security problems may occur which may require the employment of extreme security measures in the day-to-day operation of the Common Areas. Accordingly, Tenant agrees to cooperate and cause its employees, contractors, and other representatives to cooperate fully with Landlord in the implementation of any reasonable security procedures concerning the Common Areas.</w:t>
      </w:r>
    </w:p>
    <w:p>
      <w:pPr>
        <w:spacing w:after="0" w:line="161" w:lineRule="exact"/>
        <w:rPr>
          <w:rFonts w:ascii="Arial" w:cs="Arial" w:eastAsia="Arial" w:hAnsi="Arial"/>
          <w:sz w:val="16"/>
          <w:szCs w:val="16"/>
          <w:color w:val="auto"/>
        </w:rPr>
      </w:pPr>
    </w:p>
    <w:p>
      <w:pPr>
        <w:ind w:left="582" w:right="40" w:hanging="582"/>
        <w:spacing w:after="0" w:line="360" w:lineRule="auto"/>
        <w:tabs>
          <w:tab w:leader="none" w:pos="582" w:val="left"/>
        </w:tabs>
        <w:numPr>
          <w:ilvl w:val="0"/>
          <w:numId w:val="523"/>
        </w:numPr>
        <w:rPr>
          <w:rFonts w:ascii="Arial" w:cs="Arial" w:eastAsia="Arial" w:hAnsi="Arial"/>
          <w:sz w:val="14"/>
          <w:szCs w:val="14"/>
          <w:color w:val="auto"/>
        </w:rPr>
      </w:pPr>
      <w:r>
        <w:rPr>
          <w:rFonts w:ascii="Arial" w:cs="Arial" w:eastAsia="Arial" w:hAnsi="Arial"/>
          <w:sz w:val="14"/>
          <w:szCs w:val="14"/>
          <w:color w:val="auto"/>
        </w:rPr>
        <w:t>Tenant and its employees, agents, contractors, invitees and licensees are limited to the Premises and the Common Areas. Tenants and its employees, agents, contractors, invitees and licensees may not enter other areas of the Project (other than the Common Areas) except when accompanied by an escort from the Landlord.</w:t>
      </w:r>
    </w:p>
    <w:p>
      <w:pPr>
        <w:spacing w:after="0" w:line="10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542" w:name="page543"/>
    <w:bookmarkEnd w:id="542"/>
    <w:p>
      <w:pPr>
        <w:ind w:left="602" w:hanging="602"/>
        <w:spacing w:after="0"/>
        <w:tabs>
          <w:tab w:leader="none" w:pos="602" w:val="left"/>
        </w:tabs>
        <w:numPr>
          <w:ilvl w:val="0"/>
          <w:numId w:val="524"/>
        </w:numPr>
        <w:rPr>
          <w:rFonts w:ascii="Arial" w:cs="Arial" w:eastAsia="Arial" w:hAnsi="Arial"/>
          <w:sz w:val="16"/>
          <w:szCs w:val="16"/>
          <w:b w:val="1"/>
          <w:bCs w:val="1"/>
          <w:color w:val="auto"/>
        </w:rPr>
      </w:pPr>
      <w:r>
        <w:rPr>
          <w:rFonts w:ascii="Arial" w:cs="Arial" w:eastAsia="Arial" w:hAnsi="Arial"/>
          <w:sz w:val="16"/>
          <w:szCs w:val="16"/>
          <w:b w:val="1"/>
          <w:bCs w:val="1"/>
          <w:color w:val="auto"/>
        </w:rPr>
        <w:t>Shipping/Receiving</w:t>
      </w:r>
    </w:p>
    <w:p>
      <w:pPr>
        <w:spacing w:after="0" w:line="211" w:lineRule="exact"/>
        <w:rPr>
          <w:sz w:val="20"/>
          <w:szCs w:val="20"/>
          <w:color w:val="auto"/>
        </w:rPr>
      </w:pPr>
    </w:p>
    <w:p>
      <w:pPr>
        <w:ind w:left="582" w:hanging="582"/>
        <w:spacing w:after="0"/>
        <w:tabs>
          <w:tab w:leader="none" w:pos="58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Dock areas exterior to the Building shall not be used for storage or staging by Tenant.</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In no case shall any truck or trailer be permitted to remain in a loading dock area for more than forty-eight (48) hours.</w:t>
      </w:r>
    </w:p>
    <w:p>
      <w:pPr>
        <w:spacing w:after="0" w:line="207" w:lineRule="exact"/>
        <w:rPr>
          <w:rFonts w:ascii="Arial" w:cs="Arial" w:eastAsia="Arial" w:hAnsi="Arial"/>
          <w:sz w:val="16"/>
          <w:szCs w:val="16"/>
          <w:color w:val="auto"/>
        </w:rPr>
      </w:pPr>
    </w:p>
    <w:p>
      <w:pPr>
        <w:ind w:left="582" w:hanging="582"/>
        <w:spacing w:after="0" w:line="285" w:lineRule="auto"/>
        <w:tabs>
          <w:tab w:leader="none" w:pos="58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There shall not be used in any Common Area, either by Tenant or by delivery personnel or others, in the delivery or receipt of merchandise, any hand trucks, except those equipped with rubber tires and sole guards.</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Lab operators carrying any lab related materials may only travel within the Premises. At no time should any lab materials travel in the Common Areas.</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Any dry ice brought into the building must be delivered through the loading dock serving the Premises.</w:t>
      </w:r>
    </w:p>
    <w:p>
      <w:pPr>
        <w:spacing w:after="0" w:line="207" w:lineRule="exact"/>
        <w:rPr>
          <w:rFonts w:ascii="Arial" w:cs="Arial" w:eastAsia="Arial" w:hAnsi="Arial"/>
          <w:sz w:val="16"/>
          <w:szCs w:val="16"/>
          <w:color w:val="auto"/>
        </w:rPr>
      </w:pPr>
    </w:p>
    <w:p>
      <w:pPr>
        <w:ind w:left="582" w:hanging="582"/>
        <w:spacing w:after="0"/>
        <w:tabs>
          <w:tab w:leader="none" w:pos="58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All nitrogen tanks must travel through the loading dock serving the Premises and should never be left unattended outside of the Premises.</w:t>
      </w:r>
    </w:p>
    <w:p>
      <w:pPr>
        <w:spacing w:after="0" w:line="207" w:lineRule="exact"/>
        <w:rPr>
          <w:sz w:val="20"/>
          <w:szCs w:val="20"/>
          <w:color w:val="auto"/>
        </w:rPr>
      </w:pPr>
    </w:p>
    <w:p>
      <w:pPr>
        <w:jc w:val="center"/>
        <w:ind w:right="-16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282"/>
          </w:cols>
          <w:pgMar w:left="238" w:top="318" w:right="379" w:bottom="1440" w:gutter="0" w:footer="0" w:header="0"/>
        </w:sectPr>
      </w:pPr>
    </w:p>
    <w:bookmarkStart w:id="543" w:name="page544"/>
    <w:bookmarkEnd w:id="543"/>
    <w:p>
      <w:pPr>
        <w:jc w:val="center"/>
        <w:ind w:right="-19"/>
        <w:spacing w:after="0"/>
        <w:rPr>
          <w:sz w:val="20"/>
          <w:szCs w:val="20"/>
          <w:color w:val="auto"/>
        </w:rPr>
      </w:pPr>
      <w:r>
        <w:rPr>
          <w:rFonts w:ascii="Arial" w:cs="Arial" w:eastAsia="Arial" w:hAnsi="Arial"/>
          <w:sz w:val="16"/>
          <w:szCs w:val="16"/>
          <w:u w:val="single" w:color="auto"/>
          <w:color w:val="auto"/>
        </w:rPr>
        <w:t>EXHIBIT 9</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INSURANCE REQUIREMENTS FOR TENANT’S CONTRACTORS</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Tenant shall, at its own expense, maintain and keep in force, or cause to be maintained and kept in force by any general contractors, sub-contractors or other third party entities where required by contract, throughout any period of alterations to the Premises or the Building by Tenant, the following insurance coverages:</w:t>
      </w:r>
    </w:p>
    <w:p>
      <w:pPr>
        <w:spacing w:after="0" w:line="150" w:lineRule="exact"/>
        <w:rPr>
          <w:sz w:val="20"/>
          <w:szCs w:val="20"/>
          <w:color w:val="auto"/>
        </w:rPr>
      </w:pPr>
    </w:p>
    <w:p>
      <w:pPr>
        <w:ind w:right="40" w:firstLine="585"/>
        <w:spacing w:after="0" w:line="261" w:lineRule="auto"/>
        <w:tabs>
          <w:tab w:leader="none" w:pos="118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Property Insurance. “All-Risk” or “Special” Form property insurance, and/or Builders Risk coverage for major renovation projects, including, without limitation, coverage for fire, earthquake and flood; boiler and machinery (if applicable); sprinkler damage; vandalism; malicious mischief coverage on all equipment, furniture, fixtures, fittings, tenants work, improvements and betterments, business income, extra expense, merchandise, inventory/stock, contents, and personal property located on or in the Premises. Such insurance shall be in an amount equal to the full replacement cost of the aggregate of the foregoing and shall provide coverage comparable to the coverage in the standard ISO “All-Risk” or “Special” form, when such coverage is supplemented with the coverages required above. Property policy shall also include coverage for Plate Glass, where required by written contract.</w:t>
      </w:r>
    </w:p>
    <w:p>
      <w:pPr>
        <w:spacing w:after="0" w:line="169" w:lineRule="exact"/>
        <w:rPr>
          <w:sz w:val="20"/>
          <w:szCs w:val="20"/>
          <w:color w:val="auto"/>
        </w:rPr>
      </w:pPr>
    </w:p>
    <w:p>
      <w:pPr>
        <w:ind w:right="80" w:firstLine="587"/>
        <w:spacing w:after="0" w:line="285" w:lineRule="auto"/>
        <w:rPr>
          <w:sz w:val="20"/>
          <w:szCs w:val="20"/>
          <w:color w:val="auto"/>
        </w:rPr>
      </w:pPr>
      <w:r>
        <w:rPr>
          <w:rFonts w:ascii="Arial" w:cs="Arial" w:eastAsia="Arial" w:hAnsi="Arial"/>
          <w:sz w:val="16"/>
          <w:szCs w:val="16"/>
          <w:color w:val="auto"/>
        </w:rPr>
        <w:t>Builders Risk insurance coverage may be provided by the general contractor on a blanket builders risk policy with limits adequate for the project, and evidencing the additional insureds as required in the Lease.</w:t>
      </w:r>
    </w:p>
    <w:p>
      <w:pPr>
        <w:spacing w:after="0" w:line="150" w:lineRule="exact"/>
        <w:rPr>
          <w:sz w:val="20"/>
          <w:szCs w:val="20"/>
          <w:color w:val="auto"/>
        </w:rPr>
      </w:pPr>
    </w:p>
    <w:p>
      <w:pPr>
        <w:ind w:left="1180" w:hanging="595"/>
        <w:spacing w:after="0"/>
        <w:tabs>
          <w:tab w:leader="none" w:pos="1180" w:val="left"/>
        </w:tabs>
        <w:numPr>
          <w:ilvl w:val="0"/>
          <w:numId w:val="527"/>
        </w:numPr>
        <w:rPr>
          <w:rFonts w:ascii="Arial" w:cs="Arial" w:eastAsia="Arial" w:hAnsi="Arial"/>
          <w:sz w:val="16"/>
          <w:szCs w:val="16"/>
          <w:color w:val="auto"/>
        </w:rPr>
      </w:pPr>
      <w:r>
        <w:rPr>
          <w:rFonts w:ascii="Arial" w:cs="Arial" w:eastAsia="Arial" w:hAnsi="Arial"/>
          <w:sz w:val="16"/>
          <w:szCs w:val="16"/>
          <w:color w:val="auto"/>
        </w:rPr>
        <w:t>Liability Insurance. General Liability, Umbrella/Excess Liability, Workers Compensation and Auto Liability coverage as follows:</w:t>
      </w:r>
    </w:p>
    <w:p>
      <w:pPr>
        <w:spacing w:after="0" w:line="207" w:lineRule="exact"/>
        <w:rPr>
          <w:sz w:val="20"/>
          <w:szCs w:val="20"/>
          <w:color w:val="auto"/>
        </w:rPr>
      </w:pPr>
    </w:p>
    <w:p>
      <w:pPr>
        <w:ind w:left="1180"/>
        <w:spacing w:after="0"/>
        <w:tabs>
          <w:tab w:leader="none" w:pos="1740" w:val="left"/>
          <w:tab w:leader="none" w:pos="35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General Liability</w:t>
      </w:r>
      <w:r>
        <w:rPr>
          <w:sz w:val="20"/>
          <w:szCs w:val="20"/>
          <w:color w:val="auto"/>
        </w:rPr>
        <w:tab/>
      </w:r>
      <w:r>
        <w:rPr>
          <w:rFonts w:ascii="Arial" w:cs="Arial" w:eastAsia="Arial" w:hAnsi="Arial"/>
          <w:sz w:val="14"/>
          <w:szCs w:val="14"/>
          <w:color w:val="auto"/>
        </w:rPr>
        <w:t>$1,000,000 per occurrence</w:t>
      </w:r>
    </w:p>
    <w:p>
      <w:pPr>
        <w:spacing w:after="0" w:line="207"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$1,000,000 personal &amp; advertising injury</w:t>
      </w:r>
    </w:p>
    <w:p>
      <w:pPr>
        <w:spacing w:after="0" w:line="207"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$2,000,000 products/completed operations aggregate</w:t>
      </w:r>
    </w:p>
    <w:p>
      <w:pPr>
        <w:spacing w:after="0" w:line="207"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$2,000,000 general aggregate</w:t>
      </w:r>
    </w:p>
    <w:p>
      <w:pPr>
        <w:spacing w:after="0" w:line="207" w:lineRule="exact"/>
        <w:rPr>
          <w:sz w:val="20"/>
          <w:szCs w:val="20"/>
          <w:color w:val="auto"/>
        </w:rPr>
      </w:pPr>
    </w:p>
    <w:p>
      <w:pPr>
        <w:ind w:right="40" w:firstLine="587"/>
        <w:spacing w:after="0" w:line="260" w:lineRule="auto"/>
        <w:rPr>
          <w:sz w:val="20"/>
          <w:szCs w:val="20"/>
          <w:color w:val="auto"/>
        </w:rPr>
      </w:pPr>
      <w:r>
        <w:rPr>
          <w:rFonts w:ascii="Arial" w:cs="Arial" w:eastAsia="Arial" w:hAnsi="Arial"/>
          <w:sz w:val="16"/>
          <w:szCs w:val="16"/>
          <w:color w:val="auto"/>
        </w:rPr>
        <w:t>The General Contractor is required to maintain, during the construction period and up to 3 years after project completion, a General Liability insurance policy, covering bodily injury, personal injury, property damage, completed operations, with limits to include a $1,000,000 limit for blanket contractual liability coverage and adding Landlord as additional insured as respects the project during construction and for completed operations up to 3 years after the end of the project. Landlord requires a copy of the ISO 20 10 11 85 Additional Insured endorsement, showing Landlord as an additional insured to the GC’s policy. To the extent required by Landlord Contractors’ commercial general liability/umbrella insurance policy(ies) shall include Landlord and Landlord’s designees as additional insureds’, and shall include a primary non-contributory provision. Liability policy shall contain a clause that the insurer may not cancel or materially change coverage without first giving Landlord thirty (30) days prior written notice,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44" w:name="page545"/>
    <w:bookmarkEnd w:id="544"/>
    <w:p>
      <w:pPr>
        <w:spacing w:after="0"/>
        <w:rPr>
          <w:sz w:val="20"/>
          <w:szCs w:val="20"/>
          <w:color w:val="auto"/>
        </w:rPr>
      </w:pPr>
      <w:r>
        <w:rPr>
          <w:rFonts w:ascii="Arial" w:cs="Arial" w:eastAsia="Arial" w:hAnsi="Arial"/>
          <w:sz w:val="16"/>
          <w:szCs w:val="16"/>
          <w:color w:val="auto"/>
        </w:rPr>
        <w:t>except cancellation for non-payment of premium, in which ten (10) days prior written notice shall be required.</w:t>
      </w:r>
    </w:p>
    <w:p>
      <w:pPr>
        <w:spacing w:after="0" w:line="207" w:lineRule="exact"/>
        <w:rPr>
          <w:sz w:val="20"/>
          <w:szCs w:val="20"/>
          <w:color w:val="auto"/>
        </w:rPr>
      </w:pPr>
    </w:p>
    <w:p>
      <w:pPr>
        <w:ind w:left="1760" w:hanging="588"/>
        <w:spacing w:after="0"/>
        <w:tabs>
          <w:tab w:leader="none" w:pos="1760" w:val="left"/>
        </w:tabs>
        <w:numPr>
          <w:ilvl w:val="0"/>
          <w:numId w:val="528"/>
        </w:numPr>
        <w:rPr>
          <w:rFonts w:ascii="Arial" w:cs="Arial" w:eastAsia="Arial" w:hAnsi="Arial"/>
          <w:sz w:val="15"/>
          <w:szCs w:val="15"/>
          <w:color w:val="auto"/>
        </w:rPr>
      </w:pPr>
      <w:r>
        <w:rPr>
          <w:rFonts w:ascii="Arial" w:cs="Arial" w:eastAsia="Arial" w:hAnsi="Arial"/>
          <w:sz w:val="15"/>
          <w:szCs w:val="15"/>
          <w:color w:val="auto"/>
        </w:rPr>
        <w:t>Auto Liability $1,000,000 combined single limit (Any Auto) for bodily injury and property damage, hired and non-owned cover.</w:t>
      </w:r>
    </w:p>
    <w:p>
      <w:pPr>
        <w:sectPr>
          <w:pgSz w:w="11900" w:h="16838" w:orient="portrait"/>
          <w:cols w:equalWidth="0" w:num="1">
            <w:col w:w="11400"/>
          </w:cols>
          <w:pgMar w:left="240" w:top="322" w:right="259" w:bottom="1440" w:gutter="0" w:footer="0" w:header="0"/>
        </w:sectPr>
      </w:pPr>
    </w:p>
    <w:p>
      <w:pPr>
        <w:spacing w:after="0" w:line="219"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4"/>
          <w:szCs w:val="14"/>
          <w:color w:val="auto"/>
        </w:rPr>
        <w:t xml:space="preserve">Workers </w:t>
      </w:r>
      <w:r>
        <w:rPr>
          <w:rFonts w:ascii="Arial" w:cs="Arial" w:eastAsia="Arial" w:hAnsi="Arial"/>
          <w:sz w:val="14"/>
          <w:szCs w:val="14"/>
          <w:i w:val="1"/>
          <w:iCs w:val="1"/>
          <w:color w:val="auto"/>
        </w:rPr>
        <w:t>Compensation</w:t>
      </w:r>
    </w:p>
    <w:p>
      <w:pPr>
        <w:spacing w:after="0" w:line="46"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Employers Liability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Statutory Limits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$1,000,000 each accident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51,000,000 each employee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$1,000,000 policy limit</w:t>
      </w:r>
    </w:p>
    <w:p>
      <w:pPr>
        <w:spacing w:after="0" w:line="196" w:lineRule="exact"/>
        <w:rPr>
          <w:sz w:val="20"/>
          <w:szCs w:val="20"/>
          <w:color w:val="auto"/>
        </w:rPr>
      </w:pPr>
    </w:p>
    <w:p>
      <w:pPr>
        <w:sectPr>
          <w:pgSz w:w="11900" w:h="16838" w:orient="portrait"/>
          <w:cols w:equalWidth="0" w:num="2">
            <w:col w:w="3300" w:space="480"/>
            <w:col w:w="7620"/>
          </w:cols>
          <w:pgMar w:left="240" w:top="322" w:right="259" w:bottom="1440" w:gutter="0" w:footer="0" w:header="0"/>
          <w:type w:val="continuous"/>
        </w:sectPr>
      </w:pPr>
    </w:p>
    <w:p>
      <w:pPr>
        <w:ind w:right="620" w:firstLine="587"/>
        <w:spacing w:after="0" w:line="285" w:lineRule="auto"/>
        <w:rPr>
          <w:sz w:val="20"/>
          <w:szCs w:val="20"/>
          <w:color w:val="auto"/>
        </w:rPr>
      </w:pPr>
      <w:r>
        <w:rPr>
          <w:rFonts w:ascii="Arial" w:cs="Arial" w:eastAsia="Arial" w:hAnsi="Arial"/>
          <w:sz w:val="16"/>
          <w:szCs w:val="16"/>
          <w:color w:val="auto"/>
        </w:rPr>
        <w:t>General Contractor shall ensure that any and all sub-contractors shall maintain equal limits of coverage for Workers Compensation/EL and collect insurance certificates verifying same.</w:t>
      </w:r>
    </w:p>
    <w:p>
      <w:pPr>
        <w:sectPr>
          <w:pgSz w:w="11900" w:h="16838" w:orient="portrait"/>
          <w:cols w:equalWidth="0" w:num="1">
            <w:col w:w="11400"/>
          </w:cols>
          <w:pgMar w:left="240" w:top="322" w:right="259" w:bottom="1440" w:gutter="0" w:footer="0" w:header="0"/>
          <w:type w:val="continuous"/>
        </w:sectPr>
      </w:pPr>
    </w:p>
    <w:p>
      <w:pPr>
        <w:spacing w:after="0" w:line="150" w:lineRule="exact"/>
        <w:rPr>
          <w:sz w:val="20"/>
          <w:szCs w:val="20"/>
          <w:color w:val="auto"/>
        </w:rPr>
      </w:pPr>
    </w:p>
    <w:p>
      <w:pPr>
        <w:ind w:left="1180"/>
        <w:spacing w:after="0"/>
        <w:tabs>
          <w:tab w:leader="none" w:pos="1740" w:val="left"/>
        </w:tabs>
        <w:rPr>
          <w:sz w:val="20"/>
          <w:szCs w:val="20"/>
          <w:color w:val="auto"/>
        </w:rPr>
      </w:pPr>
      <w:r>
        <w:rPr>
          <w:rFonts w:ascii="Arial" w:cs="Arial" w:eastAsia="Arial" w:hAnsi="Arial"/>
          <w:sz w:val="15"/>
          <w:szCs w:val="15"/>
          <w:color w:val="auto"/>
        </w:rPr>
        <w:t>(d)</w:t>
      </w:r>
      <w:r>
        <w:rPr>
          <w:sz w:val="20"/>
          <w:szCs w:val="20"/>
          <w:color w:val="auto"/>
        </w:rPr>
        <w:tab/>
      </w:r>
      <w:r>
        <w:rPr>
          <w:rFonts w:ascii="Arial" w:cs="Arial" w:eastAsia="Arial" w:hAnsi="Arial"/>
          <w:sz w:val="15"/>
          <w:szCs w:val="15"/>
          <w:color w:val="auto"/>
        </w:rPr>
        <w:t>Umbrella/Excess Liability</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$3,000,000 per occurrence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$3,000,000 aggregate</w:t>
      </w:r>
    </w:p>
    <w:p>
      <w:pPr>
        <w:spacing w:after="0" w:line="196" w:lineRule="exact"/>
        <w:rPr>
          <w:sz w:val="20"/>
          <w:szCs w:val="20"/>
          <w:color w:val="auto"/>
        </w:rPr>
      </w:pPr>
    </w:p>
    <w:p>
      <w:pPr>
        <w:sectPr>
          <w:pgSz w:w="11900" w:h="16838" w:orient="portrait"/>
          <w:cols w:equalWidth="0" w:num="2">
            <w:col w:w="3480" w:space="340"/>
            <w:col w:w="7580"/>
          </w:cols>
          <w:pgMar w:left="240" w:top="322" w:right="259" w:bottom="1440" w:gutter="0" w:footer="0" w:header="0"/>
          <w:type w:val="continuous"/>
        </w:sectPr>
      </w:pPr>
    </w:p>
    <w:p>
      <w:pPr>
        <w:ind w:right="540" w:firstLine="585"/>
        <w:spacing w:after="0" w:line="285" w:lineRule="auto"/>
        <w:tabs>
          <w:tab w:leader="none" w:pos="1180" w:val="left"/>
        </w:tabs>
        <w:numPr>
          <w:ilvl w:val="0"/>
          <w:numId w:val="529"/>
        </w:numPr>
        <w:rPr>
          <w:rFonts w:ascii="Arial" w:cs="Arial" w:eastAsia="Arial" w:hAnsi="Arial"/>
          <w:sz w:val="16"/>
          <w:szCs w:val="16"/>
          <w:color w:val="auto"/>
        </w:rPr>
      </w:pPr>
      <w:r>
        <w:rPr>
          <w:rFonts w:ascii="Arial" w:cs="Arial" w:eastAsia="Arial" w:hAnsi="Arial"/>
          <w:sz w:val="16"/>
          <w:szCs w:val="16"/>
          <w:u w:val="single" w:color="auto"/>
          <w:color w:val="auto"/>
        </w:rPr>
        <w:t>Deductibles</w:t>
      </w:r>
      <w:r>
        <w:rPr>
          <w:rFonts w:ascii="Arial" w:cs="Arial" w:eastAsia="Arial" w:hAnsi="Arial"/>
          <w:sz w:val="16"/>
          <w:szCs w:val="16"/>
          <w:color w:val="auto"/>
        </w:rPr>
        <w:t>. If any of the above insurances have deductibles or self-insured retentions, the Tenant and/or contractor (policy Named Insured) shall be responsible for the deductible amount.</w:t>
      </w:r>
    </w:p>
    <w:p>
      <w:pPr>
        <w:spacing w:after="0" w:line="150" w:lineRule="exact"/>
        <w:rPr>
          <w:sz w:val="20"/>
          <w:szCs w:val="20"/>
          <w:color w:val="auto"/>
        </w:rPr>
      </w:pPr>
    </w:p>
    <w:p>
      <w:pPr>
        <w:ind w:firstLine="587"/>
        <w:spacing w:after="0" w:line="288" w:lineRule="auto"/>
        <w:rPr>
          <w:sz w:val="20"/>
          <w:szCs w:val="20"/>
          <w:color w:val="auto"/>
        </w:rPr>
      </w:pPr>
      <w:r>
        <w:rPr>
          <w:rFonts w:ascii="Arial" w:cs="Arial" w:eastAsia="Arial" w:hAnsi="Arial"/>
          <w:sz w:val="15"/>
          <w:szCs w:val="15"/>
          <w:color w:val="auto"/>
        </w:rPr>
        <w:t xml:space="preserve">All of the insurance policies required in this </w:t>
      </w:r>
      <w:r>
        <w:rPr>
          <w:rFonts w:ascii="Arial" w:cs="Arial" w:eastAsia="Arial" w:hAnsi="Arial"/>
          <w:sz w:val="15"/>
          <w:szCs w:val="15"/>
          <w:u w:val="single" w:color="auto"/>
          <w:color w:val="auto"/>
        </w:rPr>
        <w:t>Exhibit 9</w:t>
      </w:r>
      <w:r>
        <w:rPr>
          <w:rFonts w:ascii="Arial" w:cs="Arial" w:eastAsia="Arial" w:hAnsi="Arial"/>
          <w:sz w:val="15"/>
          <w:szCs w:val="15"/>
          <w:color w:val="auto"/>
        </w:rPr>
        <w:t xml:space="preserve"> shall be written by insurance companies which are licensed to do business in the State where the property is located, or obtained through a duly authorized surplus lines insurance agent or otherwise in conformity with the laws of such state, with an A.M. Best rating of at least A and a financial size category of not less than VII. Tenant shall provide Landlord with certificates of insurance upon request, prior to commencement of the Tenant/contractor work, or within thirty (30) days of coverage inception and subsequent renewals or rewrites/replacements of any cancelled/non-renewed policies.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EXHIBIT 10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PTDM</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Parking and Transportation Demand Management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for The Hartwell Innovation Campus, Lexington, MA</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Submitted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Town of Lexington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Planning Department</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1625 Massachusetts Avenue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Lexington, MA 02420</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Submitted by: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King 4 Hartwell Place LLC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King 101 Hartwell LLC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King 113 Hartwell LLC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King 115 Hartwell LLC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c/o Lincoln Property Company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200 CambridgePark Drive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Cambridge, Ma 02140</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Submitted 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80275" cy="279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type w:val="continuous"/>
        </w:sectPr>
      </w:pPr>
    </w:p>
    <w:bookmarkStart w:id="545" w:name="page546"/>
    <w:bookmarkEnd w:id="545"/>
    <w:p>
      <w:pPr>
        <w:jc w:val="center"/>
        <w:ind w:right="20"/>
        <w:spacing w:after="0"/>
        <w:rPr>
          <w:sz w:val="20"/>
          <w:szCs w:val="20"/>
          <w:color w:val="auto"/>
        </w:rPr>
      </w:pPr>
      <w:r>
        <w:rPr>
          <w:rFonts w:ascii="Arial" w:cs="Arial" w:eastAsia="Arial" w:hAnsi="Arial"/>
          <w:sz w:val="16"/>
          <w:szCs w:val="16"/>
          <w:b w:val="1"/>
          <w:bCs w:val="1"/>
          <w:color w:val="auto"/>
        </w:rPr>
        <w:t>Parking and Transportation Demand Management Update Report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September 1, 2017</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1"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As required by the Town of Lexington’s Planning Department, Minor Site Plan Reviews, dated November 2011, The Hartwell Innovation Campus is submitting this Parking and Transportation Demand Management (PTDM) Update Report for the following buildings:</w:t>
      </w:r>
    </w:p>
    <w:p>
      <w:pPr>
        <w:spacing w:after="0" w:line="150" w:lineRule="exact"/>
        <w:rPr>
          <w:sz w:val="20"/>
          <w:szCs w:val="20"/>
          <w:color w:val="auto"/>
        </w:rPr>
      </w:pPr>
    </w:p>
    <w:p>
      <w:pPr>
        <w:ind w:left="560" w:hanging="269"/>
        <w:spacing w:after="0"/>
        <w:tabs>
          <w:tab w:leader="none" w:pos="56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4 Hartwell Place, Lexington, MA</w:t>
      </w:r>
    </w:p>
    <w:p>
      <w:pPr>
        <w:spacing w:after="0" w:line="23" w:lineRule="exact"/>
        <w:rPr>
          <w:rFonts w:ascii="Arial" w:cs="Arial" w:eastAsia="Arial" w:hAnsi="Arial"/>
          <w:sz w:val="16"/>
          <w:szCs w:val="16"/>
          <w:color w:val="auto"/>
        </w:rPr>
      </w:pPr>
    </w:p>
    <w:p>
      <w:pPr>
        <w:ind w:left="560" w:hanging="269"/>
        <w:spacing w:after="0"/>
        <w:tabs>
          <w:tab w:leader="none" w:pos="56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101 Hartwell Avenue, Lexington, MA</w:t>
      </w:r>
    </w:p>
    <w:p>
      <w:pPr>
        <w:spacing w:after="0" w:line="11" w:lineRule="exact"/>
        <w:rPr>
          <w:rFonts w:ascii="Arial" w:cs="Arial" w:eastAsia="Arial" w:hAnsi="Arial"/>
          <w:sz w:val="16"/>
          <w:szCs w:val="16"/>
          <w:color w:val="auto"/>
        </w:rPr>
      </w:pPr>
    </w:p>
    <w:p>
      <w:pPr>
        <w:ind w:left="560" w:hanging="269"/>
        <w:spacing w:after="0"/>
        <w:tabs>
          <w:tab w:leader="none" w:pos="56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113 Hartwell Avenue, Lexington, MA</w:t>
      </w:r>
    </w:p>
    <w:p>
      <w:pPr>
        <w:spacing w:after="0" w:line="11" w:lineRule="exact"/>
        <w:rPr>
          <w:rFonts w:ascii="Arial" w:cs="Arial" w:eastAsia="Arial" w:hAnsi="Arial"/>
          <w:sz w:val="16"/>
          <w:szCs w:val="16"/>
          <w:color w:val="auto"/>
        </w:rPr>
      </w:pPr>
    </w:p>
    <w:p>
      <w:pPr>
        <w:ind w:left="560" w:hanging="269"/>
        <w:spacing w:after="0"/>
        <w:tabs>
          <w:tab w:leader="none" w:pos="56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115 Hartwell Avenue, Lexington, MA</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4 Hartwell Place</w:t>
      </w:r>
    </w:p>
    <w:p>
      <w:pPr>
        <w:spacing w:after="0" w:line="211"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auto"/>
        </w:rPr>
        <w:t>This site is located behind 101 Hartwell Avenue and is a multi-tenant building with surface and garage parking. The 40,123 square foot building is currently occupied by three tenants: ReproCell USA Inc., occupying 10,724 square feet; Sekisui Diagnostics, LLC, occupying 18,707 square feet; and T2 BioSystems, Inc. occupying 10,692 square feet. There are approximately 107 employees in total at the site.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Parking</w:t>
      </w:r>
    </w:p>
    <w:p>
      <w:pPr>
        <w:spacing w:after="0" w:line="21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There is a surface parking lot along the front of the building, adjacent to the additional existing tenant entrances; this also leads to additional parking on the side of the building and on the first floor of the new garage, allowing for up to 171 approved parking spaces.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Of these 171 parking spots, 6 have been designated as high occupancy (HOV)/carpool vehicles and 6 as handicap,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0" w:type="dxa"/>
            <w:vAlign w:val="bottom"/>
            <w:gridSpan w:val="2"/>
          </w:tcPr>
          <w:p>
            <w:pPr>
              <w:jc w:val="center"/>
              <w:ind w:right="4347"/>
              <w:spacing w:after="0"/>
              <w:rPr>
                <w:sz w:val="20"/>
                <w:szCs w:val="20"/>
                <w:color w:val="auto"/>
              </w:rPr>
            </w:pPr>
            <w:r>
              <w:rPr>
                <w:rFonts w:ascii="Arial" w:cs="Arial" w:eastAsia="Arial" w:hAnsi="Arial"/>
                <w:sz w:val="16"/>
                <w:szCs w:val="16"/>
                <w:b w:val="1"/>
                <w:bCs w:val="1"/>
                <w:color w:val="auto"/>
                <w:w w:val="90"/>
              </w:rPr>
              <w:t>Table la</w:t>
            </w:r>
          </w:p>
        </w:tc>
        <w:tc>
          <w:tcPr>
            <w:tcW w:w="1040" w:type="dxa"/>
            <w:vAlign w:val="bottom"/>
          </w:tcPr>
          <w:p>
            <w:pPr>
              <w:spacing w:after="0"/>
              <w:rPr>
                <w:sz w:val="17"/>
                <w:szCs w:val="17"/>
                <w:color w:val="auto"/>
              </w:rPr>
            </w:pPr>
          </w:p>
        </w:tc>
      </w:tr>
      <w:tr>
        <w:trPr>
          <w:trHeight w:val="211"/>
        </w:trPr>
        <w:tc>
          <w:tcPr>
            <w:tcW w:w="5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160" w:type="dxa"/>
            <w:vAlign w:val="bottom"/>
            <w:gridSpan w:val="3"/>
          </w:tcPr>
          <w:p>
            <w:pPr>
              <w:jc w:val="center"/>
              <w:ind w:right="3187"/>
              <w:spacing w:after="0"/>
              <w:rPr>
                <w:sz w:val="20"/>
                <w:szCs w:val="20"/>
                <w:color w:val="auto"/>
              </w:rPr>
            </w:pPr>
            <w:r>
              <w:rPr>
                <w:rFonts w:ascii="Arial" w:cs="Arial" w:eastAsia="Arial" w:hAnsi="Arial"/>
                <w:sz w:val="16"/>
                <w:szCs w:val="16"/>
                <w:b w:val="1"/>
                <w:bCs w:val="1"/>
                <w:color w:val="auto"/>
                <w:w w:val="96"/>
              </w:rPr>
              <w:t>Parking Inventory</w:t>
            </w:r>
          </w:p>
        </w:tc>
        <w:tc>
          <w:tcPr>
            <w:tcW w:w="1040" w:type="dxa"/>
            <w:vAlign w:val="bottom"/>
          </w:tcPr>
          <w:p>
            <w:pPr>
              <w:spacing w:after="0"/>
              <w:rPr>
                <w:sz w:val="18"/>
                <w:szCs w:val="18"/>
                <w:color w:val="auto"/>
              </w:rPr>
            </w:pPr>
          </w:p>
        </w:tc>
      </w:tr>
      <w:tr>
        <w:trPr>
          <w:trHeight w:val="331"/>
        </w:trPr>
        <w:tc>
          <w:tcPr>
            <w:tcW w:w="58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Parking Type</w:t>
            </w: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760" w:type="dxa"/>
            <w:vAlign w:val="bottom"/>
            <w:tcBorders>
              <w:bottom w:val="single" w:sz="8" w:color="auto"/>
            </w:tcBorders>
          </w:tcPr>
          <w:p>
            <w:pPr>
              <w:ind w:left="1880"/>
              <w:spacing w:after="0"/>
              <w:rPr>
                <w:sz w:val="20"/>
                <w:szCs w:val="20"/>
                <w:color w:val="auto"/>
              </w:rPr>
            </w:pPr>
            <w:r>
              <w:rPr>
                <w:rFonts w:ascii="Arial" w:cs="Arial" w:eastAsia="Arial" w:hAnsi="Arial"/>
                <w:sz w:val="13"/>
                <w:szCs w:val="13"/>
                <w:b w:val="1"/>
                <w:bCs w:val="1"/>
                <w:color w:val="auto"/>
              </w:rPr>
              <w:t>Number of Spaces</w:t>
            </w:r>
          </w:p>
        </w:tc>
        <w:tc>
          <w:tcPr>
            <w:tcW w:w="1040" w:type="dxa"/>
            <w:vAlign w:val="bottom"/>
          </w:tcPr>
          <w:p>
            <w:pPr>
              <w:spacing w:after="0"/>
              <w:rPr>
                <w:sz w:val="24"/>
                <w:szCs w:val="24"/>
                <w:color w:val="auto"/>
              </w:rPr>
            </w:pPr>
          </w:p>
        </w:tc>
      </w:tr>
      <w:tr>
        <w:trPr>
          <w:trHeight w:val="188"/>
        </w:trPr>
        <w:tc>
          <w:tcPr>
            <w:tcW w:w="580" w:type="dxa"/>
            <w:vAlign w:val="bottom"/>
          </w:tcPr>
          <w:p>
            <w:pPr>
              <w:spacing w:after="0"/>
              <w:rPr>
                <w:sz w:val="16"/>
                <w:szCs w:val="16"/>
                <w:color w:val="auto"/>
              </w:rPr>
            </w:pPr>
          </w:p>
        </w:tc>
        <w:tc>
          <w:tcPr>
            <w:tcW w:w="3680" w:type="dxa"/>
            <w:vAlign w:val="bottom"/>
            <w:shd w:val="clear" w:color="auto" w:fill="CCEEFF"/>
          </w:tcPr>
          <w:p>
            <w:pPr>
              <w:jc w:val="center"/>
              <w:ind w:left="1102"/>
              <w:spacing w:after="0"/>
              <w:rPr>
                <w:sz w:val="20"/>
                <w:szCs w:val="20"/>
                <w:color w:val="auto"/>
              </w:rPr>
            </w:pPr>
            <w:r>
              <w:rPr>
                <w:rFonts w:ascii="Arial" w:cs="Arial" w:eastAsia="Arial" w:hAnsi="Arial"/>
                <w:sz w:val="16"/>
                <w:szCs w:val="16"/>
                <w:color w:val="auto"/>
                <w:w w:val="95"/>
              </w:rPr>
              <w:t>Compact/Full</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159</w:t>
            </w:r>
          </w:p>
        </w:tc>
        <w:tc>
          <w:tcPr>
            <w:tcW w:w="104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3680" w:type="dxa"/>
            <w:vAlign w:val="bottom"/>
          </w:tcPr>
          <w:p>
            <w:pPr>
              <w:jc w:val="center"/>
              <w:ind w:left="1082"/>
              <w:spacing w:after="0"/>
              <w:rPr>
                <w:sz w:val="20"/>
                <w:szCs w:val="20"/>
                <w:color w:val="auto"/>
              </w:rPr>
            </w:pPr>
            <w:r>
              <w:rPr>
                <w:rFonts w:ascii="Arial" w:cs="Arial" w:eastAsia="Arial" w:hAnsi="Arial"/>
                <w:sz w:val="16"/>
                <w:szCs w:val="16"/>
                <w:color w:val="auto"/>
                <w:w w:val="96"/>
              </w:rPr>
              <w:t>HOV/Carpool</w:t>
            </w:r>
          </w:p>
        </w:tc>
        <w:tc>
          <w:tcPr>
            <w:tcW w:w="6160" w:type="dxa"/>
            <w:vAlign w:val="bottom"/>
            <w:gridSpan w:val="3"/>
          </w:tcPr>
          <w:p>
            <w:pPr>
              <w:jc w:val="center"/>
              <w:ind w:left="1319"/>
              <w:spacing w:after="0"/>
              <w:rPr>
                <w:sz w:val="20"/>
                <w:szCs w:val="20"/>
                <w:color w:val="auto"/>
              </w:rPr>
            </w:pPr>
            <w:r>
              <w:rPr>
                <w:rFonts w:ascii="Arial" w:cs="Arial" w:eastAsia="Arial" w:hAnsi="Arial"/>
                <w:sz w:val="16"/>
                <w:szCs w:val="16"/>
                <w:color w:val="auto"/>
                <w:w w:val="89"/>
              </w:rPr>
              <w:t>6</w:t>
            </w:r>
          </w:p>
        </w:tc>
        <w:tc>
          <w:tcPr>
            <w:tcW w:w="104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680" w:type="dxa"/>
            <w:vAlign w:val="bottom"/>
            <w:shd w:val="clear" w:color="auto" w:fill="CCEEFF"/>
          </w:tcPr>
          <w:p>
            <w:pPr>
              <w:jc w:val="center"/>
              <w:ind w:left="1082"/>
              <w:spacing w:after="0"/>
              <w:rPr>
                <w:sz w:val="20"/>
                <w:szCs w:val="20"/>
                <w:color w:val="auto"/>
              </w:rPr>
            </w:pPr>
            <w:r>
              <w:rPr>
                <w:rFonts w:ascii="Arial" w:cs="Arial" w:eastAsia="Arial" w:hAnsi="Arial"/>
                <w:sz w:val="16"/>
                <w:szCs w:val="16"/>
                <w:color w:val="auto"/>
                <w:w w:val="89"/>
              </w:rPr>
              <w:t>HP</w:t>
            </w:r>
          </w:p>
        </w:tc>
        <w:tc>
          <w:tcPr>
            <w:tcW w:w="6160" w:type="dxa"/>
            <w:vAlign w:val="bottom"/>
            <w:gridSpan w:val="3"/>
            <w:shd w:val="clear" w:color="auto" w:fill="CCEEFF"/>
          </w:tcPr>
          <w:p>
            <w:pPr>
              <w:jc w:val="center"/>
              <w:ind w:left="1319"/>
              <w:spacing w:after="0"/>
              <w:rPr>
                <w:sz w:val="20"/>
                <w:szCs w:val="20"/>
                <w:color w:val="auto"/>
              </w:rPr>
            </w:pPr>
            <w:r>
              <w:rPr>
                <w:rFonts w:ascii="Arial" w:cs="Arial" w:eastAsia="Arial" w:hAnsi="Arial"/>
                <w:sz w:val="16"/>
                <w:szCs w:val="16"/>
                <w:color w:val="auto"/>
                <w:w w:val="89"/>
              </w:rPr>
              <w:t>6</w:t>
            </w:r>
          </w:p>
        </w:tc>
        <w:tc>
          <w:tcPr>
            <w:tcW w:w="104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680" w:type="dxa"/>
            <w:vAlign w:val="bottom"/>
            <w:shd w:val="clear" w:color="auto" w:fill="CCEEFF"/>
          </w:tcPr>
          <w:p>
            <w:pPr>
              <w:jc w:val="center"/>
              <w:ind w:left="1082"/>
              <w:spacing w:after="0"/>
              <w:rPr>
                <w:sz w:val="20"/>
                <w:szCs w:val="20"/>
                <w:color w:val="auto"/>
              </w:rPr>
            </w:pPr>
            <w:r>
              <w:rPr>
                <w:rFonts w:ascii="Arial" w:cs="Arial" w:eastAsia="Arial" w:hAnsi="Arial"/>
                <w:sz w:val="16"/>
                <w:szCs w:val="16"/>
                <w:b w:val="1"/>
                <w:bCs w:val="1"/>
                <w:color w:val="auto"/>
              </w:rPr>
              <w:t>TOTAL</w:t>
            </w:r>
          </w:p>
        </w:tc>
        <w:tc>
          <w:tcPr>
            <w:tcW w:w="6160" w:type="dxa"/>
            <w:vAlign w:val="bottom"/>
            <w:gridSpan w:val="3"/>
            <w:shd w:val="clear" w:color="auto" w:fill="CCEEFF"/>
          </w:tcPr>
          <w:p>
            <w:pPr>
              <w:jc w:val="center"/>
              <w:ind w:left="1319"/>
              <w:spacing w:after="0"/>
              <w:rPr>
                <w:sz w:val="20"/>
                <w:szCs w:val="20"/>
                <w:color w:val="auto"/>
              </w:rPr>
            </w:pPr>
            <w:r>
              <w:rPr>
                <w:rFonts w:ascii="Arial" w:cs="Arial" w:eastAsia="Arial" w:hAnsi="Arial"/>
                <w:sz w:val="16"/>
                <w:szCs w:val="16"/>
                <w:b w:val="1"/>
                <w:bCs w:val="1"/>
                <w:color w:val="auto"/>
                <w:w w:val="89"/>
              </w:rPr>
              <w:t>171</w:t>
            </w:r>
          </w:p>
        </w:tc>
        <w:tc>
          <w:tcPr>
            <w:tcW w:w="1040" w:type="dxa"/>
            <w:vAlign w:val="bottom"/>
          </w:tcPr>
          <w:p>
            <w:pPr>
              <w:spacing w:after="0"/>
              <w:rPr>
                <w:sz w:val="17"/>
                <w:szCs w:val="17"/>
                <w:color w:val="auto"/>
              </w:rPr>
            </w:pPr>
          </w:p>
        </w:tc>
      </w:tr>
      <w:tr>
        <w:trPr>
          <w:trHeight w:val="390"/>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160" w:type="dxa"/>
            <w:vAlign w:val="bottom"/>
            <w:gridSpan w:val="3"/>
          </w:tcPr>
          <w:p>
            <w:pPr>
              <w:jc w:val="center"/>
              <w:ind w:right="3167"/>
              <w:spacing w:after="0"/>
              <w:rPr>
                <w:sz w:val="20"/>
                <w:szCs w:val="20"/>
                <w:color w:val="auto"/>
              </w:rPr>
            </w:pPr>
            <w:r>
              <w:rPr>
                <w:rFonts w:ascii="Arial" w:cs="Arial" w:eastAsia="Arial" w:hAnsi="Arial"/>
                <w:sz w:val="16"/>
                <w:szCs w:val="16"/>
                <w:color w:val="auto"/>
                <w:w w:val="89"/>
              </w:rPr>
              <w:t>2</w:t>
            </w:r>
          </w:p>
        </w:tc>
        <w:tc>
          <w:tcPr>
            <w:tcW w:w="1040" w:type="dxa"/>
            <w:vAlign w:val="bottom"/>
          </w:tcPr>
          <w:p>
            <w:pPr>
              <w:spacing w:after="0"/>
              <w:rPr>
                <w:sz w:val="24"/>
                <w:szCs w:val="24"/>
                <w:color w:val="auto"/>
              </w:rPr>
            </w:pPr>
          </w:p>
        </w:tc>
      </w:tr>
      <w:tr>
        <w:trPr>
          <w:trHeight w:val="119"/>
        </w:trPr>
        <w:tc>
          <w:tcPr>
            <w:tcW w:w="58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8" w:right="199" w:bottom="1440" w:gutter="0" w:footer="0" w:header="0"/>
        </w:sectPr>
      </w:pPr>
    </w:p>
    <w:bookmarkStart w:id="546" w:name="page547"/>
    <w:bookmarkEnd w:id="546"/>
    <w:p>
      <w:pPr>
        <w:spacing w:after="0"/>
        <w:rPr>
          <w:sz w:val="20"/>
          <w:szCs w:val="20"/>
          <w:color w:val="auto"/>
        </w:rPr>
      </w:pPr>
      <w:r>
        <w:rPr>
          <w:rFonts w:ascii="Arial" w:cs="Arial" w:eastAsia="Arial" w:hAnsi="Arial"/>
          <w:sz w:val="16"/>
          <w:szCs w:val="16"/>
          <w:b w:val="1"/>
          <w:bCs w:val="1"/>
          <w:u w:val="single" w:color="auto"/>
          <w:color w:val="auto"/>
        </w:rPr>
        <w:t>101 Hartwell Avenue</w:t>
      </w:r>
    </w:p>
    <w:p>
      <w:pPr>
        <w:spacing w:after="0" w:line="211"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This site is a multi-tenant building with surface parking. The 41,335 square foot building is currently occupied by two tenants: Promedior Inc., occupying 7,700 square feet; and T2 BioSystems, Inc. occupying 33,635 square feet. There are approximately 85 employees in total at the site.</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 is a surface parking lot along the front of the building, adjacent to the additional existing tenant entrances; this also leads to additional parking on the side of the building allowing for up to 133 approved parking spaces.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Of these 133 parking spots, 6 have been designated as high occupancy (HOV)/carpool vehicles and 6 as handicap.</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0" w:type="dxa"/>
            <w:vAlign w:val="bottom"/>
            <w:gridSpan w:val="2"/>
          </w:tcPr>
          <w:p>
            <w:pPr>
              <w:jc w:val="center"/>
              <w:ind w:right="4347"/>
              <w:spacing w:after="0"/>
              <w:rPr>
                <w:sz w:val="20"/>
                <w:szCs w:val="20"/>
                <w:color w:val="auto"/>
              </w:rPr>
            </w:pPr>
            <w:r>
              <w:rPr>
                <w:rFonts w:ascii="Arial" w:cs="Arial" w:eastAsia="Arial" w:hAnsi="Arial"/>
                <w:sz w:val="16"/>
                <w:szCs w:val="16"/>
                <w:b w:val="1"/>
                <w:bCs w:val="1"/>
                <w:color w:val="auto"/>
                <w:w w:val="90"/>
              </w:rPr>
              <w:t>Table la</w:t>
            </w:r>
          </w:p>
        </w:tc>
      </w:tr>
      <w:tr>
        <w:trPr>
          <w:trHeight w:val="211"/>
        </w:trPr>
        <w:tc>
          <w:tcPr>
            <w:tcW w:w="3680" w:type="dxa"/>
            <w:vAlign w:val="bottom"/>
          </w:tcPr>
          <w:p>
            <w:pPr>
              <w:spacing w:after="0"/>
              <w:rPr>
                <w:sz w:val="18"/>
                <w:szCs w:val="18"/>
                <w:color w:val="auto"/>
              </w:rPr>
            </w:pPr>
          </w:p>
        </w:tc>
        <w:tc>
          <w:tcPr>
            <w:tcW w:w="6160" w:type="dxa"/>
            <w:vAlign w:val="bottom"/>
            <w:gridSpan w:val="3"/>
          </w:tcPr>
          <w:p>
            <w:pPr>
              <w:jc w:val="center"/>
              <w:ind w:right="3187"/>
              <w:spacing w:after="0"/>
              <w:rPr>
                <w:sz w:val="20"/>
                <w:szCs w:val="20"/>
                <w:color w:val="auto"/>
              </w:rPr>
            </w:pPr>
            <w:r>
              <w:rPr>
                <w:rFonts w:ascii="Arial" w:cs="Arial" w:eastAsia="Arial" w:hAnsi="Arial"/>
                <w:sz w:val="16"/>
                <w:szCs w:val="16"/>
                <w:b w:val="1"/>
                <w:bCs w:val="1"/>
                <w:color w:val="auto"/>
                <w:w w:val="96"/>
              </w:rPr>
              <w:t>Parking Inventory</w:t>
            </w:r>
          </w:p>
        </w:tc>
      </w:tr>
      <w:tr>
        <w:trPr>
          <w:trHeight w:val="331"/>
        </w:trPr>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Parking Type</w:t>
            </w: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760" w:type="dxa"/>
            <w:vAlign w:val="bottom"/>
            <w:tcBorders>
              <w:bottom w:val="single" w:sz="8" w:color="auto"/>
            </w:tcBorders>
          </w:tcPr>
          <w:p>
            <w:pPr>
              <w:ind w:left="1880"/>
              <w:spacing w:after="0"/>
              <w:rPr>
                <w:sz w:val="20"/>
                <w:szCs w:val="20"/>
                <w:color w:val="auto"/>
              </w:rPr>
            </w:pPr>
            <w:r>
              <w:rPr>
                <w:rFonts w:ascii="Arial" w:cs="Arial" w:eastAsia="Arial" w:hAnsi="Arial"/>
                <w:sz w:val="13"/>
                <w:szCs w:val="13"/>
                <w:b w:val="1"/>
                <w:bCs w:val="1"/>
                <w:color w:val="auto"/>
              </w:rPr>
              <w:t>Number of Spaces</w:t>
            </w:r>
          </w:p>
        </w:tc>
      </w:tr>
      <w:tr>
        <w:trPr>
          <w:trHeight w:val="188"/>
        </w:trPr>
        <w:tc>
          <w:tcPr>
            <w:tcW w:w="3680" w:type="dxa"/>
            <w:vAlign w:val="bottom"/>
            <w:shd w:val="clear" w:color="auto" w:fill="CCEEFF"/>
          </w:tcPr>
          <w:p>
            <w:pPr>
              <w:jc w:val="center"/>
              <w:ind w:left="1102"/>
              <w:spacing w:after="0"/>
              <w:rPr>
                <w:sz w:val="20"/>
                <w:szCs w:val="20"/>
                <w:color w:val="auto"/>
              </w:rPr>
            </w:pPr>
            <w:r>
              <w:rPr>
                <w:rFonts w:ascii="Arial" w:cs="Arial" w:eastAsia="Arial" w:hAnsi="Arial"/>
                <w:sz w:val="16"/>
                <w:szCs w:val="16"/>
                <w:color w:val="auto"/>
                <w:w w:val="95"/>
              </w:rPr>
              <w:t>Full/Compact</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121</w:t>
            </w:r>
          </w:p>
        </w:tc>
      </w:tr>
      <w:tr>
        <w:trPr>
          <w:trHeight w:val="196"/>
        </w:trPr>
        <w:tc>
          <w:tcPr>
            <w:tcW w:w="3680" w:type="dxa"/>
            <w:vAlign w:val="bottom"/>
          </w:tcPr>
          <w:p>
            <w:pPr>
              <w:jc w:val="center"/>
              <w:ind w:left="1082"/>
              <w:spacing w:after="0"/>
              <w:rPr>
                <w:sz w:val="20"/>
                <w:szCs w:val="20"/>
                <w:color w:val="auto"/>
              </w:rPr>
            </w:pPr>
            <w:r>
              <w:rPr>
                <w:rFonts w:ascii="Arial" w:cs="Arial" w:eastAsia="Arial" w:hAnsi="Arial"/>
                <w:sz w:val="16"/>
                <w:szCs w:val="16"/>
                <w:color w:val="auto"/>
                <w:w w:val="96"/>
              </w:rPr>
              <w:t>HOV/Carpool</w:t>
            </w:r>
          </w:p>
        </w:tc>
        <w:tc>
          <w:tcPr>
            <w:tcW w:w="6160" w:type="dxa"/>
            <w:vAlign w:val="bottom"/>
            <w:gridSpan w:val="3"/>
          </w:tcPr>
          <w:p>
            <w:pPr>
              <w:jc w:val="center"/>
              <w:ind w:left="1319"/>
              <w:spacing w:after="0"/>
              <w:rPr>
                <w:sz w:val="20"/>
                <w:szCs w:val="20"/>
                <w:color w:val="auto"/>
              </w:rPr>
            </w:pPr>
            <w:r>
              <w:rPr>
                <w:rFonts w:ascii="Arial" w:cs="Arial" w:eastAsia="Arial" w:hAnsi="Arial"/>
                <w:sz w:val="16"/>
                <w:szCs w:val="16"/>
                <w:color w:val="auto"/>
                <w:w w:val="89"/>
              </w:rPr>
              <w:t>6</w:t>
            </w:r>
          </w:p>
        </w:tc>
      </w:tr>
      <w:tr>
        <w:trPr>
          <w:trHeight w:val="196"/>
        </w:trPr>
        <w:tc>
          <w:tcPr>
            <w:tcW w:w="3680" w:type="dxa"/>
            <w:vAlign w:val="bottom"/>
            <w:shd w:val="clear" w:color="auto" w:fill="CCEEFF"/>
          </w:tcPr>
          <w:p>
            <w:pPr>
              <w:jc w:val="center"/>
              <w:ind w:left="1082"/>
              <w:spacing w:after="0"/>
              <w:rPr>
                <w:sz w:val="20"/>
                <w:szCs w:val="20"/>
                <w:color w:val="auto"/>
              </w:rPr>
            </w:pPr>
            <w:r>
              <w:rPr>
                <w:rFonts w:ascii="Arial" w:cs="Arial" w:eastAsia="Arial" w:hAnsi="Arial"/>
                <w:sz w:val="16"/>
                <w:szCs w:val="16"/>
                <w:color w:val="auto"/>
                <w:w w:val="89"/>
              </w:rPr>
              <w:t>HP</w:t>
            </w:r>
          </w:p>
        </w:tc>
        <w:tc>
          <w:tcPr>
            <w:tcW w:w="6160" w:type="dxa"/>
            <w:vAlign w:val="bottom"/>
            <w:gridSpan w:val="3"/>
            <w:shd w:val="clear" w:color="auto" w:fill="CCEEFF"/>
          </w:tcPr>
          <w:p>
            <w:pPr>
              <w:jc w:val="center"/>
              <w:ind w:left="1319"/>
              <w:spacing w:after="0"/>
              <w:rPr>
                <w:sz w:val="20"/>
                <w:szCs w:val="20"/>
                <w:color w:val="auto"/>
              </w:rPr>
            </w:pPr>
            <w:r>
              <w:rPr>
                <w:rFonts w:ascii="Arial" w:cs="Arial" w:eastAsia="Arial" w:hAnsi="Arial"/>
                <w:sz w:val="16"/>
                <w:szCs w:val="16"/>
                <w:color w:val="auto"/>
                <w:w w:val="89"/>
              </w:rPr>
              <w:t>6</w:t>
            </w:r>
          </w:p>
        </w:tc>
      </w:tr>
      <w:tr>
        <w:trPr>
          <w:trHeight w:val="196"/>
        </w:trPr>
        <w:tc>
          <w:tcPr>
            <w:tcW w:w="3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60" w:type="dxa"/>
            <w:vAlign w:val="bottom"/>
          </w:tcPr>
          <w:p>
            <w:pPr>
              <w:spacing w:after="0"/>
              <w:rPr>
                <w:sz w:val="17"/>
                <w:szCs w:val="17"/>
                <w:color w:val="auto"/>
              </w:rPr>
            </w:pPr>
          </w:p>
        </w:tc>
      </w:tr>
      <w:tr>
        <w:trPr>
          <w:trHeight w:val="196"/>
        </w:trPr>
        <w:tc>
          <w:tcPr>
            <w:tcW w:w="3680" w:type="dxa"/>
            <w:vAlign w:val="bottom"/>
            <w:shd w:val="clear" w:color="auto" w:fill="CCEEFF"/>
          </w:tcPr>
          <w:p>
            <w:pPr>
              <w:jc w:val="center"/>
              <w:ind w:left="1082"/>
              <w:spacing w:after="0"/>
              <w:rPr>
                <w:sz w:val="20"/>
                <w:szCs w:val="20"/>
                <w:color w:val="auto"/>
              </w:rPr>
            </w:pPr>
            <w:r>
              <w:rPr>
                <w:rFonts w:ascii="Arial" w:cs="Arial" w:eastAsia="Arial" w:hAnsi="Arial"/>
                <w:sz w:val="16"/>
                <w:szCs w:val="16"/>
                <w:color w:val="auto"/>
              </w:rPr>
              <w:t>TOTAL</w:t>
            </w:r>
          </w:p>
        </w:tc>
        <w:tc>
          <w:tcPr>
            <w:tcW w:w="6160" w:type="dxa"/>
            <w:vAlign w:val="bottom"/>
            <w:gridSpan w:val="3"/>
            <w:shd w:val="clear" w:color="auto" w:fill="CCEEFF"/>
          </w:tcPr>
          <w:p>
            <w:pPr>
              <w:jc w:val="center"/>
              <w:ind w:left="1319"/>
              <w:spacing w:after="0"/>
              <w:rPr>
                <w:sz w:val="20"/>
                <w:szCs w:val="20"/>
                <w:color w:val="auto"/>
              </w:rPr>
            </w:pPr>
            <w:r>
              <w:rPr>
                <w:rFonts w:ascii="Arial" w:cs="Arial" w:eastAsia="Arial" w:hAnsi="Arial"/>
                <w:sz w:val="16"/>
                <w:szCs w:val="16"/>
                <w:color w:val="auto"/>
                <w:w w:val="89"/>
              </w:rPr>
              <w:t>133</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113 Hartwell Avenue</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This site is located directly adjacent to 101 Hartwell Avenue, and is also a multi-tenant building with surface and garage parking. The 103,800 square foot building is currently occupied by three tenants: Quanterix Corporation, occupying 30,655 square feet; Taris Corporation, occupying 19,802 square feet; and uniQure Corporation, occupying 53,343 square feet. The three tenants combined have approximately 278 employees on site.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115 Hartwell Avenue</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This site is located directly adjacent to 113 Hartwell Avenue, and is a single tenant building with surface and garage parking. The 91,211 square foot building is currently occupied by WAVE Life Sciences USA, Inc. WAVE is occupying the building in phases and currently has 25 employees. WAVE is expected to grow to about 100 employees at 115 Hartwell.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547" w:name="page548"/>
    <w:bookmarkEnd w:id="547"/>
    <w:p>
      <w:pPr>
        <w:spacing w:after="0"/>
        <w:rPr>
          <w:sz w:val="20"/>
          <w:szCs w:val="20"/>
          <w:color w:val="auto"/>
        </w:rPr>
      </w:pPr>
      <w:r>
        <w:rPr>
          <w:rFonts w:ascii="Arial" w:cs="Arial" w:eastAsia="Arial" w:hAnsi="Arial"/>
          <w:sz w:val="16"/>
          <w:szCs w:val="16"/>
          <w:b w:val="1"/>
          <w:bCs w:val="1"/>
          <w:color w:val="auto"/>
        </w:rPr>
        <w:t>113 Hartwell and 115 Hartwell Parking</w:t>
      </w:r>
    </w:p>
    <w:p>
      <w:pPr>
        <w:spacing w:after="0" w:line="211"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There is a surface parking lot along the front of each building, adjacent to existing tenant entrances, an expansive surface parking area behind the buildings and a new parking garage adjacent to 4 Hartwell Place allowing for up to 369 approved parking spaces with 145 stalls in the garage provided at 4 Hartwell Place by Special Permit.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Of the 514 spots, 7 have been designated as high occupancy (HOV)/carpool vehicles, 11 as handicap, and 8 designated for electric vehicle charging stations.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680" w:type="dxa"/>
            <w:vAlign w:val="bottom"/>
          </w:tcPr>
          <w:p>
            <w:pPr>
              <w:spacing w:after="0"/>
              <w:rPr>
                <w:sz w:val="17"/>
                <w:szCs w:val="17"/>
                <w:color w:val="auto"/>
              </w:rPr>
            </w:pPr>
          </w:p>
        </w:tc>
        <w:tc>
          <w:tcPr>
            <w:tcW w:w="6160" w:type="dxa"/>
            <w:vAlign w:val="bottom"/>
            <w:gridSpan w:val="3"/>
          </w:tcPr>
          <w:p>
            <w:pPr>
              <w:jc w:val="center"/>
              <w:ind w:right="3167"/>
              <w:spacing w:after="0"/>
              <w:rPr>
                <w:sz w:val="20"/>
                <w:szCs w:val="20"/>
                <w:color w:val="auto"/>
              </w:rPr>
            </w:pPr>
            <w:r>
              <w:rPr>
                <w:rFonts w:ascii="Arial" w:cs="Arial" w:eastAsia="Arial" w:hAnsi="Arial"/>
                <w:sz w:val="16"/>
                <w:szCs w:val="16"/>
                <w:b w:val="1"/>
                <w:bCs w:val="1"/>
                <w:color w:val="auto"/>
                <w:w w:val="92"/>
              </w:rPr>
              <w:t>Table 1b</w:t>
            </w:r>
          </w:p>
        </w:tc>
      </w:tr>
      <w:tr>
        <w:trPr>
          <w:trHeight w:val="211"/>
        </w:trPr>
        <w:tc>
          <w:tcPr>
            <w:tcW w:w="3680" w:type="dxa"/>
            <w:vAlign w:val="bottom"/>
          </w:tcPr>
          <w:p>
            <w:pPr>
              <w:spacing w:after="0"/>
              <w:rPr>
                <w:sz w:val="18"/>
                <w:szCs w:val="18"/>
                <w:color w:val="auto"/>
              </w:rPr>
            </w:pPr>
          </w:p>
        </w:tc>
        <w:tc>
          <w:tcPr>
            <w:tcW w:w="6160" w:type="dxa"/>
            <w:vAlign w:val="bottom"/>
            <w:gridSpan w:val="3"/>
          </w:tcPr>
          <w:p>
            <w:pPr>
              <w:jc w:val="center"/>
              <w:ind w:right="3187"/>
              <w:spacing w:after="0"/>
              <w:rPr>
                <w:sz w:val="20"/>
                <w:szCs w:val="20"/>
                <w:color w:val="auto"/>
              </w:rPr>
            </w:pPr>
            <w:r>
              <w:rPr>
                <w:rFonts w:ascii="Arial" w:cs="Arial" w:eastAsia="Arial" w:hAnsi="Arial"/>
                <w:sz w:val="16"/>
                <w:szCs w:val="16"/>
                <w:b w:val="1"/>
                <w:bCs w:val="1"/>
                <w:color w:val="auto"/>
                <w:w w:val="96"/>
              </w:rPr>
              <w:t>Parking Inventory</w:t>
            </w:r>
          </w:p>
        </w:tc>
      </w:tr>
      <w:tr>
        <w:trPr>
          <w:trHeight w:val="527"/>
        </w:trPr>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Parking Type</w:t>
            </w: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760" w:type="dxa"/>
            <w:vAlign w:val="bottom"/>
            <w:tcBorders>
              <w:bottom w:val="single" w:sz="8" w:color="auto"/>
            </w:tcBorders>
          </w:tcPr>
          <w:p>
            <w:pPr>
              <w:ind w:left="1880"/>
              <w:spacing w:after="0"/>
              <w:rPr>
                <w:sz w:val="20"/>
                <w:szCs w:val="20"/>
                <w:color w:val="auto"/>
              </w:rPr>
            </w:pPr>
            <w:r>
              <w:rPr>
                <w:rFonts w:ascii="Arial" w:cs="Arial" w:eastAsia="Arial" w:hAnsi="Arial"/>
                <w:sz w:val="13"/>
                <w:szCs w:val="13"/>
                <w:b w:val="1"/>
                <w:bCs w:val="1"/>
                <w:color w:val="auto"/>
              </w:rPr>
              <w:t>Number of Spaces</w:t>
            </w:r>
          </w:p>
        </w:tc>
      </w:tr>
      <w:tr>
        <w:trPr>
          <w:trHeight w:val="188"/>
        </w:trPr>
        <w:tc>
          <w:tcPr>
            <w:tcW w:w="3680" w:type="dxa"/>
            <w:vAlign w:val="bottom"/>
            <w:shd w:val="clear" w:color="auto" w:fill="CCEEFF"/>
          </w:tcPr>
          <w:p>
            <w:pPr>
              <w:jc w:val="center"/>
              <w:ind w:left="1101"/>
              <w:spacing w:after="0"/>
              <w:rPr>
                <w:sz w:val="20"/>
                <w:szCs w:val="20"/>
                <w:color w:val="auto"/>
              </w:rPr>
            </w:pPr>
            <w:r>
              <w:rPr>
                <w:rFonts w:ascii="Arial" w:cs="Arial" w:eastAsia="Arial" w:hAnsi="Arial"/>
                <w:sz w:val="16"/>
                <w:szCs w:val="16"/>
                <w:color w:val="auto"/>
                <w:w w:val="95"/>
              </w:rPr>
              <w:t>Compact/Full</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488</w:t>
            </w:r>
          </w:p>
        </w:tc>
      </w:tr>
      <w:tr>
        <w:trPr>
          <w:trHeight w:val="196"/>
        </w:trPr>
        <w:tc>
          <w:tcPr>
            <w:tcW w:w="3680" w:type="dxa"/>
            <w:vAlign w:val="bottom"/>
          </w:tcPr>
          <w:p>
            <w:pPr>
              <w:jc w:val="center"/>
              <w:ind w:left="1081"/>
              <w:spacing w:after="0"/>
              <w:rPr>
                <w:sz w:val="20"/>
                <w:szCs w:val="20"/>
                <w:color w:val="auto"/>
              </w:rPr>
            </w:pPr>
            <w:r>
              <w:rPr>
                <w:rFonts w:ascii="Arial" w:cs="Arial" w:eastAsia="Arial" w:hAnsi="Arial"/>
                <w:sz w:val="16"/>
                <w:szCs w:val="16"/>
                <w:color w:val="auto"/>
                <w:w w:val="96"/>
              </w:rPr>
              <w:t>HOV/Carpool</w:t>
            </w:r>
          </w:p>
        </w:tc>
        <w:tc>
          <w:tcPr>
            <w:tcW w:w="6160" w:type="dxa"/>
            <w:vAlign w:val="bottom"/>
            <w:gridSpan w:val="3"/>
          </w:tcPr>
          <w:p>
            <w:pPr>
              <w:jc w:val="center"/>
              <w:ind w:left="1319"/>
              <w:spacing w:after="0"/>
              <w:rPr>
                <w:sz w:val="20"/>
                <w:szCs w:val="20"/>
                <w:color w:val="auto"/>
              </w:rPr>
            </w:pPr>
            <w:r>
              <w:rPr>
                <w:rFonts w:ascii="Arial" w:cs="Arial" w:eastAsia="Arial" w:hAnsi="Arial"/>
                <w:sz w:val="16"/>
                <w:szCs w:val="16"/>
                <w:color w:val="auto"/>
                <w:w w:val="89"/>
              </w:rPr>
              <w:t>7</w:t>
            </w:r>
          </w:p>
        </w:tc>
      </w:tr>
      <w:tr>
        <w:trPr>
          <w:trHeight w:val="196"/>
        </w:trPr>
        <w:tc>
          <w:tcPr>
            <w:tcW w:w="3680" w:type="dxa"/>
            <w:vAlign w:val="bottom"/>
            <w:shd w:val="clear" w:color="auto" w:fill="CCEEFF"/>
          </w:tcPr>
          <w:p>
            <w:pPr>
              <w:jc w:val="center"/>
              <w:ind w:left="1081"/>
              <w:spacing w:after="0"/>
              <w:rPr>
                <w:sz w:val="20"/>
                <w:szCs w:val="20"/>
                <w:color w:val="auto"/>
              </w:rPr>
            </w:pPr>
            <w:r>
              <w:rPr>
                <w:rFonts w:ascii="Arial" w:cs="Arial" w:eastAsia="Arial" w:hAnsi="Arial"/>
                <w:sz w:val="16"/>
                <w:szCs w:val="16"/>
                <w:color w:val="auto"/>
                <w:w w:val="89"/>
              </w:rPr>
              <w:t>HP</w:t>
            </w:r>
          </w:p>
        </w:tc>
        <w:tc>
          <w:tcPr>
            <w:tcW w:w="6160" w:type="dxa"/>
            <w:vAlign w:val="bottom"/>
            <w:gridSpan w:val="3"/>
            <w:shd w:val="clear" w:color="auto" w:fill="CCEEFF"/>
          </w:tcPr>
          <w:p>
            <w:pPr>
              <w:jc w:val="center"/>
              <w:ind w:left="1319"/>
              <w:spacing w:after="0"/>
              <w:rPr>
                <w:sz w:val="20"/>
                <w:szCs w:val="20"/>
                <w:color w:val="auto"/>
              </w:rPr>
            </w:pPr>
            <w:r>
              <w:rPr>
                <w:rFonts w:ascii="Arial" w:cs="Arial" w:eastAsia="Arial" w:hAnsi="Arial"/>
                <w:sz w:val="16"/>
                <w:szCs w:val="16"/>
                <w:color w:val="auto"/>
                <w:w w:val="89"/>
              </w:rPr>
              <w:t>11</w:t>
            </w:r>
          </w:p>
        </w:tc>
      </w:tr>
      <w:tr>
        <w:trPr>
          <w:trHeight w:val="196"/>
        </w:trPr>
        <w:tc>
          <w:tcPr>
            <w:tcW w:w="3680" w:type="dxa"/>
            <w:vAlign w:val="bottom"/>
          </w:tcPr>
          <w:p>
            <w:pPr>
              <w:jc w:val="center"/>
              <w:ind w:left="1101"/>
              <w:spacing w:after="0"/>
              <w:rPr>
                <w:sz w:val="20"/>
                <w:szCs w:val="20"/>
                <w:color w:val="auto"/>
              </w:rPr>
            </w:pPr>
            <w:r>
              <w:rPr>
                <w:rFonts w:ascii="Arial" w:cs="Arial" w:eastAsia="Arial" w:hAnsi="Arial"/>
                <w:sz w:val="16"/>
                <w:szCs w:val="16"/>
                <w:color w:val="auto"/>
                <w:w w:val="94"/>
              </w:rPr>
              <w:t>EV Charging</w:t>
            </w:r>
          </w:p>
        </w:tc>
        <w:tc>
          <w:tcPr>
            <w:tcW w:w="6160" w:type="dxa"/>
            <w:vAlign w:val="bottom"/>
            <w:gridSpan w:val="3"/>
          </w:tcPr>
          <w:p>
            <w:pPr>
              <w:jc w:val="center"/>
              <w:ind w:left="1319"/>
              <w:spacing w:after="0"/>
              <w:rPr>
                <w:sz w:val="20"/>
                <w:szCs w:val="20"/>
                <w:color w:val="auto"/>
              </w:rPr>
            </w:pPr>
            <w:r>
              <w:rPr>
                <w:rFonts w:ascii="Arial" w:cs="Arial" w:eastAsia="Arial" w:hAnsi="Arial"/>
                <w:sz w:val="16"/>
                <w:szCs w:val="16"/>
                <w:color w:val="auto"/>
                <w:w w:val="89"/>
              </w:rPr>
              <w:t>8</w:t>
            </w:r>
          </w:p>
        </w:tc>
      </w:tr>
      <w:tr>
        <w:trPr>
          <w:trHeight w:val="196"/>
        </w:trPr>
        <w:tc>
          <w:tcPr>
            <w:tcW w:w="3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760" w:type="dxa"/>
            <w:vAlign w:val="bottom"/>
            <w:shd w:val="clear" w:color="auto" w:fill="CCEEFF"/>
          </w:tcPr>
          <w:p>
            <w:pPr>
              <w:spacing w:after="0"/>
              <w:rPr>
                <w:sz w:val="17"/>
                <w:szCs w:val="17"/>
                <w:color w:val="auto"/>
              </w:rPr>
            </w:pPr>
          </w:p>
        </w:tc>
      </w:tr>
      <w:tr>
        <w:trPr>
          <w:trHeight w:val="211"/>
        </w:trPr>
        <w:tc>
          <w:tcPr>
            <w:tcW w:w="3680" w:type="dxa"/>
            <w:vAlign w:val="bottom"/>
          </w:tcPr>
          <w:p>
            <w:pPr>
              <w:jc w:val="center"/>
              <w:ind w:left="1081"/>
              <w:spacing w:after="0"/>
              <w:rPr>
                <w:sz w:val="20"/>
                <w:szCs w:val="20"/>
                <w:color w:val="auto"/>
              </w:rPr>
            </w:pPr>
            <w:r>
              <w:rPr>
                <w:rFonts w:ascii="Arial" w:cs="Arial" w:eastAsia="Arial" w:hAnsi="Arial"/>
                <w:sz w:val="16"/>
                <w:szCs w:val="16"/>
                <w:b w:val="1"/>
                <w:bCs w:val="1"/>
                <w:color w:val="auto"/>
              </w:rPr>
              <w:t>TOTAL</w:t>
            </w:r>
          </w:p>
        </w:tc>
        <w:tc>
          <w:tcPr>
            <w:tcW w:w="6160" w:type="dxa"/>
            <w:vAlign w:val="bottom"/>
            <w:gridSpan w:val="3"/>
          </w:tcPr>
          <w:p>
            <w:pPr>
              <w:jc w:val="center"/>
              <w:ind w:left="1319"/>
              <w:spacing w:after="0"/>
              <w:rPr>
                <w:sz w:val="20"/>
                <w:szCs w:val="20"/>
                <w:color w:val="auto"/>
              </w:rPr>
            </w:pPr>
            <w:r>
              <w:rPr>
                <w:rFonts w:ascii="Arial" w:cs="Arial" w:eastAsia="Arial" w:hAnsi="Arial"/>
                <w:sz w:val="16"/>
                <w:szCs w:val="16"/>
                <w:b w:val="1"/>
                <w:bCs w:val="1"/>
                <w:color w:val="auto"/>
                <w:w w:val="89"/>
              </w:rPr>
              <w:t>514</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COMMUTING OPTIONS &amp; METHODS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 2017, onsite employees at The Hartwell Innovation Campus were surveyed to determine their commuting methods and preferences.</w:t>
      </w:r>
    </w:p>
    <w:p>
      <w:pPr>
        <w:spacing w:after="0" w:line="207"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The origin for employees commuting to The Hartwell Innovation Campus is Lexington, Cambridge, Arlington, Boston and surrounding communities, as well as the North Shore, South Shore, Metro West, and Southern New Hampshire. Based on survey results, a relatively equal number of employees at the building are commuting short distances (&lt;20 miles) and medium distances (20-40 Miles), while only 8% are commuting long distances (&gt;40 miles).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40"/>
          </w:cols>
          <w:pgMar w:left="240" w:top="319" w:right="319" w:bottom="1440" w:gutter="0" w:footer="0" w:header="0"/>
        </w:sectPr>
      </w:pPr>
    </w:p>
    <w:bookmarkStart w:id="548" w:name="page549"/>
    <w:bookmarkEnd w:id="548"/>
    <w:p>
      <w:pPr>
        <w:jc w:val="center"/>
        <w:ind w:right="-39"/>
        <w:spacing w:after="0"/>
        <w:rPr>
          <w:sz w:val="20"/>
          <w:szCs w:val="20"/>
          <w:color w:val="auto"/>
        </w:rPr>
      </w:pPr>
      <w:r>
        <w:rPr>
          <w:rFonts w:ascii="Arial" w:cs="Arial" w:eastAsia="Arial" w:hAnsi="Arial"/>
          <w:sz w:val="16"/>
          <w:szCs w:val="16"/>
          <w:b w:val="1"/>
          <w:bCs w:val="1"/>
          <w:color w:val="auto"/>
        </w:rPr>
        <w:t>Table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Commuting Distance (2017 data)</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COMMUTING DISTANCE (ONE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142240</wp:posOffset>
            </wp:positionV>
            <wp:extent cx="1972310" cy="204978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97231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Table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Commuting Methods (2017 data)</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COMMUTING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2250440</wp:posOffset>
            </wp:positionH>
            <wp:positionV relativeFrom="paragraph">
              <wp:posOffset>142240</wp:posOffset>
            </wp:positionV>
            <wp:extent cx="2756535" cy="20650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756535" cy="206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As noted in the above chart, the majority of employees are commuting to work in SOV’s daily, while a small percentage are using alternative methods like carpooling, REV Shuttle, public transportation and bicycling. While SOV’s are still the primary mode of transportation at 91%, we are working toward a 10% decrease in SOV users from 2017 - 2018 as the growing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sectPr>
      </w:pPr>
    </w:p>
    <w:bookmarkStart w:id="549" w:name="page550"/>
    <w:bookmarkEnd w:id="549"/>
    <w:p>
      <w:pPr>
        <w:ind w:right="580"/>
        <w:spacing w:after="0" w:line="285" w:lineRule="auto"/>
        <w:rPr>
          <w:sz w:val="20"/>
          <w:szCs w:val="20"/>
          <w:color w:val="auto"/>
        </w:rPr>
      </w:pPr>
      <w:r>
        <w:rPr>
          <w:rFonts w:ascii="Arial" w:cs="Arial" w:eastAsia="Arial" w:hAnsi="Arial"/>
          <w:sz w:val="16"/>
          <w:szCs w:val="16"/>
          <w:color w:val="auto"/>
        </w:rPr>
        <w:t>population of employees use alternative transportation such as bicycles and the REV Shuttle. Additionally, we continue to encourage the public transportation options available to our tenants.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MITIGATION PROGRAMS</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Hartwell Innovation Campus has developed and implemented an ongoing comprehensive Parking and Transportation Demand Management Plan designed to minimize the number of single occupancy vehicles (SOV) entering the site and encourage the use of alternate methods of transportation in an effort to reduce traffic volume on Hartwell Avenue.</w:t>
      </w:r>
    </w:p>
    <w:p>
      <w:pPr>
        <w:spacing w:after="0" w:line="162"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We have implemented the following programs to encourage modes of alternative transportation such as bicycle/pedestrian trips, public transportation, ridesharing and shuttle services: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Membership to the 128 Business Council</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Hartwell Innovation Campus renewed the membership with the 128 Business Council in Spring of 2017. This partnership has provided our tenants with valuable resources provided by the 128 Business Council. Coupled with our on-site programs, we anticipate this mode of transportation will further reduce the percentage of employees commuting in SOV’s during the upcoming year.</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Benefits Available to Employees Include:</w:t>
      </w:r>
    </w:p>
    <w:p>
      <w:pPr>
        <w:spacing w:after="0" w:line="211" w:lineRule="exact"/>
        <w:rPr>
          <w:sz w:val="20"/>
          <w:szCs w:val="20"/>
          <w:color w:val="auto"/>
        </w:rPr>
      </w:pPr>
    </w:p>
    <w:p>
      <w:pPr>
        <w:ind w:left="840" w:hanging="255"/>
        <w:spacing w:after="0"/>
        <w:tabs>
          <w:tab w:leader="none" w:pos="84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Carpool matching Database</w:t>
      </w:r>
    </w:p>
    <w:p>
      <w:pPr>
        <w:spacing w:after="0" w:line="23" w:lineRule="exact"/>
        <w:rPr>
          <w:rFonts w:ascii="Arial" w:cs="Arial" w:eastAsia="Arial" w:hAnsi="Arial"/>
          <w:sz w:val="16"/>
          <w:szCs w:val="16"/>
          <w:color w:val="auto"/>
        </w:rPr>
      </w:pPr>
    </w:p>
    <w:p>
      <w:pPr>
        <w:ind w:left="840" w:hanging="255"/>
        <w:spacing w:after="0"/>
        <w:tabs>
          <w:tab w:leader="none" w:pos="84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NuRide</w:t>
      </w:r>
    </w:p>
    <w:p>
      <w:pPr>
        <w:spacing w:after="0" w:line="11" w:lineRule="exact"/>
        <w:rPr>
          <w:rFonts w:ascii="Arial" w:cs="Arial" w:eastAsia="Arial" w:hAnsi="Arial"/>
          <w:sz w:val="16"/>
          <w:szCs w:val="16"/>
          <w:color w:val="auto"/>
        </w:rPr>
      </w:pPr>
    </w:p>
    <w:p>
      <w:pPr>
        <w:ind w:left="840" w:hanging="255"/>
        <w:spacing w:after="0"/>
        <w:tabs>
          <w:tab w:leader="none" w:pos="84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Alewife/Hartwell Shuttle- THE REV</w:t>
      </w:r>
    </w:p>
    <w:p>
      <w:pPr>
        <w:spacing w:after="0" w:line="11" w:lineRule="exact"/>
        <w:rPr>
          <w:rFonts w:ascii="Arial" w:cs="Arial" w:eastAsia="Arial" w:hAnsi="Arial"/>
          <w:sz w:val="16"/>
          <w:szCs w:val="16"/>
          <w:color w:val="auto"/>
        </w:rPr>
      </w:pPr>
    </w:p>
    <w:p>
      <w:pPr>
        <w:ind w:left="840" w:hanging="255"/>
        <w:spacing w:after="0"/>
        <w:tabs>
          <w:tab w:leader="none" w:pos="84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Guaranteed Ride Home</w:t>
      </w:r>
    </w:p>
    <w:p>
      <w:pPr>
        <w:spacing w:after="0" w:line="11" w:lineRule="exact"/>
        <w:rPr>
          <w:rFonts w:ascii="Arial" w:cs="Arial" w:eastAsia="Arial" w:hAnsi="Arial"/>
          <w:sz w:val="16"/>
          <w:szCs w:val="16"/>
          <w:color w:val="auto"/>
        </w:rPr>
      </w:pPr>
    </w:p>
    <w:p>
      <w:pPr>
        <w:ind w:left="840" w:hanging="255"/>
        <w:spacing w:after="0"/>
        <w:tabs>
          <w:tab w:leader="none" w:pos="84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Individual transportation and route planning assistance</w:t>
      </w:r>
    </w:p>
    <w:p>
      <w:pPr>
        <w:spacing w:after="0" w:line="11" w:lineRule="exact"/>
        <w:rPr>
          <w:rFonts w:ascii="Arial" w:cs="Arial" w:eastAsia="Arial" w:hAnsi="Arial"/>
          <w:sz w:val="16"/>
          <w:szCs w:val="16"/>
          <w:color w:val="auto"/>
        </w:rPr>
      </w:pPr>
    </w:p>
    <w:p>
      <w:pPr>
        <w:ind w:left="840" w:hanging="255"/>
        <w:spacing w:after="0"/>
        <w:tabs>
          <w:tab w:leader="none" w:pos="84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Bicycle route maps and route planning assistance</w:t>
      </w:r>
    </w:p>
    <w:p>
      <w:pPr>
        <w:spacing w:after="0" w:line="11" w:lineRule="exact"/>
        <w:rPr>
          <w:rFonts w:ascii="Arial" w:cs="Arial" w:eastAsia="Arial" w:hAnsi="Arial"/>
          <w:sz w:val="16"/>
          <w:szCs w:val="16"/>
          <w:color w:val="auto"/>
        </w:rPr>
      </w:pPr>
    </w:p>
    <w:p>
      <w:pPr>
        <w:ind w:left="840" w:hanging="255"/>
        <w:spacing w:after="0"/>
        <w:tabs>
          <w:tab w:leader="none" w:pos="84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On-site commuter benefit events</w:t>
      </w:r>
    </w:p>
    <w:p>
      <w:pPr>
        <w:spacing w:after="0" w:line="11" w:lineRule="exact"/>
        <w:rPr>
          <w:rFonts w:ascii="Arial" w:cs="Arial" w:eastAsia="Arial" w:hAnsi="Arial"/>
          <w:sz w:val="16"/>
          <w:szCs w:val="16"/>
          <w:color w:val="auto"/>
        </w:rPr>
      </w:pPr>
    </w:p>
    <w:p>
      <w:pPr>
        <w:ind w:left="840" w:hanging="255"/>
        <w:spacing w:after="0"/>
        <w:tabs>
          <w:tab w:leader="none" w:pos="84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On-line trip planning tools</w:t>
      </w:r>
    </w:p>
    <w:p>
      <w:pPr>
        <w:spacing w:after="0" w:line="19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128 Business Council is available to all Tenant employees, via on site events hosted by The Hartwell Innovation Campus or scheduled meetings for individual tenants, to promote the above programs.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sectPr>
      </w:pPr>
    </w:p>
    <w:bookmarkStart w:id="550" w:name="page551"/>
    <w:bookmarkEnd w:id="550"/>
    <w:p>
      <w:pPr>
        <w:spacing w:after="0"/>
        <w:rPr>
          <w:sz w:val="20"/>
          <w:szCs w:val="20"/>
          <w:color w:val="auto"/>
        </w:rPr>
      </w:pPr>
      <w:r>
        <w:rPr>
          <w:rFonts w:ascii="Arial" w:cs="Arial" w:eastAsia="Arial" w:hAnsi="Arial"/>
          <w:sz w:val="16"/>
          <w:szCs w:val="16"/>
          <w:b w:val="1"/>
          <w:bCs w:val="1"/>
          <w:i w:val="1"/>
          <w:iCs w:val="1"/>
          <w:color w:val="auto"/>
        </w:rPr>
        <w:t>Bike Share Program</w:t>
      </w:r>
    </w:p>
    <w:p>
      <w:pPr>
        <w:spacing w:after="0" w:line="20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To encourage bike trips, centrally located bike racks have been provided with the capacity for 62 bicycles. The quantity of bikes stored on the racks is monitored closely on a daily basis to ensure adequate space is available.</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Bikeshare program is designed to promote bike trips by providing tenants with a free and convenient opportunity to sign out a bicycle to pick-up lunch, do other local errands, or just enjoy a ride on the Minuteman Bikeway. To encourage use of the building’s shared bicycles, each building is equipped with an onsite shower. Each tenant also has the opportunity to request complimentary shower supplies through the Transportation Coordinator.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Public Transportation</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Hartwell Avenue area is currently serviced by 2 MBTA bus routes (#62, Bedford V.A. Hospital — Alewife Station &amp; #76 Hanscom/Lincoln Lab — Alewife Station).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Both bus routes are within walking or biking distance of The Hartwell Innovation Campus.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Information regarding public transportation options has been communicated to employees at The Hartwell Innovation Campus via email blasts and tenant meetings.</w:t>
      </w:r>
    </w:p>
    <w:p>
      <w:pPr>
        <w:spacing w:after="0" w:line="219"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The Hartwell Innovation Campus recognizes the need for more public transportation options to and from Hartwell Avenue, and has been working closely with the Town and the Hartwell Association to establishing new amenities. The Hartwell Association holds meetings regularly throughout the year and gives the property owners on Hartwell Avenue an opportunity to gather and discuss common goals/purposes.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Shuttle Services</w:t>
      </w:r>
    </w:p>
    <w:p>
      <w:pPr>
        <w:spacing w:after="0" w:line="207"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The Hartwell Innovation Campus co-hosted the first meeting of the Hartwell Association at 113 Hartwell Avenue, which marked the first time that property owners on Hartwell Avenue gathered with a common goal/purpose. Over the course of the last six years, a representative of the Hartwell Innovation Campus has attended numerous Hartwell Association meetings discussing the various commuting services available in hopes to collectively subsidize a commuter shuttle for workers commuting from Boston.</w:t>
      </w:r>
    </w:p>
    <w:p>
      <w:pPr>
        <w:spacing w:after="0" w:line="166"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In spring of 2013, the Town of Lexington and the 128 Business Council applied for and were awarded a federal transportation grant to pilot a commuter shuttle that will provide direct service to Hartwell Avenue from the Alewife Red Line Station. The grant will cover 80% of the shuttle’s operation costs for the first year of operation, while 5 property owners and members of the Hartwell Association, agreed to subsidize 20% of the cost. This continues today, even though the grant is not available this year to the ownerships along Hartwell Avenue. The Hartwell Innovation Campus remains committed to the commuter shuttle and continues to contribute toward the cost.</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0"/>
          </w:cols>
          <w:pgMar w:left="240" w:top="322" w:right="299" w:bottom="1440" w:gutter="0" w:footer="0" w:header="0"/>
        </w:sectPr>
      </w:pPr>
    </w:p>
    <w:bookmarkStart w:id="551" w:name="page552"/>
    <w:bookmarkEnd w:id="551"/>
    <w:p>
      <w:pPr>
        <w:ind w:right="40"/>
        <w:spacing w:after="0" w:line="270" w:lineRule="auto"/>
        <w:rPr>
          <w:sz w:val="20"/>
          <w:szCs w:val="20"/>
          <w:color w:val="auto"/>
        </w:rPr>
      </w:pPr>
      <w:r>
        <w:rPr>
          <w:rFonts w:ascii="Arial" w:cs="Arial" w:eastAsia="Arial" w:hAnsi="Arial"/>
          <w:sz w:val="16"/>
          <w:szCs w:val="16"/>
          <w:color w:val="auto"/>
        </w:rPr>
        <w:t>Each Tenant has full access to this amenity at a nominal cost to the employee. The REV shuttle is fully equipped with wi-fi and runs Monday- Friday with three trips in the morning and three trips in the evening. The shuttle is operated and managed through the 128 Business Council which has a proven track record of successfully implementing shuttle services and is a leader in transportation policy development.</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Benefits of REV Shuttle Trips</w:t>
      </w:r>
    </w:p>
    <w:p>
      <w:pPr>
        <w:spacing w:after="0" w:line="211" w:lineRule="exact"/>
        <w:rPr>
          <w:sz w:val="20"/>
          <w:szCs w:val="20"/>
          <w:color w:val="auto"/>
        </w:rPr>
      </w:pPr>
    </w:p>
    <w:p>
      <w:pPr>
        <w:ind w:left="840" w:hanging="255"/>
        <w:spacing w:after="0"/>
        <w:tabs>
          <w:tab w:leader="none" w:pos="84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Less automobile traffic congestion</w:t>
      </w:r>
    </w:p>
    <w:p>
      <w:pPr>
        <w:spacing w:after="0" w:line="23" w:lineRule="exact"/>
        <w:rPr>
          <w:rFonts w:ascii="Arial" w:cs="Arial" w:eastAsia="Arial" w:hAnsi="Arial"/>
          <w:sz w:val="16"/>
          <w:szCs w:val="16"/>
          <w:color w:val="auto"/>
        </w:rPr>
      </w:pPr>
    </w:p>
    <w:p>
      <w:pPr>
        <w:ind w:left="840" w:hanging="255"/>
        <w:spacing w:after="0"/>
        <w:tabs>
          <w:tab w:leader="none" w:pos="84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Reduced fuel consumption</w:t>
      </w:r>
    </w:p>
    <w:p>
      <w:pPr>
        <w:spacing w:after="0" w:line="11" w:lineRule="exact"/>
        <w:rPr>
          <w:rFonts w:ascii="Arial" w:cs="Arial" w:eastAsia="Arial" w:hAnsi="Arial"/>
          <w:sz w:val="16"/>
          <w:szCs w:val="16"/>
          <w:color w:val="auto"/>
        </w:rPr>
      </w:pPr>
    </w:p>
    <w:p>
      <w:pPr>
        <w:ind w:left="840" w:hanging="255"/>
        <w:spacing w:after="0"/>
        <w:tabs>
          <w:tab w:leader="none" w:pos="84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Allows commuters to connect to the site through multiple modes of public transit including MBTA commuter rail from suburban locations</w:t>
      </w:r>
    </w:p>
    <w:p>
      <w:pPr>
        <w:spacing w:after="0" w:line="11" w:lineRule="exact"/>
        <w:rPr>
          <w:rFonts w:ascii="Arial" w:cs="Arial" w:eastAsia="Arial" w:hAnsi="Arial"/>
          <w:sz w:val="16"/>
          <w:szCs w:val="16"/>
          <w:color w:val="auto"/>
        </w:rPr>
      </w:pPr>
    </w:p>
    <w:p>
      <w:pPr>
        <w:ind w:left="840" w:hanging="255"/>
        <w:spacing w:after="0"/>
        <w:tabs>
          <w:tab w:leader="none" w:pos="84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More relaxing because riders can read or catch up on work during the commute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Rideshare Program</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Hartwell Innovation Campus has established a Rideshare Program for each building. The Transportation Coordinator will be responsible for creating an electronic board, where tenants can post information and communicate with other commuters to arrange for transportation. Initially this program will focus on ride matching with other employees in the building, but if necessary could expand to include other tenants in the area.</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Benefits of Rideshare Program</w:t>
      </w:r>
    </w:p>
    <w:p>
      <w:pPr>
        <w:spacing w:after="0" w:line="211" w:lineRule="exact"/>
        <w:rPr>
          <w:sz w:val="20"/>
          <w:szCs w:val="20"/>
          <w:color w:val="auto"/>
        </w:rPr>
      </w:pPr>
    </w:p>
    <w:p>
      <w:pPr>
        <w:ind w:left="840" w:hanging="255"/>
        <w:spacing w:after="0"/>
        <w:tabs>
          <w:tab w:leader="none" w:pos="84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Less automobile traffic congestion</w:t>
      </w:r>
    </w:p>
    <w:p>
      <w:pPr>
        <w:spacing w:after="0" w:line="23" w:lineRule="exact"/>
        <w:rPr>
          <w:rFonts w:ascii="Arial" w:cs="Arial" w:eastAsia="Arial" w:hAnsi="Arial"/>
          <w:sz w:val="16"/>
          <w:szCs w:val="16"/>
          <w:color w:val="auto"/>
        </w:rPr>
      </w:pPr>
    </w:p>
    <w:p>
      <w:pPr>
        <w:ind w:left="840" w:hanging="255"/>
        <w:spacing w:after="0"/>
        <w:tabs>
          <w:tab w:leader="none" w:pos="84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Reduced fuel consumption</w:t>
      </w:r>
    </w:p>
    <w:p>
      <w:pPr>
        <w:spacing w:after="0" w:line="11" w:lineRule="exact"/>
        <w:rPr>
          <w:rFonts w:ascii="Arial" w:cs="Arial" w:eastAsia="Arial" w:hAnsi="Arial"/>
          <w:sz w:val="16"/>
          <w:szCs w:val="16"/>
          <w:color w:val="auto"/>
        </w:rPr>
      </w:pPr>
    </w:p>
    <w:p>
      <w:pPr>
        <w:ind w:left="840" w:hanging="255"/>
        <w:spacing w:after="0"/>
        <w:tabs>
          <w:tab w:leader="none" w:pos="84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Better air quality</w:t>
      </w:r>
    </w:p>
    <w:p>
      <w:pPr>
        <w:spacing w:after="0" w:line="11" w:lineRule="exact"/>
        <w:rPr>
          <w:rFonts w:ascii="Arial" w:cs="Arial" w:eastAsia="Arial" w:hAnsi="Arial"/>
          <w:sz w:val="16"/>
          <w:szCs w:val="16"/>
          <w:color w:val="auto"/>
        </w:rPr>
      </w:pPr>
    </w:p>
    <w:p>
      <w:pPr>
        <w:ind w:left="840" w:hanging="255"/>
        <w:spacing w:after="0"/>
        <w:tabs>
          <w:tab w:leader="none" w:pos="84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Less expensive than SOV because of shared transportation costs</w:t>
      </w:r>
    </w:p>
    <w:p>
      <w:pPr>
        <w:spacing w:after="0" w:line="11" w:lineRule="exact"/>
        <w:rPr>
          <w:rFonts w:ascii="Arial" w:cs="Arial" w:eastAsia="Arial" w:hAnsi="Arial"/>
          <w:sz w:val="16"/>
          <w:szCs w:val="16"/>
          <w:color w:val="auto"/>
        </w:rPr>
      </w:pPr>
    </w:p>
    <w:p>
      <w:pPr>
        <w:ind w:left="840" w:hanging="255"/>
        <w:spacing w:after="0"/>
        <w:tabs>
          <w:tab w:leader="none" w:pos="84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Less travel time if carpool/HOV lanes can be utilized</w:t>
      </w:r>
    </w:p>
    <w:p>
      <w:pPr>
        <w:spacing w:after="0" w:line="11" w:lineRule="exact"/>
        <w:rPr>
          <w:rFonts w:ascii="Arial" w:cs="Arial" w:eastAsia="Arial" w:hAnsi="Arial"/>
          <w:sz w:val="16"/>
          <w:szCs w:val="16"/>
          <w:color w:val="auto"/>
        </w:rPr>
      </w:pPr>
    </w:p>
    <w:p>
      <w:pPr>
        <w:ind w:left="840" w:hanging="255"/>
        <w:spacing w:after="0"/>
        <w:tabs>
          <w:tab w:leader="none" w:pos="84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More relaxing because of shared driving responsibilities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Onsite Amenities</w:t>
      </w:r>
    </w:p>
    <w:p>
      <w:pPr>
        <w:spacing w:after="0" w:line="207"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Hartwell Innovation Campus will provide onsite amenities that will reduce the need for tenants to travel off site during the workday. These amenities include the construction of a Pavilion, central to 101,113/115 Hartwell Avenue and 4 Hartwell Place, which will provide coffee and other refreshments. It will also serve as a gathering place for tenants to get out of their office environment and collaborate with others in the campus. Management will also continue to promote the Food Truck Program that provides a variety of lunch options to the campus.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20"/>
          </w:cols>
          <w:pgMar w:left="240" w:top="322" w:right="339" w:bottom="1440" w:gutter="0" w:footer="0" w:header="0"/>
        </w:sectPr>
      </w:pPr>
    </w:p>
    <w:bookmarkStart w:id="552" w:name="page553"/>
    <w:bookmarkEnd w:id="552"/>
    <w:p>
      <w:pPr>
        <w:ind w:right="20"/>
        <w:spacing w:after="0" w:line="285" w:lineRule="auto"/>
        <w:rPr>
          <w:sz w:val="20"/>
          <w:szCs w:val="20"/>
          <w:color w:val="auto"/>
        </w:rPr>
      </w:pPr>
      <w:r>
        <w:rPr>
          <w:rFonts w:ascii="Arial" w:cs="Arial" w:eastAsia="Arial" w:hAnsi="Arial"/>
          <w:sz w:val="16"/>
          <w:szCs w:val="16"/>
          <w:color w:val="auto"/>
        </w:rPr>
        <w:t>Onsite amenities will encourage the use of the REV Shuttle, the Rideshare Program, and other alternative means of transportation since tenants will not be dependent on SOV to access these conveniences.</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believe these services are crucial in attracting a younger workforce, most of whom are straight out of college, who would otherwise work in the Boston or Cambridge area without these essential amenities, in addition to decreasing single occupancy rides and transportation costs.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Communication</w:t>
      </w:r>
    </w:p>
    <w:p>
      <w:pPr>
        <w:spacing w:after="0" w:line="207"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a continuing effort to support alternative transportation, The Hartwell Innovation Campus is using several means to reach tenants and communicate information regarding alternative transportation programs.</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Memorandums &amp; Email Blasts</w:t>
      </w:r>
    </w:p>
    <w:p>
      <w:pPr>
        <w:spacing w:after="0" w:line="211" w:lineRule="exact"/>
        <w:rPr>
          <w:sz w:val="20"/>
          <w:szCs w:val="20"/>
          <w:color w:val="auto"/>
        </w:rPr>
      </w:pPr>
    </w:p>
    <w:p>
      <w:pPr>
        <w:ind w:left="580" w:right="600"/>
        <w:spacing w:after="0" w:line="285" w:lineRule="auto"/>
        <w:rPr>
          <w:sz w:val="20"/>
          <w:szCs w:val="20"/>
          <w:color w:val="auto"/>
        </w:rPr>
      </w:pPr>
      <w:r>
        <w:rPr>
          <w:rFonts w:ascii="Arial" w:cs="Arial" w:eastAsia="Arial" w:hAnsi="Arial"/>
          <w:sz w:val="16"/>
          <w:szCs w:val="16"/>
          <w:color w:val="auto"/>
        </w:rPr>
        <w:t>The Transportation Coordinator communicates with employees at each building through frequent emails and building memorandums announcing programs, incentives, reminders, and other useful information intended to decrease the use of SOV by those onsite.</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Events</w:t>
      </w:r>
    </w:p>
    <w:p>
      <w:pPr>
        <w:spacing w:after="0" w:line="211" w:lineRule="exact"/>
        <w:rPr>
          <w:sz w:val="20"/>
          <w:szCs w:val="20"/>
          <w:color w:val="auto"/>
        </w:rPr>
      </w:pPr>
    </w:p>
    <w:p>
      <w:pPr>
        <w:ind w:left="580" w:right="160"/>
        <w:spacing w:after="0" w:line="270" w:lineRule="auto"/>
        <w:rPr>
          <w:sz w:val="20"/>
          <w:szCs w:val="20"/>
          <w:color w:val="auto"/>
        </w:rPr>
      </w:pPr>
      <w:r>
        <w:rPr>
          <w:rFonts w:ascii="Arial" w:cs="Arial" w:eastAsia="Arial" w:hAnsi="Arial"/>
          <w:sz w:val="16"/>
          <w:szCs w:val="16"/>
          <w:color w:val="auto"/>
        </w:rPr>
        <w:t>To incentivize employee participation in all programs, transportation management events are held throughout the year. The 128 Business Council was present to promote its programs and sign up employees on site. Complementary gift bags, including an MBTA map, a map of Eastern Massachusetts, and a Boston Bike map were provided to tenants.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Ongoing Management</w:t>
      </w:r>
    </w:p>
    <w:p>
      <w:pPr>
        <w:spacing w:after="0" w:line="211"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The Hartwell Innovation Campus has continued to gain and improve its understanding of the building’s occupants and how to help change behaviors and attitudes toward commuting. Our message is clear; utilizing alternative methods of transportation not only to reduces traffic congestion in the area, but also reduces transportation costs and contributes to both a healthy lifestyle and environment.</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Critical to ensuring the success of our PDTM Plan is the ongoing management of the programs. Management activities will include, but not be limited to the following:</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0"/>
          </w:cols>
          <w:pgMar w:left="240" w:top="322" w:right="299" w:bottom="1440" w:gutter="0" w:footer="0" w:header="0"/>
        </w:sectPr>
      </w:pPr>
    </w:p>
    <w:bookmarkStart w:id="553" w:name="page554"/>
    <w:bookmarkEnd w:id="553"/>
    <w:p>
      <w:pPr>
        <w:ind w:left="580"/>
        <w:spacing w:after="0"/>
        <w:rPr>
          <w:sz w:val="20"/>
          <w:szCs w:val="20"/>
          <w:color w:val="auto"/>
        </w:rPr>
      </w:pPr>
      <w:r>
        <w:rPr>
          <w:rFonts w:ascii="Arial" w:cs="Arial" w:eastAsia="Arial" w:hAnsi="Arial"/>
          <w:sz w:val="16"/>
          <w:szCs w:val="16"/>
          <w:color w:val="auto"/>
        </w:rPr>
        <w:t>*Appoint a Transportation Coordinator whose responsibilities will include the following:</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*Coordinate Rideshare Board/Postings.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*Create a King Street Properties Hartwell Facebook Page (or similar on- line web site), which tenants can use to regarding rideshares.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*Provide tenants with updated information and options on alternative modes of transportation.</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*Promote transportation options through events such as bicycle tune-up day, car wash for carpoolers, gas bucks for groups.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*Help in the creation of a place of residence database which will connect employees in the building who live in similar locations.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*Monitor and evaluate results of the PTDM Plan through tenant surveys.</w:t>
      </w:r>
    </w:p>
    <w:p>
      <w:pPr>
        <w:spacing w:after="0" w:line="207" w:lineRule="exact"/>
        <w:rPr>
          <w:sz w:val="20"/>
          <w:szCs w:val="20"/>
          <w:color w:val="auto"/>
        </w:rPr>
      </w:pPr>
    </w:p>
    <w:p>
      <w:pPr>
        <w:ind w:left="580" w:right="500"/>
        <w:spacing w:after="0" w:line="285" w:lineRule="auto"/>
        <w:rPr>
          <w:sz w:val="20"/>
          <w:szCs w:val="20"/>
          <w:color w:val="auto"/>
        </w:rPr>
      </w:pPr>
      <w:r>
        <w:rPr>
          <w:rFonts w:ascii="Arial" w:cs="Arial" w:eastAsia="Arial" w:hAnsi="Arial"/>
          <w:sz w:val="16"/>
          <w:szCs w:val="16"/>
          <w:color w:val="auto"/>
        </w:rPr>
        <w:t>*Ensure that specific language is included in all tenant leases which requires the tenant’s participation in the Hartwell Avenue Transportation Management Association.</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*Take a leadership role in working with other landlords in the area to encourage cooperation and promotion of transportation options.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*Become active members in area transportation groups.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Over the next year we will continue to work towards this goal in the following ways: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Bikesharing</w:t>
      </w:r>
    </w:p>
    <w:p>
      <w:pPr>
        <w:spacing w:after="0" w:line="207" w:lineRule="exact"/>
        <w:rPr>
          <w:sz w:val="20"/>
          <w:szCs w:val="20"/>
          <w:color w:val="auto"/>
        </w:rPr>
      </w:pPr>
    </w:p>
    <w:p>
      <w:pPr>
        <w:ind w:left="580"/>
        <w:spacing w:after="0" w:line="285" w:lineRule="auto"/>
        <w:rPr>
          <w:sz w:val="20"/>
          <w:szCs w:val="20"/>
          <w:color w:val="auto"/>
        </w:rPr>
      </w:pPr>
      <w:r>
        <w:rPr>
          <w:rFonts w:ascii="Arial" w:cs="Arial" w:eastAsia="Arial" w:hAnsi="Arial"/>
          <w:sz w:val="16"/>
          <w:szCs w:val="16"/>
          <w:color w:val="auto"/>
        </w:rPr>
        <w:t>With a bike sharing program underway; we will continue to monitor the use of bikes to ensure the quantity of bikes meets tenant demand. To encourage growth of and participation in the program, over the next year, The Hartwell Innovation Campus will continue to:</w:t>
      </w:r>
    </w:p>
    <w:p>
      <w:pPr>
        <w:spacing w:after="0" w:line="150" w:lineRule="exact"/>
        <w:rPr>
          <w:sz w:val="20"/>
          <w:szCs w:val="20"/>
          <w:color w:val="auto"/>
        </w:rPr>
      </w:pPr>
    </w:p>
    <w:p>
      <w:pPr>
        <w:ind w:left="5640" w:right="1580" w:hanging="5047"/>
        <w:spacing w:after="0" w:line="540" w:lineRule="auto"/>
        <w:rPr>
          <w:sz w:val="20"/>
          <w:szCs w:val="20"/>
          <w:color w:val="auto"/>
        </w:rPr>
      </w:pPr>
      <w:r>
        <w:rPr>
          <w:rFonts w:ascii="Arial" w:cs="Arial" w:eastAsia="Arial" w:hAnsi="Arial"/>
          <w:sz w:val="16"/>
          <w:szCs w:val="16"/>
          <w:color w:val="auto"/>
        </w:rPr>
        <w:t>*Perform maintenance to bicycles to ensure employees at the building feel safe signing them out to complete errands, go out to lunch, etc.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80275" cy="2794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160"/>
          </w:cols>
          <w:pgMar w:left="240" w:top="322" w:right="499" w:bottom="1440" w:gutter="0" w:footer="0" w:header="0"/>
        </w:sectPr>
      </w:pPr>
    </w:p>
    <w:bookmarkStart w:id="554" w:name="page555"/>
    <w:bookmarkEnd w:id="554"/>
    <w:p>
      <w:pPr>
        <w:ind w:firstLine="5"/>
        <w:spacing w:after="0" w:line="285" w:lineRule="auto"/>
        <w:tabs>
          <w:tab w:leader="none" w:pos="122" w:val="left"/>
        </w:tabs>
        <w:numPr>
          <w:ilvl w:val="0"/>
          <w:numId w:val="534"/>
        </w:numPr>
        <w:rPr>
          <w:rFonts w:ascii="Arial" w:cs="Arial" w:eastAsia="Arial" w:hAnsi="Arial"/>
          <w:sz w:val="16"/>
          <w:szCs w:val="16"/>
          <w:color w:val="auto"/>
        </w:rPr>
      </w:pPr>
      <w:r>
        <w:rPr>
          <w:rFonts w:ascii="Arial" w:cs="Arial" w:eastAsia="Arial" w:hAnsi="Arial"/>
          <w:sz w:val="16"/>
          <w:szCs w:val="16"/>
          <w:color w:val="auto"/>
        </w:rPr>
        <w:t>Provide tenants with additional information regarding the program, the benefits of participating, and area businesses/activities that are within biking distance of the building.</w:t>
      </w:r>
    </w:p>
    <w:p>
      <w:pPr>
        <w:spacing w:after="0" w:line="149" w:lineRule="exact"/>
        <w:rPr>
          <w:rFonts w:ascii="Arial" w:cs="Arial" w:eastAsia="Arial" w:hAnsi="Arial"/>
          <w:sz w:val="16"/>
          <w:szCs w:val="16"/>
          <w:color w:val="auto"/>
        </w:rPr>
      </w:pPr>
    </w:p>
    <w:p>
      <w:pPr>
        <w:ind w:left="120" w:hanging="115"/>
        <w:spacing w:after="0"/>
        <w:tabs>
          <w:tab w:leader="none" w:pos="12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Continue to offer new incentives to keep employees at the building interested in participating.</w:t>
      </w:r>
    </w:p>
    <w:p>
      <w:pPr>
        <w:spacing w:after="0" w:line="207" w:lineRule="exact"/>
        <w:rPr>
          <w:rFonts w:ascii="Arial" w:cs="Arial" w:eastAsia="Arial" w:hAnsi="Arial"/>
          <w:sz w:val="16"/>
          <w:szCs w:val="16"/>
          <w:color w:val="auto"/>
        </w:rPr>
      </w:pPr>
    </w:p>
    <w:p>
      <w:pPr>
        <w:ind w:left="120" w:hanging="115"/>
        <w:spacing w:after="0"/>
        <w:tabs>
          <w:tab w:leader="none" w:pos="12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Continue to provide shared umbrellas and parkas for use in the inclement weather.</w:t>
      </w:r>
    </w:p>
    <w:p>
      <w:pPr>
        <w:spacing w:after="0" w:line="200" w:lineRule="exact"/>
        <w:rPr>
          <w:sz w:val="20"/>
          <w:szCs w:val="20"/>
          <w:color w:val="auto"/>
        </w:rPr>
      </w:pPr>
    </w:p>
    <w:p>
      <w:pPr>
        <w:spacing w:after="0" w:line="399"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While many commuters are hesitant of ridesharing for various reasons, the positive results (decreased commuting costs, decreased traffic congestion, improved environmental quality, etc.) make it an incredibly viable commuting alternative to SOV.</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To help employees see the value in ridesharing and encourage them to participate, over the next year, The Hartwell Innovation Campus will continue to:</w:t>
      </w:r>
    </w:p>
    <w:p>
      <w:pPr>
        <w:spacing w:after="0" w:line="207" w:lineRule="exact"/>
        <w:rPr>
          <w:sz w:val="20"/>
          <w:szCs w:val="20"/>
          <w:color w:val="auto"/>
        </w:rPr>
      </w:pPr>
    </w:p>
    <w:p>
      <w:pPr>
        <w:ind w:left="120" w:hanging="115"/>
        <w:spacing w:after="0"/>
        <w:tabs>
          <w:tab w:leader="none" w:pos="120" w:val="left"/>
        </w:tabs>
        <w:numPr>
          <w:ilvl w:val="0"/>
          <w:numId w:val="535"/>
        </w:numPr>
        <w:rPr>
          <w:rFonts w:ascii="Arial" w:cs="Arial" w:eastAsia="Arial" w:hAnsi="Arial"/>
          <w:sz w:val="15"/>
          <w:szCs w:val="15"/>
          <w:color w:val="auto"/>
        </w:rPr>
      </w:pPr>
      <w:r>
        <w:rPr>
          <w:rFonts w:ascii="Arial" w:cs="Arial" w:eastAsia="Arial" w:hAnsi="Arial"/>
          <w:sz w:val="15"/>
          <w:szCs w:val="15"/>
          <w:color w:val="auto"/>
        </w:rPr>
        <w:t>Gather and present to employees data which will help them facilitate convenient ridesharing schedules through its partnership with the 128 Business Council.</w:t>
      </w:r>
    </w:p>
    <w:p>
      <w:pPr>
        <w:spacing w:after="0" w:line="218" w:lineRule="exact"/>
        <w:rPr>
          <w:rFonts w:ascii="Arial" w:cs="Arial" w:eastAsia="Arial" w:hAnsi="Arial"/>
          <w:sz w:val="15"/>
          <w:szCs w:val="15"/>
          <w:color w:val="auto"/>
        </w:rPr>
      </w:pPr>
    </w:p>
    <w:p>
      <w:pPr>
        <w:ind w:left="120" w:hanging="115"/>
        <w:spacing w:after="0"/>
        <w:tabs>
          <w:tab w:leader="none" w:pos="120" w:val="left"/>
        </w:tabs>
        <w:numPr>
          <w:ilvl w:val="0"/>
          <w:numId w:val="535"/>
        </w:numPr>
        <w:rPr>
          <w:rFonts w:ascii="Arial" w:cs="Arial" w:eastAsia="Arial" w:hAnsi="Arial"/>
          <w:sz w:val="16"/>
          <w:szCs w:val="16"/>
          <w:color w:val="auto"/>
        </w:rPr>
      </w:pPr>
      <w:r>
        <w:rPr>
          <w:rFonts w:ascii="Arial" w:cs="Arial" w:eastAsia="Arial" w:hAnsi="Arial"/>
          <w:sz w:val="16"/>
          <w:szCs w:val="16"/>
          <w:color w:val="auto"/>
        </w:rPr>
        <w:t>Host semi-annual tenant events with 128 Business Council to help promote benefits, answer questions, and spread the word of new programs.</w:t>
      </w:r>
    </w:p>
    <w:p>
      <w:pPr>
        <w:spacing w:after="0" w:line="207" w:lineRule="exact"/>
        <w:rPr>
          <w:rFonts w:ascii="Arial" w:cs="Arial" w:eastAsia="Arial" w:hAnsi="Arial"/>
          <w:sz w:val="16"/>
          <w:szCs w:val="16"/>
          <w:color w:val="auto"/>
        </w:rPr>
      </w:pPr>
    </w:p>
    <w:p>
      <w:pPr>
        <w:ind w:left="120" w:hanging="115"/>
        <w:spacing w:after="0"/>
        <w:tabs>
          <w:tab w:leader="none" w:pos="120" w:val="left"/>
        </w:tabs>
        <w:numPr>
          <w:ilvl w:val="0"/>
          <w:numId w:val="535"/>
        </w:numPr>
        <w:rPr>
          <w:rFonts w:ascii="Arial" w:cs="Arial" w:eastAsia="Arial" w:hAnsi="Arial"/>
          <w:sz w:val="16"/>
          <w:szCs w:val="16"/>
          <w:color w:val="auto"/>
        </w:rPr>
      </w:pPr>
      <w:r>
        <w:rPr>
          <w:rFonts w:ascii="Arial" w:cs="Arial" w:eastAsia="Arial" w:hAnsi="Arial"/>
          <w:sz w:val="16"/>
          <w:szCs w:val="16"/>
          <w:color w:val="auto"/>
        </w:rPr>
        <w:t>Continue to offer incentives for employees at the building participating in ridesharing opportunities such as free gas cards for ride sharing.</w:t>
      </w:r>
    </w:p>
    <w:p>
      <w:pPr>
        <w:spacing w:after="0" w:line="200" w:lineRule="exact"/>
        <w:rPr>
          <w:sz w:val="20"/>
          <w:szCs w:val="20"/>
          <w:color w:val="auto"/>
        </w:rPr>
      </w:pPr>
    </w:p>
    <w:p>
      <w:pPr>
        <w:spacing w:after="0" w:line="39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Tenant surveying has confirmed that a large number of employees are commuting daily from the Cambridge area. As a member of the 128 Business Council and the Hartwell Association, The Hartwell Innovation Campus will continue to promote the shuttle from Alewife to Hartwell Avenue.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To increase the use of public transportation specifically, The Hartwell Innovation Campus will continue to:</w:t>
      </w:r>
    </w:p>
    <w:p>
      <w:pPr>
        <w:spacing w:after="0" w:line="207" w:lineRule="exact"/>
        <w:rPr>
          <w:sz w:val="20"/>
          <w:szCs w:val="20"/>
          <w:color w:val="auto"/>
        </w:rPr>
      </w:pPr>
    </w:p>
    <w:p>
      <w:pPr>
        <w:ind w:left="120" w:hanging="115"/>
        <w:spacing w:after="0"/>
        <w:tabs>
          <w:tab w:leader="none" w:pos="120" w:val="left"/>
        </w:tabs>
        <w:numPr>
          <w:ilvl w:val="0"/>
          <w:numId w:val="536"/>
        </w:numPr>
        <w:rPr>
          <w:rFonts w:ascii="Arial" w:cs="Arial" w:eastAsia="Arial" w:hAnsi="Arial"/>
          <w:sz w:val="16"/>
          <w:szCs w:val="16"/>
          <w:color w:val="auto"/>
        </w:rPr>
      </w:pPr>
      <w:r>
        <w:rPr>
          <w:rFonts w:ascii="Arial" w:cs="Arial" w:eastAsia="Arial" w:hAnsi="Arial"/>
          <w:sz w:val="16"/>
          <w:szCs w:val="16"/>
          <w:color w:val="auto"/>
        </w:rPr>
        <w:t>Provide MBTA maps to each building tenant for distribution to employees.</w:t>
      </w:r>
    </w:p>
    <w:p>
      <w:pPr>
        <w:spacing w:after="0" w:line="207" w:lineRule="exact"/>
        <w:rPr>
          <w:rFonts w:ascii="Arial" w:cs="Arial" w:eastAsia="Arial" w:hAnsi="Arial"/>
          <w:sz w:val="16"/>
          <w:szCs w:val="16"/>
          <w:color w:val="auto"/>
        </w:rPr>
      </w:pPr>
    </w:p>
    <w:p>
      <w:pPr>
        <w:jc w:val="center"/>
        <w:ind w:left="5060" w:right="260" w:hanging="5055"/>
        <w:spacing w:after="0" w:line="540" w:lineRule="auto"/>
        <w:tabs>
          <w:tab w:leader="none" w:pos="132" w:val="left"/>
        </w:tabs>
        <w:numPr>
          <w:ilvl w:val="0"/>
          <w:numId w:val="536"/>
        </w:numPr>
        <w:rPr>
          <w:rFonts w:ascii="Arial" w:cs="Arial" w:eastAsia="Arial" w:hAnsi="Arial"/>
          <w:sz w:val="16"/>
          <w:szCs w:val="16"/>
          <w:color w:val="auto"/>
        </w:rPr>
      </w:pPr>
      <w:r>
        <w:rPr>
          <w:rFonts w:ascii="Arial" w:cs="Arial" w:eastAsia="Arial" w:hAnsi="Arial"/>
          <w:sz w:val="16"/>
          <w:szCs w:val="16"/>
          <w:color w:val="auto"/>
        </w:rPr>
        <w:t>Provide a free MBTA monthly pass for an employee with each building tenant who most regularly chooses public transportation as his/her commuting method.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-85090</wp:posOffset>
            </wp:positionV>
            <wp:extent cx="7280275" cy="279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0760"/>
          </w:cols>
          <w:pgMar w:left="820" w:top="322" w:right="319" w:bottom="1440" w:gutter="0" w:footer="0" w:header="0"/>
        </w:sectPr>
      </w:pPr>
    </w:p>
    <w:bookmarkStart w:id="555" w:name="page556"/>
    <w:bookmarkEnd w:id="555"/>
    <w:p>
      <w:pPr>
        <w:ind w:left="580" w:right="40"/>
        <w:spacing w:after="0" w:line="285" w:lineRule="auto"/>
        <w:rPr>
          <w:sz w:val="20"/>
          <w:szCs w:val="20"/>
          <w:color w:val="auto"/>
        </w:rPr>
      </w:pPr>
      <w:r>
        <w:rPr>
          <w:rFonts w:ascii="Arial" w:cs="Arial" w:eastAsia="Arial" w:hAnsi="Arial"/>
          <w:sz w:val="16"/>
          <w:szCs w:val="16"/>
          <w:color w:val="auto"/>
        </w:rPr>
        <w:t>*Provide a free Alewife/Hartwell Rev shuttle monthly pass for an employee who utilizes the service on a daily basis. This will be tracked by the Tenant Coordinator and the Landlord Representative from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Parking Management/SOV Disincentives</w:t>
      </w:r>
    </w:p>
    <w:p>
      <w:pPr>
        <w:spacing w:after="0" w:line="211" w:lineRule="exact"/>
        <w:rPr>
          <w:sz w:val="20"/>
          <w:szCs w:val="20"/>
          <w:color w:val="auto"/>
        </w:rPr>
      </w:pPr>
    </w:p>
    <w:p>
      <w:pPr>
        <w:ind w:right="140"/>
        <w:spacing w:after="0" w:line="326" w:lineRule="auto"/>
        <w:rPr>
          <w:sz w:val="20"/>
          <w:szCs w:val="20"/>
          <w:color w:val="auto"/>
        </w:rPr>
      </w:pPr>
      <w:r>
        <w:rPr>
          <w:rFonts w:ascii="Arial" w:cs="Arial" w:eastAsia="Arial" w:hAnsi="Arial"/>
          <w:sz w:val="14"/>
          <w:szCs w:val="14"/>
          <w:color w:val="auto"/>
        </w:rPr>
        <w:t>The primary way in which SOV use will be discouraged for the entire site is through the reduction of parking spaces per s.f. of GFA. After the reconstruction of the parking lot, the parking ratio for all tenants was reduced to 3.0 spaces per 1000 s.f. GFA. 5% of the total parking spaces across the site will be dedicated for rideshare vehicles. Additionally, tenants who choose to commute in SOV’s will not be eligible for any incentive programs such as the “Gas Bucks for Groups” or “Car Wash for Carpoolers”.</w:t>
      </w:r>
    </w:p>
    <w:p>
      <w:pPr>
        <w:spacing w:after="0" w:line="12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Hartwell Innovation Campus is committed to an increased awareness and participation in alternative methods of transportation and in the reduction of SOV at the Center. We look forward to the challenge of continuing to work with both tenants and neighbors to expand this knowledge and increase participation in programs that will benefit individuals, the site, and the growing Hartwell Avenue community.</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80275" cy="2794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EXHIBIT 11</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INVENTORY OF FURNITURE, FIXTURES, AND EQUIPMENT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Lab Furniture &amp; Equipment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Lab Benches: 20</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Lab Chairs: 2</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Shelving Units: 9</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Stainless Steel Tables: 2</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Flammable Storage Cabinet: 1</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Fume Hoods: 1</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Office Furniture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Complete workstations with desk chairs: 24</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Double occupant workstations with desk chairs: 2</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Private office furniture — desks with chairs: 4</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Filing Cabinets: 3</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Large Conference Room: Table with 12 chairs, 1 credenza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Small Conference Room: Table with 8 chairs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Kitchen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Tables: 6</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Chairs: 24</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Credenza: 1</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Refrigerator: 1</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Dishwasher: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80275" cy="279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40"/>
          </w:cols>
          <w:pgMar w:left="240" w:top="323" w:right="319" w:bottom="1440" w:gutter="0" w:footer="0" w:header="0"/>
        </w:sectPr>
      </w:pPr>
    </w:p>
    <w:bookmarkStart w:id="556" w:name="page557"/>
    <w:bookmarkEnd w:id="556"/>
    <w:p>
      <w:pPr>
        <w:jc w:val="center"/>
        <w:ind w:right="-20"/>
        <w:spacing w:after="0"/>
        <w:rPr>
          <w:sz w:val="20"/>
          <w:szCs w:val="20"/>
          <w:color w:val="auto"/>
        </w:rPr>
      </w:pPr>
      <w:r>
        <w:rPr>
          <w:rFonts w:ascii="Arial" w:cs="Arial" w:eastAsia="Arial" w:hAnsi="Arial"/>
          <w:sz w:val="16"/>
          <w:szCs w:val="16"/>
          <w:u w:val="single" w:color="auto"/>
          <w:color w:val="auto"/>
        </w:rPr>
        <w:t>EXHIBIT 12</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5"/>
          <w:szCs w:val="15"/>
          <w:u w:val="single" w:color="auto"/>
          <w:color w:val="auto"/>
        </w:rPr>
        <w:t>SIGNAGE GUIDELINES</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74930</wp:posOffset>
            </wp:positionV>
            <wp:extent cx="7280275" cy="2794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sectPr>
      </w:pPr>
    </w:p>
    <w:bookmarkStart w:id="557" w:name="page558"/>
    <w:bookmarkEnd w:id="557"/>
    <w:p>
      <w:pPr>
        <w:jc w:val="center"/>
        <w:ind w:right="-20"/>
        <w:spacing w:after="0"/>
        <w:rPr>
          <w:sz w:val="20"/>
          <w:szCs w:val="20"/>
          <w:color w:val="auto"/>
        </w:rPr>
      </w:pPr>
      <w:r>
        <w:rPr>
          <w:rFonts w:ascii="Arial" w:cs="Arial" w:eastAsia="Arial" w:hAnsi="Arial"/>
          <w:sz w:val="15"/>
          <w:szCs w:val="15"/>
          <w:b w:val="1"/>
          <w:bCs w:val="1"/>
          <w:color w:val="auto"/>
        </w:rPr>
        <w:t>Exhibit 12</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132080</wp:posOffset>
            </wp:positionV>
            <wp:extent cx="4053205" cy="766318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053205" cy="766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74930</wp:posOffset>
            </wp:positionV>
            <wp:extent cx="7280275" cy="279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558" w:name="page559"/>
    <w:bookmarkEnd w:id="558"/>
    <w:p>
      <w:pPr>
        <w:jc w:val="center"/>
        <w:spacing w:after="0"/>
        <w:rPr>
          <w:sz w:val="20"/>
          <w:szCs w:val="20"/>
          <w:color w:val="auto"/>
        </w:rPr>
      </w:pPr>
      <w:r>
        <w:rPr>
          <w:rFonts w:ascii="Arial" w:cs="Arial" w:eastAsia="Arial" w:hAnsi="Arial"/>
          <w:sz w:val="16"/>
          <w:szCs w:val="16"/>
          <w:u w:val="single" w:color="auto"/>
          <w:color w:val="auto"/>
        </w:rPr>
        <w:t>EXHIBIT 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CAMPUS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146685</wp:posOffset>
            </wp:positionV>
            <wp:extent cx="5590540" cy="65220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590540" cy="652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74930</wp:posOffset>
            </wp:positionV>
            <wp:extent cx="7280275" cy="279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sectPr>
      </w:pPr>
    </w:p>
    <w:bookmarkStart w:id="559" w:name="page560"/>
    <w:bookmarkEnd w:id="559"/>
    <w:p>
      <w:pPr>
        <w:jc w:val="right"/>
        <w:spacing w:after="0"/>
        <w:rPr>
          <w:sz w:val="20"/>
          <w:szCs w:val="20"/>
          <w:color w:val="auto"/>
        </w:rPr>
      </w:pPr>
      <w:r>
        <w:rPr>
          <w:rFonts w:ascii="Arial" w:cs="Arial" w:eastAsia="Arial" w:hAnsi="Arial"/>
          <w:sz w:val="16"/>
          <w:szCs w:val="16"/>
          <w:b w:val="1"/>
          <w:bCs w:val="1"/>
          <w:color w:val="auto"/>
        </w:rPr>
        <w:t>Exhibit 10.15</w:t>
      </w:r>
    </w:p>
    <w:p>
      <w:pPr>
        <w:spacing w:after="0" w:line="211" w:lineRule="exact"/>
        <w:rPr>
          <w:sz w:val="20"/>
          <w:szCs w:val="20"/>
          <w:color w:val="auto"/>
        </w:rPr>
      </w:pPr>
    </w:p>
    <w:p>
      <w:pPr>
        <w:ind w:left="2" w:right="220" w:hanging="2"/>
        <w:spacing w:after="0" w:line="270" w:lineRule="auto"/>
        <w:tabs>
          <w:tab w:leader="none" w:pos="396" w:val="left"/>
        </w:tabs>
        <w:numPr>
          <w:ilvl w:val="0"/>
          <w:numId w:val="537"/>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DATED 31 MARCH 2017</w:t>
      </w:r>
    </w:p>
    <w:p>
      <w:pPr>
        <w:spacing w:after="0" w:line="200" w:lineRule="exact"/>
        <w:rPr>
          <w:sz w:val="20"/>
          <w:szCs w:val="20"/>
          <w:color w:val="auto"/>
        </w:rPr>
      </w:pPr>
    </w:p>
    <w:p>
      <w:pPr>
        <w:spacing w:after="0" w:line="207" w:lineRule="exact"/>
        <w:rPr>
          <w:sz w:val="20"/>
          <w:szCs w:val="20"/>
          <w:color w:val="auto"/>
        </w:rPr>
      </w:pPr>
    </w:p>
    <w:p>
      <w:pPr>
        <w:ind w:left="2642" w:hanging="295"/>
        <w:spacing w:after="0"/>
        <w:tabs>
          <w:tab w:leader="none" w:pos="2642" w:val="left"/>
        </w:tabs>
        <w:numPr>
          <w:ilvl w:val="0"/>
          <w:numId w:val="538"/>
        </w:numPr>
        <w:rPr>
          <w:rFonts w:ascii="Arial" w:cs="Arial" w:eastAsia="Arial" w:hAnsi="Arial"/>
          <w:sz w:val="16"/>
          <w:szCs w:val="16"/>
          <w:color w:val="auto"/>
        </w:rPr>
      </w:pPr>
      <w:r>
        <w:rPr>
          <w:rFonts w:ascii="Arial" w:cs="Arial" w:eastAsia="Arial" w:hAnsi="Arial"/>
          <w:sz w:val="16"/>
          <w:szCs w:val="16"/>
          <w:color w:val="auto"/>
        </w:rPr>
        <w:t>BICYCLE THERAPEUTICS LIMITED</w:t>
      </w:r>
    </w:p>
    <w:p>
      <w:pPr>
        <w:spacing w:after="0" w:line="207" w:lineRule="exact"/>
        <w:rPr>
          <w:rFonts w:ascii="Arial" w:cs="Arial" w:eastAsia="Arial" w:hAnsi="Arial"/>
          <w:sz w:val="16"/>
          <w:szCs w:val="16"/>
          <w:color w:val="auto"/>
        </w:rPr>
      </w:pPr>
    </w:p>
    <w:p>
      <w:pPr>
        <w:ind w:left="2642" w:hanging="295"/>
        <w:spacing w:after="0"/>
        <w:tabs>
          <w:tab w:leader="none" w:pos="2642" w:val="left"/>
        </w:tabs>
        <w:numPr>
          <w:ilvl w:val="0"/>
          <w:numId w:val="538"/>
        </w:numPr>
        <w:rPr>
          <w:rFonts w:ascii="Arial" w:cs="Arial" w:eastAsia="Arial" w:hAnsi="Arial"/>
          <w:sz w:val="16"/>
          <w:szCs w:val="16"/>
          <w:color w:val="auto"/>
        </w:rPr>
      </w:pPr>
      <w:r>
        <w:rPr>
          <w:rFonts w:ascii="Arial" w:cs="Arial" w:eastAsia="Arial" w:hAnsi="Arial"/>
          <w:sz w:val="16"/>
          <w:szCs w:val="16"/>
          <w:color w:val="auto"/>
        </w:rPr>
        <w:t>CANCER RESEARCH TECHNOLOGY LIMITED</w:t>
      </w:r>
    </w:p>
    <w:p>
      <w:pPr>
        <w:spacing w:after="0" w:line="207" w:lineRule="exact"/>
        <w:rPr>
          <w:rFonts w:ascii="Arial" w:cs="Arial" w:eastAsia="Arial" w:hAnsi="Arial"/>
          <w:sz w:val="16"/>
          <w:szCs w:val="16"/>
          <w:color w:val="auto"/>
        </w:rPr>
      </w:pPr>
    </w:p>
    <w:p>
      <w:pPr>
        <w:ind w:left="2642" w:hanging="295"/>
        <w:spacing w:after="0"/>
        <w:tabs>
          <w:tab w:leader="none" w:pos="2642" w:val="left"/>
        </w:tabs>
        <w:numPr>
          <w:ilvl w:val="0"/>
          <w:numId w:val="538"/>
        </w:numPr>
        <w:rPr>
          <w:rFonts w:ascii="Arial" w:cs="Arial" w:eastAsia="Arial" w:hAnsi="Arial"/>
          <w:sz w:val="16"/>
          <w:szCs w:val="16"/>
          <w:color w:val="auto"/>
        </w:rPr>
      </w:pPr>
      <w:r>
        <w:rPr>
          <w:rFonts w:ascii="Arial" w:cs="Arial" w:eastAsia="Arial" w:hAnsi="Arial"/>
          <w:sz w:val="16"/>
          <w:szCs w:val="16"/>
          <w:color w:val="auto"/>
        </w:rPr>
        <w:t>CANCER RESEARCH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325755</wp:posOffset>
            </wp:positionV>
            <wp:extent cx="1824355"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DEED OF AMENDMENT OF A CLINICAL TRIAL</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AND LICENCE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325755</wp:posOffset>
            </wp:positionV>
            <wp:extent cx="1824355"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240" w:right="220"/>
        <w:spacing w:after="0" w:line="285" w:lineRule="auto"/>
        <w:rPr>
          <w:sz w:val="20"/>
          <w:szCs w:val="20"/>
          <w:color w:val="auto"/>
        </w:rPr>
      </w:pPr>
      <w:r>
        <w:rPr>
          <w:rFonts w:ascii="Arial" w:cs="Arial" w:eastAsia="Arial" w:hAnsi="Arial"/>
          <w:sz w:val="16"/>
          <w:szCs w:val="16"/>
          <w:color w:val="auto"/>
        </w:rPr>
        <w:t>CONFIDENTIAL TREATMENT REQUESTED. CERTAIN CONFIDENTIAL INFORMATION CONTAINED IN THIS DOCUMENT, MARKED BY BRACKED, IS FILED WITH THE SECURITIES AND EXCHANGE COMMISSION PURSUANT TO RULE 406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80275" cy="279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42"/>
          </w:cols>
          <w:pgMar w:left="238" w:top="343" w:right="219" w:bottom="1440" w:gutter="0" w:footer="0" w:header="0"/>
        </w:sectPr>
      </w:pPr>
    </w:p>
    <w:bookmarkStart w:id="560" w:name="page561"/>
    <w:bookmarkEnd w:id="560"/>
    <w:p>
      <w:pPr>
        <w:ind w:left="2" w:right="180" w:hanging="2"/>
        <w:spacing w:after="0" w:line="270" w:lineRule="auto"/>
        <w:tabs>
          <w:tab w:leader="none" w:pos="396" w:val="left"/>
        </w:tabs>
        <w:numPr>
          <w:ilvl w:val="0"/>
          <w:numId w:val="539"/>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THIS DEED OF AMENDMENT </w:t>
      </w:r>
      <w:r>
        <w:rPr>
          <w:rFonts w:ascii="Arial" w:cs="Arial" w:eastAsia="Arial" w:hAnsi="Arial"/>
          <w:sz w:val="16"/>
          <w:szCs w:val="16"/>
          <w:color w:val="auto"/>
        </w:rPr>
        <w:t>is made on 31 March 2017 (this “</w:t>
      </w:r>
      <w:r>
        <w:rPr>
          <w:rFonts w:ascii="Arial" w:cs="Arial" w:eastAsia="Arial" w:hAnsi="Arial"/>
          <w:sz w:val="16"/>
          <w:szCs w:val="16"/>
          <w:b w:val="1"/>
          <w:bCs w:val="1"/>
          <w:color w:val="auto"/>
        </w:rPr>
        <w:t>Deed</w:t>
      </w:r>
      <w:r>
        <w:rPr>
          <w:rFonts w:ascii="Arial" w:cs="Arial" w:eastAsia="Arial" w:hAnsi="Arial"/>
          <w:sz w:val="16"/>
          <w:szCs w:val="16"/>
          <w:color w:val="auto"/>
        </w:rPr>
        <w:t>”)</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BETWEEN</w:t>
      </w:r>
      <w:r>
        <w:rPr>
          <w:rFonts w:ascii="Arial" w:cs="Arial" w:eastAsia="Arial" w:hAnsi="Arial"/>
          <w:sz w:val="16"/>
          <w:szCs w:val="16"/>
          <w:color w:val="auto"/>
        </w:rPr>
        <w:t>:</w:t>
      </w:r>
    </w:p>
    <w:p>
      <w:pPr>
        <w:spacing w:after="0" w:line="207" w:lineRule="exact"/>
        <w:rPr>
          <w:sz w:val="20"/>
          <w:szCs w:val="20"/>
          <w:color w:val="auto"/>
        </w:rPr>
      </w:pPr>
    </w:p>
    <w:p>
      <w:pPr>
        <w:ind w:left="582" w:right="580" w:hanging="289"/>
        <w:spacing w:after="0" w:line="290" w:lineRule="auto"/>
        <w:tabs>
          <w:tab w:leader="none" w:pos="589" w:val="left"/>
        </w:tabs>
        <w:numPr>
          <w:ilvl w:val="0"/>
          <w:numId w:val="540"/>
        </w:numPr>
        <w:rPr>
          <w:rFonts w:ascii="Arial" w:cs="Arial" w:eastAsia="Arial" w:hAnsi="Arial"/>
          <w:sz w:val="16"/>
          <w:szCs w:val="16"/>
          <w:color w:val="auto"/>
        </w:rPr>
      </w:pPr>
      <w:r>
        <w:rPr>
          <w:rFonts w:ascii="Arial" w:cs="Arial" w:eastAsia="Arial" w:hAnsi="Arial"/>
          <w:sz w:val="16"/>
          <w:szCs w:val="16"/>
          <w:b w:val="1"/>
          <w:bCs w:val="1"/>
          <w:color w:val="auto"/>
        </w:rPr>
        <w:t>BICYCLE THERAPEUTICS LIMITED</w:t>
      </w:r>
      <w:r>
        <w:rPr>
          <w:rFonts w:ascii="Arial" w:cs="Arial" w:eastAsia="Arial" w:hAnsi="Arial"/>
          <w:sz w:val="16"/>
          <w:szCs w:val="16"/>
          <w:color w:val="auto"/>
        </w:rPr>
        <w:t>, a limited liability company incorporated under number 06960780 in England and Wales with registered office at</w:t>
      </w:r>
      <w:r>
        <w:rPr>
          <w:rFonts w:ascii="Arial" w:cs="Arial" w:eastAsia="Arial" w:hAnsi="Arial"/>
          <w:sz w:val="16"/>
          <w:szCs w:val="16"/>
          <w:b w:val="1"/>
          <w:bCs w:val="1"/>
          <w:color w:val="auto"/>
        </w:rPr>
        <w:t xml:space="preserve"> </w:t>
      </w:r>
      <w:r>
        <w:rPr>
          <w:rFonts w:ascii="Arial" w:cs="Arial" w:eastAsia="Arial" w:hAnsi="Arial"/>
          <w:sz w:val="16"/>
          <w:szCs w:val="16"/>
          <w:color w:val="auto"/>
        </w:rPr>
        <w:t>Meditrina Building, Babraham Research Campus, Cambridge, CB22 3AT, England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ind w:left="582" w:hanging="289"/>
        <w:spacing w:after="0" w:line="290" w:lineRule="auto"/>
        <w:tabs>
          <w:tab w:leader="none" w:pos="589" w:val="left"/>
        </w:tabs>
        <w:numPr>
          <w:ilvl w:val="0"/>
          <w:numId w:val="540"/>
        </w:numPr>
        <w:rPr>
          <w:rFonts w:ascii="Arial" w:cs="Arial" w:eastAsia="Arial" w:hAnsi="Arial"/>
          <w:sz w:val="16"/>
          <w:szCs w:val="16"/>
          <w:color w:val="auto"/>
        </w:rPr>
      </w:pPr>
      <w:r>
        <w:rPr>
          <w:rFonts w:ascii="Arial" w:cs="Arial" w:eastAsia="Arial" w:hAnsi="Arial"/>
          <w:sz w:val="16"/>
          <w:szCs w:val="16"/>
          <w:b w:val="1"/>
          <w:bCs w:val="1"/>
          <w:color w:val="auto"/>
        </w:rPr>
        <w:t>CANCER RESEARCH UK</w:t>
      </w:r>
      <w:r>
        <w:rPr>
          <w:rFonts w:ascii="Arial" w:cs="Arial" w:eastAsia="Arial" w:hAnsi="Arial"/>
          <w:sz w:val="16"/>
          <w:szCs w:val="16"/>
          <w:color w:val="auto"/>
        </w:rPr>
        <w:t>, a company registered under number 4325234, and charity registered under number 1089464, in England and Wales and with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office at Angel Building, 407 St John Street, London, EC1V 4AD, England (the “</w:t>
      </w:r>
      <w:r>
        <w:rPr>
          <w:rFonts w:ascii="Arial" w:cs="Arial" w:eastAsia="Arial" w:hAnsi="Arial"/>
          <w:sz w:val="16"/>
          <w:szCs w:val="16"/>
          <w:b w:val="1"/>
          <w:bCs w:val="1"/>
          <w:color w:val="auto"/>
        </w:rPr>
        <w:t>Charity</w:t>
      </w:r>
      <w:r>
        <w:rPr>
          <w:rFonts w:ascii="Arial" w:cs="Arial" w:eastAsia="Arial" w:hAnsi="Arial"/>
          <w:sz w:val="16"/>
          <w:szCs w:val="16"/>
          <w:color w:val="auto"/>
        </w:rPr>
        <w:t>”); and</w:t>
      </w:r>
    </w:p>
    <w:p>
      <w:pPr>
        <w:spacing w:after="0" w:line="142" w:lineRule="exact"/>
        <w:rPr>
          <w:rFonts w:ascii="Arial" w:cs="Arial" w:eastAsia="Arial" w:hAnsi="Arial"/>
          <w:sz w:val="16"/>
          <w:szCs w:val="16"/>
          <w:color w:val="auto"/>
        </w:rPr>
      </w:pPr>
    </w:p>
    <w:p>
      <w:pPr>
        <w:ind w:left="582" w:right="20" w:hanging="289"/>
        <w:spacing w:after="0" w:line="290" w:lineRule="auto"/>
        <w:tabs>
          <w:tab w:leader="none" w:pos="589" w:val="left"/>
        </w:tabs>
        <w:numPr>
          <w:ilvl w:val="0"/>
          <w:numId w:val="540"/>
        </w:numPr>
        <w:rPr>
          <w:rFonts w:ascii="Arial" w:cs="Arial" w:eastAsia="Arial" w:hAnsi="Arial"/>
          <w:sz w:val="16"/>
          <w:szCs w:val="16"/>
          <w:color w:val="auto"/>
        </w:rPr>
      </w:pPr>
      <w:r>
        <w:rPr>
          <w:rFonts w:ascii="Arial" w:cs="Arial" w:eastAsia="Arial" w:hAnsi="Arial"/>
          <w:sz w:val="16"/>
          <w:szCs w:val="16"/>
          <w:b w:val="1"/>
          <w:bCs w:val="1"/>
          <w:color w:val="auto"/>
        </w:rPr>
        <w:t>CANCER RESEARCH TECHNOLOGY LIMITED</w:t>
      </w:r>
      <w:r>
        <w:rPr>
          <w:rFonts w:ascii="Arial" w:cs="Arial" w:eastAsia="Arial" w:hAnsi="Arial"/>
          <w:sz w:val="16"/>
          <w:szCs w:val="16"/>
          <w:color w:val="auto"/>
        </w:rPr>
        <w:t>, a company in England and Wales with number 1626049 and with registered office at Angel Building, 407 St</w:t>
      </w:r>
      <w:r>
        <w:rPr>
          <w:rFonts w:ascii="Arial" w:cs="Arial" w:eastAsia="Arial" w:hAnsi="Arial"/>
          <w:sz w:val="16"/>
          <w:szCs w:val="16"/>
          <w:b w:val="1"/>
          <w:bCs w:val="1"/>
          <w:color w:val="auto"/>
        </w:rPr>
        <w:t xml:space="preserve"> </w:t>
      </w:r>
      <w:r>
        <w:rPr>
          <w:rFonts w:ascii="Arial" w:cs="Arial" w:eastAsia="Arial" w:hAnsi="Arial"/>
          <w:sz w:val="16"/>
          <w:szCs w:val="16"/>
          <w:color w:val="auto"/>
        </w:rPr>
        <w:t>John Street, London, EC1V 4AD, England (“</w:t>
      </w:r>
      <w:r>
        <w:rPr>
          <w:rFonts w:ascii="Arial" w:cs="Arial" w:eastAsia="Arial" w:hAnsi="Arial"/>
          <w:sz w:val="16"/>
          <w:szCs w:val="16"/>
          <w:b w:val="1"/>
          <w:bCs w:val="1"/>
          <w:color w:val="auto"/>
        </w:rPr>
        <w:t>CRT</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ind w:left="602"/>
        <w:spacing w:after="0"/>
        <w:rPr>
          <w:rFonts w:ascii="Arial" w:cs="Arial" w:eastAsia="Arial" w:hAnsi="Arial"/>
          <w:sz w:val="16"/>
          <w:szCs w:val="16"/>
          <w:color w:val="auto"/>
        </w:rPr>
      </w:pPr>
      <w:r>
        <w:rPr>
          <w:rFonts w:ascii="Arial" w:cs="Arial" w:eastAsia="Arial" w:hAnsi="Arial"/>
          <w:sz w:val="16"/>
          <w:szCs w:val="16"/>
          <w:color w:val="auto"/>
        </w:rPr>
        <w:t>Each a “</w:t>
      </w:r>
      <w:r>
        <w:rPr>
          <w:rFonts w:ascii="Arial" w:cs="Arial" w:eastAsia="Arial" w:hAnsi="Arial"/>
          <w:sz w:val="16"/>
          <w:szCs w:val="16"/>
          <w:b w:val="1"/>
          <w:bCs w:val="1"/>
          <w:color w:val="auto"/>
        </w:rPr>
        <w:t>Party</w:t>
      </w:r>
      <w:r>
        <w:rPr>
          <w:rFonts w:ascii="Arial" w:cs="Arial" w:eastAsia="Arial" w:hAnsi="Arial"/>
          <w:sz w:val="16"/>
          <w:szCs w:val="16"/>
          <w:color w:val="auto"/>
        </w:rPr>
        <w:t>”, and together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WHEREAS:</w:t>
      </w:r>
    </w:p>
    <w:p>
      <w:pPr>
        <w:spacing w:after="0" w:line="211" w:lineRule="exact"/>
        <w:rPr>
          <w:sz w:val="20"/>
          <w:szCs w:val="20"/>
          <w:color w:val="auto"/>
        </w:rPr>
      </w:pPr>
    </w:p>
    <w:p>
      <w:pPr>
        <w:jc w:val="both"/>
        <w:ind w:left="582" w:right="180" w:hanging="289"/>
        <w:spacing w:after="0" w:line="270" w:lineRule="auto"/>
        <w:tabs>
          <w:tab w:leader="none" w:pos="600" w:val="left"/>
        </w:tabs>
        <w:numPr>
          <w:ilvl w:val="0"/>
          <w:numId w:val="541"/>
        </w:numPr>
        <w:rPr>
          <w:rFonts w:ascii="Arial" w:cs="Arial" w:eastAsia="Arial" w:hAnsi="Arial"/>
          <w:sz w:val="16"/>
          <w:szCs w:val="16"/>
          <w:color w:val="auto"/>
        </w:rPr>
      </w:pPr>
      <w:r>
        <w:rPr>
          <w:rFonts w:ascii="Arial" w:cs="Arial" w:eastAsia="Arial" w:hAnsi="Arial"/>
          <w:sz w:val="16"/>
          <w:szCs w:val="16"/>
          <w:color w:val="auto"/>
        </w:rPr>
        <w:t>On 13 December 2016, the Parties entered into a clinical trial and licence agreement (the “CTLA”) under which the Charity agreed to sponsor and fund a Phase 1a and Phase 1b clinical trial for a drug called BT1718, a bicycle drug conjugate being developed by the Company. Under the terms of the CTLA, Bicycle retains the right to further advance the BT1718 programme.</w:t>
      </w:r>
    </w:p>
    <w:p>
      <w:pPr>
        <w:spacing w:after="0" w:line="161" w:lineRule="exact"/>
        <w:rPr>
          <w:rFonts w:ascii="Arial" w:cs="Arial" w:eastAsia="Arial" w:hAnsi="Arial"/>
          <w:sz w:val="16"/>
          <w:szCs w:val="16"/>
          <w:color w:val="auto"/>
        </w:rPr>
      </w:pPr>
    </w:p>
    <w:p>
      <w:pPr>
        <w:ind w:left="582" w:right="360" w:hanging="289"/>
        <w:spacing w:after="0" w:line="285" w:lineRule="auto"/>
        <w:tabs>
          <w:tab w:leader="none" w:pos="591" w:val="left"/>
        </w:tabs>
        <w:numPr>
          <w:ilvl w:val="0"/>
          <w:numId w:val="541"/>
        </w:numPr>
        <w:rPr>
          <w:rFonts w:ascii="Arial" w:cs="Arial" w:eastAsia="Arial" w:hAnsi="Arial"/>
          <w:sz w:val="16"/>
          <w:szCs w:val="16"/>
          <w:color w:val="auto"/>
        </w:rPr>
      </w:pPr>
      <w:r>
        <w:rPr>
          <w:rFonts w:ascii="Arial" w:cs="Arial" w:eastAsia="Arial" w:hAnsi="Arial"/>
          <w:sz w:val="16"/>
          <w:szCs w:val="16"/>
          <w:color w:val="auto"/>
        </w:rPr>
        <w:t>Following entry into the CTLA, the Parties acting through the JPT have determined that there should be a change in trial phase nomenclature with it being more appropriate to refer to:</w:t>
      </w:r>
    </w:p>
    <w:p>
      <w:pPr>
        <w:spacing w:after="0" w:line="149" w:lineRule="exact"/>
        <w:rPr>
          <w:rFonts w:ascii="Arial" w:cs="Arial" w:eastAsia="Arial" w:hAnsi="Arial"/>
          <w:sz w:val="16"/>
          <w:szCs w:val="16"/>
          <w:color w:val="auto"/>
        </w:rPr>
      </w:pPr>
    </w:p>
    <w:p>
      <w:pPr>
        <w:ind w:left="1262" w:hanging="652"/>
        <w:spacing w:after="0"/>
        <w:tabs>
          <w:tab w:leader="none" w:pos="1262" w:val="left"/>
        </w:tabs>
        <w:numPr>
          <w:ilvl w:val="1"/>
          <w:numId w:val="541"/>
        </w:numPr>
        <w:rPr>
          <w:rFonts w:ascii="Arial" w:cs="Arial" w:eastAsia="Arial" w:hAnsi="Arial"/>
          <w:sz w:val="16"/>
          <w:szCs w:val="16"/>
          <w:color w:val="auto"/>
        </w:rPr>
      </w:pPr>
      <w:r>
        <w:rPr>
          <w:rFonts w:ascii="Arial" w:cs="Arial" w:eastAsia="Arial" w:hAnsi="Arial"/>
          <w:sz w:val="16"/>
          <w:szCs w:val="16"/>
          <w:color w:val="auto"/>
        </w:rPr>
        <w:t>[***] as the “Phase I” rather than the “Phase Ia or Phase 1a”; and</w:t>
      </w:r>
    </w:p>
    <w:p>
      <w:pPr>
        <w:spacing w:after="0" w:line="207" w:lineRule="exact"/>
        <w:rPr>
          <w:rFonts w:ascii="Arial" w:cs="Arial" w:eastAsia="Arial" w:hAnsi="Arial"/>
          <w:sz w:val="16"/>
          <w:szCs w:val="16"/>
          <w:color w:val="auto"/>
        </w:rPr>
      </w:pPr>
    </w:p>
    <w:p>
      <w:pPr>
        <w:ind w:left="1262" w:hanging="652"/>
        <w:spacing w:after="0"/>
        <w:tabs>
          <w:tab w:leader="none" w:pos="1262" w:val="left"/>
        </w:tabs>
        <w:numPr>
          <w:ilvl w:val="1"/>
          <w:numId w:val="541"/>
        </w:numPr>
        <w:rPr>
          <w:rFonts w:ascii="Arial" w:cs="Arial" w:eastAsia="Arial" w:hAnsi="Arial"/>
          <w:sz w:val="16"/>
          <w:szCs w:val="16"/>
          <w:color w:val="auto"/>
        </w:rPr>
      </w:pPr>
      <w:r>
        <w:rPr>
          <w:rFonts w:ascii="Arial" w:cs="Arial" w:eastAsia="Arial" w:hAnsi="Arial"/>
          <w:sz w:val="16"/>
          <w:szCs w:val="16"/>
          <w:color w:val="auto"/>
        </w:rPr>
        <w:t>[***] as the “Phase IIa” rather than the “Phase Ib or Phase lb”.</w:t>
      </w:r>
    </w:p>
    <w:p>
      <w:pPr>
        <w:spacing w:after="0" w:line="207" w:lineRule="exact"/>
        <w:rPr>
          <w:rFonts w:ascii="Arial" w:cs="Arial" w:eastAsia="Arial" w:hAnsi="Arial"/>
          <w:sz w:val="16"/>
          <w:szCs w:val="16"/>
          <w:color w:val="auto"/>
        </w:rPr>
      </w:pPr>
    </w:p>
    <w:p>
      <w:pPr>
        <w:ind w:left="602" w:hanging="309"/>
        <w:spacing w:after="0"/>
        <w:tabs>
          <w:tab w:leader="none" w:pos="602" w:val="left"/>
        </w:tabs>
        <w:numPr>
          <w:ilvl w:val="0"/>
          <w:numId w:val="541"/>
        </w:numPr>
        <w:rPr>
          <w:rFonts w:ascii="Arial" w:cs="Arial" w:eastAsia="Arial" w:hAnsi="Arial"/>
          <w:sz w:val="16"/>
          <w:szCs w:val="16"/>
          <w:color w:val="auto"/>
        </w:rPr>
      </w:pPr>
      <w:r>
        <w:rPr>
          <w:rFonts w:ascii="Arial" w:cs="Arial" w:eastAsia="Arial" w:hAnsi="Arial"/>
          <w:sz w:val="16"/>
          <w:szCs w:val="16"/>
          <w:color w:val="auto"/>
        </w:rPr>
        <w:t>The Parties have agreed to amend the CTLA to reflect the change in clinical trial phase nomenclature.</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AGREED TERMS</w:t>
      </w:r>
    </w:p>
    <w:p>
      <w:pPr>
        <w:spacing w:after="0" w:line="207" w:lineRule="exact"/>
        <w:rPr>
          <w:sz w:val="20"/>
          <w:szCs w:val="20"/>
          <w:color w:val="auto"/>
        </w:rPr>
      </w:pPr>
    </w:p>
    <w:p>
      <w:pPr>
        <w:ind w:left="582" w:hanging="289"/>
        <w:spacing w:after="0"/>
        <w:tabs>
          <w:tab w:leader="none" w:pos="582" w:val="left"/>
        </w:tabs>
        <w:numPr>
          <w:ilvl w:val="0"/>
          <w:numId w:val="542"/>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 AND INTERPRETATION</w:t>
      </w:r>
    </w:p>
    <w:p>
      <w:pPr>
        <w:spacing w:after="0" w:line="211" w:lineRule="exact"/>
        <w:rPr>
          <w:sz w:val="20"/>
          <w:szCs w:val="20"/>
          <w:color w:val="auto"/>
        </w:rPr>
      </w:pPr>
    </w:p>
    <w:p>
      <w:pPr>
        <w:ind w:left="602"/>
        <w:spacing w:after="0"/>
        <w:rPr>
          <w:sz w:val="20"/>
          <w:szCs w:val="20"/>
          <w:color w:val="auto"/>
        </w:rPr>
      </w:pPr>
      <w:r>
        <w:rPr>
          <w:rFonts w:ascii="Arial" w:cs="Arial" w:eastAsia="Arial" w:hAnsi="Arial"/>
          <w:sz w:val="16"/>
          <w:szCs w:val="16"/>
          <w:color w:val="auto"/>
        </w:rPr>
        <w:t>Unless otherwise defined herein, all capitalized terms used in this Deed and not defined herein have the same meanings as given to them in the CTLA.</w:t>
      </w:r>
    </w:p>
    <w:p>
      <w:pPr>
        <w:spacing w:after="0" w:line="203" w:lineRule="exact"/>
        <w:rPr>
          <w:sz w:val="20"/>
          <w:szCs w:val="20"/>
          <w:color w:val="auto"/>
        </w:rPr>
      </w:pPr>
    </w:p>
    <w:p>
      <w:pPr>
        <w:ind w:left="582" w:hanging="289"/>
        <w:spacing w:after="0"/>
        <w:tabs>
          <w:tab w:leader="none" w:pos="582" w:val="left"/>
        </w:tabs>
        <w:numPr>
          <w:ilvl w:val="0"/>
          <w:numId w:val="543"/>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TO THE CTLA</w:t>
      </w:r>
    </w:p>
    <w:p>
      <w:pPr>
        <w:spacing w:after="0" w:line="211" w:lineRule="exact"/>
        <w:rPr>
          <w:sz w:val="20"/>
          <w:szCs w:val="20"/>
          <w:color w:val="auto"/>
        </w:rPr>
      </w:pPr>
    </w:p>
    <w:p>
      <w:pPr>
        <w:ind w:left="582" w:right="40" w:hanging="293"/>
        <w:spacing w:after="0" w:line="285" w:lineRule="auto"/>
        <w:rPr>
          <w:sz w:val="20"/>
          <w:szCs w:val="20"/>
          <w:color w:val="auto"/>
        </w:rPr>
      </w:pPr>
      <w:r>
        <w:rPr>
          <w:rFonts w:ascii="Arial" w:cs="Arial" w:eastAsia="Arial" w:hAnsi="Arial"/>
          <w:sz w:val="16"/>
          <w:szCs w:val="16"/>
          <w:color w:val="auto"/>
        </w:rPr>
        <w:t>2.1 All references in the CTLA to “Phase Ia or Phase la” shall be replaced by “Phase I” and, for the avoidance of doubt, the defined term “Phase Ia Termination” shall be replaced by “Phase I Termination”.</w:t>
      </w:r>
    </w:p>
    <w:p>
      <w:pPr>
        <w:spacing w:after="0" w:line="150" w:lineRule="exact"/>
        <w:rPr>
          <w:sz w:val="20"/>
          <w:szCs w:val="20"/>
          <w:color w:val="auto"/>
        </w:rPr>
      </w:pPr>
    </w:p>
    <w:p>
      <w:pPr>
        <w:ind w:left="582" w:right="40" w:hanging="293"/>
        <w:spacing w:after="0" w:line="285" w:lineRule="auto"/>
        <w:rPr>
          <w:sz w:val="20"/>
          <w:szCs w:val="20"/>
          <w:color w:val="auto"/>
        </w:rPr>
      </w:pPr>
      <w:r>
        <w:rPr>
          <w:rFonts w:ascii="Arial" w:cs="Arial" w:eastAsia="Arial" w:hAnsi="Arial"/>
          <w:sz w:val="16"/>
          <w:szCs w:val="16"/>
          <w:color w:val="auto"/>
        </w:rPr>
        <w:t>2.2 All references in the CTLA to “Phase Ib or Phase lb” shall be replaced by “Phase IIa” and, for the avoidance of doubt, the definition “Phase 1b Termination” shall be replaced by “Phase IIa Termination”.</w:t>
      </w:r>
    </w:p>
    <w:p>
      <w:pPr>
        <w:spacing w:after="0" w:line="34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CONFIDENTIAL TREATMENT REQUESTED</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3" w:right="259" w:bottom="1440" w:gutter="0" w:footer="0" w:header="0"/>
        </w:sectPr>
      </w:pPr>
    </w:p>
    <w:bookmarkStart w:id="561" w:name="page562"/>
    <w:bookmarkEnd w:id="561"/>
    <w:p>
      <w:pPr>
        <w:ind w:left="2" w:right="160" w:hanging="2"/>
        <w:spacing w:after="0" w:line="270" w:lineRule="auto"/>
        <w:tabs>
          <w:tab w:leader="none" w:pos="396" w:val="left"/>
        </w:tabs>
        <w:numPr>
          <w:ilvl w:val="0"/>
          <w:numId w:val="544"/>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p>
      <w:pPr>
        <w:ind w:left="302"/>
        <w:spacing w:after="0"/>
        <w:rPr>
          <w:sz w:val="20"/>
          <w:szCs w:val="20"/>
          <w:color w:val="auto"/>
        </w:rPr>
      </w:pPr>
      <w:r>
        <w:rPr>
          <w:rFonts w:ascii="Arial" w:cs="Arial" w:eastAsia="Arial" w:hAnsi="Arial"/>
          <w:sz w:val="16"/>
          <w:szCs w:val="16"/>
          <w:color w:val="auto"/>
        </w:rPr>
        <w:t>2.3 All references in the CTLA to “Phase I” shall be replaced by or shall mean “</w:t>
      </w:r>
      <w:r>
        <w:rPr>
          <w:rFonts w:ascii="Arial" w:cs="Arial" w:eastAsia="Arial" w:hAnsi="Arial"/>
          <w:sz w:val="16"/>
          <w:szCs w:val="16"/>
          <w:b w:val="1"/>
          <w:bCs w:val="1"/>
          <w:color w:val="auto"/>
        </w:rPr>
        <w:t>Phase I and IIa</w:t>
      </w:r>
      <w:r>
        <w:rPr>
          <w:rFonts w:ascii="Arial" w:cs="Arial" w:eastAsia="Arial" w:hAnsi="Arial"/>
          <w:sz w:val="16"/>
          <w:szCs w:val="16"/>
          <w:color w:val="auto"/>
        </w:rPr>
        <w:t>”</w:t>
      </w:r>
    </w:p>
    <w:p>
      <w:pPr>
        <w:spacing w:after="0" w:line="207" w:lineRule="exact"/>
        <w:rPr>
          <w:sz w:val="20"/>
          <w:szCs w:val="20"/>
          <w:color w:val="auto"/>
        </w:rPr>
      </w:pPr>
    </w:p>
    <w:p>
      <w:pPr>
        <w:ind w:left="302"/>
        <w:spacing w:after="0"/>
        <w:rPr>
          <w:sz w:val="20"/>
          <w:szCs w:val="20"/>
          <w:color w:val="auto"/>
        </w:rPr>
      </w:pPr>
      <w:r>
        <w:rPr>
          <w:rFonts w:ascii="Arial" w:cs="Arial" w:eastAsia="Arial" w:hAnsi="Arial"/>
          <w:sz w:val="16"/>
          <w:szCs w:val="16"/>
          <w:color w:val="auto"/>
        </w:rPr>
        <w:t>2.4 The reference to “Phase Ia/Ib” in the Phase I Clinical Trial definition shall be replaced by “</w:t>
      </w:r>
      <w:r>
        <w:rPr>
          <w:rFonts w:ascii="Arial" w:cs="Arial" w:eastAsia="Arial" w:hAnsi="Arial"/>
          <w:sz w:val="16"/>
          <w:szCs w:val="16"/>
          <w:b w:val="1"/>
          <w:bCs w:val="1"/>
          <w:color w:val="auto"/>
        </w:rPr>
        <w:t>Phase I/IIa</w:t>
      </w:r>
      <w:r>
        <w:rPr>
          <w:rFonts w:ascii="Arial" w:cs="Arial" w:eastAsia="Arial" w:hAnsi="Arial"/>
          <w:sz w:val="16"/>
          <w:szCs w:val="16"/>
          <w:color w:val="auto"/>
        </w:rPr>
        <w:t>”.</w:t>
      </w:r>
    </w:p>
    <w:p>
      <w:pPr>
        <w:spacing w:after="0" w:line="207" w:lineRule="exact"/>
        <w:rPr>
          <w:sz w:val="20"/>
          <w:szCs w:val="20"/>
          <w:color w:val="auto"/>
        </w:rPr>
      </w:pPr>
    </w:p>
    <w:p>
      <w:pPr>
        <w:ind w:left="302"/>
        <w:spacing w:after="0"/>
        <w:rPr>
          <w:sz w:val="20"/>
          <w:szCs w:val="20"/>
          <w:color w:val="auto"/>
        </w:rPr>
      </w:pPr>
      <w:r>
        <w:rPr>
          <w:rFonts w:ascii="Arial" w:cs="Arial" w:eastAsia="Arial" w:hAnsi="Arial"/>
          <w:sz w:val="16"/>
          <w:szCs w:val="16"/>
          <w:color w:val="auto"/>
        </w:rPr>
        <w:t>2.5 In Schedule 3 of the CTLA (Clinical Trial Protocol Summary (BT1718)), all references to “Phase II” shall be replaced by “</w:t>
      </w:r>
      <w:r>
        <w:rPr>
          <w:rFonts w:ascii="Arial" w:cs="Arial" w:eastAsia="Arial" w:hAnsi="Arial"/>
          <w:sz w:val="16"/>
          <w:szCs w:val="16"/>
          <w:b w:val="1"/>
          <w:bCs w:val="1"/>
          <w:color w:val="auto"/>
        </w:rPr>
        <w:t>post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11" w:lineRule="exact"/>
        <w:rPr>
          <w:sz w:val="20"/>
          <w:szCs w:val="20"/>
          <w:color w:val="auto"/>
        </w:rPr>
      </w:pPr>
    </w:p>
    <w:p>
      <w:pPr>
        <w:ind w:left="302"/>
        <w:spacing w:after="0"/>
        <w:rPr>
          <w:sz w:val="20"/>
          <w:szCs w:val="20"/>
          <w:color w:val="auto"/>
        </w:rPr>
      </w:pPr>
      <w:r>
        <w:rPr>
          <w:rFonts w:ascii="Arial" w:cs="Arial" w:eastAsia="Arial" w:hAnsi="Arial"/>
          <w:sz w:val="16"/>
          <w:szCs w:val="16"/>
          <w:color w:val="auto"/>
        </w:rPr>
        <w:t>2.6 The definition of “[***]” in the CTLA shall be deleted in its entirety and replaced with the following:</w:t>
      </w:r>
    </w:p>
    <w:p>
      <w:pPr>
        <w:spacing w:after="0" w:line="207" w:lineRule="exact"/>
        <w:rPr>
          <w:sz w:val="20"/>
          <w:szCs w:val="20"/>
          <w:color w:val="auto"/>
        </w:rPr>
      </w:pPr>
    </w:p>
    <w:p>
      <w:pPr>
        <w:ind w:left="302"/>
        <w:spacing w:after="0"/>
        <w:tabs>
          <w:tab w:leader="none" w:pos="4962" w:val="left"/>
        </w:tabs>
        <w:rPr>
          <w:sz w:val="20"/>
          <w:szCs w:val="20"/>
          <w:color w:val="auto"/>
        </w:rPr>
      </w:pPr>
      <w:r>
        <w:rPr>
          <w:rFonts w:ascii="Arial" w:cs="Arial" w:eastAsia="Arial" w:hAnsi="Arial"/>
          <w:sz w:val="16"/>
          <w:szCs w:val="16"/>
          <w:b w:val="1"/>
          <w:bCs w:val="1"/>
          <w:i w:val="1"/>
          <w:iCs w:val="1"/>
          <w:color w:val="auto"/>
        </w:rPr>
        <w:t>“</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sz w:val="20"/>
          <w:szCs w:val="20"/>
          <w:color w:val="auto"/>
        </w:rPr>
        <w:tab/>
      </w:r>
      <w:r>
        <w:rPr>
          <w:rFonts w:ascii="Arial" w:cs="Arial" w:eastAsia="Arial" w:hAnsi="Arial"/>
          <w:sz w:val="16"/>
          <w:szCs w:val="16"/>
          <w:i w:val="1"/>
          <w:iCs w:val="1"/>
          <w:color w:val="auto"/>
        </w:rPr>
        <w:t xml:space="preserve">means </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207" w:lineRule="exact"/>
        <w:rPr>
          <w:sz w:val="20"/>
          <w:szCs w:val="20"/>
          <w:color w:val="auto"/>
        </w:rPr>
      </w:pPr>
    </w:p>
    <w:p>
      <w:pPr>
        <w:ind w:left="582" w:hanging="293"/>
        <w:spacing w:after="0" w:line="285" w:lineRule="auto"/>
        <w:rPr>
          <w:sz w:val="20"/>
          <w:szCs w:val="20"/>
          <w:color w:val="auto"/>
        </w:rPr>
      </w:pPr>
      <w:r>
        <w:rPr>
          <w:rFonts w:ascii="Arial" w:cs="Arial" w:eastAsia="Arial" w:hAnsi="Arial"/>
          <w:sz w:val="16"/>
          <w:szCs w:val="16"/>
          <w:color w:val="auto"/>
        </w:rPr>
        <w:t>2.7 For the avoidance of doubt, the Parties agree and acknowledge that [***] shall not constitute a [***] or a Clinical Milestone Event under the CTLA and as a result no Milestone Payment will become payable as a result of such first dosing.</w:t>
      </w:r>
    </w:p>
    <w:p>
      <w:pPr>
        <w:spacing w:after="0" w:line="150" w:lineRule="exact"/>
        <w:rPr>
          <w:sz w:val="20"/>
          <w:szCs w:val="20"/>
          <w:color w:val="auto"/>
        </w:rPr>
      </w:pPr>
    </w:p>
    <w:p>
      <w:pPr>
        <w:ind w:left="582" w:right="80" w:hanging="293"/>
        <w:spacing w:after="0" w:line="285" w:lineRule="auto"/>
        <w:rPr>
          <w:sz w:val="20"/>
          <w:szCs w:val="20"/>
          <w:color w:val="auto"/>
        </w:rPr>
      </w:pPr>
      <w:r>
        <w:rPr>
          <w:rFonts w:ascii="Arial" w:cs="Arial" w:eastAsia="Arial" w:hAnsi="Arial"/>
          <w:sz w:val="16"/>
          <w:szCs w:val="16"/>
          <w:color w:val="auto"/>
        </w:rPr>
        <w:t>2.8 For the avoidance of doubt, references in or provisions of the CTLA relating to products that are in Phase II development outside of Oncology are unaffected by this Deed.</w:t>
      </w:r>
    </w:p>
    <w:p>
      <w:pPr>
        <w:spacing w:after="0" w:line="15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2.9 Clause 17.11.1 of the CTLA shall be deleted in its entirety and replaced with the following:</w:t>
      </w:r>
    </w:p>
    <w:p>
      <w:pPr>
        <w:spacing w:after="0" w:line="207" w:lineRule="exact"/>
        <w:rPr>
          <w:sz w:val="20"/>
          <w:szCs w:val="20"/>
          <w:color w:val="auto"/>
        </w:rPr>
      </w:pPr>
    </w:p>
    <w:p>
      <w:pPr>
        <w:ind w:left="1182" w:right="360"/>
        <w:spacing w:after="0" w:line="265" w:lineRule="auto"/>
        <w:rPr>
          <w:sz w:val="20"/>
          <w:szCs w:val="20"/>
          <w:color w:val="auto"/>
        </w:rPr>
      </w:pPr>
      <w:r>
        <w:rPr>
          <w:rFonts w:ascii="Arial" w:cs="Arial" w:eastAsia="Arial" w:hAnsi="Arial"/>
          <w:sz w:val="16"/>
          <w:szCs w:val="16"/>
          <w:i w:val="1"/>
          <w:iCs w:val="1"/>
          <w:color w:val="auto"/>
        </w:rPr>
        <w:t>11.1 This Agreement (together with any Technical Agreement entered into by the Company and the Charity and any amendments to this Agreement agreed by the Parties in accordance with clause 17.10 of this Agreement) represent the entire understanding, and constitutes the whole agreement, in connection with its subject matter and supersedes all previous agreements, understandings or arrangements between the Parties in connection with its subject matter.</w:t>
      </w:r>
    </w:p>
    <w:p>
      <w:pPr>
        <w:spacing w:after="0" w:line="162" w:lineRule="exact"/>
        <w:rPr>
          <w:sz w:val="20"/>
          <w:szCs w:val="20"/>
          <w:color w:val="auto"/>
        </w:rPr>
      </w:pPr>
    </w:p>
    <w:p>
      <w:pPr>
        <w:ind w:left="582" w:hanging="289"/>
        <w:spacing w:after="0"/>
        <w:tabs>
          <w:tab w:leader="none" w:pos="582" w:val="left"/>
        </w:tabs>
        <w:numPr>
          <w:ilvl w:val="0"/>
          <w:numId w:val="545"/>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11" w:lineRule="exact"/>
        <w:rPr>
          <w:sz w:val="20"/>
          <w:szCs w:val="20"/>
          <w:color w:val="auto"/>
        </w:rPr>
      </w:pPr>
    </w:p>
    <w:p>
      <w:pPr>
        <w:ind w:left="302"/>
        <w:spacing w:after="0"/>
        <w:rPr>
          <w:sz w:val="20"/>
          <w:szCs w:val="20"/>
          <w:color w:val="auto"/>
        </w:rPr>
      </w:pPr>
      <w:r>
        <w:rPr>
          <w:rFonts w:ascii="Arial" w:cs="Arial" w:eastAsia="Arial" w:hAnsi="Arial"/>
          <w:sz w:val="14"/>
          <w:szCs w:val="14"/>
          <w:color w:val="auto"/>
        </w:rPr>
        <w:t>3.1 The provisions of the CTLA shall, save as amended in this Deed, continue in full force and effect, and shall be read and construed as one document with this Deed.</w:t>
      </w:r>
    </w:p>
    <w:p>
      <w:pPr>
        <w:spacing w:after="0" w:line="230" w:lineRule="exact"/>
        <w:rPr>
          <w:sz w:val="20"/>
          <w:szCs w:val="20"/>
          <w:color w:val="auto"/>
        </w:rPr>
      </w:pPr>
    </w:p>
    <w:p>
      <w:pPr>
        <w:ind w:left="582" w:right="260" w:hanging="293"/>
        <w:spacing w:after="0" w:line="285" w:lineRule="auto"/>
        <w:rPr>
          <w:sz w:val="20"/>
          <w:szCs w:val="20"/>
          <w:color w:val="auto"/>
        </w:rPr>
      </w:pPr>
      <w:r>
        <w:rPr>
          <w:rFonts w:ascii="Arial" w:cs="Arial" w:eastAsia="Arial" w:hAnsi="Arial"/>
          <w:sz w:val="16"/>
          <w:szCs w:val="16"/>
          <w:color w:val="auto"/>
        </w:rPr>
        <w:t>3.2 The provisions of Clauses 17.14 (</w:t>
      </w:r>
      <w:r>
        <w:rPr>
          <w:rFonts w:ascii="Arial" w:cs="Arial" w:eastAsia="Arial" w:hAnsi="Arial"/>
          <w:sz w:val="16"/>
          <w:szCs w:val="16"/>
          <w:i w:val="1"/>
          <w:iCs w:val="1"/>
          <w:color w:val="auto"/>
        </w:rPr>
        <w:t>Law and Jurisdiction</w:t>
      </w:r>
      <w:r>
        <w:rPr>
          <w:rFonts w:ascii="Arial" w:cs="Arial" w:eastAsia="Arial" w:hAnsi="Arial"/>
          <w:sz w:val="16"/>
          <w:szCs w:val="16"/>
          <w:color w:val="auto"/>
        </w:rPr>
        <w:t>), 17.15 (</w:t>
      </w:r>
      <w:r>
        <w:rPr>
          <w:rFonts w:ascii="Arial" w:cs="Arial" w:eastAsia="Arial" w:hAnsi="Arial"/>
          <w:sz w:val="16"/>
          <w:szCs w:val="16"/>
          <w:i w:val="1"/>
          <w:iCs w:val="1"/>
          <w:color w:val="auto"/>
        </w:rPr>
        <w:t>Counterparts</w:t>
      </w:r>
      <w:r>
        <w:rPr>
          <w:rFonts w:ascii="Arial" w:cs="Arial" w:eastAsia="Arial" w:hAnsi="Arial"/>
          <w:sz w:val="16"/>
          <w:szCs w:val="16"/>
          <w:color w:val="auto"/>
        </w:rPr>
        <w:t>), Clause 17.16 (</w:t>
      </w:r>
      <w:r>
        <w:rPr>
          <w:rFonts w:ascii="Arial" w:cs="Arial" w:eastAsia="Arial" w:hAnsi="Arial"/>
          <w:sz w:val="16"/>
          <w:szCs w:val="16"/>
          <w:i w:val="1"/>
          <w:iCs w:val="1"/>
          <w:color w:val="auto"/>
        </w:rPr>
        <w:t>Third Parties</w:t>
      </w:r>
      <w:r>
        <w:rPr>
          <w:rFonts w:ascii="Arial" w:cs="Arial" w:eastAsia="Arial" w:hAnsi="Arial"/>
          <w:sz w:val="16"/>
          <w:szCs w:val="16"/>
          <w:color w:val="auto"/>
        </w:rPr>
        <w:t>) and 17.17 (</w:t>
      </w:r>
      <w:r>
        <w:rPr>
          <w:rFonts w:ascii="Arial" w:cs="Arial" w:eastAsia="Arial" w:hAnsi="Arial"/>
          <w:sz w:val="16"/>
          <w:szCs w:val="16"/>
          <w:i w:val="1"/>
          <w:iCs w:val="1"/>
          <w:color w:val="auto"/>
        </w:rPr>
        <w:t>Disputes</w:t>
      </w:r>
      <w:r>
        <w:rPr>
          <w:rFonts w:ascii="Arial" w:cs="Arial" w:eastAsia="Arial" w:hAnsi="Arial"/>
          <w:sz w:val="16"/>
          <w:szCs w:val="16"/>
          <w:color w:val="auto"/>
        </w:rPr>
        <w:t>) of the CTLA shall apply to this Deed as if set out herein.</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Attachment: Amended and Restated Clinical Trial and Licence Agreement</w:t>
      </w:r>
    </w:p>
    <w:p>
      <w:pPr>
        <w:spacing w:after="0" w:line="207" w:lineRule="exact"/>
        <w:rPr>
          <w:sz w:val="20"/>
          <w:szCs w:val="20"/>
          <w:color w:val="auto"/>
        </w:rPr>
      </w:pPr>
    </w:p>
    <w:p>
      <w:pPr>
        <w:jc w:val="center"/>
        <w:ind w:right="-41"/>
        <w:spacing w:after="0"/>
        <w:rPr>
          <w:sz w:val="20"/>
          <w:szCs w:val="20"/>
          <w:color w:val="auto"/>
        </w:rPr>
      </w:pPr>
      <w:r>
        <w:rPr>
          <w:rFonts w:ascii="Arial" w:cs="Arial" w:eastAsia="Arial" w:hAnsi="Arial"/>
          <w:sz w:val="16"/>
          <w:szCs w:val="16"/>
          <w:i w:val="1"/>
          <w:iCs w:val="1"/>
          <w:color w:val="auto"/>
        </w:rPr>
        <w:t>[Signature pages to follow]</w:t>
      </w:r>
    </w:p>
    <w:p>
      <w:pPr>
        <w:spacing w:after="0" w:line="207"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2"/>
          </w:cols>
          <w:pgMar w:left="238" w:top="322" w:right="279" w:bottom="1440" w:gutter="0" w:footer="0" w:header="0"/>
        </w:sectPr>
      </w:pPr>
    </w:p>
    <w:bookmarkStart w:id="562" w:name="page563"/>
    <w:bookmarkEnd w:id="562"/>
    <w:p>
      <w:pPr>
        <w:ind w:left="2" w:right="240" w:hanging="2"/>
        <w:spacing w:after="0" w:line="270" w:lineRule="auto"/>
        <w:tabs>
          <w:tab w:leader="none" w:pos="396" w:val="left"/>
        </w:tabs>
        <w:numPr>
          <w:ilvl w:val="0"/>
          <w:numId w:val="546"/>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this Deed is</w:t>
      </w:r>
      <w:r>
        <w:rPr>
          <w:rFonts w:ascii="Arial" w:cs="Arial" w:eastAsia="Arial" w:hAnsi="Arial"/>
          <w:sz w:val="16"/>
          <w:szCs w:val="16"/>
          <w:b w:val="1"/>
          <w:bCs w:val="1"/>
          <w:color w:val="auto"/>
        </w:rPr>
        <w:t xml:space="preserve"> EXECUTED </w:t>
      </w:r>
      <w:r>
        <w:rPr>
          <w:rFonts w:ascii="Arial" w:cs="Arial" w:eastAsia="Arial" w:hAnsi="Arial"/>
          <w:sz w:val="16"/>
          <w:szCs w:val="16"/>
          <w:color w:val="auto"/>
        </w:rPr>
        <w:t>by the parties as a DEED and delivered on the date first written above as follows:</w:t>
      </w:r>
    </w:p>
    <w:p>
      <w:pPr>
        <w:spacing w:after="0" w:line="207"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5540" w:type="dxa"/>
            <w:vAlign w:val="bottom"/>
          </w:tcPr>
          <w:p>
            <w:pPr>
              <w:spacing w:after="0"/>
              <w:rPr>
                <w:sz w:val="20"/>
                <w:szCs w:val="20"/>
                <w:color w:val="auto"/>
              </w:rPr>
            </w:pPr>
            <w:r>
              <w:rPr>
                <w:rFonts w:ascii="Arial" w:cs="Arial" w:eastAsia="Arial" w:hAnsi="Arial"/>
                <w:sz w:val="16"/>
                <w:szCs w:val="16"/>
                <w:color w:val="auto"/>
              </w:rPr>
              <w:t xml:space="preserve">Executed as a </w:t>
            </w:r>
            <w:r>
              <w:rPr>
                <w:rFonts w:ascii="Arial" w:cs="Arial" w:eastAsia="Arial" w:hAnsi="Arial"/>
                <w:sz w:val="16"/>
                <w:szCs w:val="16"/>
                <w:b w:val="1"/>
                <w:bCs w:val="1"/>
                <w:color w:val="auto"/>
              </w:rPr>
              <w:t>DEED</w:t>
            </w:r>
            <w:r>
              <w:rPr>
                <w:rFonts w:ascii="Arial" w:cs="Arial" w:eastAsia="Arial" w:hAnsi="Arial"/>
                <w:sz w:val="16"/>
                <w:szCs w:val="16"/>
                <w:color w:val="auto"/>
              </w:rPr>
              <w:t xml:space="preserve"> by </w:t>
            </w:r>
            <w:r>
              <w:rPr>
                <w:rFonts w:ascii="Arial" w:cs="Arial" w:eastAsia="Arial" w:hAnsi="Arial"/>
                <w:sz w:val="16"/>
                <w:szCs w:val="16"/>
                <w:b w:val="1"/>
                <w:bCs w:val="1"/>
                <w:color w:val="auto"/>
              </w:rPr>
              <w:t>BICYCLE THERAPEUTICS LIMITED</w:t>
            </w:r>
            <w:r>
              <w:rPr>
                <w:rFonts w:ascii="Arial" w:cs="Arial" w:eastAsia="Arial" w:hAnsi="Arial"/>
                <w:sz w:val="16"/>
                <w:szCs w:val="16"/>
                <w:color w:val="auto"/>
              </w:rPr>
              <w:t xml:space="preserve"> acting by its</w:t>
            </w:r>
          </w:p>
        </w:tc>
        <w:tc>
          <w:tcPr>
            <w:tcW w:w="59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duly authorised signatory</w:t>
            </w:r>
          </w:p>
        </w:tc>
        <w:tc>
          <w:tcPr>
            <w:tcW w:w="360" w:type="dxa"/>
            <w:vAlign w:val="bottom"/>
          </w:tcPr>
          <w:p>
            <w:pPr>
              <w:spacing w:after="0"/>
              <w:rPr>
                <w:sz w:val="17"/>
                <w:szCs w:val="17"/>
                <w:color w:val="auto"/>
              </w:rPr>
            </w:pPr>
          </w:p>
        </w:tc>
        <w:tc>
          <w:tcPr>
            <w:tcW w:w="5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Duly authorised signatory</w:t>
            </w:r>
          </w:p>
        </w:tc>
        <w:tc>
          <w:tcPr>
            <w:tcW w:w="20" w:type="dxa"/>
            <w:vAlign w:val="bottom"/>
          </w:tcPr>
          <w:p>
            <w:pPr>
              <w:spacing w:after="0"/>
              <w:rPr>
                <w:sz w:val="17"/>
                <w:szCs w:val="17"/>
                <w:color w:val="auto"/>
              </w:rPr>
            </w:pPr>
          </w:p>
        </w:tc>
      </w:tr>
      <w:tr>
        <w:trPr>
          <w:trHeight w:val="367"/>
        </w:trPr>
        <w:tc>
          <w:tcPr>
            <w:tcW w:w="5540" w:type="dxa"/>
            <w:vAlign w:val="bottom"/>
          </w:tcPr>
          <w:p>
            <w:pPr>
              <w:spacing w:after="0"/>
              <w:rPr>
                <w:sz w:val="24"/>
                <w:szCs w:val="24"/>
                <w:color w:val="auto"/>
              </w:rPr>
            </w:pPr>
          </w:p>
        </w:tc>
        <w:tc>
          <w:tcPr>
            <w:tcW w:w="59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07"/>
        </w:trPr>
        <w:tc>
          <w:tcPr>
            <w:tcW w:w="5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6"/>
                <w:szCs w:val="16"/>
                <w:color w:val="auto"/>
              </w:rPr>
              <w:t>Name</w:t>
            </w:r>
          </w:p>
        </w:tc>
        <w:tc>
          <w:tcPr>
            <w:tcW w:w="20" w:type="dxa"/>
            <w:vAlign w:val="bottom"/>
          </w:tcPr>
          <w:p>
            <w:pPr>
              <w:spacing w:after="0"/>
              <w:rPr>
                <w:sz w:val="18"/>
                <w:szCs w:val="18"/>
                <w:color w:val="auto"/>
              </w:rPr>
            </w:pPr>
          </w:p>
        </w:tc>
      </w:tr>
      <w:tr>
        <w:trPr>
          <w:trHeight w:val="771"/>
        </w:trPr>
        <w:tc>
          <w:tcPr>
            <w:tcW w:w="5540" w:type="dxa"/>
            <w:vAlign w:val="bottom"/>
          </w:tcPr>
          <w:p>
            <w:pPr>
              <w:spacing w:after="0"/>
              <w:rPr>
                <w:sz w:val="20"/>
                <w:szCs w:val="20"/>
                <w:color w:val="auto"/>
              </w:rPr>
            </w:pPr>
            <w:r>
              <w:rPr>
                <w:rFonts w:ascii="Arial" w:cs="Arial" w:eastAsia="Arial" w:hAnsi="Arial"/>
                <w:sz w:val="16"/>
                <w:szCs w:val="16"/>
                <w:color w:val="auto"/>
              </w:rPr>
              <w:t>In the presence of</w:t>
            </w:r>
          </w:p>
        </w:tc>
        <w:tc>
          <w:tcPr>
            <w:tcW w:w="3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5540" w:type="dxa"/>
            <w:vAlign w:val="bottom"/>
          </w:tcPr>
          <w:p>
            <w:pPr>
              <w:spacing w:after="0" w:line="176" w:lineRule="exact"/>
              <w:rPr>
                <w:sz w:val="20"/>
                <w:szCs w:val="20"/>
                <w:color w:val="auto"/>
              </w:rPr>
            </w:pPr>
            <w:r>
              <w:rPr>
                <w:rFonts w:ascii="Arial" w:cs="Arial" w:eastAsia="Arial" w:hAnsi="Arial"/>
                <w:sz w:val="16"/>
                <w:szCs w:val="16"/>
                <w:color w:val="auto"/>
              </w:rPr>
              <w:t>Name of witness: [***]</w:t>
            </w:r>
          </w:p>
        </w:tc>
        <w:tc>
          <w:tcPr>
            <w:tcW w:w="36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Address: [***]</w:t>
            </w:r>
          </w:p>
        </w:tc>
        <w:tc>
          <w:tcPr>
            <w:tcW w:w="3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5540" w:type="dxa"/>
            <w:vAlign w:val="bottom"/>
          </w:tcPr>
          <w:p>
            <w:pPr>
              <w:spacing w:after="0"/>
              <w:rPr>
                <w:sz w:val="20"/>
                <w:szCs w:val="20"/>
                <w:color w:val="auto"/>
              </w:rPr>
            </w:pPr>
            <w:r>
              <w:rPr>
                <w:rFonts w:ascii="Arial" w:cs="Arial" w:eastAsia="Arial" w:hAnsi="Arial"/>
                <w:sz w:val="16"/>
                <w:szCs w:val="16"/>
                <w:color w:val="auto"/>
              </w:rPr>
              <w:t>Occupation: [***]</w:t>
            </w:r>
          </w:p>
        </w:tc>
        <w:tc>
          <w:tcPr>
            <w:tcW w:w="3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1"/>
        </w:trPr>
        <w:tc>
          <w:tcPr>
            <w:tcW w:w="5540" w:type="dxa"/>
            <w:vAlign w:val="bottom"/>
          </w:tcPr>
          <w:p>
            <w:pPr>
              <w:spacing w:after="0"/>
              <w:rPr>
                <w:sz w:val="24"/>
                <w:szCs w:val="24"/>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5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563" w:name="page564"/>
    <w:bookmarkEnd w:id="563"/>
    <w:p>
      <w:pPr>
        <w:ind w:left="2" w:right="240" w:hanging="2"/>
        <w:spacing w:after="0" w:line="270" w:lineRule="auto"/>
        <w:tabs>
          <w:tab w:leader="none" w:pos="396" w:val="left"/>
        </w:tabs>
        <w:numPr>
          <w:ilvl w:val="0"/>
          <w:numId w:val="547"/>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5540" w:type="dxa"/>
            <w:vAlign w:val="bottom"/>
          </w:tcPr>
          <w:p>
            <w:pPr>
              <w:spacing w:after="0"/>
              <w:rPr>
                <w:sz w:val="20"/>
                <w:szCs w:val="20"/>
                <w:color w:val="auto"/>
              </w:rPr>
            </w:pPr>
            <w:r>
              <w:rPr>
                <w:rFonts w:ascii="Arial" w:cs="Arial" w:eastAsia="Arial" w:hAnsi="Arial"/>
                <w:sz w:val="16"/>
                <w:szCs w:val="16"/>
                <w:color w:val="auto"/>
                <w:w w:val="97"/>
              </w:rPr>
              <w:t xml:space="preserve">Executed as a </w:t>
            </w:r>
            <w:r>
              <w:rPr>
                <w:rFonts w:ascii="Arial" w:cs="Arial" w:eastAsia="Arial" w:hAnsi="Arial"/>
                <w:sz w:val="16"/>
                <w:szCs w:val="16"/>
                <w:b w:val="1"/>
                <w:bCs w:val="1"/>
                <w:color w:val="auto"/>
                <w:w w:val="97"/>
              </w:rPr>
              <w:t>DEED</w:t>
            </w:r>
            <w:r>
              <w:rPr>
                <w:rFonts w:ascii="Arial" w:cs="Arial" w:eastAsia="Arial" w:hAnsi="Arial"/>
                <w:sz w:val="16"/>
                <w:szCs w:val="16"/>
                <w:color w:val="auto"/>
                <w:w w:val="97"/>
              </w:rPr>
              <w:t xml:space="preserve"> by </w:t>
            </w:r>
            <w:r>
              <w:rPr>
                <w:rFonts w:ascii="Arial" w:cs="Arial" w:eastAsia="Arial" w:hAnsi="Arial"/>
                <w:sz w:val="16"/>
                <w:szCs w:val="16"/>
                <w:b w:val="1"/>
                <w:bCs w:val="1"/>
                <w:color w:val="auto"/>
                <w:w w:val="97"/>
              </w:rPr>
              <w:t>CANCER RESEARCH UK</w:t>
            </w:r>
            <w:r>
              <w:rPr>
                <w:rFonts w:ascii="Arial" w:cs="Arial" w:eastAsia="Arial" w:hAnsi="Arial"/>
                <w:sz w:val="16"/>
                <w:szCs w:val="16"/>
                <w:color w:val="auto"/>
                <w:w w:val="97"/>
              </w:rPr>
              <w:t xml:space="preserve"> acting by its duly authorised</w:t>
            </w:r>
          </w:p>
        </w:tc>
        <w:tc>
          <w:tcPr>
            <w:tcW w:w="360" w:type="dxa"/>
            <w:vAlign w:val="bottom"/>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t>
            </w:r>
          </w:p>
        </w:tc>
        <w:tc>
          <w:tcPr>
            <w:tcW w:w="20" w:type="dxa"/>
            <w:vAlign w:val="bottom"/>
          </w:tcPr>
          <w:p>
            <w:pPr>
              <w:spacing w:after="0"/>
              <w:rPr>
                <w:sz w:val="18"/>
                <w:szCs w:val="18"/>
                <w:color w:val="auto"/>
              </w:rPr>
            </w:pP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signatory</w:t>
            </w:r>
          </w:p>
        </w:tc>
        <w:tc>
          <w:tcPr>
            <w:tcW w:w="36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6"/>
                <w:szCs w:val="16"/>
                <w:color w:val="auto"/>
              </w:rPr>
              <w:t>Duly authorised signatory</w:t>
            </w:r>
          </w:p>
        </w:tc>
        <w:tc>
          <w:tcPr>
            <w:tcW w:w="20" w:type="dxa"/>
            <w:vAlign w:val="bottom"/>
          </w:tcPr>
          <w:p>
            <w:pPr>
              <w:spacing w:after="0"/>
              <w:rPr>
                <w:sz w:val="17"/>
                <w:szCs w:val="17"/>
                <w:color w:val="auto"/>
              </w:rPr>
            </w:pPr>
          </w:p>
        </w:tc>
      </w:tr>
      <w:tr>
        <w:trPr>
          <w:trHeight w:val="367"/>
        </w:trPr>
        <w:tc>
          <w:tcPr>
            <w:tcW w:w="5540" w:type="dxa"/>
            <w:vAlign w:val="bottom"/>
          </w:tcPr>
          <w:p>
            <w:pPr>
              <w:spacing w:after="0"/>
              <w:rPr>
                <w:sz w:val="24"/>
                <w:szCs w:val="24"/>
                <w:color w:val="auto"/>
              </w:rPr>
            </w:pPr>
          </w:p>
        </w:tc>
        <w:tc>
          <w:tcPr>
            <w:tcW w:w="59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07"/>
        </w:trPr>
        <w:tc>
          <w:tcPr>
            <w:tcW w:w="5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6"/>
                <w:szCs w:val="16"/>
                <w:color w:val="auto"/>
              </w:rPr>
              <w:t>Name</w:t>
            </w:r>
          </w:p>
        </w:tc>
        <w:tc>
          <w:tcPr>
            <w:tcW w:w="20" w:type="dxa"/>
            <w:vAlign w:val="bottom"/>
          </w:tcPr>
          <w:p>
            <w:pPr>
              <w:spacing w:after="0"/>
              <w:rPr>
                <w:sz w:val="18"/>
                <w:szCs w:val="18"/>
                <w:color w:val="auto"/>
              </w:rPr>
            </w:pPr>
          </w:p>
        </w:tc>
      </w:tr>
      <w:tr>
        <w:trPr>
          <w:trHeight w:val="575"/>
        </w:trPr>
        <w:tc>
          <w:tcPr>
            <w:tcW w:w="5540" w:type="dxa"/>
            <w:vAlign w:val="bottom"/>
          </w:tcPr>
          <w:p>
            <w:pPr>
              <w:spacing w:after="0"/>
              <w:rPr>
                <w:sz w:val="20"/>
                <w:szCs w:val="20"/>
                <w:color w:val="auto"/>
              </w:rPr>
            </w:pPr>
            <w:r>
              <w:rPr>
                <w:rFonts w:ascii="Arial" w:cs="Arial" w:eastAsia="Arial" w:hAnsi="Arial"/>
                <w:sz w:val="16"/>
                <w:szCs w:val="16"/>
                <w:color w:val="auto"/>
              </w:rPr>
              <w:t>In the presence of</w:t>
            </w:r>
          </w:p>
        </w:tc>
        <w:tc>
          <w:tcPr>
            <w:tcW w:w="3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t>
            </w:r>
          </w:p>
        </w:tc>
        <w:tc>
          <w:tcPr>
            <w:tcW w:w="3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5540" w:type="dxa"/>
            <w:vAlign w:val="bottom"/>
          </w:tcPr>
          <w:p>
            <w:pPr>
              <w:spacing w:after="0" w:line="176" w:lineRule="exact"/>
              <w:rPr>
                <w:sz w:val="20"/>
                <w:szCs w:val="20"/>
                <w:color w:val="auto"/>
              </w:rPr>
            </w:pPr>
            <w:r>
              <w:rPr>
                <w:rFonts w:ascii="Arial" w:cs="Arial" w:eastAsia="Arial" w:hAnsi="Arial"/>
                <w:sz w:val="16"/>
                <w:szCs w:val="16"/>
                <w:color w:val="auto"/>
              </w:rPr>
              <w:t>Name of witness: [***]</w:t>
            </w:r>
          </w:p>
        </w:tc>
        <w:tc>
          <w:tcPr>
            <w:tcW w:w="36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Address: [***]</w:t>
            </w:r>
          </w:p>
        </w:tc>
        <w:tc>
          <w:tcPr>
            <w:tcW w:w="3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5540" w:type="dxa"/>
            <w:vAlign w:val="bottom"/>
          </w:tcPr>
          <w:p>
            <w:pPr>
              <w:spacing w:after="0"/>
              <w:rPr>
                <w:sz w:val="20"/>
                <w:szCs w:val="20"/>
                <w:color w:val="auto"/>
              </w:rPr>
            </w:pPr>
            <w:r>
              <w:rPr>
                <w:rFonts w:ascii="Arial" w:cs="Arial" w:eastAsia="Arial" w:hAnsi="Arial"/>
                <w:sz w:val="16"/>
                <w:szCs w:val="16"/>
                <w:color w:val="auto"/>
              </w:rPr>
              <w:t>Occupation: [***]</w:t>
            </w:r>
          </w:p>
        </w:tc>
        <w:tc>
          <w:tcPr>
            <w:tcW w:w="3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1"/>
        </w:trPr>
        <w:tc>
          <w:tcPr>
            <w:tcW w:w="5540" w:type="dxa"/>
            <w:vAlign w:val="bottom"/>
          </w:tcPr>
          <w:p>
            <w:pPr>
              <w:spacing w:after="0"/>
              <w:rPr>
                <w:sz w:val="24"/>
                <w:szCs w:val="24"/>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5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564" w:name="page565"/>
    <w:bookmarkEnd w:id="564"/>
    <w:p>
      <w:pPr>
        <w:ind w:left="2" w:right="240" w:hanging="2"/>
        <w:spacing w:after="0" w:line="270" w:lineRule="auto"/>
        <w:tabs>
          <w:tab w:leader="none" w:pos="396" w:val="left"/>
        </w:tabs>
        <w:numPr>
          <w:ilvl w:val="0"/>
          <w:numId w:val="548"/>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5540" w:type="dxa"/>
            <w:vAlign w:val="bottom"/>
          </w:tcPr>
          <w:p>
            <w:pPr>
              <w:spacing w:after="0"/>
              <w:rPr>
                <w:sz w:val="20"/>
                <w:szCs w:val="20"/>
                <w:color w:val="auto"/>
              </w:rPr>
            </w:pPr>
            <w:r>
              <w:rPr>
                <w:rFonts w:ascii="Arial" w:cs="Arial" w:eastAsia="Arial" w:hAnsi="Arial"/>
                <w:sz w:val="16"/>
                <w:szCs w:val="16"/>
                <w:color w:val="auto"/>
              </w:rPr>
              <w:t xml:space="preserve">Executed as a </w:t>
            </w:r>
            <w:r>
              <w:rPr>
                <w:rFonts w:ascii="Arial" w:cs="Arial" w:eastAsia="Arial" w:hAnsi="Arial"/>
                <w:sz w:val="16"/>
                <w:szCs w:val="16"/>
                <w:b w:val="1"/>
                <w:bCs w:val="1"/>
                <w:color w:val="auto"/>
              </w:rPr>
              <w:t>DEED</w:t>
            </w:r>
            <w:r>
              <w:rPr>
                <w:rFonts w:ascii="Arial" w:cs="Arial" w:eastAsia="Arial" w:hAnsi="Arial"/>
                <w:sz w:val="16"/>
                <w:szCs w:val="16"/>
                <w:color w:val="auto"/>
              </w:rPr>
              <w:t xml:space="preserve"> by </w:t>
            </w:r>
            <w:r>
              <w:rPr>
                <w:rFonts w:ascii="Arial" w:cs="Arial" w:eastAsia="Arial" w:hAnsi="Arial"/>
                <w:sz w:val="16"/>
                <w:szCs w:val="16"/>
                <w:b w:val="1"/>
                <w:bCs w:val="1"/>
                <w:color w:val="auto"/>
              </w:rPr>
              <w:t>CANCER RESEARCH TECHNOLOGY LIMITED</w:t>
            </w:r>
          </w:p>
        </w:tc>
        <w:tc>
          <w:tcPr>
            <w:tcW w:w="360" w:type="dxa"/>
            <w:vAlign w:val="bottom"/>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t>
            </w:r>
          </w:p>
        </w:tc>
        <w:tc>
          <w:tcPr>
            <w:tcW w:w="20" w:type="dxa"/>
            <w:vAlign w:val="bottom"/>
          </w:tcPr>
          <w:p>
            <w:pPr>
              <w:spacing w:after="0"/>
              <w:rPr>
                <w:sz w:val="18"/>
                <w:szCs w:val="18"/>
                <w:color w:val="auto"/>
              </w:rPr>
            </w:pP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acting by its duly authorised signatory</w:t>
            </w:r>
          </w:p>
        </w:tc>
        <w:tc>
          <w:tcPr>
            <w:tcW w:w="36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6"/>
                <w:szCs w:val="16"/>
                <w:color w:val="auto"/>
              </w:rPr>
              <w:t>Duly authorised signatory</w:t>
            </w:r>
          </w:p>
        </w:tc>
        <w:tc>
          <w:tcPr>
            <w:tcW w:w="20" w:type="dxa"/>
            <w:vAlign w:val="bottom"/>
          </w:tcPr>
          <w:p>
            <w:pPr>
              <w:spacing w:after="0"/>
              <w:rPr>
                <w:sz w:val="17"/>
                <w:szCs w:val="17"/>
                <w:color w:val="auto"/>
              </w:rPr>
            </w:pPr>
          </w:p>
        </w:tc>
      </w:tr>
      <w:tr>
        <w:trPr>
          <w:trHeight w:val="367"/>
        </w:trPr>
        <w:tc>
          <w:tcPr>
            <w:tcW w:w="5540" w:type="dxa"/>
            <w:vAlign w:val="bottom"/>
          </w:tcPr>
          <w:p>
            <w:pPr>
              <w:spacing w:after="0"/>
              <w:rPr>
                <w:sz w:val="24"/>
                <w:szCs w:val="24"/>
                <w:color w:val="auto"/>
              </w:rPr>
            </w:pPr>
          </w:p>
        </w:tc>
        <w:tc>
          <w:tcPr>
            <w:tcW w:w="59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07"/>
        </w:trPr>
        <w:tc>
          <w:tcPr>
            <w:tcW w:w="5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6"/>
                <w:szCs w:val="16"/>
                <w:color w:val="auto"/>
              </w:rPr>
              <w:t>Name</w:t>
            </w:r>
          </w:p>
        </w:tc>
        <w:tc>
          <w:tcPr>
            <w:tcW w:w="20" w:type="dxa"/>
            <w:vAlign w:val="bottom"/>
          </w:tcPr>
          <w:p>
            <w:pPr>
              <w:spacing w:after="0"/>
              <w:rPr>
                <w:sz w:val="18"/>
                <w:szCs w:val="18"/>
                <w:color w:val="auto"/>
              </w:rPr>
            </w:pPr>
          </w:p>
        </w:tc>
      </w:tr>
      <w:tr>
        <w:trPr>
          <w:trHeight w:val="771"/>
        </w:trPr>
        <w:tc>
          <w:tcPr>
            <w:tcW w:w="5540" w:type="dxa"/>
            <w:vAlign w:val="bottom"/>
          </w:tcPr>
          <w:p>
            <w:pPr>
              <w:spacing w:after="0"/>
              <w:rPr>
                <w:sz w:val="20"/>
                <w:szCs w:val="20"/>
                <w:color w:val="auto"/>
              </w:rPr>
            </w:pPr>
            <w:r>
              <w:rPr>
                <w:rFonts w:ascii="Arial" w:cs="Arial" w:eastAsia="Arial" w:hAnsi="Arial"/>
                <w:sz w:val="16"/>
                <w:szCs w:val="16"/>
                <w:color w:val="auto"/>
              </w:rPr>
              <w:t>In the presence of</w:t>
            </w:r>
          </w:p>
        </w:tc>
        <w:tc>
          <w:tcPr>
            <w:tcW w:w="3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t>
            </w:r>
          </w:p>
        </w:tc>
        <w:tc>
          <w:tcPr>
            <w:tcW w:w="3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5540" w:type="dxa"/>
            <w:vAlign w:val="bottom"/>
          </w:tcPr>
          <w:p>
            <w:pPr>
              <w:spacing w:after="0" w:line="176" w:lineRule="exact"/>
              <w:rPr>
                <w:sz w:val="20"/>
                <w:szCs w:val="20"/>
                <w:color w:val="auto"/>
              </w:rPr>
            </w:pPr>
            <w:r>
              <w:rPr>
                <w:rFonts w:ascii="Arial" w:cs="Arial" w:eastAsia="Arial" w:hAnsi="Arial"/>
                <w:sz w:val="16"/>
                <w:szCs w:val="16"/>
                <w:color w:val="auto"/>
              </w:rPr>
              <w:t>Name of witness: [***]</w:t>
            </w:r>
          </w:p>
        </w:tc>
        <w:tc>
          <w:tcPr>
            <w:tcW w:w="36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Address: [***]</w:t>
            </w:r>
          </w:p>
        </w:tc>
        <w:tc>
          <w:tcPr>
            <w:tcW w:w="3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54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5540" w:type="dxa"/>
            <w:vAlign w:val="bottom"/>
          </w:tcPr>
          <w:p>
            <w:pPr>
              <w:spacing w:after="0"/>
              <w:rPr>
                <w:sz w:val="20"/>
                <w:szCs w:val="20"/>
                <w:color w:val="auto"/>
              </w:rPr>
            </w:pPr>
            <w:r>
              <w:rPr>
                <w:rFonts w:ascii="Arial" w:cs="Arial" w:eastAsia="Arial" w:hAnsi="Arial"/>
                <w:sz w:val="16"/>
                <w:szCs w:val="16"/>
                <w:color w:val="auto"/>
              </w:rPr>
              <w:t>Occupation: [***]</w:t>
            </w:r>
          </w:p>
        </w:tc>
        <w:tc>
          <w:tcPr>
            <w:tcW w:w="3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1"/>
        </w:trPr>
        <w:tc>
          <w:tcPr>
            <w:tcW w:w="5540" w:type="dxa"/>
            <w:vAlign w:val="bottom"/>
          </w:tcPr>
          <w:p>
            <w:pPr>
              <w:spacing w:after="0"/>
              <w:rPr>
                <w:sz w:val="24"/>
                <w:szCs w:val="24"/>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5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 w:right="240" w:hanging="2"/>
        <w:spacing w:after="0" w:line="270" w:lineRule="auto"/>
        <w:tabs>
          <w:tab w:leader="none" w:pos="396" w:val="left"/>
        </w:tabs>
        <w:numPr>
          <w:ilvl w:val="0"/>
          <w:numId w:val="549"/>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2"/>
        <w:spacing w:after="0"/>
        <w:rPr>
          <w:sz w:val="20"/>
          <w:szCs w:val="20"/>
          <w:color w:val="auto"/>
        </w:rPr>
      </w:pPr>
      <w:r>
        <w:rPr>
          <w:rFonts w:ascii="Arial" w:cs="Arial" w:eastAsia="Arial" w:hAnsi="Arial"/>
          <w:sz w:val="16"/>
          <w:szCs w:val="16"/>
          <w:color w:val="auto"/>
        </w:rPr>
        <w:t>Private &amp; Confidential</w:t>
      </w:r>
    </w:p>
    <w:p>
      <w:pPr>
        <w:spacing w:after="0" w:line="200" w:lineRule="exact"/>
        <w:rPr>
          <w:sz w:val="20"/>
          <w:szCs w:val="20"/>
          <w:color w:val="auto"/>
        </w:rPr>
      </w:pP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color w:val="auto"/>
        </w:rPr>
        <w:t>Cancer Research UK</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6"/>
          <w:szCs w:val="16"/>
          <w:color w:val="auto"/>
        </w:rPr>
        <w:t>Collaborative Partnership</w:t>
      </w:r>
    </w:p>
    <w:p>
      <w:pPr>
        <w:spacing w:after="0" w:line="391"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6740" w:type="dxa"/>
            <w:vAlign w:val="bottom"/>
          </w:tcPr>
          <w:p>
            <w:pPr>
              <w:spacing w:after="0"/>
              <w:rPr>
                <w:sz w:val="20"/>
                <w:szCs w:val="20"/>
                <w:color w:val="auto"/>
              </w:rPr>
            </w:pPr>
            <w:r>
              <w:rPr>
                <w:rFonts w:ascii="Arial" w:cs="Arial" w:eastAsia="Arial" w:hAnsi="Arial"/>
                <w:sz w:val="16"/>
                <w:szCs w:val="16"/>
                <w:color w:val="auto"/>
                <w:w w:val="95"/>
              </w:rPr>
              <w:t>Clinical Trial and Licence Agreement (amended pursuant to the deed of amendment entered into on</w:t>
            </w:r>
          </w:p>
        </w:tc>
        <w:tc>
          <w:tcPr>
            <w:tcW w:w="620" w:type="dxa"/>
            <w:vAlign w:val="bottom"/>
          </w:tcPr>
          <w:p>
            <w:pPr>
              <w:jc w:val="right"/>
              <w:spacing w:after="0"/>
              <w:rPr>
                <w:sz w:val="20"/>
                <w:szCs w:val="20"/>
                <w:color w:val="auto"/>
              </w:rPr>
            </w:pPr>
            <w:r>
              <w:rPr>
                <w:rFonts w:ascii="Arial" w:cs="Arial" w:eastAsia="Arial" w:hAnsi="Arial"/>
                <w:sz w:val="16"/>
                <w:szCs w:val="16"/>
                <w:color w:val="auto"/>
              </w:rPr>
              <w:t>2017)</w:t>
            </w:r>
          </w:p>
        </w:tc>
      </w:tr>
    </w:tbl>
    <w:p>
      <w:pPr>
        <w:spacing w:after="0" w:line="37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Bicycle Therapeutics Limited</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Cancer Research Technology Limited</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Cancer Research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280275" cy="2794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565" w:name="page566"/>
    <w:bookmarkEnd w:id="565"/>
    <w:p>
      <w:pPr>
        <w:ind w:left="2" w:right="240" w:hanging="2"/>
        <w:spacing w:after="0" w:line="270" w:lineRule="auto"/>
        <w:tabs>
          <w:tab w:leader="none" w:pos="396" w:val="left"/>
        </w:tabs>
        <w:numPr>
          <w:ilvl w:val="0"/>
          <w:numId w:val="550"/>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3000" w:type="dxa"/>
            <w:vAlign w:val="bottom"/>
          </w:tcPr>
          <w:p>
            <w:pPr>
              <w:jc w:val="center"/>
              <w:ind w:left="1359"/>
              <w:spacing w:after="0"/>
              <w:rPr>
                <w:sz w:val="20"/>
                <w:szCs w:val="20"/>
                <w:color w:val="auto"/>
              </w:rPr>
            </w:pPr>
            <w:r>
              <w:rPr>
                <w:rFonts w:ascii="Arial" w:cs="Arial" w:eastAsia="Arial" w:hAnsi="Arial"/>
                <w:sz w:val="16"/>
                <w:szCs w:val="16"/>
                <w:color w:val="auto"/>
                <w:w w:val="89"/>
              </w:rPr>
              <w:t>Cover Sheet</w:t>
            </w:r>
          </w:p>
        </w:tc>
        <w:tc>
          <w:tcPr>
            <w:tcW w:w="4960" w:type="dxa"/>
            <w:vAlign w:val="bottom"/>
          </w:tcPr>
          <w:p>
            <w:pPr>
              <w:spacing w:after="0"/>
              <w:rPr>
                <w:sz w:val="18"/>
                <w:szCs w:val="18"/>
                <w:color w:val="auto"/>
              </w:rPr>
            </w:pPr>
          </w:p>
        </w:tc>
      </w:tr>
      <w:tr>
        <w:trPr>
          <w:trHeight w:val="391"/>
        </w:trPr>
        <w:tc>
          <w:tcPr>
            <w:tcW w:w="3500" w:type="dxa"/>
            <w:vAlign w:val="bottom"/>
          </w:tcPr>
          <w:p>
            <w:pPr>
              <w:spacing w:after="0"/>
              <w:rPr>
                <w:sz w:val="24"/>
                <w:szCs w:val="24"/>
                <w:color w:val="auto"/>
              </w:rPr>
            </w:pPr>
          </w:p>
        </w:tc>
        <w:tc>
          <w:tcPr>
            <w:tcW w:w="7960" w:type="dxa"/>
            <w:vAlign w:val="bottom"/>
            <w:gridSpan w:val="2"/>
          </w:tcPr>
          <w:p>
            <w:pPr>
              <w:jc w:val="center"/>
              <w:ind w:right="3459"/>
              <w:spacing w:after="0"/>
              <w:rPr>
                <w:sz w:val="20"/>
                <w:szCs w:val="20"/>
                <w:color w:val="auto"/>
              </w:rPr>
            </w:pPr>
            <w:r>
              <w:rPr>
                <w:rFonts w:ascii="Arial" w:cs="Arial" w:eastAsia="Arial" w:hAnsi="Arial"/>
                <w:sz w:val="16"/>
                <w:szCs w:val="16"/>
                <w:b w:val="1"/>
                <w:bCs w:val="1"/>
                <w:color w:val="auto"/>
                <w:w w:val="93"/>
              </w:rPr>
              <w:t>The Company, the Agent and the Clinical Trial</w:t>
            </w:r>
          </w:p>
        </w:tc>
      </w:tr>
      <w:tr>
        <w:trPr>
          <w:trHeight w:val="391"/>
        </w:trPr>
        <w:tc>
          <w:tcPr>
            <w:tcW w:w="3500" w:type="dxa"/>
            <w:vAlign w:val="bottom"/>
          </w:tcPr>
          <w:p>
            <w:pPr>
              <w:spacing w:after="0"/>
              <w:rPr>
                <w:sz w:val="20"/>
                <w:szCs w:val="20"/>
                <w:color w:val="auto"/>
              </w:rPr>
            </w:pPr>
            <w:r>
              <w:rPr>
                <w:rFonts w:ascii="Arial" w:cs="Arial" w:eastAsia="Arial" w:hAnsi="Arial"/>
                <w:sz w:val="16"/>
                <w:szCs w:val="16"/>
                <w:b w:val="1"/>
                <w:bCs w:val="1"/>
                <w:color w:val="auto"/>
              </w:rPr>
              <w:t>Start Date</w:t>
            </w:r>
          </w:p>
        </w:tc>
        <w:tc>
          <w:tcPr>
            <w:tcW w:w="3000" w:type="dxa"/>
            <w:vAlign w:val="bottom"/>
          </w:tcPr>
          <w:p>
            <w:pPr>
              <w:ind w:left="680"/>
              <w:spacing w:after="0"/>
              <w:rPr>
                <w:sz w:val="20"/>
                <w:szCs w:val="20"/>
                <w:color w:val="auto"/>
              </w:rPr>
            </w:pPr>
            <w:r>
              <w:rPr>
                <w:rFonts w:ascii="Arial" w:cs="Arial" w:eastAsia="Arial" w:hAnsi="Arial"/>
                <w:sz w:val="16"/>
                <w:szCs w:val="16"/>
                <w:color w:val="auto"/>
              </w:rPr>
              <w:t>13 December 2016</w:t>
            </w:r>
          </w:p>
        </w:tc>
        <w:tc>
          <w:tcPr>
            <w:tcW w:w="4960" w:type="dxa"/>
            <w:vAlign w:val="bottom"/>
          </w:tcPr>
          <w:p>
            <w:pPr>
              <w:spacing w:after="0"/>
              <w:rPr>
                <w:sz w:val="24"/>
                <w:szCs w:val="24"/>
                <w:color w:val="auto"/>
              </w:rPr>
            </w:pPr>
          </w:p>
        </w:tc>
      </w:tr>
      <w:tr>
        <w:trPr>
          <w:trHeight w:val="380"/>
        </w:trPr>
        <w:tc>
          <w:tcPr>
            <w:tcW w:w="350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7960" w:type="dxa"/>
            <w:vAlign w:val="bottom"/>
            <w:gridSpan w:val="2"/>
          </w:tcPr>
          <w:p>
            <w:pPr>
              <w:ind w:left="660"/>
              <w:spacing w:after="0"/>
              <w:rPr>
                <w:sz w:val="20"/>
                <w:szCs w:val="20"/>
                <w:color w:val="auto"/>
              </w:rPr>
            </w:pPr>
            <w:r>
              <w:rPr>
                <w:rFonts w:ascii="Arial" w:cs="Arial" w:eastAsia="Arial" w:hAnsi="Arial"/>
                <w:sz w:val="16"/>
                <w:szCs w:val="16"/>
                <w:color w:val="auto"/>
                <w:w w:val="96"/>
              </w:rPr>
              <w:t>Bicycle Therapeutics Limited, a company incorporated in England and Wales under number 06960780 with</w:t>
            </w:r>
          </w:p>
        </w:tc>
      </w:tr>
      <w:tr>
        <w:trPr>
          <w:trHeight w:val="207"/>
        </w:trPr>
        <w:tc>
          <w:tcPr>
            <w:tcW w:w="3500" w:type="dxa"/>
            <w:vAlign w:val="bottom"/>
          </w:tcPr>
          <w:p>
            <w:pPr>
              <w:spacing w:after="0"/>
              <w:rPr>
                <w:sz w:val="18"/>
                <w:szCs w:val="18"/>
                <w:color w:val="auto"/>
              </w:rPr>
            </w:pPr>
          </w:p>
        </w:tc>
        <w:tc>
          <w:tcPr>
            <w:tcW w:w="7960" w:type="dxa"/>
            <w:vAlign w:val="bottom"/>
            <w:gridSpan w:val="2"/>
          </w:tcPr>
          <w:p>
            <w:pPr>
              <w:ind w:left="660"/>
              <w:spacing w:after="0"/>
              <w:rPr>
                <w:sz w:val="20"/>
                <w:szCs w:val="20"/>
                <w:color w:val="auto"/>
              </w:rPr>
            </w:pPr>
            <w:r>
              <w:rPr>
                <w:rFonts w:ascii="Arial" w:cs="Arial" w:eastAsia="Arial" w:hAnsi="Arial"/>
                <w:sz w:val="16"/>
                <w:szCs w:val="16"/>
                <w:color w:val="auto"/>
              </w:rPr>
              <w:t>registered office at Meditrina Building, Babraham Research Campus, Cambridge CB22 3AT</w:t>
            </w:r>
          </w:p>
        </w:tc>
      </w:tr>
      <w:tr>
        <w:trPr>
          <w:trHeight w:val="380"/>
        </w:trPr>
        <w:tc>
          <w:tcPr>
            <w:tcW w:w="3500" w:type="dxa"/>
            <w:vAlign w:val="bottom"/>
          </w:tcPr>
          <w:p>
            <w:pPr>
              <w:spacing w:after="0"/>
              <w:rPr>
                <w:sz w:val="20"/>
                <w:szCs w:val="20"/>
                <w:color w:val="auto"/>
              </w:rPr>
            </w:pPr>
            <w:r>
              <w:rPr>
                <w:rFonts w:ascii="Arial" w:cs="Arial" w:eastAsia="Arial" w:hAnsi="Arial"/>
                <w:sz w:val="16"/>
                <w:szCs w:val="16"/>
                <w:b w:val="1"/>
                <w:bCs w:val="1"/>
                <w:color w:val="auto"/>
              </w:rPr>
              <w:t>Agent</w:t>
            </w:r>
          </w:p>
        </w:tc>
        <w:tc>
          <w:tcPr>
            <w:tcW w:w="7960" w:type="dxa"/>
            <w:vAlign w:val="bottom"/>
            <w:gridSpan w:val="2"/>
          </w:tcPr>
          <w:p>
            <w:pPr>
              <w:ind w:left="660"/>
              <w:spacing w:after="0"/>
              <w:rPr>
                <w:sz w:val="20"/>
                <w:szCs w:val="20"/>
                <w:color w:val="auto"/>
              </w:rPr>
            </w:pPr>
            <w:r>
              <w:rPr>
                <w:rFonts w:ascii="Arial" w:cs="Arial" w:eastAsia="Arial" w:hAnsi="Arial"/>
                <w:sz w:val="16"/>
                <w:szCs w:val="16"/>
                <w:color w:val="auto"/>
              </w:rPr>
              <w:t>the bicyclic peptide drug conjugate targeting MT1-MMP and with activity mediated through DM1, called</w:t>
            </w:r>
          </w:p>
        </w:tc>
      </w:tr>
      <w:tr>
        <w:trPr>
          <w:trHeight w:val="207"/>
        </w:trPr>
        <w:tc>
          <w:tcPr>
            <w:tcW w:w="3500" w:type="dxa"/>
            <w:vAlign w:val="bottom"/>
          </w:tcPr>
          <w:p>
            <w:pPr>
              <w:spacing w:after="0"/>
              <w:rPr>
                <w:sz w:val="18"/>
                <w:szCs w:val="18"/>
                <w:color w:val="auto"/>
              </w:rPr>
            </w:pPr>
          </w:p>
        </w:tc>
        <w:tc>
          <w:tcPr>
            <w:tcW w:w="3000" w:type="dxa"/>
            <w:vAlign w:val="bottom"/>
          </w:tcPr>
          <w:p>
            <w:pPr>
              <w:ind w:left="660"/>
              <w:spacing w:after="0"/>
              <w:rPr>
                <w:sz w:val="20"/>
                <w:szCs w:val="20"/>
                <w:color w:val="auto"/>
              </w:rPr>
            </w:pPr>
            <w:r>
              <w:rPr>
                <w:rFonts w:ascii="Arial" w:cs="Arial" w:eastAsia="Arial" w:hAnsi="Arial"/>
                <w:sz w:val="16"/>
                <w:szCs w:val="16"/>
                <w:color w:val="auto"/>
              </w:rPr>
              <w:t>BT1718</w:t>
            </w:r>
          </w:p>
        </w:tc>
        <w:tc>
          <w:tcPr>
            <w:tcW w:w="4960" w:type="dxa"/>
            <w:vAlign w:val="bottom"/>
          </w:tcPr>
          <w:p>
            <w:pPr>
              <w:spacing w:after="0"/>
              <w:rPr>
                <w:sz w:val="18"/>
                <w:szCs w:val="18"/>
                <w:color w:val="auto"/>
              </w:rPr>
            </w:pPr>
          </w:p>
        </w:tc>
      </w:tr>
      <w:tr>
        <w:trPr>
          <w:trHeight w:val="391"/>
        </w:trPr>
        <w:tc>
          <w:tcPr>
            <w:tcW w:w="3500" w:type="dxa"/>
            <w:vAlign w:val="bottom"/>
          </w:tcPr>
          <w:p>
            <w:pPr>
              <w:spacing w:after="0"/>
              <w:rPr>
                <w:sz w:val="20"/>
                <w:szCs w:val="20"/>
                <w:color w:val="auto"/>
              </w:rPr>
            </w:pPr>
            <w:r>
              <w:rPr>
                <w:rFonts w:ascii="Arial" w:cs="Arial" w:eastAsia="Arial" w:hAnsi="Arial"/>
                <w:sz w:val="16"/>
                <w:szCs w:val="16"/>
                <w:b w:val="1"/>
                <w:bCs w:val="1"/>
                <w:color w:val="auto"/>
              </w:rPr>
              <w:t>Summary of Proposed Protocol</w:t>
            </w:r>
          </w:p>
        </w:tc>
        <w:tc>
          <w:tcPr>
            <w:tcW w:w="3000" w:type="dxa"/>
            <w:vAlign w:val="bottom"/>
          </w:tcPr>
          <w:p>
            <w:pPr>
              <w:ind w:left="660"/>
              <w:spacing w:after="0"/>
              <w:rPr>
                <w:sz w:val="20"/>
                <w:szCs w:val="20"/>
                <w:color w:val="auto"/>
              </w:rPr>
            </w:pPr>
            <w:r>
              <w:rPr>
                <w:rFonts w:ascii="Arial" w:cs="Arial" w:eastAsia="Arial" w:hAnsi="Arial"/>
                <w:sz w:val="16"/>
                <w:szCs w:val="16"/>
                <w:color w:val="auto"/>
              </w:rPr>
              <w:t>See Schedule 3</w:t>
            </w:r>
          </w:p>
        </w:tc>
        <w:tc>
          <w:tcPr>
            <w:tcW w:w="4960" w:type="dxa"/>
            <w:vAlign w:val="bottom"/>
          </w:tcPr>
          <w:p>
            <w:pPr>
              <w:spacing w:after="0"/>
              <w:rPr>
                <w:sz w:val="24"/>
                <w:szCs w:val="24"/>
                <w:color w:val="auto"/>
              </w:rPr>
            </w:pPr>
          </w:p>
        </w:tc>
      </w:tr>
      <w:tr>
        <w:trPr>
          <w:trHeight w:val="391"/>
        </w:trPr>
        <w:tc>
          <w:tcPr>
            <w:tcW w:w="3500" w:type="dxa"/>
            <w:vAlign w:val="bottom"/>
          </w:tcPr>
          <w:p>
            <w:pPr>
              <w:spacing w:after="0"/>
              <w:rPr>
                <w:sz w:val="20"/>
                <w:szCs w:val="20"/>
                <w:color w:val="auto"/>
              </w:rPr>
            </w:pPr>
            <w:r>
              <w:rPr>
                <w:rFonts w:ascii="Arial" w:cs="Arial" w:eastAsia="Arial" w:hAnsi="Arial"/>
                <w:sz w:val="16"/>
                <w:szCs w:val="16"/>
                <w:b w:val="1"/>
                <w:bCs w:val="1"/>
                <w:color w:val="auto"/>
              </w:rPr>
              <w:t>Indicative Clinical Trial Plans and Timelines</w:t>
            </w:r>
          </w:p>
        </w:tc>
        <w:tc>
          <w:tcPr>
            <w:tcW w:w="3000" w:type="dxa"/>
            <w:vAlign w:val="bottom"/>
          </w:tcPr>
          <w:p>
            <w:pPr>
              <w:ind w:left="660"/>
              <w:spacing w:after="0"/>
              <w:rPr>
                <w:sz w:val="20"/>
                <w:szCs w:val="20"/>
                <w:color w:val="auto"/>
              </w:rPr>
            </w:pPr>
            <w:r>
              <w:rPr>
                <w:rFonts w:ascii="Arial" w:cs="Arial" w:eastAsia="Arial" w:hAnsi="Arial"/>
                <w:sz w:val="16"/>
                <w:szCs w:val="16"/>
                <w:color w:val="auto"/>
              </w:rPr>
              <w:t>See Schedule 7</w:t>
            </w:r>
          </w:p>
        </w:tc>
        <w:tc>
          <w:tcPr>
            <w:tcW w:w="4960" w:type="dxa"/>
            <w:vAlign w:val="bottom"/>
          </w:tcPr>
          <w:p>
            <w:pPr>
              <w:spacing w:after="0"/>
              <w:rPr>
                <w:sz w:val="24"/>
                <w:szCs w:val="24"/>
                <w:color w:val="auto"/>
              </w:rPr>
            </w:pPr>
          </w:p>
        </w:tc>
      </w:tr>
      <w:tr>
        <w:trPr>
          <w:trHeight w:val="391"/>
        </w:trPr>
        <w:tc>
          <w:tcPr>
            <w:tcW w:w="3500" w:type="dxa"/>
            <w:vAlign w:val="bottom"/>
          </w:tcPr>
          <w:p>
            <w:pPr>
              <w:spacing w:after="0"/>
              <w:rPr>
                <w:sz w:val="20"/>
                <w:szCs w:val="20"/>
                <w:color w:val="auto"/>
              </w:rPr>
            </w:pPr>
            <w:r>
              <w:rPr>
                <w:rFonts w:ascii="Arial" w:cs="Arial" w:eastAsia="Arial" w:hAnsi="Arial"/>
                <w:sz w:val="16"/>
                <w:szCs w:val="16"/>
                <w:b w:val="1"/>
                <w:bCs w:val="1"/>
                <w:color w:val="auto"/>
              </w:rPr>
              <w:t>Summary of Proposed Pre-Clinical Activities</w:t>
            </w:r>
          </w:p>
        </w:tc>
        <w:tc>
          <w:tcPr>
            <w:tcW w:w="3000" w:type="dxa"/>
            <w:vAlign w:val="bottom"/>
          </w:tcPr>
          <w:p>
            <w:pPr>
              <w:ind w:left="660"/>
              <w:spacing w:after="0"/>
              <w:rPr>
                <w:sz w:val="20"/>
                <w:szCs w:val="20"/>
                <w:color w:val="auto"/>
              </w:rPr>
            </w:pPr>
            <w:r>
              <w:rPr>
                <w:rFonts w:ascii="Arial" w:cs="Arial" w:eastAsia="Arial" w:hAnsi="Arial"/>
                <w:sz w:val="16"/>
                <w:szCs w:val="16"/>
                <w:color w:val="auto"/>
              </w:rPr>
              <w:t>See Schedule 4</w:t>
            </w:r>
          </w:p>
        </w:tc>
        <w:tc>
          <w:tcPr>
            <w:tcW w:w="4960" w:type="dxa"/>
            <w:vAlign w:val="bottom"/>
          </w:tcPr>
          <w:p>
            <w:pPr>
              <w:spacing w:after="0"/>
              <w:rPr>
                <w:sz w:val="24"/>
                <w:szCs w:val="24"/>
                <w:color w:val="auto"/>
              </w:rPr>
            </w:pPr>
          </w:p>
        </w:tc>
      </w:tr>
      <w:tr>
        <w:trPr>
          <w:trHeight w:val="380"/>
        </w:trPr>
        <w:tc>
          <w:tcPr>
            <w:tcW w:w="3500" w:type="dxa"/>
            <w:vAlign w:val="bottom"/>
          </w:tcPr>
          <w:p>
            <w:pPr>
              <w:spacing w:after="0"/>
              <w:rPr>
                <w:sz w:val="20"/>
                <w:szCs w:val="20"/>
                <w:color w:val="auto"/>
              </w:rPr>
            </w:pPr>
            <w:r>
              <w:rPr>
                <w:rFonts w:ascii="Arial" w:cs="Arial" w:eastAsia="Arial" w:hAnsi="Arial"/>
                <w:sz w:val="16"/>
                <w:szCs w:val="16"/>
                <w:b w:val="1"/>
                <w:bCs w:val="1"/>
                <w:color w:val="auto"/>
              </w:rPr>
              <w:t>Project Leaders</w:t>
            </w:r>
          </w:p>
        </w:tc>
        <w:tc>
          <w:tcPr>
            <w:tcW w:w="3000" w:type="dxa"/>
            <w:vAlign w:val="bottom"/>
          </w:tcPr>
          <w:p>
            <w:pPr>
              <w:ind w:left="660"/>
              <w:spacing w:after="0"/>
              <w:rPr>
                <w:sz w:val="20"/>
                <w:szCs w:val="20"/>
                <w:color w:val="auto"/>
              </w:rPr>
            </w:pPr>
            <w:r>
              <w:rPr>
                <w:rFonts w:ascii="Arial" w:cs="Arial" w:eastAsia="Arial" w:hAnsi="Arial"/>
                <w:sz w:val="16"/>
                <w:szCs w:val="16"/>
                <w:color w:val="auto"/>
              </w:rPr>
              <w:t>Company Project Leader</w:t>
            </w:r>
          </w:p>
        </w:tc>
        <w:tc>
          <w:tcPr>
            <w:tcW w:w="4960" w:type="dxa"/>
            <w:vAlign w:val="bottom"/>
          </w:tcPr>
          <w:p>
            <w:pPr>
              <w:jc w:val="right"/>
              <w:ind w:right="415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Pr>
          <w:p>
            <w:pPr>
              <w:spacing w:after="0"/>
              <w:rPr>
                <w:sz w:val="18"/>
                <w:szCs w:val="18"/>
                <w:color w:val="auto"/>
              </w:rPr>
            </w:pPr>
          </w:p>
        </w:tc>
        <w:tc>
          <w:tcPr>
            <w:tcW w:w="3000" w:type="dxa"/>
            <w:vAlign w:val="bottom"/>
          </w:tcPr>
          <w:p>
            <w:pPr>
              <w:ind w:left="660"/>
              <w:spacing w:after="0"/>
              <w:rPr>
                <w:sz w:val="20"/>
                <w:szCs w:val="20"/>
                <w:color w:val="auto"/>
              </w:rPr>
            </w:pPr>
            <w:r>
              <w:rPr>
                <w:rFonts w:ascii="Arial" w:cs="Arial" w:eastAsia="Arial" w:hAnsi="Arial"/>
                <w:sz w:val="16"/>
                <w:szCs w:val="16"/>
                <w:color w:val="auto"/>
              </w:rPr>
              <w:t>Charity Project Leader</w:t>
            </w:r>
          </w:p>
        </w:tc>
        <w:tc>
          <w:tcPr>
            <w:tcW w:w="4960" w:type="dxa"/>
            <w:vAlign w:val="bottom"/>
          </w:tcPr>
          <w:p>
            <w:pPr>
              <w:jc w:val="right"/>
              <w:ind w:right="4159"/>
              <w:spacing w:after="0"/>
              <w:rPr>
                <w:sz w:val="20"/>
                <w:szCs w:val="20"/>
                <w:color w:val="auto"/>
              </w:rPr>
            </w:pPr>
            <w:r>
              <w:rPr>
                <w:rFonts w:ascii="Arial" w:cs="Arial" w:eastAsia="Arial" w:hAnsi="Arial"/>
                <w:sz w:val="16"/>
                <w:szCs w:val="16"/>
                <w:color w:val="auto"/>
              </w:rPr>
              <w:t>[***]</w:t>
            </w:r>
          </w:p>
        </w:tc>
      </w:tr>
      <w:tr>
        <w:trPr>
          <w:trHeight w:val="391"/>
        </w:trPr>
        <w:tc>
          <w:tcPr>
            <w:tcW w:w="3500" w:type="dxa"/>
            <w:vAlign w:val="bottom"/>
          </w:tcPr>
          <w:p>
            <w:pPr>
              <w:spacing w:after="0"/>
              <w:rPr>
                <w:sz w:val="24"/>
                <w:szCs w:val="24"/>
                <w:color w:val="auto"/>
              </w:rPr>
            </w:pPr>
          </w:p>
        </w:tc>
        <w:tc>
          <w:tcPr>
            <w:tcW w:w="7960" w:type="dxa"/>
            <w:vAlign w:val="bottom"/>
            <w:gridSpan w:val="2"/>
          </w:tcPr>
          <w:p>
            <w:pPr>
              <w:jc w:val="center"/>
              <w:ind w:right="3459"/>
              <w:spacing w:after="0"/>
              <w:rPr>
                <w:sz w:val="20"/>
                <w:szCs w:val="20"/>
                <w:color w:val="auto"/>
              </w:rPr>
            </w:pPr>
            <w:r>
              <w:rPr>
                <w:rFonts w:ascii="Arial" w:cs="Arial" w:eastAsia="Arial" w:hAnsi="Arial"/>
                <w:sz w:val="16"/>
                <w:szCs w:val="16"/>
                <w:b w:val="1"/>
                <w:bCs w:val="1"/>
                <w:color w:val="auto"/>
                <w:w w:val="92"/>
              </w:rPr>
              <w:t>Know how, materials and other intellectual property</w:t>
            </w:r>
          </w:p>
        </w:tc>
      </w:tr>
      <w:tr>
        <w:trPr>
          <w:trHeight w:val="391"/>
        </w:trPr>
        <w:tc>
          <w:tcPr>
            <w:tcW w:w="3500" w:type="dxa"/>
            <w:vAlign w:val="bottom"/>
          </w:tcPr>
          <w:p>
            <w:pPr>
              <w:spacing w:after="0"/>
              <w:rPr>
                <w:sz w:val="20"/>
                <w:szCs w:val="20"/>
                <w:color w:val="auto"/>
              </w:rPr>
            </w:pPr>
            <w:r>
              <w:rPr>
                <w:rFonts w:ascii="Arial" w:cs="Arial" w:eastAsia="Arial" w:hAnsi="Arial"/>
                <w:sz w:val="16"/>
                <w:szCs w:val="16"/>
                <w:b w:val="1"/>
                <w:bCs w:val="1"/>
                <w:color w:val="auto"/>
              </w:rPr>
              <w:t>Agent Know How</w:t>
            </w:r>
          </w:p>
        </w:tc>
        <w:tc>
          <w:tcPr>
            <w:tcW w:w="3000" w:type="dxa"/>
            <w:vAlign w:val="bottom"/>
          </w:tcPr>
          <w:p>
            <w:pPr>
              <w:ind w:left="660"/>
              <w:spacing w:after="0"/>
              <w:rPr>
                <w:sz w:val="20"/>
                <w:szCs w:val="20"/>
                <w:color w:val="auto"/>
              </w:rPr>
            </w:pPr>
            <w:r>
              <w:rPr>
                <w:rFonts w:ascii="Arial" w:cs="Arial" w:eastAsia="Arial" w:hAnsi="Arial"/>
                <w:sz w:val="16"/>
                <w:szCs w:val="16"/>
                <w:color w:val="auto"/>
              </w:rPr>
              <w:t>See Schedule 4</w:t>
            </w:r>
          </w:p>
        </w:tc>
        <w:tc>
          <w:tcPr>
            <w:tcW w:w="4960" w:type="dxa"/>
            <w:vAlign w:val="bottom"/>
          </w:tcPr>
          <w:p>
            <w:pPr>
              <w:spacing w:after="0"/>
              <w:rPr>
                <w:sz w:val="24"/>
                <w:szCs w:val="24"/>
                <w:color w:val="auto"/>
              </w:rPr>
            </w:pPr>
          </w:p>
        </w:tc>
      </w:tr>
      <w:tr>
        <w:trPr>
          <w:trHeight w:val="391"/>
        </w:trPr>
        <w:tc>
          <w:tcPr>
            <w:tcW w:w="3500" w:type="dxa"/>
            <w:vAlign w:val="bottom"/>
          </w:tcPr>
          <w:p>
            <w:pPr>
              <w:spacing w:after="0"/>
              <w:rPr>
                <w:sz w:val="20"/>
                <w:szCs w:val="20"/>
                <w:color w:val="auto"/>
              </w:rPr>
            </w:pPr>
            <w:r>
              <w:rPr>
                <w:rFonts w:ascii="Arial" w:cs="Arial" w:eastAsia="Arial" w:hAnsi="Arial"/>
                <w:sz w:val="16"/>
                <w:szCs w:val="16"/>
                <w:b w:val="1"/>
                <w:bCs w:val="1"/>
                <w:color w:val="auto"/>
              </w:rPr>
              <w:t>Agent Materials</w:t>
            </w:r>
          </w:p>
        </w:tc>
        <w:tc>
          <w:tcPr>
            <w:tcW w:w="7960" w:type="dxa"/>
            <w:vAlign w:val="bottom"/>
            <w:gridSpan w:val="2"/>
          </w:tcPr>
          <w:p>
            <w:pPr>
              <w:ind w:left="660"/>
              <w:spacing w:after="0"/>
              <w:rPr>
                <w:sz w:val="20"/>
                <w:szCs w:val="20"/>
                <w:color w:val="auto"/>
              </w:rPr>
            </w:pPr>
            <w:r>
              <w:rPr>
                <w:rFonts w:ascii="Arial" w:cs="Arial" w:eastAsia="Arial" w:hAnsi="Arial"/>
                <w:sz w:val="16"/>
                <w:szCs w:val="16"/>
                <w:color w:val="auto"/>
              </w:rPr>
              <w:t>API –BT1718 DS-One GMP batch of drug substance will be manufactured by [***].</w:t>
            </w:r>
          </w:p>
        </w:tc>
      </w:tr>
      <w:tr>
        <w:trPr>
          <w:trHeight w:val="380"/>
        </w:trPr>
        <w:tc>
          <w:tcPr>
            <w:tcW w:w="3500" w:type="dxa"/>
            <w:vAlign w:val="bottom"/>
          </w:tcPr>
          <w:p>
            <w:pPr>
              <w:spacing w:after="0"/>
              <w:rPr>
                <w:sz w:val="24"/>
                <w:szCs w:val="24"/>
                <w:color w:val="auto"/>
              </w:rPr>
            </w:pPr>
          </w:p>
        </w:tc>
        <w:tc>
          <w:tcPr>
            <w:tcW w:w="7960" w:type="dxa"/>
            <w:vAlign w:val="bottom"/>
            <w:gridSpan w:val="2"/>
          </w:tcPr>
          <w:p>
            <w:pPr>
              <w:ind w:left="660"/>
              <w:spacing w:after="0"/>
              <w:rPr>
                <w:sz w:val="20"/>
                <w:szCs w:val="20"/>
                <w:color w:val="auto"/>
              </w:rPr>
            </w:pPr>
            <w:r>
              <w:rPr>
                <w:rFonts w:ascii="Arial" w:cs="Arial" w:eastAsia="Arial" w:hAnsi="Arial"/>
                <w:sz w:val="16"/>
                <w:szCs w:val="16"/>
                <w:color w:val="auto"/>
              </w:rPr>
              <w:t>IMP – BT1718 DP – Two fill runs of [***]. The final number of unlabeled vials provided to CRUK will be</w:t>
            </w:r>
          </w:p>
        </w:tc>
      </w:tr>
      <w:tr>
        <w:trPr>
          <w:trHeight w:val="207"/>
        </w:trPr>
        <w:tc>
          <w:tcPr>
            <w:tcW w:w="3500" w:type="dxa"/>
            <w:vAlign w:val="bottom"/>
          </w:tcPr>
          <w:p>
            <w:pPr>
              <w:spacing w:after="0"/>
              <w:rPr>
                <w:sz w:val="18"/>
                <w:szCs w:val="18"/>
                <w:color w:val="auto"/>
              </w:rPr>
            </w:pPr>
          </w:p>
        </w:tc>
        <w:tc>
          <w:tcPr>
            <w:tcW w:w="7960" w:type="dxa"/>
            <w:vAlign w:val="bottom"/>
            <w:gridSpan w:val="2"/>
          </w:tcPr>
          <w:p>
            <w:pPr>
              <w:ind w:left="660"/>
              <w:spacing w:after="0"/>
              <w:rPr>
                <w:sz w:val="20"/>
                <w:szCs w:val="20"/>
                <w:color w:val="auto"/>
              </w:rPr>
            </w:pPr>
            <w:r>
              <w:rPr>
                <w:rFonts w:ascii="Arial" w:cs="Arial" w:eastAsia="Arial" w:hAnsi="Arial"/>
                <w:sz w:val="16"/>
                <w:szCs w:val="16"/>
                <w:color w:val="auto"/>
              </w:rPr>
              <w:t>determined by the amount of vials needed for release testing, stability and retains [***].</w:t>
            </w:r>
          </w:p>
        </w:tc>
      </w:tr>
      <w:tr>
        <w:trPr>
          <w:trHeight w:val="391"/>
        </w:trPr>
        <w:tc>
          <w:tcPr>
            <w:tcW w:w="3500" w:type="dxa"/>
            <w:vAlign w:val="bottom"/>
          </w:tcPr>
          <w:p>
            <w:pPr>
              <w:spacing w:after="0"/>
              <w:rPr>
                <w:sz w:val="20"/>
                <w:szCs w:val="20"/>
                <w:color w:val="auto"/>
              </w:rPr>
            </w:pPr>
            <w:r>
              <w:rPr>
                <w:rFonts w:ascii="Arial" w:cs="Arial" w:eastAsia="Arial" w:hAnsi="Arial"/>
                <w:sz w:val="16"/>
                <w:szCs w:val="16"/>
                <w:b w:val="1"/>
                <w:bCs w:val="1"/>
                <w:color w:val="auto"/>
              </w:rPr>
              <w:t>Agent Patents</w:t>
            </w:r>
          </w:p>
        </w:tc>
        <w:tc>
          <w:tcPr>
            <w:tcW w:w="3000" w:type="dxa"/>
            <w:vAlign w:val="bottom"/>
          </w:tcPr>
          <w:p>
            <w:pPr>
              <w:ind w:left="660"/>
              <w:spacing w:after="0"/>
              <w:rPr>
                <w:sz w:val="20"/>
                <w:szCs w:val="20"/>
                <w:color w:val="auto"/>
              </w:rPr>
            </w:pPr>
            <w:r>
              <w:rPr>
                <w:rFonts w:ascii="Arial" w:cs="Arial" w:eastAsia="Arial" w:hAnsi="Arial"/>
                <w:sz w:val="16"/>
                <w:szCs w:val="16"/>
                <w:color w:val="auto"/>
              </w:rPr>
              <w:t>See Schedule 5.</w:t>
            </w:r>
          </w:p>
        </w:tc>
        <w:tc>
          <w:tcPr>
            <w:tcW w:w="4960" w:type="dxa"/>
            <w:vAlign w:val="bottom"/>
          </w:tcPr>
          <w:p>
            <w:pPr>
              <w:spacing w:after="0"/>
              <w:rPr>
                <w:sz w:val="24"/>
                <w:szCs w:val="24"/>
                <w:color w:val="auto"/>
              </w:rPr>
            </w:pPr>
          </w:p>
        </w:tc>
      </w:tr>
      <w:tr>
        <w:trPr>
          <w:trHeight w:val="315"/>
        </w:trPr>
        <w:tc>
          <w:tcPr>
            <w:tcW w:w="350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566" w:name="page567"/>
    <w:bookmarkEnd w:id="566"/>
    <w:p>
      <w:pPr>
        <w:ind w:left="2" w:right="200" w:hanging="2"/>
        <w:spacing w:after="0" w:line="270" w:lineRule="auto"/>
        <w:tabs>
          <w:tab w:leader="none" w:pos="396" w:val="left"/>
        </w:tabs>
        <w:numPr>
          <w:ilvl w:val="0"/>
          <w:numId w:val="551"/>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p>
      <w:pPr>
        <w:ind w:left="2"/>
        <w:spacing w:after="0"/>
        <w:tabs>
          <w:tab w:leader="none" w:pos="4142" w:val="left"/>
        </w:tabs>
        <w:rPr>
          <w:sz w:val="20"/>
          <w:szCs w:val="20"/>
          <w:color w:val="auto"/>
        </w:rPr>
      </w:pPr>
      <w:r>
        <w:rPr>
          <w:rFonts w:ascii="Arial" w:cs="Arial" w:eastAsia="Arial" w:hAnsi="Arial"/>
          <w:sz w:val="16"/>
          <w:szCs w:val="16"/>
          <w:b w:val="1"/>
          <w:bCs w:val="1"/>
          <w:color w:val="auto"/>
        </w:rPr>
        <w:t>Third Party IP</w:t>
      </w:r>
      <w:r>
        <w:rPr>
          <w:sz w:val="20"/>
          <w:szCs w:val="20"/>
          <w:color w:val="auto"/>
        </w:rPr>
        <w:tab/>
      </w:r>
      <w:r>
        <w:rPr>
          <w:rFonts w:ascii="Arial" w:cs="Arial" w:eastAsia="Arial" w:hAnsi="Arial"/>
          <w:sz w:val="14"/>
          <w:szCs w:val="14"/>
          <w:color w:val="auto"/>
        </w:rPr>
        <w:t>IP licences and rights under the following agreements:</w:t>
      </w:r>
    </w:p>
    <w:p>
      <w:pPr>
        <w:spacing w:after="0" w:line="211" w:lineRule="exact"/>
        <w:rPr>
          <w:sz w:val="20"/>
          <w:szCs w:val="20"/>
          <w:color w:val="auto"/>
        </w:rPr>
      </w:pPr>
    </w:p>
    <w:p>
      <w:pPr>
        <w:ind w:left="4602" w:right="60" w:hanging="445"/>
        <w:spacing w:after="0" w:line="305" w:lineRule="auto"/>
        <w:tabs>
          <w:tab w:leader="none" w:pos="4596" w:val="left"/>
        </w:tabs>
        <w:numPr>
          <w:ilvl w:val="0"/>
          <w:numId w:val="552"/>
        </w:numPr>
        <w:rPr>
          <w:rFonts w:ascii="Arial" w:cs="Arial" w:eastAsia="Arial" w:hAnsi="Arial"/>
          <w:sz w:val="14"/>
          <w:szCs w:val="14"/>
          <w:color w:val="auto"/>
        </w:rPr>
      </w:pPr>
      <w:r>
        <w:rPr>
          <w:rFonts w:ascii="Arial" w:cs="Arial" w:eastAsia="Arial" w:hAnsi="Arial"/>
          <w:sz w:val="14"/>
          <w:szCs w:val="14"/>
          <w:color w:val="auto"/>
        </w:rPr>
        <w:t xml:space="preserve">Patent License Agreement by and among Pepscan Systems B.V. and Pepscan Presto B.V., on the one hand, and Bicycle Therapeutics Limited, on the other hand, dated 1 July 2010. Relevant IP includes the so-called “CLIPS” technology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auto"/>
        </w:rPr>
        <w:t>C</w:t>
      </w:r>
      <w:r>
        <w:rPr>
          <w:rFonts w:ascii="Arial" w:cs="Arial" w:eastAsia="Arial" w:hAnsi="Arial"/>
          <w:sz w:val="14"/>
          <w:szCs w:val="14"/>
          <w:i w:val="1"/>
          <w:iCs w:val="1"/>
          <w:color w:val="auto"/>
        </w:rPr>
        <w:t>hemical</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Li</w:t>
      </w:r>
      <w:r>
        <w:rPr>
          <w:rFonts w:ascii="Arial" w:cs="Arial" w:eastAsia="Arial" w:hAnsi="Arial"/>
          <w:sz w:val="14"/>
          <w:szCs w:val="14"/>
          <w:i w:val="1"/>
          <w:iCs w:val="1"/>
          <w:color w:val="auto"/>
        </w:rPr>
        <w:t>nkage of</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P</w:t>
      </w:r>
      <w:r>
        <w:rPr>
          <w:rFonts w:ascii="Arial" w:cs="Arial" w:eastAsia="Arial" w:hAnsi="Arial"/>
          <w:sz w:val="14"/>
          <w:szCs w:val="14"/>
          <w:i w:val="1"/>
          <w:iCs w:val="1"/>
          <w:color w:val="auto"/>
        </w:rPr>
        <w:t>eptides onto</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S</w:t>
      </w:r>
      <w:r>
        <w:rPr>
          <w:rFonts w:ascii="Arial" w:cs="Arial" w:eastAsia="Arial" w:hAnsi="Arial"/>
          <w:sz w:val="14"/>
          <w:szCs w:val="14"/>
          <w:i w:val="1"/>
          <w:iCs w:val="1"/>
          <w:color w:val="auto"/>
        </w:rPr>
        <w:t>caffolds),</w:t>
      </w:r>
      <w:r>
        <w:rPr>
          <w:rFonts w:ascii="Arial" w:cs="Arial" w:eastAsia="Arial" w:hAnsi="Arial"/>
          <w:sz w:val="14"/>
          <w:szCs w:val="14"/>
          <w:color w:val="auto"/>
        </w:rPr>
        <w:t xml:space="preserve"> including the Patent granted in Europe on 15 June 2011 (EP 1 597 585), on the basis of an international application dated 26 February 2004 (WO 2004/077062) invoking as the priority right date the European application of 27 February 2003 (EP 1452 868). Pepscan owns similar patents in the United States and other countries.</w:t>
      </w:r>
    </w:p>
    <w:p>
      <w:pPr>
        <w:spacing w:after="0" w:line="141" w:lineRule="exact"/>
        <w:rPr>
          <w:rFonts w:ascii="Arial" w:cs="Arial" w:eastAsia="Arial" w:hAnsi="Arial"/>
          <w:sz w:val="14"/>
          <w:szCs w:val="14"/>
          <w:color w:val="auto"/>
        </w:rPr>
      </w:pPr>
    </w:p>
    <w:p>
      <w:pPr>
        <w:ind w:left="4602" w:hanging="445"/>
        <w:spacing w:after="0"/>
        <w:tabs>
          <w:tab w:leader="none" w:pos="4602" w:val="left"/>
        </w:tabs>
        <w:numPr>
          <w:ilvl w:val="0"/>
          <w:numId w:val="552"/>
        </w:numPr>
        <w:rPr>
          <w:rFonts w:ascii="Arial" w:cs="Arial" w:eastAsia="Arial" w:hAnsi="Arial"/>
          <w:sz w:val="16"/>
          <w:szCs w:val="16"/>
          <w:color w:val="auto"/>
        </w:rPr>
      </w:pPr>
      <w:r>
        <w:rPr>
          <w:rFonts w:ascii="Arial" w:cs="Arial" w:eastAsia="Arial" w:hAnsi="Arial"/>
          <w:sz w:val="16"/>
          <w:szCs w:val="16"/>
          <w:color w:val="auto"/>
        </w:rPr>
        <w:t>Master Services Agreement by and between Bicycle Therapeutics Limited and [***] dated [***]</w:t>
      </w:r>
    </w:p>
    <w:p>
      <w:pPr>
        <w:spacing w:after="0" w:line="207" w:lineRule="exact"/>
        <w:rPr>
          <w:rFonts w:ascii="Arial" w:cs="Arial" w:eastAsia="Arial" w:hAnsi="Arial"/>
          <w:sz w:val="16"/>
          <w:szCs w:val="16"/>
          <w:color w:val="auto"/>
        </w:rPr>
      </w:pPr>
    </w:p>
    <w:p>
      <w:pPr>
        <w:ind w:left="4602" w:hanging="445"/>
        <w:spacing w:after="0"/>
        <w:tabs>
          <w:tab w:leader="none" w:pos="4602" w:val="left"/>
        </w:tabs>
        <w:numPr>
          <w:ilvl w:val="0"/>
          <w:numId w:val="552"/>
        </w:numPr>
        <w:rPr>
          <w:rFonts w:ascii="Arial" w:cs="Arial" w:eastAsia="Arial" w:hAnsi="Arial"/>
          <w:sz w:val="16"/>
          <w:szCs w:val="16"/>
          <w:color w:val="auto"/>
        </w:rPr>
      </w:pPr>
      <w:r>
        <w:rPr>
          <w:rFonts w:ascii="Arial" w:cs="Arial" w:eastAsia="Arial" w:hAnsi="Arial"/>
          <w:sz w:val="16"/>
          <w:szCs w:val="16"/>
          <w:color w:val="auto"/>
        </w:rPr>
        <w:t>Master Services Agreement by and between Bicycle Therapeutics Limited and [***] dated [***]</w:t>
      </w:r>
    </w:p>
    <w:p>
      <w:pPr>
        <w:spacing w:after="0" w:line="207" w:lineRule="exact"/>
        <w:rPr>
          <w:rFonts w:ascii="Arial" w:cs="Arial" w:eastAsia="Arial" w:hAnsi="Arial"/>
          <w:sz w:val="16"/>
          <w:szCs w:val="16"/>
          <w:color w:val="auto"/>
        </w:rPr>
      </w:pPr>
    </w:p>
    <w:p>
      <w:pPr>
        <w:ind w:left="4602" w:right="260" w:hanging="445"/>
        <w:spacing w:after="0" w:line="285" w:lineRule="auto"/>
        <w:tabs>
          <w:tab w:leader="none" w:pos="4596" w:val="left"/>
        </w:tabs>
        <w:numPr>
          <w:ilvl w:val="0"/>
          <w:numId w:val="552"/>
        </w:numPr>
        <w:rPr>
          <w:rFonts w:ascii="Arial" w:cs="Arial" w:eastAsia="Arial" w:hAnsi="Arial"/>
          <w:sz w:val="16"/>
          <w:szCs w:val="16"/>
          <w:color w:val="auto"/>
        </w:rPr>
      </w:pPr>
      <w:r>
        <w:rPr>
          <w:rFonts w:ascii="Arial" w:cs="Arial" w:eastAsia="Arial" w:hAnsi="Arial"/>
          <w:sz w:val="16"/>
          <w:szCs w:val="16"/>
          <w:color w:val="auto"/>
        </w:rPr>
        <w:t>Master Contract Research Agreement by and between Bicycle Therapeutics Limited and [***] dated [***]</w:t>
      </w:r>
    </w:p>
    <w:p>
      <w:pPr>
        <w:spacing w:after="0" w:line="149" w:lineRule="exact"/>
        <w:rPr>
          <w:rFonts w:ascii="Arial" w:cs="Arial" w:eastAsia="Arial" w:hAnsi="Arial"/>
          <w:sz w:val="16"/>
          <w:szCs w:val="16"/>
          <w:color w:val="auto"/>
        </w:rPr>
      </w:pPr>
    </w:p>
    <w:p>
      <w:pPr>
        <w:ind w:left="4602" w:hanging="445"/>
        <w:spacing w:after="0" w:line="285" w:lineRule="auto"/>
        <w:tabs>
          <w:tab w:leader="none" w:pos="4596" w:val="left"/>
        </w:tabs>
        <w:numPr>
          <w:ilvl w:val="0"/>
          <w:numId w:val="552"/>
        </w:numPr>
        <w:rPr>
          <w:rFonts w:ascii="Arial" w:cs="Arial" w:eastAsia="Arial" w:hAnsi="Arial"/>
          <w:sz w:val="16"/>
          <w:szCs w:val="16"/>
          <w:color w:val="auto"/>
        </w:rPr>
      </w:pPr>
      <w:r>
        <w:rPr>
          <w:rFonts w:ascii="Arial" w:cs="Arial" w:eastAsia="Arial" w:hAnsi="Arial"/>
          <w:sz w:val="16"/>
          <w:szCs w:val="16"/>
          <w:color w:val="auto"/>
        </w:rPr>
        <w:t>Master Development and Clinical Supply and Services Agreement by and between Bicycle Therapeutics Limited and [***] dated [***]</w:t>
      </w:r>
    </w:p>
    <w:p>
      <w:pPr>
        <w:spacing w:after="0" w:line="146" w:lineRule="exact"/>
        <w:rPr>
          <w:sz w:val="20"/>
          <w:szCs w:val="20"/>
          <w:color w:val="auto"/>
        </w:rPr>
      </w:pPr>
    </w:p>
    <w:tbl>
      <w:tblPr>
        <w:tblLayout w:type="fixed"/>
        <w:tblInd w:w="282" w:type="dxa"/>
        <w:tblCellMar>
          <w:top w:w="0" w:type="dxa"/>
          <w:left w:w="0" w:type="dxa"/>
          <w:bottom w:w="0" w:type="dxa"/>
          <w:right w:w="0" w:type="dxa"/>
        </w:tblCellMar>
      </w:tblPr>
      <w:tr>
        <w:trPr>
          <w:trHeight w:val="211"/>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160" w:type="dxa"/>
            <w:vAlign w:val="bottom"/>
          </w:tcPr>
          <w:p>
            <w:pPr>
              <w:ind w:left="1580"/>
              <w:spacing w:after="0"/>
              <w:rPr>
                <w:sz w:val="20"/>
                <w:szCs w:val="20"/>
                <w:color w:val="auto"/>
              </w:rPr>
            </w:pPr>
            <w:r>
              <w:rPr>
                <w:rFonts w:ascii="Arial" w:cs="Arial" w:eastAsia="Arial" w:hAnsi="Arial"/>
                <w:sz w:val="16"/>
                <w:szCs w:val="16"/>
                <w:b w:val="1"/>
                <w:bCs w:val="1"/>
                <w:color w:val="auto"/>
              </w:rPr>
              <w:t>Payments</w:t>
            </w:r>
          </w:p>
        </w:tc>
      </w:tr>
      <w:tr>
        <w:trPr>
          <w:trHeight w:val="391"/>
        </w:trPr>
        <w:tc>
          <w:tcPr>
            <w:tcW w:w="540" w:type="dxa"/>
            <w:vAlign w:val="bottom"/>
          </w:tcPr>
          <w:p>
            <w:pPr>
              <w:jc w:val="center"/>
              <w:ind w:right="199"/>
              <w:spacing w:after="0"/>
              <w:rPr>
                <w:sz w:val="20"/>
                <w:szCs w:val="20"/>
                <w:color w:val="auto"/>
              </w:rPr>
            </w:pPr>
            <w:r>
              <w:rPr>
                <w:rFonts w:ascii="Arial" w:cs="Arial" w:eastAsia="Arial" w:hAnsi="Arial"/>
                <w:sz w:val="16"/>
                <w:szCs w:val="16"/>
                <w:b w:val="1"/>
                <w:bCs w:val="1"/>
                <w:color w:val="auto"/>
                <w:w w:val="85"/>
              </w:rPr>
              <w:t>Box</w:t>
            </w:r>
          </w:p>
        </w:tc>
        <w:tc>
          <w:tcPr>
            <w:tcW w:w="298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391"/>
        </w:trPr>
        <w:tc>
          <w:tcPr>
            <w:tcW w:w="54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1</w:t>
            </w:r>
          </w:p>
        </w:tc>
        <w:tc>
          <w:tcPr>
            <w:tcW w:w="2980" w:type="dxa"/>
            <w:vAlign w:val="bottom"/>
          </w:tcPr>
          <w:p>
            <w:pPr>
              <w:ind w:left="300"/>
              <w:spacing w:after="0"/>
              <w:rPr>
                <w:sz w:val="20"/>
                <w:szCs w:val="20"/>
                <w:color w:val="auto"/>
              </w:rPr>
            </w:pPr>
            <w:r>
              <w:rPr>
                <w:rFonts w:ascii="Arial" w:cs="Arial" w:eastAsia="Arial" w:hAnsi="Arial"/>
                <w:sz w:val="16"/>
                <w:szCs w:val="16"/>
                <w:b w:val="1"/>
                <w:bCs w:val="1"/>
                <w:color w:val="auto"/>
              </w:rPr>
              <w:t>Licence Fee</w:t>
            </w:r>
          </w:p>
        </w:tc>
        <w:tc>
          <w:tcPr>
            <w:tcW w:w="7160" w:type="dxa"/>
            <w:vAlign w:val="bottom"/>
          </w:tcPr>
          <w:p>
            <w:pPr>
              <w:ind w:left="5700"/>
              <w:spacing w:after="0"/>
              <w:rPr>
                <w:sz w:val="20"/>
                <w:szCs w:val="20"/>
                <w:color w:val="auto"/>
              </w:rPr>
            </w:pPr>
            <w:r>
              <w:rPr>
                <w:rFonts w:ascii="Arial" w:cs="Arial" w:eastAsia="Arial" w:hAnsi="Arial"/>
                <w:sz w:val="16"/>
                <w:szCs w:val="16"/>
                <w:color w:val="auto"/>
              </w:rPr>
              <w:t>[***] pounds (£[***])</w:t>
            </w:r>
          </w:p>
        </w:tc>
      </w:tr>
      <w:tr>
        <w:trPr>
          <w:trHeight w:val="391"/>
        </w:trPr>
        <w:tc>
          <w:tcPr>
            <w:tcW w:w="54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w:t>
            </w:r>
          </w:p>
        </w:tc>
        <w:tc>
          <w:tcPr>
            <w:tcW w:w="2980" w:type="dxa"/>
            <w:vAlign w:val="bottom"/>
          </w:tcPr>
          <w:p>
            <w:pPr>
              <w:ind w:left="300"/>
              <w:spacing w:after="0"/>
              <w:rPr>
                <w:sz w:val="20"/>
                <w:szCs w:val="20"/>
                <w:color w:val="auto"/>
              </w:rPr>
            </w:pPr>
            <w:r>
              <w:rPr>
                <w:rFonts w:ascii="Arial" w:cs="Arial" w:eastAsia="Arial" w:hAnsi="Arial"/>
                <w:sz w:val="16"/>
                <w:szCs w:val="16"/>
                <w:b w:val="1"/>
                <w:bCs w:val="1"/>
                <w:color w:val="auto"/>
              </w:rPr>
              <w:t>Milestone Event</w:t>
            </w:r>
          </w:p>
        </w:tc>
        <w:tc>
          <w:tcPr>
            <w:tcW w:w="7160" w:type="dxa"/>
            <w:vAlign w:val="bottom"/>
          </w:tcPr>
          <w:p>
            <w:pPr>
              <w:ind w:left="5240"/>
              <w:spacing w:after="0"/>
              <w:rPr>
                <w:sz w:val="20"/>
                <w:szCs w:val="20"/>
                <w:color w:val="auto"/>
              </w:rPr>
            </w:pPr>
            <w:r>
              <w:rPr>
                <w:rFonts w:ascii="Arial" w:cs="Arial" w:eastAsia="Arial" w:hAnsi="Arial"/>
                <w:sz w:val="16"/>
                <w:szCs w:val="16"/>
                <w:b w:val="1"/>
                <w:bCs w:val="1"/>
                <w:color w:val="auto"/>
              </w:rPr>
              <w:t>Base Milestone Payment</w:t>
            </w:r>
          </w:p>
        </w:tc>
      </w:tr>
    </w:tbl>
    <w:p>
      <w:pPr>
        <w:spacing w:after="0" w:line="184" w:lineRule="exact"/>
        <w:rPr>
          <w:sz w:val="20"/>
          <w:szCs w:val="20"/>
          <w:color w:val="auto"/>
        </w:rPr>
      </w:pPr>
    </w:p>
    <w:p>
      <w:pPr>
        <w:ind w:left="1122" w:hanging="747"/>
        <w:spacing w:after="0"/>
        <w:tabs>
          <w:tab w:leader="none" w:pos="1122" w:val="left"/>
        </w:tabs>
        <w:numPr>
          <w:ilvl w:val="0"/>
          <w:numId w:val="553"/>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Clinical Milestone Events</w:t>
      </w:r>
    </w:p>
    <w:p>
      <w:pPr>
        <w:sectPr>
          <w:pgSz w:w="11900" w:h="16838" w:orient="portrait"/>
          <w:cols w:equalWidth="0" w:num="1">
            <w:col w:w="11422"/>
          </w:cols>
          <w:pgMar w:left="238" w:top="322" w:right="239" w:bottom="1440" w:gutter="0" w:footer="0" w:header="0"/>
        </w:sectPr>
      </w:pPr>
    </w:p>
    <w:p>
      <w:pPr>
        <w:spacing w:after="0" w:line="207" w:lineRule="exact"/>
        <w:rPr>
          <w:sz w:val="20"/>
          <w:szCs w:val="20"/>
          <w:color w:val="auto"/>
        </w:rPr>
      </w:pPr>
    </w:p>
    <w:p>
      <w:pPr>
        <w:ind w:left="1122"/>
        <w:spacing w:after="0"/>
        <w:rPr>
          <w:sz w:val="20"/>
          <w:szCs w:val="20"/>
          <w:color w:val="auto"/>
        </w:rPr>
      </w:pPr>
      <w:r>
        <w:rPr>
          <w:rFonts w:ascii="Arial" w:cs="Arial" w:eastAsia="Arial" w:hAnsi="Arial"/>
          <w:sz w:val="16"/>
          <w:szCs w:val="16"/>
          <w:color w:val="auto"/>
        </w:rPr>
        <w:t>[***]</w:t>
      </w:r>
    </w:p>
    <w:p>
      <w:pPr>
        <w:spacing w:after="0" w:line="207" w:lineRule="exact"/>
        <w:rPr>
          <w:sz w:val="20"/>
          <w:szCs w:val="20"/>
          <w:color w:val="auto"/>
        </w:rPr>
      </w:pPr>
    </w:p>
    <w:p>
      <w:pPr>
        <w:ind w:left="112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pounds (£[***])</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 pounds (£[***])</w:t>
      </w:r>
    </w:p>
    <w:p>
      <w:pPr>
        <w:spacing w:after="0" w:line="200" w:lineRule="exact"/>
        <w:rPr>
          <w:sz w:val="20"/>
          <w:szCs w:val="20"/>
          <w:color w:val="auto"/>
        </w:rPr>
      </w:pPr>
    </w:p>
    <w:p>
      <w:pPr>
        <w:sectPr>
          <w:pgSz w:w="11900" w:h="16838" w:orient="portrait"/>
          <w:cols w:equalWidth="0" w:num="2">
            <w:col w:w="8782" w:space="720"/>
            <w:col w:w="1920"/>
          </w:cols>
          <w:pgMar w:left="238" w:top="322" w:right="239" w:bottom="1440" w:gutter="0" w:footer="0" w:header="0"/>
          <w:type w:val="continuous"/>
        </w:sectPr>
      </w:pPr>
    </w:p>
    <w:p>
      <w:pPr>
        <w:spacing w:after="0" w:line="7" w:lineRule="exact"/>
        <w:rPr>
          <w:sz w:val="20"/>
          <w:szCs w:val="20"/>
          <w:color w:val="auto"/>
        </w:rPr>
      </w:pPr>
    </w:p>
    <w:p>
      <w:pPr>
        <w:ind w:left="1122" w:hanging="747"/>
        <w:spacing w:after="0"/>
        <w:tabs>
          <w:tab w:leader="none" w:pos="1122" w:val="left"/>
        </w:tabs>
        <w:numPr>
          <w:ilvl w:val="0"/>
          <w:numId w:val="554"/>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Re</w:t>
      </w:r>
      <w:r>
        <w:rPr>
          <w:rFonts w:ascii="Arial" w:cs="Arial" w:eastAsia="Arial" w:hAnsi="Arial"/>
          <w:sz w:val="16"/>
          <w:szCs w:val="16"/>
          <w:i w:val="1"/>
          <w:iCs w:val="1"/>
          <w:color w:val="auto"/>
        </w:rPr>
        <w:t>a</w:t>
      </w:r>
      <w:r>
        <w:rPr>
          <w:rFonts w:ascii="Arial" w:cs="Arial" w:eastAsia="Arial" w:hAnsi="Arial"/>
          <w:sz w:val="16"/>
          <w:szCs w:val="16"/>
          <w:i w:val="1"/>
          <w:iCs w:val="1"/>
          <w:u w:val="single" w:color="auto"/>
          <w:color w:val="auto"/>
        </w:rPr>
        <w:t>ulatory Milestone Events</w:t>
      </w:r>
    </w:p>
    <w:p>
      <w:pPr>
        <w:spacing w:after="0" w:line="207" w:lineRule="exact"/>
        <w:rPr>
          <w:sz w:val="20"/>
          <w:szCs w:val="20"/>
          <w:color w:val="auto"/>
        </w:rPr>
      </w:pPr>
    </w:p>
    <w:p>
      <w:pPr>
        <w:ind w:left="1122"/>
        <w:spacing w:after="0"/>
        <w:tabs>
          <w:tab w:leader="none" w:pos="9482"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pounds (£[***])</w:t>
      </w: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type w:val="continuous"/>
        </w:sectPr>
      </w:pPr>
    </w:p>
    <w:bookmarkStart w:id="567" w:name="page568"/>
    <w:bookmarkEnd w:id="567"/>
    <w:p>
      <w:pPr>
        <w:ind w:left="2" w:right="240" w:hanging="2"/>
        <w:spacing w:after="0" w:line="270" w:lineRule="auto"/>
        <w:tabs>
          <w:tab w:leader="none" w:pos="39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ectPr>
          <w:pgSz w:w="11900" w:h="16838" w:orient="portrait"/>
          <w:cols w:equalWidth="0" w:num="1">
            <w:col w:w="11462"/>
          </w:cols>
          <w:pgMar w:left="238" w:top="322" w:right="199" w:bottom="1440" w:gutter="0" w:footer="0" w:header="0"/>
        </w:sectPr>
      </w:pPr>
    </w:p>
    <w:p>
      <w:pPr>
        <w:spacing w:after="0" w:line="357" w:lineRule="exact"/>
        <w:rPr>
          <w:sz w:val="20"/>
          <w:szCs w:val="20"/>
          <w:color w:val="auto"/>
        </w:rPr>
      </w:pPr>
    </w:p>
    <w:p>
      <w:pPr>
        <w:ind w:left="112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 pounds (£[***])</w:t>
      </w:r>
    </w:p>
    <w:p>
      <w:pPr>
        <w:spacing w:after="0" w:line="200" w:lineRule="exact"/>
        <w:rPr>
          <w:sz w:val="20"/>
          <w:szCs w:val="20"/>
          <w:color w:val="auto"/>
        </w:rPr>
      </w:pPr>
    </w:p>
    <w:p>
      <w:pPr>
        <w:sectPr>
          <w:pgSz w:w="11900" w:h="16838" w:orient="portrait"/>
          <w:cols w:equalWidth="0" w:num="2">
            <w:col w:w="8782" w:space="720"/>
            <w:col w:w="1960"/>
          </w:cols>
          <w:pgMar w:left="238" w:top="322" w:right="199" w:bottom="1440" w:gutter="0" w:footer="0" w:header="0"/>
          <w:type w:val="continuous"/>
        </w:sectPr>
      </w:pPr>
    </w:p>
    <w:p>
      <w:pPr>
        <w:spacing w:after="0" w:line="7" w:lineRule="exact"/>
        <w:rPr>
          <w:sz w:val="20"/>
          <w:szCs w:val="20"/>
          <w:color w:val="auto"/>
        </w:rPr>
      </w:pPr>
    </w:p>
    <w:p>
      <w:pPr>
        <w:ind w:left="112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pounds (£[***])</w:t>
      </w:r>
    </w:p>
    <w:p>
      <w:pPr>
        <w:spacing w:after="0" w:line="200" w:lineRule="exact"/>
        <w:rPr>
          <w:sz w:val="20"/>
          <w:szCs w:val="20"/>
          <w:color w:val="auto"/>
        </w:rPr>
      </w:pPr>
    </w:p>
    <w:p>
      <w:pPr>
        <w:sectPr>
          <w:pgSz w:w="11900" w:h="16838" w:orient="portrait"/>
          <w:cols w:equalWidth="0" w:num="2">
            <w:col w:w="8782" w:space="720"/>
            <w:col w:w="1960"/>
          </w:cols>
          <w:pgMar w:left="238" w:top="322" w:right="199" w:bottom="1440" w:gutter="0" w:footer="0" w:header="0"/>
          <w:type w:val="continuous"/>
        </w:sectPr>
      </w:pPr>
    </w:p>
    <w:p>
      <w:pPr>
        <w:spacing w:after="0" w:line="7" w:lineRule="exact"/>
        <w:rPr>
          <w:sz w:val="20"/>
          <w:szCs w:val="20"/>
          <w:color w:val="auto"/>
        </w:rPr>
      </w:pPr>
    </w:p>
    <w:p>
      <w:pPr>
        <w:ind w:left="112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pounds (£[***])</w:t>
      </w:r>
    </w:p>
    <w:p>
      <w:pPr>
        <w:spacing w:after="0" w:line="200" w:lineRule="exact"/>
        <w:rPr>
          <w:sz w:val="20"/>
          <w:szCs w:val="20"/>
          <w:color w:val="auto"/>
        </w:rPr>
      </w:pPr>
    </w:p>
    <w:p>
      <w:pPr>
        <w:sectPr>
          <w:pgSz w:w="11900" w:h="16838" w:orient="portrait"/>
          <w:cols w:equalWidth="0" w:num="2">
            <w:col w:w="8782" w:space="720"/>
            <w:col w:w="1960"/>
          </w:cols>
          <w:pgMar w:left="238" w:top="322" w:right="199" w:bottom="1440" w:gutter="0" w:footer="0" w:header="0"/>
          <w:type w:val="continuous"/>
        </w:sectPr>
      </w:pPr>
    </w:p>
    <w:p>
      <w:pPr>
        <w:spacing w:after="0" w:line="7" w:lineRule="exact"/>
        <w:rPr>
          <w:sz w:val="20"/>
          <w:szCs w:val="20"/>
          <w:color w:val="auto"/>
        </w:rPr>
      </w:pPr>
    </w:p>
    <w:p>
      <w:pPr>
        <w:ind w:left="112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pounds (£[***])</w:t>
      </w:r>
    </w:p>
    <w:p>
      <w:pPr>
        <w:spacing w:after="0" w:line="200" w:lineRule="exact"/>
        <w:rPr>
          <w:sz w:val="20"/>
          <w:szCs w:val="20"/>
          <w:color w:val="auto"/>
        </w:rPr>
      </w:pPr>
    </w:p>
    <w:p>
      <w:pPr>
        <w:sectPr>
          <w:pgSz w:w="11900" w:h="16838" w:orient="portrait"/>
          <w:cols w:equalWidth="0" w:num="2">
            <w:col w:w="8782" w:space="720"/>
            <w:col w:w="1960"/>
          </w:cols>
          <w:pgMar w:left="238" w:top="322" w:right="199" w:bottom="1440" w:gutter="0" w:footer="0" w:header="0"/>
          <w:type w:val="continuous"/>
        </w:sectPr>
      </w:pPr>
    </w:p>
    <w:p>
      <w:pPr>
        <w:spacing w:after="0" w:line="7" w:lineRule="exact"/>
        <w:rPr>
          <w:sz w:val="20"/>
          <w:szCs w:val="20"/>
          <w:color w:val="auto"/>
        </w:rPr>
      </w:pPr>
    </w:p>
    <w:p>
      <w:pPr>
        <w:ind w:left="1122" w:hanging="747"/>
        <w:spacing w:after="0"/>
        <w:tabs>
          <w:tab w:leader="none" w:pos="1122" w:val="left"/>
        </w:tabs>
        <w:numPr>
          <w:ilvl w:val="0"/>
          <w:numId w:val="556"/>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Commercial Milestone Events</w:t>
      </w:r>
    </w:p>
    <w:p>
      <w:pPr>
        <w:spacing w:after="0" w:line="207" w:lineRule="exact"/>
        <w:rPr>
          <w:sz w:val="20"/>
          <w:szCs w:val="20"/>
          <w:color w:val="auto"/>
        </w:rPr>
      </w:pPr>
    </w:p>
    <w:tbl>
      <w:tblPr>
        <w:tblLayout w:type="fixed"/>
        <w:tblInd w:w="382" w:type="dxa"/>
        <w:tblCellMar>
          <w:top w:w="0" w:type="dxa"/>
          <w:left w:w="0" w:type="dxa"/>
          <w:bottom w:w="0" w:type="dxa"/>
          <w:right w:w="0" w:type="dxa"/>
        </w:tblCellMar>
      </w:tblPr>
      <w:tr>
        <w:trPr>
          <w:trHeight w:val="207"/>
        </w:trPr>
        <w:tc>
          <w:tcPr>
            <w:tcW w:w="40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6"/>
                <w:szCs w:val="16"/>
                <w:color w:val="auto"/>
              </w:rPr>
              <w:t>[***]</w:t>
            </w:r>
          </w:p>
        </w:tc>
        <w:tc>
          <w:tcPr>
            <w:tcW w:w="4980" w:type="dxa"/>
            <w:vAlign w:val="bottom"/>
          </w:tcPr>
          <w:p>
            <w:pPr>
              <w:jc w:val="center"/>
              <w:ind w:left="3399"/>
              <w:spacing w:after="0"/>
              <w:rPr>
                <w:sz w:val="20"/>
                <w:szCs w:val="20"/>
                <w:color w:val="auto"/>
              </w:rPr>
            </w:pPr>
            <w:r>
              <w:rPr>
                <w:rFonts w:ascii="Arial" w:cs="Arial" w:eastAsia="Arial" w:hAnsi="Arial"/>
                <w:sz w:val="16"/>
                <w:szCs w:val="16"/>
                <w:color w:val="auto"/>
              </w:rPr>
              <w:t>[***] pounds (£[***])</w:t>
            </w:r>
          </w:p>
        </w:tc>
      </w:tr>
      <w:tr>
        <w:trPr>
          <w:trHeight w:val="391"/>
        </w:trPr>
        <w:tc>
          <w:tcPr>
            <w:tcW w:w="400" w:type="dxa"/>
            <w:vAlign w:val="bottom"/>
          </w:tcPr>
          <w:p>
            <w:pPr>
              <w:spacing w:after="0"/>
              <w:rPr>
                <w:sz w:val="24"/>
                <w:szCs w:val="24"/>
                <w:color w:val="auto"/>
              </w:rPr>
            </w:pPr>
          </w:p>
        </w:tc>
        <w:tc>
          <w:tcPr>
            <w:tcW w:w="5220" w:type="dxa"/>
            <w:vAlign w:val="bottom"/>
          </w:tcPr>
          <w:p>
            <w:pPr>
              <w:ind w:left="340"/>
              <w:spacing w:after="0"/>
              <w:rPr>
                <w:sz w:val="20"/>
                <w:szCs w:val="20"/>
                <w:color w:val="auto"/>
              </w:rPr>
            </w:pPr>
            <w:r>
              <w:rPr>
                <w:rFonts w:ascii="Arial" w:cs="Arial" w:eastAsia="Arial" w:hAnsi="Arial"/>
                <w:sz w:val="16"/>
                <w:szCs w:val="16"/>
                <w:color w:val="auto"/>
              </w:rPr>
              <w:t>[***]</w:t>
            </w:r>
          </w:p>
        </w:tc>
        <w:tc>
          <w:tcPr>
            <w:tcW w:w="4980" w:type="dxa"/>
            <w:vAlign w:val="bottom"/>
          </w:tcPr>
          <w:p>
            <w:pPr>
              <w:jc w:val="center"/>
              <w:ind w:left="3399"/>
              <w:spacing w:after="0"/>
              <w:rPr>
                <w:sz w:val="20"/>
                <w:szCs w:val="20"/>
                <w:color w:val="auto"/>
              </w:rPr>
            </w:pPr>
            <w:r>
              <w:rPr>
                <w:rFonts w:ascii="Arial" w:cs="Arial" w:eastAsia="Arial" w:hAnsi="Arial"/>
                <w:sz w:val="16"/>
                <w:szCs w:val="16"/>
                <w:color w:val="auto"/>
              </w:rPr>
              <w:t>[***] pounds (£[***])</w:t>
            </w:r>
          </w:p>
        </w:tc>
      </w:tr>
      <w:tr>
        <w:trPr>
          <w:trHeight w:val="391"/>
        </w:trPr>
        <w:tc>
          <w:tcPr>
            <w:tcW w:w="400" w:type="dxa"/>
            <w:vAlign w:val="bottom"/>
          </w:tcPr>
          <w:p>
            <w:pPr>
              <w:spacing w:after="0"/>
              <w:rPr>
                <w:sz w:val="24"/>
                <w:szCs w:val="24"/>
                <w:color w:val="auto"/>
              </w:rPr>
            </w:pPr>
          </w:p>
        </w:tc>
        <w:tc>
          <w:tcPr>
            <w:tcW w:w="5220" w:type="dxa"/>
            <w:vAlign w:val="bottom"/>
          </w:tcPr>
          <w:p>
            <w:pPr>
              <w:ind w:left="340"/>
              <w:spacing w:after="0"/>
              <w:rPr>
                <w:sz w:val="20"/>
                <w:szCs w:val="20"/>
                <w:color w:val="auto"/>
              </w:rPr>
            </w:pPr>
            <w:r>
              <w:rPr>
                <w:rFonts w:ascii="Arial" w:cs="Arial" w:eastAsia="Arial" w:hAnsi="Arial"/>
                <w:sz w:val="16"/>
                <w:szCs w:val="16"/>
                <w:color w:val="auto"/>
              </w:rPr>
              <w:t>[***]</w:t>
            </w:r>
          </w:p>
        </w:tc>
        <w:tc>
          <w:tcPr>
            <w:tcW w:w="4980" w:type="dxa"/>
            <w:vAlign w:val="bottom"/>
          </w:tcPr>
          <w:p>
            <w:pPr>
              <w:jc w:val="center"/>
              <w:ind w:left="3399"/>
              <w:spacing w:after="0"/>
              <w:rPr>
                <w:sz w:val="20"/>
                <w:szCs w:val="20"/>
                <w:color w:val="auto"/>
              </w:rPr>
            </w:pPr>
            <w:r>
              <w:rPr>
                <w:rFonts w:ascii="Arial" w:cs="Arial" w:eastAsia="Arial" w:hAnsi="Arial"/>
                <w:sz w:val="16"/>
                <w:szCs w:val="16"/>
                <w:color w:val="auto"/>
              </w:rPr>
              <w:t>[***] pounds (£[***])</w:t>
            </w:r>
          </w:p>
        </w:tc>
      </w:tr>
      <w:tr>
        <w:trPr>
          <w:trHeight w:val="391"/>
        </w:trPr>
        <w:tc>
          <w:tcPr>
            <w:tcW w:w="400" w:type="dxa"/>
            <w:vAlign w:val="bottom"/>
          </w:tcPr>
          <w:p>
            <w:pPr>
              <w:jc w:val="right"/>
              <w:ind w:right="244"/>
              <w:spacing w:after="0"/>
              <w:rPr>
                <w:sz w:val="20"/>
                <w:szCs w:val="20"/>
                <w:color w:val="auto"/>
              </w:rPr>
            </w:pPr>
            <w:r>
              <w:rPr>
                <w:rFonts w:ascii="Arial" w:cs="Arial" w:eastAsia="Arial" w:hAnsi="Arial"/>
                <w:sz w:val="15"/>
                <w:szCs w:val="15"/>
                <w:b w:val="1"/>
                <w:bCs w:val="1"/>
                <w:color w:val="auto"/>
                <w:w w:val="71"/>
              </w:rPr>
              <w:t>6</w:t>
            </w:r>
          </w:p>
        </w:tc>
        <w:tc>
          <w:tcPr>
            <w:tcW w:w="5220" w:type="dxa"/>
            <w:vAlign w:val="bottom"/>
          </w:tcPr>
          <w:p>
            <w:pPr>
              <w:ind w:left="340"/>
              <w:spacing w:after="0"/>
              <w:rPr>
                <w:sz w:val="20"/>
                <w:szCs w:val="20"/>
                <w:color w:val="auto"/>
              </w:rPr>
            </w:pPr>
            <w:r>
              <w:rPr>
                <w:rFonts w:ascii="Arial" w:cs="Arial" w:eastAsia="Arial" w:hAnsi="Arial"/>
                <w:sz w:val="16"/>
                <w:szCs w:val="16"/>
                <w:b w:val="1"/>
                <w:bCs w:val="1"/>
                <w:color w:val="auto"/>
              </w:rPr>
              <w:t>Royalty</w:t>
            </w:r>
          </w:p>
        </w:tc>
        <w:tc>
          <w:tcPr>
            <w:tcW w:w="4980" w:type="dxa"/>
            <w:vAlign w:val="bottom"/>
          </w:tcPr>
          <w:p>
            <w:pPr>
              <w:spacing w:after="0"/>
              <w:rPr>
                <w:sz w:val="24"/>
                <w:szCs w:val="24"/>
                <w:color w:val="auto"/>
              </w:rPr>
            </w:pPr>
          </w:p>
        </w:tc>
      </w:tr>
      <w:tr>
        <w:trPr>
          <w:trHeight w:val="391"/>
        </w:trPr>
        <w:tc>
          <w:tcPr>
            <w:tcW w:w="400" w:type="dxa"/>
            <w:vAlign w:val="bottom"/>
          </w:tcPr>
          <w:p>
            <w:pPr>
              <w:spacing w:after="0"/>
              <w:rPr>
                <w:sz w:val="24"/>
                <w:szCs w:val="24"/>
                <w:color w:val="auto"/>
              </w:rPr>
            </w:pPr>
          </w:p>
        </w:tc>
        <w:tc>
          <w:tcPr>
            <w:tcW w:w="5220" w:type="dxa"/>
            <w:vAlign w:val="bottom"/>
          </w:tcPr>
          <w:p>
            <w:pPr>
              <w:ind w:left="340"/>
              <w:spacing w:after="0"/>
              <w:rPr>
                <w:sz w:val="20"/>
                <w:szCs w:val="20"/>
                <w:color w:val="auto"/>
              </w:rPr>
            </w:pPr>
            <w:r>
              <w:rPr>
                <w:rFonts w:ascii="Arial" w:cs="Arial" w:eastAsia="Arial" w:hAnsi="Arial"/>
                <w:sz w:val="16"/>
                <w:szCs w:val="16"/>
                <w:color w:val="auto"/>
              </w:rPr>
              <w:t>on Net Sales of [***]</w:t>
            </w:r>
          </w:p>
        </w:tc>
        <w:tc>
          <w:tcPr>
            <w:tcW w:w="4980" w:type="dxa"/>
            <w:vAlign w:val="bottom"/>
          </w:tcPr>
          <w:p>
            <w:pPr>
              <w:jc w:val="center"/>
              <w:ind w:left="3399"/>
              <w:spacing w:after="0"/>
              <w:rPr>
                <w:sz w:val="20"/>
                <w:szCs w:val="20"/>
                <w:color w:val="auto"/>
              </w:rPr>
            </w:pPr>
            <w:r>
              <w:rPr>
                <w:rFonts w:ascii="Arial" w:cs="Arial" w:eastAsia="Arial" w:hAnsi="Arial"/>
                <w:sz w:val="16"/>
                <w:szCs w:val="16"/>
                <w:color w:val="auto"/>
              </w:rPr>
              <w:t>[***] percent ([***]%)</w:t>
            </w:r>
          </w:p>
        </w:tc>
      </w:tr>
      <w:tr>
        <w:trPr>
          <w:trHeight w:val="391"/>
        </w:trPr>
        <w:tc>
          <w:tcPr>
            <w:tcW w:w="400" w:type="dxa"/>
            <w:vAlign w:val="bottom"/>
          </w:tcPr>
          <w:p>
            <w:pPr>
              <w:spacing w:after="0"/>
              <w:rPr>
                <w:sz w:val="24"/>
                <w:szCs w:val="24"/>
                <w:color w:val="auto"/>
              </w:rPr>
            </w:pPr>
          </w:p>
        </w:tc>
        <w:tc>
          <w:tcPr>
            <w:tcW w:w="5220" w:type="dxa"/>
            <w:vAlign w:val="bottom"/>
          </w:tcPr>
          <w:p>
            <w:pPr>
              <w:ind w:left="340"/>
              <w:spacing w:after="0"/>
              <w:rPr>
                <w:sz w:val="20"/>
                <w:szCs w:val="20"/>
                <w:color w:val="auto"/>
              </w:rPr>
            </w:pPr>
            <w:r>
              <w:rPr>
                <w:rFonts w:ascii="Arial" w:cs="Arial" w:eastAsia="Arial" w:hAnsi="Arial"/>
                <w:sz w:val="16"/>
                <w:szCs w:val="16"/>
                <w:color w:val="auto"/>
              </w:rPr>
              <w:t>on Net Sales of [***]</w:t>
            </w:r>
          </w:p>
        </w:tc>
        <w:tc>
          <w:tcPr>
            <w:tcW w:w="4980" w:type="dxa"/>
            <w:vAlign w:val="bottom"/>
          </w:tcPr>
          <w:p>
            <w:pPr>
              <w:jc w:val="center"/>
              <w:ind w:left="3399"/>
              <w:spacing w:after="0"/>
              <w:rPr>
                <w:sz w:val="20"/>
                <w:szCs w:val="20"/>
                <w:color w:val="auto"/>
              </w:rPr>
            </w:pPr>
            <w:r>
              <w:rPr>
                <w:rFonts w:ascii="Arial" w:cs="Arial" w:eastAsia="Arial" w:hAnsi="Arial"/>
                <w:sz w:val="16"/>
                <w:szCs w:val="16"/>
                <w:color w:val="auto"/>
              </w:rPr>
              <w:t>[***] percent ([***]%)</w:t>
            </w:r>
          </w:p>
        </w:tc>
      </w:tr>
    </w:tbl>
    <w:p>
      <w:pPr>
        <w:spacing w:after="0" w:line="180" w:lineRule="exact"/>
        <w:rPr>
          <w:sz w:val="20"/>
          <w:szCs w:val="20"/>
          <w:color w:val="auto"/>
        </w:rPr>
      </w:pPr>
    </w:p>
    <w:p>
      <w:pPr>
        <w:ind w:left="1122" w:hanging="747"/>
        <w:spacing w:after="0"/>
        <w:tabs>
          <w:tab w:leader="none" w:pos="1122" w:val="left"/>
        </w:tabs>
        <w:numPr>
          <w:ilvl w:val="0"/>
          <w:numId w:val="557"/>
        </w:numPr>
        <w:rPr>
          <w:rFonts w:ascii="Arial" w:cs="Arial" w:eastAsia="Arial" w:hAnsi="Arial"/>
          <w:sz w:val="16"/>
          <w:szCs w:val="16"/>
          <w:b w:val="1"/>
          <w:bCs w:val="1"/>
          <w:color w:val="auto"/>
        </w:rPr>
      </w:pPr>
      <w:r>
        <w:rPr>
          <w:rFonts w:ascii="Arial" w:cs="Arial" w:eastAsia="Arial" w:hAnsi="Arial"/>
          <w:sz w:val="16"/>
          <w:szCs w:val="16"/>
          <w:b w:val="1"/>
          <w:bCs w:val="1"/>
          <w:color w:val="auto"/>
        </w:rPr>
        <w:t>Ordinary shares in the Company, valued as provided in section 5.10 of the Licence Terms</w:t>
      </w:r>
    </w:p>
    <w:p>
      <w:pPr>
        <w:spacing w:after="0" w:line="199"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i w:val="1"/>
                <w:iCs w:val="1"/>
                <w:color w:val="auto"/>
              </w:rPr>
              <w:t>Event</w:t>
            </w:r>
          </w:p>
        </w:tc>
        <w:tc>
          <w:tcPr>
            <w:tcW w:w="7900" w:type="dxa"/>
            <w:vAlign w:val="bottom"/>
          </w:tcPr>
          <w:p>
            <w:pPr>
              <w:jc w:val="center"/>
              <w:ind w:left="5359"/>
              <w:spacing w:after="0"/>
              <w:rPr>
                <w:sz w:val="20"/>
                <w:szCs w:val="20"/>
                <w:color w:val="auto"/>
              </w:rPr>
            </w:pPr>
            <w:r>
              <w:rPr>
                <w:rFonts w:ascii="Arial" w:cs="Arial" w:eastAsia="Arial" w:hAnsi="Arial"/>
                <w:sz w:val="16"/>
                <w:szCs w:val="16"/>
                <w:b w:val="1"/>
                <w:bCs w:val="1"/>
                <w:color w:val="auto"/>
                <w:w w:val="89"/>
              </w:rPr>
              <w:t>Value of shares</w:t>
            </w: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407"/>
        </w:trPr>
        <w:tc>
          <w:tcPr>
            <w:tcW w:w="148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80" w:type="dxa"/>
            <w:vAlign w:val="bottom"/>
          </w:tcPr>
          <w:p>
            <w:pPr>
              <w:spacing w:after="0"/>
              <w:rPr>
                <w:sz w:val="24"/>
                <w:szCs w:val="24"/>
                <w:color w:val="auto"/>
              </w:rPr>
            </w:pPr>
          </w:p>
        </w:tc>
        <w:tc>
          <w:tcPr>
            <w:tcW w:w="7900" w:type="dxa"/>
            <w:vAlign w:val="bottom"/>
          </w:tcPr>
          <w:p>
            <w:pPr>
              <w:jc w:val="center"/>
              <w:ind w:left="5359"/>
              <w:spacing w:after="0"/>
              <w:rPr>
                <w:sz w:val="20"/>
                <w:szCs w:val="20"/>
                <w:color w:val="auto"/>
              </w:rPr>
            </w:pPr>
            <w:r>
              <w:rPr>
                <w:rFonts w:ascii="Arial" w:cs="Arial" w:eastAsia="Arial" w:hAnsi="Arial"/>
                <w:sz w:val="16"/>
                <w:szCs w:val="16"/>
                <w:color w:val="auto"/>
              </w:rPr>
              <w:t>£[***]</w:t>
            </w:r>
          </w:p>
        </w:tc>
      </w:tr>
      <w:tr>
        <w:trPr>
          <w:trHeight w:val="391"/>
        </w:trPr>
        <w:tc>
          <w:tcPr>
            <w:tcW w:w="148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80" w:type="dxa"/>
            <w:vAlign w:val="bottom"/>
          </w:tcPr>
          <w:p>
            <w:pPr>
              <w:spacing w:after="0"/>
              <w:rPr>
                <w:sz w:val="24"/>
                <w:szCs w:val="24"/>
                <w:color w:val="auto"/>
              </w:rPr>
            </w:pPr>
          </w:p>
        </w:tc>
        <w:tc>
          <w:tcPr>
            <w:tcW w:w="7900" w:type="dxa"/>
            <w:vAlign w:val="bottom"/>
          </w:tcPr>
          <w:p>
            <w:pPr>
              <w:jc w:val="center"/>
              <w:ind w:left="5359"/>
              <w:spacing w:after="0"/>
              <w:rPr>
                <w:sz w:val="20"/>
                <w:szCs w:val="20"/>
                <w:color w:val="auto"/>
              </w:rPr>
            </w:pPr>
            <w:r>
              <w:rPr>
                <w:rFonts w:ascii="Arial" w:cs="Arial" w:eastAsia="Arial" w:hAnsi="Arial"/>
                <w:sz w:val="16"/>
                <w:szCs w:val="16"/>
                <w:color w:val="auto"/>
              </w:rPr>
              <w:t>£[***]</w:t>
            </w:r>
          </w:p>
        </w:tc>
      </w:tr>
      <w:tr>
        <w:trPr>
          <w:trHeight w:val="391"/>
        </w:trPr>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900" w:type="dxa"/>
            <w:vAlign w:val="bottom"/>
          </w:tcPr>
          <w:p>
            <w:pPr>
              <w:ind w:left="2080"/>
              <w:spacing w:after="0"/>
              <w:rPr>
                <w:sz w:val="20"/>
                <w:szCs w:val="20"/>
                <w:color w:val="auto"/>
              </w:rPr>
            </w:pPr>
            <w:r>
              <w:rPr>
                <w:rFonts w:ascii="Arial" w:cs="Arial" w:eastAsia="Arial" w:hAnsi="Arial"/>
                <w:sz w:val="16"/>
                <w:szCs w:val="16"/>
                <w:color w:val="auto"/>
              </w:rPr>
              <w:t>iii</w:t>
            </w:r>
          </w:p>
        </w:tc>
      </w:tr>
      <w:tr>
        <w:trPr>
          <w:trHeight w:val="119"/>
        </w:trPr>
        <w:tc>
          <w:tcPr>
            <w:tcW w:w="1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7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type w:val="continuous"/>
        </w:sectPr>
      </w:pPr>
    </w:p>
    <w:bookmarkStart w:id="568" w:name="page569"/>
    <w:bookmarkEnd w:id="568"/>
    <w:p>
      <w:pPr>
        <w:ind w:left="2" w:hanging="2"/>
        <w:spacing w:after="0" w:line="270" w:lineRule="auto"/>
        <w:tabs>
          <w:tab w:leader="none" w:pos="396" w:val="left"/>
        </w:tabs>
        <w:numPr>
          <w:ilvl w:val="0"/>
          <w:numId w:val="558"/>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1122"/>
        <w:spacing w:after="0"/>
        <w:tabs>
          <w:tab w:leader="none" w:pos="10002"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7" w:lineRule="exact"/>
        <w:rPr>
          <w:sz w:val="20"/>
          <w:szCs w:val="20"/>
          <w:color w:val="auto"/>
        </w:rPr>
      </w:pPr>
    </w:p>
    <w:p>
      <w:pPr>
        <w:jc w:val="center"/>
        <w:ind w:right="-201"/>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222"/>
          </w:cols>
          <w:pgMar w:left="238" w:top="322" w:right="439" w:bottom="1440" w:gutter="0" w:footer="0" w:header="0"/>
        </w:sectPr>
      </w:pPr>
    </w:p>
    <w:bookmarkStart w:id="569" w:name="page570"/>
    <w:bookmarkEnd w:id="569"/>
    <w:p>
      <w:pPr>
        <w:ind w:left="2" w:hanging="2"/>
        <w:spacing w:after="0" w:line="270" w:lineRule="auto"/>
        <w:tabs>
          <w:tab w:leader="none" w:pos="396" w:val="left"/>
        </w:tabs>
        <w:numPr>
          <w:ilvl w:val="0"/>
          <w:numId w:val="559"/>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Signature Page</w:t>
      </w:r>
    </w:p>
    <w:p>
      <w:pPr>
        <w:spacing w:after="0" w:line="211" w:lineRule="exact"/>
        <w:rPr>
          <w:sz w:val="20"/>
          <w:szCs w:val="20"/>
          <w:color w:val="auto"/>
        </w:rPr>
      </w:pPr>
    </w:p>
    <w:p>
      <w:pPr>
        <w:ind w:left="22" w:right="120"/>
        <w:spacing w:after="0" w:line="320" w:lineRule="auto"/>
        <w:rPr>
          <w:sz w:val="20"/>
          <w:szCs w:val="20"/>
          <w:color w:val="auto"/>
        </w:rPr>
      </w:pPr>
      <w:r>
        <w:rPr>
          <w:rFonts w:ascii="Arial" w:cs="Arial" w:eastAsia="Arial" w:hAnsi="Arial"/>
          <w:sz w:val="15"/>
          <w:szCs w:val="15"/>
          <w:color w:val="auto"/>
        </w:rPr>
        <w:t>Upon signature of this Cover Sheet by all Parties, an agreement will be formed with effect from the Start Date on the terms and conditions of this Cover Sheet and Cancer Research UK’s Clinical Trial and Licence Agreement Terms and Conditions (including Schedules 1 to 7 of those terms and conditions) (this “</w:t>
      </w:r>
      <w:r>
        <w:rPr>
          <w:rFonts w:ascii="Arial" w:cs="Arial" w:eastAsia="Arial" w:hAnsi="Arial"/>
          <w:sz w:val="15"/>
          <w:szCs w:val="15"/>
          <w:b w:val="1"/>
          <w:bCs w:val="1"/>
          <w:color w:val="auto"/>
        </w:rPr>
        <w:t>Agreement</w:t>
      </w:r>
      <w:r>
        <w:rPr>
          <w:rFonts w:ascii="Arial" w:cs="Arial" w:eastAsia="Arial" w:hAnsi="Arial"/>
          <w:sz w:val="15"/>
          <w:szCs w:val="15"/>
          <w:color w:val="auto"/>
        </w:rPr>
        <w:t>”).</w:t>
      </w:r>
    </w:p>
    <w:p>
      <w:pPr>
        <w:spacing w:after="0" w:line="12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This Cover Sheet is signed below by a representative of each Party authorised to enter into this Agreement:</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SIGNED </w:t>
      </w:r>
      <w:r>
        <w:rPr>
          <w:rFonts w:ascii="Arial" w:cs="Arial" w:eastAsia="Arial" w:hAnsi="Arial"/>
          <w:sz w:val="16"/>
          <w:szCs w:val="16"/>
          <w:color w:val="auto"/>
        </w:rPr>
        <w:t>and validly executed on behalf of</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395" w:lineRule="exact"/>
        <w:rPr>
          <w:sz w:val="20"/>
          <w:szCs w:val="20"/>
          <w:color w:val="auto"/>
        </w:rPr>
      </w:pPr>
    </w:p>
    <w:p>
      <w:pPr>
        <w:ind w:left="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725932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color w:val="auto"/>
        </w:rPr>
        <w:t>Position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187" w:lineRule="exact"/>
        <w:rPr>
          <w:sz w:val="20"/>
          <w:szCs w:val="20"/>
          <w:color w:val="auto"/>
        </w:rPr>
      </w:pPr>
    </w:p>
    <w:p>
      <w:pPr>
        <w:jc w:val="center"/>
        <w:ind w:right="-201"/>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222"/>
          </w:cols>
          <w:pgMar w:left="238" w:top="322" w:right="439" w:bottom="1440" w:gutter="0" w:footer="0" w:header="0"/>
        </w:sectPr>
      </w:pPr>
    </w:p>
    <w:bookmarkStart w:id="570" w:name="page571"/>
    <w:bookmarkEnd w:id="570"/>
    <w:p>
      <w:pPr>
        <w:ind w:left="2" w:hanging="2"/>
        <w:spacing w:after="0" w:line="270" w:lineRule="auto"/>
        <w:tabs>
          <w:tab w:leader="none" w:pos="396" w:val="left"/>
        </w:tabs>
        <w:numPr>
          <w:ilvl w:val="0"/>
          <w:numId w:val="560"/>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Cancer Research UK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395" w:lineRule="exact"/>
        <w:rPr>
          <w:sz w:val="20"/>
          <w:szCs w:val="20"/>
          <w:color w:val="auto"/>
        </w:rPr>
      </w:pPr>
    </w:p>
    <w:p>
      <w:pPr>
        <w:ind w:left="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725932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color w:val="auto"/>
        </w:rPr>
        <w:t>Position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37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Cancer Research Technology Limited</w:t>
      </w:r>
    </w:p>
    <w:p>
      <w:pPr>
        <w:spacing w:after="0" w:line="200" w:lineRule="exact"/>
        <w:rPr>
          <w:sz w:val="20"/>
          <w:szCs w:val="20"/>
          <w:color w:val="auto"/>
        </w:rPr>
      </w:pPr>
    </w:p>
    <w:p>
      <w:pPr>
        <w:spacing w:after="0" w:line="219" w:lineRule="exact"/>
        <w:rPr>
          <w:sz w:val="20"/>
          <w:szCs w:val="20"/>
          <w:color w:val="auto"/>
        </w:rPr>
      </w:pPr>
    </w:p>
    <w:p>
      <w:pPr>
        <w:ind w:left="2"/>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395" w:lineRule="exact"/>
        <w:rPr>
          <w:sz w:val="20"/>
          <w:szCs w:val="20"/>
          <w:color w:val="auto"/>
        </w:rPr>
      </w:pPr>
    </w:p>
    <w:p>
      <w:pPr>
        <w:ind w:left="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725932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color w:val="auto"/>
        </w:rPr>
        <w:t>Position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187" w:lineRule="exact"/>
        <w:rPr>
          <w:sz w:val="20"/>
          <w:szCs w:val="20"/>
          <w:color w:val="auto"/>
        </w:rPr>
      </w:pPr>
    </w:p>
    <w:p>
      <w:pPr>
        <w:jc w:val="center"/>
        <w:ind w:right="-201"/>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222"/>
          </w:cols>
          <w:pgMar w:left="238" w:top="323" w:right="439" w:bottom="1440" w:gutter="0" w:footer="0" w:header="0"/>
        </w:sectPr>
      </w:pPr>
    </w:p>
    <w:bookmarkStart w:id="571" w:name="page572"/>
    <w:bookmarkEnd w:id="571"/>
    <w:p>
      <w:pPr>
        <w:ind w:left="2" w:right="240" w:hanging="2"/>
        <w:spacing w:after="0" w:line="270" w:lineRule="auto"/>
        <w:tabs>
          <w:tab w:leader="none" w:pos="396" w:val="left"/>
        </w:tabs>
        <w:numPr>
          <w:ilvl w:val="0"/>
          <w:numId w:val="561"/>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060" w:type="dxa"/>
            <w:vAlign w:val="bottom"/>
            <w:gridSpan w:val="3"/>
          </w:tcPr>
          <w:p>
            <w:pPr>
              <w:jc w:val="center"/>
              <w:ind w:right="4440"/>
              <w:spacing w:after="0"/>
              <w:rPr>
                <w:sz w:val="20"/>
                <w:szCs w:val="20"/>
                <w:color w:val="auto"/>
              </w:rPr>
            </w:pPr>
            <w:r>
              <w:rPr>
                <w:rFonts w:ascii="Arial" w:cs="Arial" w:eastAsia="Arial" w:hAnsi="Arial"/>
                <w:sz w:val="16"/>
                <w:szCs w:val="16"/>
                <w:b w:val="1"/>
                <w:bCs w:val="1"/>
                <w:color w:val="auto"/>
              </w:rPr>
              <w:t>TABLE OF CONTENTS</w:t>
            </w:r>
          </w:p>
        </w:tc>
      </w:tr>
      <w:tr>
        <w:trPr>
          <w:trHeight w:val="331"/>
        </w:trPr>
        <w:tc>
          <w:tcPr>
            <w:tcW w:w="7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140" w:type="dxa"/>
            <w:vAlign w:val="bottom"/>
            <w:tcBorders>
              <w:bottom w:val="single" w:sz="8" w:color="auto"/>
            </w:tcBorders>
          </w:tcPr>
          <w:p>
            <w:pPr>
              <w:jc w:val="right"/>
              <w:ind w:right="367"/>
              <w:spacing w:after="0"/>
              <w:rPr>
                <w:sz w:val="20"/>
                <w:szCs w:val="20"/>
                <w:color w:val="auto"/>
              </w:rPr>
            </w:pPr>
            <w:r>
              <w:rPr>
                <w:rFonts w:ascii="Arial" w:cs="Arial" w:eastAsia="Arial" w:hAnsi="Arial"/>
                <w:sz w:val="13"/>
                <w:szCs w:val="13"/>
                <w:b w:val="1"/>
                <w:bCs w:val="1"/>
                <w:color w:val="auto"/>
              </w:rPr>
              <w:t>Page</w:t>
            </w:r>
          </w:p>
        </w:tc>
        <w:tc>
          <w:tcPr>
            <w:tcW w:w="20" w:type="dxa"/>
            <w:vAlign w:val="bottom"/>
          </w:tcPr>
          <w:p>
            <w:pPr>
              <w:spacing w:after="0"/>
              <w:rPr>
                <w:sz w:val="24"/>
                <w:szCs w:val="24"/>
                <w:color w:val="auto"/>
              </w:rPr>
            </w:pPr>
          </w:p>
        </w:tc>
      </w:tr>
      <w:tr>
        <w:trPr>
          <w:trHeight w:val="383"/>
        </w:trPr>
        <w:tc>
          <w:tcPr>
            <w:tcW w:w="4400" w:type="dxa"/>
            <w:vAlign w:val="bottom"/>
            <w:gridSpan w:val="2"/>
          </w:tcPr>
          <w:p>
            <w:pPr>
              <w:spacing w:after="0"/>
              <w:rPr>
                <w:sz w:val="20"/>
                <w:szCs w:val="20"/>
                <w:color w:val="auto"/>
              </w:rPr>
            </w:pPr>
            <w:r>
              <w:rPr>
                <w:rFonts w:ascii="Arial" w:cs="Arial" w:eastAsia="Arial" w:hAnsi="Arial"/>
                <w:sz w:val="16"/>
                <w:szCs w:val="16"/>
                <w:color w:val="auto"/>
              </w:rPr>
              <w:t>Cover Sheet</w:t>
            </w:r>
          </w:p>
        </w:tc>
        <w:tc>
          <w:tcPr>
            <w:tcW w:w="5900" w:type="dxa"/>
            <w:vAlign w:val="bottom"/>
          </w:tcPr>
          <w:p>
            <w:pPr>
              <w:spacing w:after="0"/>
              <w:rPr>
                <w:sz w:val="24"/>
                <w:szCs w:val="24"/>
                <w:color w:val="auto"/>
              </w:rPr>
            </w:pPr>
          </w:p>
        </w:tc>
        <w:tc>
          <w:tcPr>
            <w:tcW w:w="1160" w:type="dxa"/>
            <w:vAlign w:val="bottom"/>
            <w:gridSpan w:val="2"/>
          </w:tcPr>
          <w:p>
            <w:pPr>
              <w:ind w:left="1080"/>
              <w:spacing w:after="0"/>
              <w:rPr>
                <w:sz w:val="20"/>
                <w:szCs w:val="20"/>
                <w:color w:val="auto"/>
              </w:rPr>
            </w:pPr>
            <w:r>
              <w:rPr>
                <w:rFonts w:ascii="Arial" w:cs="Arial" w:eastAsia="Arial" w:hAnsi="Arial"/>
                <w:sz w:val="16"/>
                <w:szCs w:val="16"/>
                <w:color w:val="auto"/>
              </w:rPr>
              <w:t>i</w:t>
            </w:r>
          </w:p>
        </w:tc>
      </w:tr>
      <w:tr>
        <w:trPr>
          <w:trHeight w:val="391"/>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Clinical Trial and Licence Agreement</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r>
      <w:tr>
        <w:trPr>
          <w:trHeight w:val="391"/>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Terms and Conditions</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r>
      <w:tr>
        <w:trPr>
          <w:trHeight w:val="391"/>
        </w:trPr>
        <w:tc>
          <w:tcPr>
            <w:tcW w:w="4400" w:type="dxa"/>
            <w:vAlign w:val="bottom"/>
            <w:gridSpan w:val="2"/>
          </w:tcPr>
          <w:p>
            <w:pPr>
              <w:spacing w:after="0"/>
              <w:rPr>
                <w:sz w:val="20"/>
                <w:szCs w:val="20"/>
                <w:color w:val="auto"/>
              </w:rPr>
            </w:pPr>
            <w:r>
              <w:rPr>
                <w:rFonts w:ascii="Arial" w:cs="Arial" w:eastAsia="Arial" w:hAnsi="Arial"/>
                <w:sz w:val="16"/>
                <w:szCs w:val="16"/>
                <w:color w:val="auto"/>
              </w:rPr>
              <w:t>Part A: Performance of the Clinical Trial</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2</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3620" w:type="dxa"/>
            <w:vAlign w:val="bottom"/>
          </w:tcPr>
          <w:p>
            <w:pPr>
              <w:ind w:left="20"/>
              <w:spacing w:after="0"/>
              <w:rPr>
                <w:sz w:val="20"/>
                <w:szCs w:val="20"/>
                <w:color w:val="auto"/>
              </w:rPr>
            </w:pPr>
            <w:r>
              <w:rPr>
                <w:rFonts w:ascii="Arial" w:cs="Arial" w:eastAsia="Arial" w:hAnsi="Arial"/>
                <w:sz w:val="16"/>
                <w:szCs w:val="16"/>
                <w:color w:val="auto"/>
              </w:rPr>
              <w:t>Clinical Trial</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2</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3620" w:type="dxa"/>
            <w:vAlign w:val="bottom"/>
          </w:tcPr>
          <w:p>
            <w:pPr>
              <w:ind w:left="20"/>
              <w:spacing w:after="0"/>
              <w:rPr>
                <w:sz w:val="20"/>
                <w:szCs w:val="20"/>
                <w:color w:val="auto"/>
              </w:rPr>
            </w:pPr>
            <w:r>
              <w:rPr>
                <w:rFonts w:ascii="Arial" w:cs="Arial" w:eastAsia="Arial" w:hAnsi="Arial"/>
                <w:sz w:val="16"/>
                <w:szCs w:val="16"/>
                <w:color w:val="auto"/>
              </w:rPr>
              <w:t>Information sharing</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3</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3620" w:type="dxa"/>
            <w:vAlign w:val="bottom"/>
          </w:tcPr>
          <w:p>
            <w:pPr>
              <w:ind w:left="20"/>
              <w:spacing w:after="0"/>
              <w:rPr>
                <w:sz w:val="20"/>
                <w:szCs w:val="20"/>
                <w:color w:val="auto"/>
              </w:rPr>
            </w:pPr>
            <w:r>
              <w:rPr>
                <w:rFonts w:ascii="Arial" w:cs="Arial" w:eastAsia="Arial" w:hAnsi="Arial"/>
                <w:sz w:val="16"/>
                <w:szCs w:val="16"/>
                <w:color w:val="auto"/>
              </w:rPr>
              <w:t>Company support for the Clinical Trial</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5</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3620" w:type="dxa"/>
            <w:vAlign w:val="bottom"/>
          </w:tcPr>
          <w:p>
            <w:pPr>
              <w:ind w:left="20"/>
              <w:spacing w:after="0"/>
              <w:rPr>
                <w:sz w:val="20"/>
                <w:szCs w:val="20"/>
                <w:color w:val="auto"/>
              </w:rPr>
            </w:pPr>
            <w:r>
              <w:rPr>
                <w:rFonts w:ascii="Arial" w:cs="Arial" w:eastAsia="Arial" w:hAnsi="Arial"/>
                <w:sz w:val="16"/>
                <w:szCs w:val="16"/>
                <w:color w:val="auto"/>
              </w:rPr>
              <w:t>Project governance</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8</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3620" w:type="dxa"/>
            <w:vAlign w:val="bottom"/>
          </w:tcPr>
          <w:p>
            <w:pPr>
              <w:ind w:left="20"/>
              <w:spacing w:after="0"/>
              <w:rPr>
                <w:sz w:val="20"/>
                <w:szCs w:val="20"/>
                <w:color w:val="auto"/>
              </w:rPr>
            </w:pPr>
            <w:r>
              <w:rPr>
                <w:rFonts w:ascii="Arial" w:cs="Arial" w:eastAsia="Arial" w:hAnsi="Arial"/>
                <w:sz w:val="16"/>
                <w:szCs w:val="16"/>
                <w:color w:val="auto"/>
              </w:rPr>
              <w:t>Responsibilities for the Clinical Trial</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9</w:t>
            </w:r>
          </w:p>
        </w:tc>
      </w:tr>
      <w:tr>
        <w:trPr>
          <w:trHeight w:val="391"/>
        </w:trPr>
        <w:tc>
          <w:tcPr>
            <w:tcW w:w="4400" w:type="dxa"/>
            <w:vAlign w:val="bottom"/>
            <w:gridSpan w:val="2"/>
          </w:tcPr>
          <w:p>
            <w:pPr>
              <w:spacing w:after="0"/>
              <w:rPr>
                <w:sz w:val="20"/>
                <w:szCs w:val="20"/>
                <w:color w:val="auto"/>
              </w:rPr>
            </w:pPr>
            <w:r>
              <w:rPr>
                <w:rFonts w:ascii="Arial" w:cs="Arial" w:eastAsia="Arial" w:hAnsi="Arial"/>
                <w:sz w:val="16"/>
                <w:szCs w:val="16"/>
                <w:color w:val="auto"/>
              </w:rPr>
              <w:t>Part B:: Rights to Results, IP and information</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11</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3620" w:type="dxa"/>
            <w:vAlign w:val="bottom"/>
          </w:tcPr>
          <w:p>
            <w:pPr>
              <w:ind w:left="20"/>
              <w:spacing w:after="0"/>
              <w:rPr>
                <w:sz w:val="20"/>
                <w:szCs w:val="20"/>
                <w:color w:val="auto"/>
              </w:rPr>
            </w:pPr>
            <w:r>
              <w:rPr>
                <w:rFonts w:ascii="Arial" w:cs="Arial" w:eastAsia="Arial" w:hAnsi="Arial"/>
                <w:sz w:val="16"/>
                <w:szCs w:val="16"/>
                <w:color w:val="auto"/>
              </w:rPr>
              <w:t>Rights to perform the Clinical Trial</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11</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3620" w:type="dxa"/>
            <w:vAlign w:val="bottom"/>
          </w:tcPr>
          <w:p>
            <w:pPr>
              <w:ind w:left="20"/>
              <w:spacing w:after="0"/>
              <w:rPr>
                <w:sz w:val="20"/>
                <w:szCs w:val="20"/>
                <w:color w:val="auto"/>
              </w:rPr>
            </w:pPr>
            <w:r>
              <w:rPr>
                <w:rFonts w:ascii="Arial" w:cs="Arial" w:eastAsia="Arial" w:hAnsi="Arial"/>
                <w:sz w:val="16"/>
                <w:szCs w:val="16"/>
                <w:color w:val="auto"/>
              </w:rPr>
              <w:t>The Results of the Clinical Trial</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11</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3620" w:type="dxa"/>
            <w:vAlign w:val="bottom"/>
          </w:tcPr>
          <w:p>
            <w:pPr>
              <w:ind w:left="20"/>
              <w:spacing w:after="0"/>
              <w:rPr>
                <w:sz w:val="20"/>
                <w:szCs w:val="20"/>
                <w:color w:val="auto"/>
              </w:rPr>
            </w:pPr>
            <w:r>
              <w:rPr>
                <w:rFonts w:ascii="Arial" w:cs="Arial" w:eastAsia="Arial" w:hAnsi="Arial"/>
                <w:sz w:val="16"/>
                <w:szCs w:val="16"/>
                <w:color w:val="auto"/>
              </w:rPr>
              <w:t>The Company’s Licence to the Results</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12</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3620" w:type="dxa"/>
            <w:vAlign w:val="bottom"/>
          </w:tcPr>
          <w:p>
            <w:pPr>
              <w:ind w:left="20"/>
              <w:spacing w:after="0"/>
              <w:rPr>
                <w:sz w:val="20"/>
                <w:szCs w:val="20"/>
                <w:color w:val="auto"/>
              </w:rPr>
            </w:pPr>
            <w:r>
              <w:rPr>
                <w:rFonts w:ascii="Arial" w:cs="Arial" w:eastAsia="Arial" w:hAnsi="Arial"/>
                <w:sz w:val="16"/>
                <w:szCs w:val="16"/>
                <w:color w:val="auto"/>
              </w:rPr>
              <w:t>Agent Patents and Collaboration Patents</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13</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3620" w:type="dxa"/>
            <w:vAlign w:val="bottom"/>
          </w:tcPr>
          <w:p>
            <w:pPr>
              <w:ind w:left="20"/>
              <w:spacing w:after="0"/>
              <w:rPr>
                <w:sz w:val="20"/>
                <w:szCs w:val="20"/>
                <w:color w:val="auto"/>
              </w:rPr>
            </w:pPr>
            <w:r>
              <w:rPr>
                <w:rFonts w:ascii="Arial" w:cs="Arial" w:eastAsia="Arial" w:hAnsi="Arial"/>
                <w:sz w:val="16"/>
                <w:szCs w:val="16"/>
                <w:color w:val="auto"/>
              </w:rPr>
              <w:t>Rights to Agent IP and Collaboration Product IP</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14</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3620" w:type="dxa"/>
            <w:vAlign w:val="bottom"/>
          </w:tcPr>
          <w:p>
            <w:pPr>
              <w:ind w:left="20"/>
              <w:spacing w:after="0"/>
              <w:rPr>
                <w:sz w:val="20"/>
                <w:szCs w:val="20"/>
                <w:color w:val="auto"/>
              </w:rPr>
            </w:pPr>
            <w:r>
              <w:rPr>
                <w:rFonts w:ascii="Arial" w:cs="Arial" w:eastAsia="Arial" w:hAnsi="Arial"/>
                <w:sz w:val="16"/>
                <w:szCs w:val="16"/>
                <w:color w:val="auto"/>
              </w:rPr>
              <w:t>Use of information</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14</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3620" w:type="dxa"/>
            <w:vAlign w:val="bottom"/>
          </w:tcPr>
          <w:p>
            <w:pPr>
              <w:ind w:left="20"/>
              <w:spacing w:after="0"/>
              <w:rPr>
                <w:sz w:val="20"/>
                <w:szCs w:val="20"/>
                <w:color w:val="auto"/>
              </w:rPr>
            </w:pPr>
            <w:r>
              <w:rPr>
                <w:rFonts w:ascii="Arial" w:cs="Arial" w:eastAsia="Arial" w:hAnsi="Arial"/>
                <w:sz w:val="16"/>
                <w:szCs w:val="16"/>
                <w:color w:val="auto"/>
              </w:rPr>
              <w:t>Publications</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17</w:t>
            </w:r>
          </w:p>
        </w:tc>
      </w:tr>
      <w:tr>
        <w:trPr>
          <w:trHeight w:val="391"/>
        </w:trPr>
        <w:tc>
          <w:tcPr>
            <w:tcW w:w="4400" w:type="dxa"/>
            <w:vAlign w:val="bottom"/>
            <w:gridSpan w:val="2"/>
          </w:tcPr>
          <w:p>
            <w:pPr>
              <w:spacing w:after="0"/>
              <w:rPr>
                <w:sz w:val="20"/>
                <w:szCs w:val="20"/>
                <w:color w:val="auto"/>
              </w:rPr>
            </w:pPr>
            <w:r>
              <w:rPr>
                <w:rFonts w:ascii="Arial" w:cs="Arial" w:eastAsia="Arial" w:hAnsi="Arial"/>
                <w:sz w:val="16"/>
                <w:szCs w:val="16"/>
                <w:color w:val="auto"/>
              </w:rPr>
              <w:t>Part C: : Allocation of risk; Term; and General</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18</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3620" w:type="dxa"/>
            <w:vAlign w:val="bottom"/>
          </w:tcPr>
          <w:p>
            <w:pPr>
              <w:ind w:left="20"/>
              <w:spacing w:after="0"/>
              <w:rPr>
                <w:sz w:val="20"/>
                <w:szCs w:val="20"/>
                <w:color w:val="auto"/>
              </w:rPr>
            </w:pPr>
            <w:r>
              <w:rPr>
                <w:rFonts w:ascii="Arial" w:cs="Arial" w:eastAsia="Arial" w:hAnsi="Arial"/>
                <w:sz w:val="16"/>
                <w:szCs w:val="16"/>
                <w:color w:val="auto"/>
              </w:rPr>
              <w:t>Liability</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18</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3620" w:type="dxa"/>
            <w:vAlign w:val="bottom"/>
          </w:tcPr>
          <w:p>
            <w:pPr>
              <w:ind w:left="20"/>
              <w:spacing w:after="0"/>
              <w:rPr>
                <w:sz w:val="20"/>
                <w:szCs w:val="20"/>
                <w:color w:val="auto"/>
              </w:rPr>
            </w:pPr>
            <w:r>
              <w:rPr>
                <w:rFonts w:ascii="Arial" w:cs="Arial" w:eastAsia="Arial" w:hAnsi="Arial"/>
                <w:sz w:val="16"/>
                <w:szCs w:val="16"/>
                <w:color w:val="auto"/>
              </w:rPr>
              <w:t>Indemnification</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19</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Term and termination</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21</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Consequences of termination</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22</w:t>
            </w:r>
          </w:p>
        </w:tc>
      </w:tr>
      <w:tr>
        <w:trPr>
          <w:trHeight w:val="391"/>
        </w:trPr>
        <w:tc>
          <w:tcPr>
            <w:tcW w:w="78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3620" w:type="dxa"/>
            <w:vAlign w:val="bottom"/>
          </w:tcPr>
          <w:p>
            <w:pPr>
              <w:ind w:left="20"/>
              <w:spacing w:after="0"/>
              <w:rPr>
                <w:sz w:val="20"/>
                <w:szCs w:val="20"/>
                <w:color w:val="auto"/>
              </w:rPr>
            </w:pPr>
            <w:r>
              <w:rPr>
                <w:rFonts w:ascii="Arial" w:cs="Arial" w:eastAsia="Arial" w:hAnsi="Arial"/>
                <w:sz w:val="16"/>
                <w:szCs w:val="16"/>
                <w:color w:val="auto"/>
              </w:rPr>
              <w:t>General</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26</w:t>
            </w:r>
          </w:p>
        </w:tc>
      </w:tr>
      <w:tr>
        <w:trPr>
          <w:trHeight w:val="391"/>
        </w:trPr>
        <w:tc>
          <w:tcPr>
            <w:tcW w:w="780" w:type="dxa"/>
            <w:vAlign w:val="bottom"/>
          </w:tcPr>
          <w:p>
            <w:pPr>
              <w:spacing w:after="0"/>
              <w:rPr>
                <w:sz w:val="20"/>
                <w:szCs w:val="20"/>
                <w:color w:val="auto"/>
              </w:rPr>
            </w:pPr>
            <w:r>
              <w:rPr>
                <w:rFonts w:ascii="Arial" w:cs="Arial" w:eastAsia="Arial" w:hAnsi="Arial"/>
                <w:sz w:val="16"/>
                <w:szCs w:val="16"/>
                <w:b w:val="1"/>
                <w:bCs w:val="1"/>
                <w:color w:val="auto"/>
              </w:rPr>
              <w:t>Glossary</w:t>
            </w:r>
          </w:p>
        </w:tc>
        <w:tc>
          <w:tcPr>
            <w:tcW w:w="3620" w:type="dxa"/>
            <w:vAlign w:val="bottom"/>
          </w:tcPr>
          <w:p>
            <w:pPr>
              <w:spacing w:after="0"/>
              <w:rPr>
                <w:sz w:val="24"/>
                <w:szCs w:val="24"/>
                <w:color w:val="auto"/>
              </w:rPr>
            </w:pP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r>
      <w:tr>
        <w:trPr>
          <w:trHeight w:val="391"/>
        </w:trPr>
        <w:tc>
          <w:tcPr>
            <w:tcW w:w="780" w:type="dxa"/>
            <w:vAlign w:val="bottom"/>
          </w:tcPr>
          <w:p>
            <w:pPr>
              <w:spacing w:after="0"/>
              <w:rPr>
                <w:sz w:val="20"/>
                <w:szCs w:val="20"/>
                <w:color w:val="auto"/>
              </w:rPr>
            </w:pPr>
            <w:r>
              <w:rPr>
                <w:rFonts w:ascii="Arial" w:cs="Arial" w:eastAsia="Arial" w:hAnsi="Arial"/>
                <w:sz w:val="16"/>
                <w:szCs w:val="16"/>
                <w:b w:val="1"/>
                <w:bCs w:val="1"/>
                <w:color w:val="auto"/>
                <w:w w:val="91"/>
              </w:rPr>
              <w:t>Definitions</w:t>
            </w:r>
          </w:p>
        </w:tc>
        <w:tc>
          <w:tcPr>
            <w:tcW w:w="3620" w:type="dxa"/>
            <w:vAlign w:val="bottom"/>
          </w:tcPr>
          <w:p>
            <w:pPr>
              <w:spacing w:after="0"/>
              <w:rPr>
                <w:sz w:val="24"/>
                <w:szCs w:val="24"/>
                <w:color w:val="auto"/>
              </w:rPr>
            </w:pP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r>
      <w:tr>
        <w:trPr>
          <w:trHeight w:val="391"/>
        </w:trPr>
        <w:tc>
          <w:tcPr>
            <w:tcW w:w="4400" w:type="dxa"/>
            <w:vAlign w:val="bottom"/>
            <w:gridSpan w:val="2"/>
          </w:tcPr>
          <w:p>
            <w:pPr>
              <w:spacing w:after="0"/>
              <w:rPr>
                <w:sz w:val="20"/>
                <w:szCs w:val="20"/>
                <w:color w:val="auto"/>
              </w:rPr>
            </w:pPr>
            <w:r>
              <w:rPr>
                <w:rFonts w:ascii="Arial" w:cs="Arial" w:eastAsia="Arial" w:hAnsi="Arial"/>
                <w:sz w:val="16"/>
                <w:szCs w:val="16"/>
                <w:b w:val="1"/>
                <w:bCs w:val="1"/>
                <w:color w:val="auto"/>
              </w:rPr>
              <w:t>Interpretation</w:t>
            </w:r>
          </w:p>
        </w:tc>
        <w:tc>
          <w:tcPr>
            <w:tcW w:w="7060" w:type="dxa"/>
            <w:vAlign w:val="bottom"/>
            <w:gridSpan w:val="3"/>
          </w:tcPr>
          <w:p>
            <w:pPr>
              <w:jc w:val="right"/>
              <w:ind w:right="20"/>
              <w:spacing w:after="0"/>
              <w:rPr>
                <w:sz w:val="20"/>
                <w:szCs w:val="20"/>
                <w:color w:val="auto"/>
              </w:rPr>
            </w:pPr>
            <w:r>
              <w:rPr>
                <w:rFonts w:ascii="Arial" w:cs="Arial" w:eastAsia="Arial" w:hAnsi="Arial"/>
                <w:sz w:val="16"/>
                <w:szCs w:val="16"/>
                <w:color w:val="auto"/>
              </w:rPr>
              <w:t>13</w:t>
            </w:r>
          </w:p>
        </w:tc>
      </w:tr>
      <w:tr>
        <w:trPr>
          <w:trHeight w:val="391"/>
        </w:trPr>
        <w:tc>
          <w:tcPr>
            <w:tcW w:w="7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60" w:type="dxa"/>
            <w:vAlign w:val="bottom"/>
            <w:gridSpan w:val="3"/>
          </w:tcPr>
          <w:p>
            <w:pPr>
              <w:jc w:val="center"/>
              <w:ind w:right="4420"/>
              <w:spacing w:after="0"/>
              <w:rPr>
                <w:sz w:val="20"/>
                <w:szCs w:val="20"/>
                <w:color w:val="auto"/>
              </w:rPr>
            </w:pPr>
            <w:r>
              <w:rPr>
                <w:rFonts w:ascii="Arial" w:cs="Arial" w:eastAsia="Arial" w:hAnsi="Arial"/>
                <w:sz w:val="16"/>
                <w:szCs w:val="16"/>
                <w:color w:val="auto"/>
              </w:rPr>
              <w:t>i</w:t>
            </w:r>
          </w:p>
        </w:tc>
      </w:tr>
      <w:tr>
        <w:trPr>
          <w:trHeight w:val="119"/>
        </w:trPr>
        <w:tc>
          <w:tcPr>
            <w:tcW w:w="78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 w:right="240" w:hanging="2"/>
        <w:spacing w:after="0" w:line="270" w:lineRule="auto"/>
        <w:tabs>
          <w:tab w:leader="none" w:pos="396" w:val="left"/>
        </w:tabs>
        <w:numPr>
          <w:ilvl w:val="0"/>
          <w:numId w:val="562"/>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Cancer Research UK</w:t>
      </w:r>
    </w:p>
    <w:p>
      <w:pPr>
        <w:spacing w:after="0" w:line="207"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Clinical Trial and Licence Agreement</w:t>
      </w:r>
    </w:p>
    <w:p>
      <w:pPr>
        <w:spacing w:after="0" w:line="207"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Terms and Conditions</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6"/>
          <w:szCs w:val="16"/>
          <w:color w:val="auto"/>
        </w:rPr>
        <w:t>Between</w:t>
      </w:r>
    </w:p>
    <w:p>
      <w:pPr>
        <w:spacing w:after="0" w:line="203" w:lineRule="exact"/>
        <w:rPr>
          <w:sz w:val="20"/>
          <w:szCs w:val="20"/>
          <w:color w:val="auto"/>
        </w:rPr>
      </w:pPr>
    </w:p>
    <w:p>
      <w:pPr>
        <w:ind w:left="602" w:hanging="602"/>
        <w:spacing w:after="0"/>
        <w:tabs>
          <w:tab w:leader="none" w:pos="602" w:val="left"/>
        </w:tabs>
        <w:numPr>
          <w:ilvl w:val="0"/>
          <w:numId w:val="563"/>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Company;</w:t>
      </w:r>
    </w:p>
    <w:p>
      <w:pPr>
        <w:spacing w:after="0" w:line="207" w:lineRule="exact"/>
        <w:rPr>
          <w:rFonts w:ascii="Arial" w:cs="Arial" w:eastAsia="Arial" w:hAnsi="Arial"/>
          <w:sz w:val="16"/>
          <w:szCs w:val="16"/>
          <w:color w:val="auto"/>
        </w:rPr>
      </w:pPr>
    </w:p>
    <w:p>
      <w:pPr>
        <w:ind w:left="582" w:right="220" w:hanging="582"/>
        <w:spacing w:after="0" w:line="290" w:lineRule="auto"/>
        <w:tabs>
          <w:tab w:leader="none" w:pos="589" w:val="left"/>
        </w:tabs>
        <w:numPr>
          <w:ilvl w:val="0"/>
          <w:numId w:val="563"/>
        </w:numPr>
        <w:rPr>
          <w:rFonts w:ascii="Arial" w:cs="Arial" w:eastAsia="Arial" w:hAnsi="Arial"/>
          <w:sz w:val="16"/>
          <w:szCs w:val="16"/>
          <w:color w:val="auto"/>
        </w:rPr>
      </w:pPr>
      <w:r>
        <w:rPr>
          <w:rFonts w:ascii="Arial" w:cs="Arial" w:eastAsia="Arial" w:hAnsi="Arial"/>
          <w:sz w:val="16"/>
          <w:szCs w:val="16"/>
          <w:b w:val="1"/>
          <w:bCs w:val="1"/>
          <w:color w:val="auto"/>
        </w:rPr>
        <w:t xml:space="preserve">Cancer Research UK, </w:t>
      </w:r>
      <w:r>
        <w:rPr>
          <w:rFonts w:ascii="Arial" w:cs="Arial" w:eastAsia="Arial" w:hAnsi="Arial"/>
          <w:sz w:val="16"/>
          <w:szCs w:val="16"/>
          <w:color w:val="auto"/>
        </w:rPr>
        <w:t>a company registered under number 4325234, and charity registered under number 1089464, in England and Wales with registered office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Angel Building, 407 St John Street, London, EC1V 4AD, England (the </w:t>
      </w:r>
      <w:r>
        <w:rPr>
          <w:rFonts w:ascii="Arial" w:cs="Arial" w:eastAsia="Arial" w:hAnsi="Arial"/>
          <w:sz w:val="16"/>
          <w:szCs w:val="16"/>
          <w:b w:val="1"/>
          <w:bCs w:val="1"/>
          <w:color w:val="auto"/>
        </w:rPr>
        <w:t>“Charity”);</w:t>
      </w:r>
      <w:r>
        <w:rPr>
          <w:rFonts w:ascii="Arial" w:cs="Arial" w:eastAsia="Arial" w:hAnsi="Arial"/>
          <w:sz w:val="16"/>
          <w:szCs w:val="16"/>
          <w:color w:val="auto"/>
        </w:rPr>
        <w:t xml:space="preserve"> and</w:t>
      </w:r>
    </w:p>
    <w:p>
      <w:pPr>
        <w:sectPr>
          <w:pgSz w:w="11900" w:h="16838" w:orient="portrait"/>
          <w:cols w:equalWidth="0" w:num="1">
            <w:col w:w="11462"/>
          </w:cols>
          <w:pgMar w:left="238" w:top="322" w:right="199" w:bottom="0" w:gutter="0" w:footer="0" w:header="0"/>
        </w:sectPr>
      </w:pPr>
    </w:p>
    <w:bookmarkStart w:id="572" w:name="page573"/>
    <w:bookmarkEnd w:id="572"/>
    <w:p>
      <w:pPr>
        <w:ind w:left="582" w:right="380" w:hanging="582"/>
        <w:spacing w:after="0" w:line="290" w:lineRule="auto"/>
        <w:tabs>
          <w:tab w:leader="none" w:pos="589" w:val="left"/>
        </w:tabs>
        <w:numPr>
          <w:ilvl w:val="0"/>
          <w:numId w:val="564"/>
        </w:numPr>
        <w:rPr>
          <w:rFonts w:ascii="Arial" w:cs="Arial" w:eastAsia="Arial" w:hAnsi="Arial"/>
          <w:sz w:val="16"/>
          <w:szCs w:val="16"/>
          <w:color w:val="auto"/>
        </w:rPr>
      </w:pPr>
      <w:r>
        <w:rPr>
          <w:rFonts w:ascii="Arial" w:cs="Arial" w:eastAsia="Arial" w:hAnsi="Arial"/>
          <w:sz w:val="16"/>
          <w:szCs w:val="16"/>
          <w:b w:val="1"/>
          <w:bCs w:val="1"/>
          <w:color w:val="auto"/>
        </w:rPr>
        <w:t xml:space="preserve">Cancer Research Technology Limited, </w:t>
      </w:r>
      <w:r>
        <w:rPr>
          <w:rFonts w:ascii="Arial" w:cs="Arial" w:eastAsia="Arial" w:hAnsi="Arial"/>
          <w:sz w:val="16"/>
          <w:szCs w:val="16"/>
          <w:color w:val="auto"/>
        </w:rPr>
        <w:t>a company incorporated in England with number 1626049 with registered office at Angel Building, 407 St John Street,</w:t>
      </w:r>
      <w:r>
        <w:rPr>
          <w:rFonts w:ascii="Arial" w:cs="Arial" w:eastAsia="Arial" w:hAnsi="Arial"/>
          <w:sz w:val="16"/>
          <w:szCs w:val="16"/>
          <w:b w:val="1"/>
          <w:bCs w:val="1"/>
          <w:color w:val="auto"/>
        </w:rPr>
        <w:t xml:space="preserve"> </w:t>
      </w:r>
      <w:r>
        <w:rPr>
          <w:rFonts w:ascii="Arial" w:cs="Arial" w:eastAsia="Arial" w:hAnsi="Arial"/>
          <w:sz w:val="16"/>
          <w:szCs w:val="16"/>
          <w:color w:val="auto"/>
        </w:rPr>
        <w:t>London, EC1V 4AD, England (“</w:t>
      </w:r>
      <w:r>
        <w:rPr>
          <w:rFonts w:ascii="Arial" w:cs="Arial" w:eastAsia="Arial" w:hAnsi="Arial"/>
          <w:sz w:val="16"/>
          <w:szCs w:val="16"/>
          <w:b w:val="1"/>
          <w:bCs w:val="1"/>
          <w:color w:val="auto"/>
        </w:rPr>
        <w:t>CRT</w:t>
      </w:r>
      <w:r>
        <w:rPr>
          <w:rFonts w:ascii="Arial" w:cs="Arial" w:eastAsia="Arial" w:hAnsi="Arial"/>
          <w:sz w:val="16"/>
          <w:szCs w:val="16"/>
          <w:color w:val="auto"/>
        </w:rPr>
        <w:t>”).</w:t>
      </w:r>
    </w:p>
    <w:p>
      <w:pPr>
        <w:spacing w:after="0" w:line="14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Background</w:t>
      </w:r>
    </w:p>
    <w:p>
      <w:pPr>
        <w:spacing w:after="0" w:line="211" w:lineRule="exact"/>
        <w:rPr>
          <w:sz w:val="20"/>
          <w:szCs w:val="20"/>
          <w:color w:val="auto"/>
        </w:rPr>
      </w:pPr>
    </w:p>
    <w:p>
      <w:pPr>
        <w:ind w:left="582" w:right="60" w:hanging="582"/>
        <w:spacing w:after="0" w:line="285" w:lineRule="auto"/>
        <w:tabs>
          <w:tab w:leader="none" w:pos="600" w:val="left"/>
        </w:tabs>
        <w:numPr>
          <w:ilvl w:val="0"/>
          <w:numId w:val="565"/>
        </w:numPr>
        <w:rPr>
          <w:rFonts w:ascii="Arial" w:cs="Arial" w:eastAsia="Arial" w:hAnsi="Arial"/>
          <w:sz w:val="16"/>
          <w:szCs w:val="16"/>
          <w:color w:val="auto"/>
        </w:rPr>
      </w:pPr>
      <w:r>
        <w:rPr>
          <w:rFonts w:ascii="Arial" w:cs="Arial" w:eastAsia="Arial" w:hAnsi="Arial"/>
          <w:sz w:val="16"/>
          <w:szCs w:val="16"/>
          <w:color w:val="auto"/>
        </w:rPr>
        <w:t>The Company is a biotech company. It Controls certain IP rights relating to the Agent, which IP rights were created or obtained as part of its research programme for Membrane Type 1 Matrix Metalloproteinase (MT1-MMP) cytotoxic conjugates.</w:t>
      </w:r>
    </w:p>
    <w:p>
      <w:pPr>
        <w:spacing w:after="0" w:line="149" w:lineRule="exact"/>
        <w:rPr>
          <w:rFonts w:ascii="Arial" w:cs="Arial" w:eastAsia="Arial" w:hAnsi="Arial"/>
          <w:sz w:val="16"/>
          <w:szCs w:val="16"/>
          <w:color w:val="auto"/>
        </w:rPr>
      </w:pPr>
    </w:p>
    <w:p>
      <w:pPr>
        <w:ind w:left="582" w:right="160" w:hanging="582"/>
        <w:spacing w:after="0" w:line="285" w:lineRule="auto"/>
        <w:tabs>
          <w:tab w:leader="none" w:pos="591" w:val="left"/>
        </w:tabs>
        <w:numPr>
          <w:ilvl w:val="0"/>
          <w:numId w:val="565"/>
        </w:numPr>
        <w:rPr>
          <w:rFonts w:ascii="Arial" w:cs="Arial" w:eastAsia="Arial" w:hAnsi="Arial"/>
          <w:sz w:val="16"/>
          <w:szCs w:val="16"/>
          <w:color w:val="auto"/>
        </w:rPr>
      </w:pPr>
      <w:r>
        <w:rPr>
          <w:rFonts w:ascii="Arial" w:cs="Arial" w:eastAsia="Arial" w:hAnsi="Arial"/>
          <w:sz w:val="16"/>
          <w:szCs w:val="16"/>
          <w:color w:val="auto"/>
        </w:rPr>
        <w:t>The Charity’s charitable objects are to protect and promote the health of the public in particular by research into the nature, causes, diagnosis, prevention, treatment and cure of cancer. CRT is an oncology focused research and development company that is wholly-owned by the Charity.</w:t>
      </w:r>
    </w:p>
    <w:p>
      <w:pPr>
        <w:spacing w:after="0" w:line="149" w:lineRule="exact"/>
        <w:rPr>
          <w:rFonts w:ascii="Arial" w:cs="Arial" w:eastAsia="Arial" w:hAnsi="Arial"/>
          <w:sz w:val="16"/>
          <w:szCs w:val="16"/>
          <w:color w:val="auto"/>
        </w:rPr>
      </w:pPr>
    </w:p>
    <w:p>
      <w:pPr>
        <w:ind w:left="582" w:right="120" w:hanging="582"/>
        <w:spacing w:after="0" w:line="285" w:lineRule="auto"/>
        <w:tabs>
          <w:tab w:leader="none" w:pos="591" w:val="left"/>
        </w:tabs>
        <w:numPr>
          <w:ilvl w:val="0"/>
          <w:numId w:val="565"/>
        </w:numPr>
        <w:rPr>
          <w:rFonts w:ascii="Arial" w:cs="Arial" w:eastAsia="Arial" w:hAnsi="Arial"/>
          <w:sz w:val="16"/>
          <w:szCs w:val="16"/>
          <w:color w:val="auto"/>
        </w:rPr>
      </w:pPr>
      <w:r>
        <w:rPr>
          <w:rFonts w:ascii="Arial" w:cs="Arial" w:eastAsia="Arial" w:hAnsi="Arial"/>
          <w:sz w:val="16"/>
          <w:szCs w:val="16"/>
          <w:color w:val="auto"/>
        </w:rPr>
        <w:t>The Charity runs a collaborative partnership scheme under which companies may apply to have the Charity fund and sponsor a clinical trial to investigate the use of an agent as an oncology therapeutic.</w:t>
      </w:r>
    </w:p>
    <w:p>
      <w:pPr>
        <w:spacing w:after="0" w:line="149" w:lineRule="exact"/>
        <w:rPr>
          <w:rFonts w:ascii="Arial" w:cs="Arial" w:eastAsia="Arial" w:hAnsi="Arial"/>
          <w:sz w:val="16"/>
          <w:szCs w:val="16"/>
          <w:color w:val="auto"/>
        </w:rPr>
      </w:pPr>
    </w:p>
    <w:p>
      <w:pPr>
        <w:ind w:left="582" w:right="80" w:hanging="582"/>
        <w:spacing w:after="0" w:line="285" w:lineRule="auto"/>
        <w:tabs>
          <w:tab w:leader="none" w:pos="600" w:val="left"/>
        </w:tabs>
        <w:numPr>
          <w:ilvl w:val="0"/>
          <w:numId w:val="565"/>
        </w:numPr>
        <w:rPr>
          <w:rFonts w:ascii="Arial" w:cs="Arial" w:eastAsia="Arial" w:hAnsi="Arial"/>
          <w:sz w:val="16"/>
          <w:szCs w:val="16"/>
          <w:color w:val="auto"/>
        </w:rPr>
      </w:pPr>
      <w:r>
        <w:rPr>
          <w:rFonts w:ascii="Arial" w:cs="Arial" w:eastAsia="Arial" w:hAnsi="Arial"/>
          <w:sz w:val="16"/>
          <w:szCs w:val="16"/>
          <w:color w:val="auto"/>
        </w:rPr>
        <w:t>The Parties believe the Agent may be useful in the treatment of oncology. The Company has successfully applied under the collaborative partnership scheme to have the Charity fund and sponsor a clinical trial of the Agent.</w:t>
      </w:r>
    </w:p>
    <w:p>
      <w:pPr>
        <w:spacing w:after="0" w:line="149" w:lineRule="exact"/>
        <w:rPr>
          <w:rFonts w:ascii="Arial" w:cs="Arial" w:eastAsia="Arial" w:hAnsi="Arial"/>
          <w:sz w:val="16"/>
          <w:szCs w:val="16"/>
          <w:color w:val="auto"/>
        </w:rPr>
      </w:pPr>
    </w:p>
    <w:p>
      <w:pPr>
        <w:ind w:left="582" w:hanging="582"/>
        <w:spacing w:after="0" w:line="284" w:lineRule="auto"/>
        <w:tabs>
          <w:tab w:leader="none" w:pos="595" w:val="left"/>
        </w:tabs>
        <w:numPr>
          <w:ilvl w:val="0"/>
          <w:numId w:val="565"/>
        </w:numPr>
        <w:rPr>
          <w:rFonts w:ascii="Arial" w:cs="Arial" w:eastAsia="Arial" w:hAnsi="Arial"/>
          <w:sz w:val="15"/>
          <w:szCs w:val="15"/>
          <w:color w:val="auto"/>
        </w:rPr>
      </w:pPr>
      <w:r>
        <w:rPr>
          <w:rFonts w:ascii="Arial" w:cs="Arial" w:eastAsia="Arial" w:hAnsi="Arial"/>
          <w:sz w:val="15"/>
          <w:szCs w:val="15"/>
          <w:color w:val="auto"/>
        </w:rPr>
        <w:t>To support the Company’s efforts to develop and commercialise the Agent, Agent Products and Collaboration Products, the Company will take a licence to the results of the Charity’s clinical trial. If the licence terminates and the Company abandons development of the Agent and does not initiate and advance development of another Agent Product or a Collaboration Product, the Company will assign and/or license exclusively to CRT its rights in and to the Agent and any then-existing Agent Products and Collaboration Products and grant to CRT a non-exclusive licence under certain other related rights of the Company, so that CRT may further develop and commercialise the Agent, Agent Products and Collaboration Products, on a revenue sharing basis, for the benefit of cancer patients.</w:t>
      </w:r>
    </w:p>
    <w:p>
      <w:pPr>
        <w:spacing w:after="0" w:line="153" w:lineRule="exact"/>
        <w:rPr>
          <w:rFonts w:ascii="Arial" w:cs="Arial" w:eastAsia="Arial" w:hAnsi="Arial"/>
          <w:sz w:val="15"/>
          <w:szCs w:val="15"/>
          <w:color w:val="auto"/>
        </w:rPr>
      </w:pPr>
    </w:p>
    <w:p>
      <w:pPr>
        <w:ind w:left="582" w:right="100" w:hanging="582"/>
        <w:spacing w:after="0" w:line="285" w:lineRule="auto"/>
        <w:tabs>
          <w:tab w:leader="none" w:pos="598" w:val="left"/>
        </w:tabs>
        <w:numPr>
          <w:ilvl w:val="0"/>
          <w:numId w:val="565"/>
        </w:numPr>
        <w:rPr>
          <w:rFonts w:ascii="Arial" w:cs="Arial" w:eastAsia="Arial" w:hAnsi="Arial"/>
          <w:sz w:val="16"/>
          <w:szCs w:val="16"/>
          <w:color w:val="auto"/>
        </w:rPr>
      </w:pPr>
      <w:r>
        <w:rPr>
          <w:rFonts w:ascii="Arial" w:cs="Arial" w:eastAsia="Arial" w:hAnsi="Arial"/>
          <w:sz w:val="16"/>
          <w:szCs w:val="16"/>
          <w:color w:val="auto"/>
        </w:rPr>
        <w:t>The Parties wish to collaborate with one another on the terms and conditions set out in this Agreement to enable those research, development and commercialisation activities to take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80275" cy="279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123" w:right="239" w:bottom="1440" w:gutter="0" w:footer="0" w:header="0"/>
        </w:sectPr>
      </w:pPr>
    </w:p>
    <w:bookmarkStart w:id="573" w:name="page574"/>
    <w:bookmarkEnd w:id="573"/>
    <w:p>
      <w:pPr>
        <w:ind w:left="2" w:right="200" w:hanging="2"/>
        <w:spacing w:after="0" w:line="270" w:lineRule="auto"/>
        <w:tabs>
          <w:tab w:leader="none" w:pos="396" w:val="left"/>
        </w:tabs>
        <w:numPr>
          <w:ilvl w:val="0"/>
          <w:numId w:val="566"/>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2" w:right="200"/>
        <w:spacing w:after="0" w:line="285" w:lineRule="auto"/>
        <w:rPr>
          <w:sz w:val="20"/>
          <w:szCs w:val="20"/>
          <w:color w:val="auto"/>
        </w:rPr>
      </w:pPr>
      <w:r>
        <w:rPr>
          <w:rFonts w:ascii="Arial" w:cs="Arial" w:eastAsia="Arial" w:hAnsi="Arial"/>
          <w:sz w:val="16"/>
          <w:szCs w:val="16"/>
          <w:color w:val="auto"/>
        </w:rPr>
        <w:t>Note: Capitalised terms used in this Agreement have the meaning given to them in the Glossary, and the interpretation provisions in the Glossary apply, unless the context requires otherwise.</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Agreed Terms</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b w:val="1"/>
          <w:bCs w:val="1"/>
          <w:u w:val="single" w:color="auto"/>
          <w:color w:val="auto"/>
        </w:rPr>
        <w:t>Part A: Performance of the Clinical Trial</w:t>
      </w:r>
    </w:p>
    <w:p>
      <w:pPr>
        <w:spacing w:after="0" w:line="211" w:lineRule="exact"/>
        <w:rPr>
          <w:sz w:val="20"/>
          <w:szCs w:val="20"/>
          <w:color w:val="auto"/>
        </w:rPr>
      </w:pPr>
    </w:p>
    <w:p>
      <w:pPr>
        <w:ind w:left="582" w:hanging="582"/>
        <w:spacing w:after="0"/>
        <w:tabs>
          <w:tab w:leader="none" w:pos="582" w:val="left"/>
        </w:tabs>
        <w:numPr>
          <w:ilvl w:val="0"/>
          <w:numId w:val="567"/>
        </w:numPr>
        <w:rPr>
          <w:rFonts w:ascii="Arial" w:cs="Arial" w:eastAsia="Arial" w:hAnsi="Arial"/>
          <w:sz w:val="16"/>
          <w:szCs w:val="16"/>
          <w:color w:val="auto"/>
        </w:rPr>
      </w:pPr>
      <w:r>
        <w:rPr>
          <w:rFonts w:ascii="Arial" w:cs="Arial" w:eastAsia="Arial" w:hAnsi="Arial"/>
          <w:sz w:val="16"/>
          <w:szCs w:val="16"/>
          <w:color w:val="auto"/>
        </w:rPr>
        <w:t>Clinical Trial</w:t>
      </w:r>
    </w:p>
    <w:p>
      <w:pPr>
        <w:spacing w:after="0" w:line="207" w:lineRule="exact"/>
        <w:rPr>
          <w:sz w:val="20"/>
          <w:szCs w:val="20"/>
          <w:color w:val="auto"/>
        </w:rPr>
      </w:pPr>
    </w:p>
    <w:p>
      <w:pPr>
        <w:ind w:left="582" w:right="20" w:hanging="586"/>
        <w:spacing w:after="0" w:line="261" w:lineRule="auto"/>
        <w:tabs>
          <w:tab w:leader="none" w:pos="562"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 xml:space="preserve">The Charity will use all reasonable endeavours at its cost (from the budget available from time to time to the Charity’s Centre for Drug Development) to design, prepare, carry out and sponsor a clinical trial to investigate the clinical effect of the Agent (the </w:t>
      </w:r>
      <w:r>
        <w:rPr>
          <w:rFonts w:ascii="Arial" w:cs="Arial" w:eastAsia="Arial" w:hAnsi="Arial"/>
          <w:sz w:val="16"/>
          <w:szCs w:val="16"/>
          <w:b w:val="1"/>
          <w:bCs w:val="1"/>
          <w:color w:val="auto"/>
        </w:rPr>
        <w:t>“Clinical Trial”),</w:t>
      </w:r>
      <w:r>
        <w:rPr>
          <w:rFonts w:ascii="Arial" w:cs="Arial" w:eastAsia="Arial" w:hAnsi="Arial"/>
          <w:sz w:val="16"/>
          <w:szCs w:val="16"/>
          <w:color w:val="auto"/>
        </w:rPr>
        <w:t xml:space="preserve"> and to do so in accordance with any applicable Clinical Trial Legislation. The term, </w:t>
      </w:r>
      <w:r>
        <w:rPr>
          <w:rFonts w:ascii="Arial" w:cs="Arial" w:eastAsia="Arial" w:hAnsi="Arial"/>
          <w:sz w:val="16"/>
          <w:szCs w:val="16"/>
          <w:b w:val="1"/>
          <w:bCs w:val="1"/>
          <w:color w:val="auto"/>
        </w:rPr>
        <w:t>“Clinical Trial”,</w:t>
      </w:r>
      <w:r>
        <w:rPr>
          <w:rFonts w:ascii="Arial" w:cs="Arial" w:eastAsia="Arial" w:hAnsi="Arial"/>
          <w:sz w:val="16"/>
          <w:szCs w:val="16"/>
          <w:color w:val="auto"/>
        </w:rPr>
        <w:t xml:space="preserve"> includes any pre-clinical studies the Charity performs in support of that clinical trial which are either necessary (to comply with Regulatory Authorisations or applicable law) or are approved from time to time by the JPT. The Charity understands the likely costs it will incur in carrying out the Clinical Trial. For the avoidance of doubt, the Charity will not be responsible for any delays or interruptions to the Clinical Trial which arise from the Company’s performance of its obligations under this Agreement.</w:t>
      </w:r>
    </w:p>
    <w:p>
      <w:pPr>
        <w:spacing w:after="0" w:line="169"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Scope and Protocol</w:t>
      </w:r>
    </w:p>
    <w:p>
      <w:pPr>
        <w:spacing w:after="0" w:line="207" w:lineRule="exact"/>
        <w:rPr>
          <w:sz w:val="20"/>
          <w:szCs w:val="20"/>
          <w:color w:val="auto"/>
        </w:rPr>
      </w:pPr>
    </w:p>
    <w:p>
      <w:pPr>
        <w:ind w:left="582" w:right="40" w:hanging="586"/>
        <w:spacing w:after="0" w:line="260" w:lineRule="auto"/>
        <w:tabs>
          <w:tab w:leader="none" w:pos="562"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 xml:space="preserve">The Charity will prepare and draft (a) the protocol that will apply to clinical activities to be performed under this Agreement based on the summary set out in the Cover Sheet (the </w:t>
      </w:r>
      <w:r>
        <w:rPr>
          <w:rFonts w:ascii="Arial" w:cs="Arial" w:eastAsia="Arial" w:hAnsi="Arial"/>
          <w:sz w:val="16"/>
          <w:szCs w:val="16"/>
          <w:b w:val="1"/>
          <w:bCs w:val="1"/>
          <w:color w:val="auto"/>
        </w:rPr>
        <w:t>“Protocol”),</w:t>
      </w:r>
      <w:r>
        <w:rPr>
          <w:rFonts w:ascii="Arial" w:cs="Arial" w:eastAsia="Arial" w:hAnsi="Arial"/>
          <w:sz w:val="16"/>
          <w:szCs w:val="16"/>
          <w:color w:val="auto"/>
        </w:rPr>
        <w:t xml:space="preserve"> and (b) any amendments to the Protocol. Including as provided for in clause 4 of this Agreement, the Charity will consult with the Company on the content and scope of the Protocol and amendments to it and will use all reasonable endeavours to consider in good faith and implement changes that the Company reasonably considers as being necessary for the future development and exploitation of Agent Products or Collaboration Products, provided (1) that such changes can be implemented without an unfunded increase in the Charity’s budget for the Clinical Trial (taking account of any proposal by the Company to bear unfunded costs), and (2) that the Charity will retain final decision making authority over all matters necessary for the safe, proper or lawful conduct of the Clinical Trial or the health or safety of any Clinical Trial Subject.</w:t>
      </w:r>
    </w:p>
    <w:p>
      <w:pPr>
        <w:spacing w:after="0" w:line="17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5"/>
          <w:szCs w:val="15"/>
          <w:color w:val="auto"/>
        </w:rPr>
        <w:t>The Charity will provide the Company with a copy of the Protocol and any amendments [***].</w:t>
      </w:r>
    </w:p>
    <w:p>
      <w:pPr>
        <w:spacing w:after="0" w:line="207" w:lineRule="exact"/>
        <w:rPr>
          <w:sz w:val="20"/>
          <w:szCs w:val="20"/>
          <w:color w:val="auto"/>
        </w:rPr>
      </w:pPr>
    </w:p>
    <w:p>
      <w:pPr>
        <w:ind w:left="582" w:right="60" w:hanging="586"/>
        <w:spacing w:after="0" w:line="270" w:lineRule="auto"/>
        <w:tabs>
          <w:tab w:leader="none" w:pos="562"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If the Charity determines reasonably that the Protocol should be amended on an expedited basis such that consultation with the Company is not reasonably feasible (for ethical, safety or other reasons), it may amend the Protocol without consulting the Company but afterwards will notify the Company of the amendments made as soon as is practicable.</w:t>
      </w:r>
    </w:p>
    <w:p>
      <w:pPr>
        <w:spacing w:after="0" w:line="162"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The Charity relies on a network of academic research institutes, hospitals and third party service providers to perform clinical trials, and may subcontract performance of all or part of the Clinical</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574" w:name="page575"/>
    <w:bookmarkEnd w:id="574"/>
    <w:p>
      <w:pPr>
        <w:ind w:left="2" w:right="180" w:hanging="2"/>
        <w:spacing w:after="0" w:line="270" w:lineRule="auto"/>
        <w:tabs>
          <w:tab w:leader="none" w:pos="396" w:val="left"/>
        </w:tabs>
        <w:numPr>
          <w:ilvl w:val="0"/>
          <w:numId w:val="568"/>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600"/>
        <w:spacing w:after="0" w:line="285" w:lineRule="auto"/>
        <w:rPr>
          <w:sz w:val="20"/>
          <w:szCs w:val="20"/>
          <w:color w:val="auto"/>
        </w:rPr>
      </w:pPr>
      <w:r>
        <w:rPr>
          <w:rFonts w:ascii="Arial" w:cs="Arial" w:eastAsia="Arial" w:hAnsi="Arial"/>
          <w:sz w:val="16"/>
          <w:szCs w:val="16"/>
          <w:color w:val="auto"/>
        </w:rPr>
        <w:t>Trial on terms consistent with those set out in this Agreement. In order to comply with its obligations under clause 1.1 of this Agreement, the Charity will be responsible for entering into its customary arrangements with such third parties.</w:t>
      </w:r>
    </w:p>
    <w:p>
      <w:pPr>
        <w:spacing w:after="0" w:line="150" w:lineRule="exact"/>
        <w:rPr>
          <w:sz w:val="20"/>
          <w:szCs w:val="20"/>
          <w:color w:val="auto"/>
        </w:rPr>
      </w:pPr>
    </w:p>
    <w:p>
      <w:pPr>
        <w:ind w:left="582" w:hanging="586"/>
        <w:spacing w:after="0" w:line="265" w:lineRule="auto"/>
        <w:tabs>
          <w:tab w:leader="none" w:pos="562"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In certain circumstances, the Parties may agree that the Company or the Charity will carry out additional activities at its own cost to support the Clinical Trial (additional to those set out in the Cover Sheet and, in the case of the Company, additional to those set out in clause 3 of this Agreement). If that is the case, the Parties will record in writing a detailed description of those activities and any Materials and Know How to be provided to the Charity, together with any deadlines by which those activities are to be performed or Materials or Know How provided.</w:t>
      </w:r>
    </w:p>
    <w:p>
      <w:pPr>
        <w:spacing w:after="0" w:line="166" w:lineRule="exact"/>
        <w:rPr>
          <w:sz w:val="20"/>
          <w:szCs w:val="20"/>
          <w:color w:val="auto"/>
        </w:rPr>
      </w:pPr>
    </w:p>
    <w:p>
      <w:pPr>
        <w:ind w:left="642" w:hanging="642"/>
        <w:spacing w:after="0"/>
        <w:tabs>
          <w:tab w:leader="none" w:pos="642" w:val="left"/>
        </w:tabs>
        <w:numPr>
          <w:ilvl w:val="0"/>
          <w:numId w:val="569"/>
        </w:numPr>
        <w:rPr>
          <w:rFonts w:ascii="Arial" w:cs="Arial" w:eastAsia="Arial" w:hAnsi="Arial"/>
          <w:sz w:val="16"/>
          <w:szCs w:val="16"/>
          <w:color w:val="auto"/>
        </w:rPr>
      </w:pPr>
      <w:r>
        <w:rPr>
          <w:rFonts w:ascii="Arial" w:cs="Arial" w:eastAsia="Arial" w:hAnsi="Arial"/>
          <w:sz w:val="16"/>
          <w:szCs w:val="16"/>
          <w:color w:val="auto"/>
        </w:rPr>
        <w:t>Information sharing</w:t>
      </w:r>
    </w:p>
    <w:p>
      <w:pPr>
        <w:spacing w:after="0" w:line="207" w:lineRule="exact"/>
        <w:rPr>
          <w:rFonts w:ascii="Arial" w:cs="Arial" w:eastAsia="Arial" w:hAnsi="Arial"/>
          <w:sz w:val="16"/>
          <w:szCs w:val="16"/>
          <w:color w:val="auto"/>
        </w:rPr>
      </w:pPr>
    </w:p>
    <w:p>
      <w:pPr>
        <w:ind w:left="2"/>
        <w:spacing w:after="0"/>
        <w:rPr>
          <w:rFonts w:ascii="Arial" w:cs="Arial" w:eastAsia="Arial" w:hAnsi="Arial"/>
          <w:sz w:val="16"/>
          <w:szCs w:val="16"/>
          <w:color w:val="auto"/>
        </w:rPr>
      </w:pPr>
      <w:r>
        <w:rPr>
          <w:rFonts w:ascii="Arial" w:cs="Arial" w:eastAsia="Arial" w:hAnsi="Arial"/>
          <w:sz w:val="16"/>
          <w:szCs w:val="16"/>
          <w:color w:val="auto"/>
        </w:rPr>
        <w:t>2.1</w:t>
      </w:r>
      <w:r>
        <w:rPr>
          <w:rFonts w:ascii="Arial" w:cs="Arial" w:eastAsia="Arial" w:hAnsi="Arial"/>
          <w:sz w:val="14"/>
          <w:szCs w:val="14"/>
          <w:color w:val="auto"/>
        </w:rPr>
        <w:t>Project Leaders</w:t>
      </w:r>
    </w:p>
    <w:p>
      <w:pPr>
        <w:spacing w:after="0" w:line="207" w:lineRule="exact"/>
        <w:rPr>
          <w:rFonts w:ascii="Arial" w:cs="Arial" w:eastAsia="Arial" w:hAnsi="Arial"/>
          <w:sz w:val="16"/>
          <w:szCs w:val="16"/>
          <w:color w:val="auto"/>
        </w:rPr>
      </w:pPr>
    </w:p>
    <w:p>
      <w:pPr>
        <w:ind w:left="2"/>
        <w:spacing w:after="0"/>
        <w:rPr>
          <w:rFonts w:ascii="Arial" w:cs="Arial" w:eastAsia="Arial" w:hAnsi="Arial"/>
          <w:sz w:val="16"/>
          <w:szCs w:val="16"/>
          <w:color w:val="auto"/>
        </w:rPr>
      </w:pPr>
      <w:r>
        <w:rPr>
          <w:rFonts w:ascii="Arial" w:cs="Arial" w:eastAsia="Arial" w:hAnsi="Arial"/>
          <w:sz w:val="16"/>
          <w:szCs w:val="16"/>
          <w:color w:val="auto"/>
        </w:rPr>
        <w:t>2.1.1   The Project Leaders will be the primary points of contact between the Parties for all matters related to the Clinical Trial or the activities of the JPT.</w:t>
      </w:r>
    </w:p>
    <w:p>
      <w:pPr>
        <w:spacing w:after="0" w:line="207" w:lineRule="exact"/>
        <w:rPr>
          <w:sz w:val="20"/>
          <w:szCs w:val="20"/>
          <w:color w:val="auto"/>
        </w:rPr>
      </w:pPr>
    </w:p>
    <w:p>
      <w:pPr>
        <w:ind w:left="582" w:right="340" w:hanging="586"/>
        <w:spacing w:after="0" w:line="265" w:lineRule="auto"/>
        <w:tabs>
          <w:tab w:leader="none" w:pos="562"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6"/>
          <w:szCs w:val="16"/>
          <w:color w:val="auto"/>
        </w:rPr>
        <w:t>The Project Leaders are expected to share information about, among other things, progress of the Clinical Trial and issues arising from it, timing and content of publications, and the status of the Agent Patents. The Project Leaders are expected to meet with one another by telephone or videoconference at [***] during the Clinical Trial. The Project Leaders will be responsible for ensuring timely and adequate communications amongst members of the JPT including, as and when available, transmission of any data from the Clinical Trial.</w:t>
      </w:r>
    </w:p>
    <w:p>
      <w:pPr>
        <w:spacing w:after="0" w:line="16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Progress Reports</w:t>
      </w:r>
    </w:p>
    <w:p>
      <w:pPr>
        <w:spacing w:after="0" w:line="203"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2.2.1</w:t>
      </w:r>
      <w:r>
        <w:rPr>
          <w:sz w:val="20"/>
          <w:szCs w:val="20"/>
          <w:color w:val="auto"/>
        </w:rPr>
        <w:tab/>
      </w:r>
      <w:r>
        <w:rPr>
          <w:rFonts w:ascii="Arial" w:cs="Arial" w:eastAsia="Arial" w:hAnsi="Arial"/>
          <w:sz w:val="14"/>
          <w:szCs w:val="14"/>
          <w:color w:val="auto"/>
        </w:rPr>
        <w:t xml:space="preserve">The Charity will prepare and provide to the Company through the JPT or otherwise a report relating to the progress of the Clinical Trial </w:t>
      </w:r>
      <w:r>
        <w:rPr>
          <w:rFonts w:ascii="Arial" w:cs="Arial" w:eastAsia="Arial" w:hAnsi="Arial"/>
          <w:sz w:val="14"/>
          <w:szCs w:val="14"/>
          <w:b w:val="1"/>
          <w:bCs w:val="1"/>
          <w:color w:val="auto"/>
        </w:rPr>
        <w:t>(“Progress Reports”)</w:t>
      </w:r>
      <w:r>
        <w:rPr>
          <w:rFonts w:ascii="Arial" w:cs="Arial" w:eastAsia="Arial" w:hAnsi="Arial"/>
          <w:sz w:val="14"/>
          <w:szCs w:val="14"/>
          <w:color w:val="auto"/>
        </w:rPr>
        <w:t xml:space="preserve"> on a</w:t>
      </w:r>
    </w:p>
    <w:p>
      <w:pPr>
        <w:spacing w:after="0" w:line="27" w:lineRule="exact"/>
        <w:rPr>
          <w:sz w:val="20"/>
          <w:szCs w:val="20"/>
          <w:color w:val="auto"/>
        </w:rPr>
      </w:pPr>
    </w:p>
    <w:p>
      <w:pPr>
        <w:ind w:left="582" w:right="60" w:firstLine="5"/>
        <w:spacing w:after="0" w:line="270" w:lineRule="auto"/>
        <w:tabs>
          <w:tab w:leader="none" w:pos="976" w:val="left"/>
        </w:tabs>
        <w:numPr>
          <w:ilvl w:val="0"/>
          <w:numId w:val="570"/>
        </w:numPr>
        <w:rPr>
          <w:rFonts w:ascii="Arial" w:cs="Arial" w:eastAsia="Arial" w:hAnsi="Arial"/>
          <w:sz w:val="16"/>
          <w:szCs w:val="16"/>
          <w:color w:val="auto"/>
        </w:rPr>
      </w:pPr>
      <w:r>
        <w:rPr>
          <w:rFonts w:ascii="Arial" w:cs="Arial" w:eastAsia="Arial" w:hAnsi="Arial"/>
          <w:sz w:val="16"/>
          <w:szCs w:val="16"/>
          <w:color w:val="auto"/>
        </w:rPr>
        <w:t>basis. Progress Reports may contain, among other things, information on projected recruitment, projected key dates in the Clinical Trial, the then current status of the Clinical Trial and [***].</w:t>
      </w:r>
    </w:p>
    <w:p>
      <w:pPr>
        <w:spacing w:after="0" w:line="161" w:lineRule="exact"/>
        <w:rPr>
          <w:sz w:val="20"/>
          <w:szCs w:val="20"/>
          <w:color w:val="auto"/>
        </w:rPr>
      </w:pPr>
    </w:p>
    <w:p>
      <w:pPr>
        <w:ind w:left="582" w:right="40" w:hanging="586"/>
        <w:spacing w:after="0" w:line="281" w:lineRule="auto"/>
        <w:tabs>
          <w:tab w:leader="none" w:pos="562"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5"/>
          <w:szCs w:val="15"/>
          <w:color w:val="auto"/>
        </w:rPr>
        <w:t>The Company acknowledges that the contents of Progress Reports may not be ‘clean’ or validated, and should not be relied upon, and that their contents are Confidential Information of CRT. Unless and until the Company is granted the Licence, the Company may use the contents of Progress Reports for internal reporting purposes only, and may not disclose the contents of any Progress Report to any third party without CRT’s consent or as permitted under clause 11 of this Agreement and will ensure that any disclosure to a third party which CRT permits the Company to make is made only under conditions of confidentiality binding upon the third party which are equivalent to those in this Agreement. Unless and until the contents of a Progress Report are ‘clean’ and validated, the Company will bear sole responsibility for, and assume all risks and liabilities for any use made of, such contents.</w:t>
      </w:r>
    </w:p>
    <w:p>
      <w:pPr>
        <w:spacing w:after="0" w:line="15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575" w:name="page576"/>
    <w:bookmarkEnd w:id="575"/>
    <w:p>
      <w:pPr>
        <w:ind w:left="2" w:right="200" w:hanging="2"/>
        <w:spacing w:after="0" w:line="270" w:lineRule="auto"/>
        <w:tabs>
          <w:tab w:leader="none" w:pos="396" w:val="left"/>
        </w:tabs>
        <w:numPr>
          <w:ilvl w:val="0"/>
          <w:numId w:val="571"/>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Database lock. The Charity will clean and validate the Clinical Trial Results and lock the clinical research database relating to the Clinical Trial as soon as is</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practicable after the last course of treatment under the Clinical Trial is complete, and will notify the Company promptly after the database is locked.</w:t>
      </w:r>
    </w:p>
    <w:p>
      <w:pPr>
        <w:spacing w:after="0" w:line="196" w:lineRule="exact"/>
        <w:rPr>
          <w:sz w:val="20"/>
          <w:szCs w:val="20"/>
          <w:color w:val="auto"/>
        </w:rPr>
      </w:pPr>
    </w:p>
    <w:p>
      <w:pPr>
        <w:ind w:left="582" w:right="100" w:hanging="586"/>
        <w:spacing w:after="0" w:line="284" w:lineRule="auto"/>
        <w:tabs>
          <w:tab w:leader="none" w:pos="562"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color w:val="auto"/>
        </w:rPr>
        <w:t xml:space="preserve">IMPD and IB. Taking into account any reasonable comments received from the Company applying the procedures provided for in clause 1.2 of this Agreement for the Protocol, the Charity will prepare the Investigational Medicinal Product Dossier </w:t>
      </w:r>
      <w:r>
        <w:rPr>
          <w:rFonts w:ascii="Arial" w:cs="Arial" w:eastAsia="Arial" w:hAnsi="Arial"/>
          <w:sz w:val="15"/>
          <w:szCs w:val="15"/>
          <w:b w:val="1"/>
          <w:bCs w:val="1"/>
          <w:color w:val="auto"/>
        </w:rPr>
        <w:t>(“IMPD”)</w:t>
      </w:r>
      <w:r>
        <w:rPr>
          <w:rFonts w:ascii="Arial" w:cs="Arial" w:eastAsia="Arial" w:hAnsi="Arial"/>
          <w:sz w:val="15"/>
          <w:szCs w:val="15"/>
          <w:color w:val="auto"/>
        </w:rPr>
        <w:t xml:space="preserve"> and the Investigator’s Brochure (“</w:t>
      </w:r>
      <w:r>
        <w:rPr>
          <w:rFonts w:ascii="Arial" w:cs="Arial" w:eastAsia="Arial" w:hAnsi="Arial"/>
          <w:sz w:val="15"/>
          <w:szCs w:val="15"/>
          <w:b w:val="1"/>
          <w:bCs w:val="1"/>
          <w:color w:val="auto"/>
        </w:rPr>
        <w:t>IB</w:t>
      </w:r>
      <w:r>
        <w:rPr>
          <w:rFonts w:ascii="Arial" w:cs="Arial" w:eastAsia="Arial" w:hAnsi="Arial"/>
          <w:sz w:val="15"/>
          <w:szCs w:val="15"/>
          <w:color w:val="auto"/>
        </w:rPr>
        <w:t>”) in respect of the clinical aspects of the Clinical Trial, and submit the IMPD and IB to the relevant Regulatory Authority. The Company will provide the Charity with all reasonable assistance in the preparation of the IMPD and IB, including, without limitation, the provision of available information (including such chemistry manufacturing and control information as is available to the Company, in a form suitable for inclusion in the IMPD) required to prepare the IMPD and IB.</w:t>
      </w:r>
    </w:p>
    <w:p>
      <w:pPr>
        <w:spacing w:after="0" w:line="153" w:lineRule="exact"/>
        <w:rPr>
          <w:sz w:val="20"/>
          <w:szCs w:val="20"/>
          <w:color w:val="auto"/>
        </w:rPr>
      </w:pPr>
    </w:p>
    <w:p>
      <w:pPr>
        <w:ind w:left="582" w:right="140" w:hanging="586"/>
        <w:spacing w:after="0" w:line="285" w:lineRule="auto"/>
        <w:tabs>
          <w:tab w:leader="none" w:pos="562"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Clinical study report. The Charity will prepare a clinical study report in respect of the Clinical Trial that meets the standards of ICH Topic E3 of the ICH Guidelines for Structure and Content of Clinical Study Reports dated July 1996.</w:t>
      </w:r>
    </w:p>
    <w:p>
      <w:pPr>
        <w:spacing w:after="0" w:line="150" w:lineRule="exact"/>
        <w:rPr>
          <w:sz w:val="20"/>
          <w:szCs w:val="20"/>
          <w:color w:val="auto"/>
        </w:rPr>
      </w:pPr>
    </w:p>
    <w:p>
      <w:pPr>
        <w:ind w:left="582" w:right="60" w:hanging="586"/>
        <w:spacing w:after="0" w:line="260" w:lineRule="auto"/>
        <w:tabs>
          <w:tab w:leader="none" w:pos="562"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6"/>
          <w:szCs w:val="16"/>
          <w:color w:val="auto"/>
        </w:rPr>
        <w:t>Documents. The Charity will provide to the Company: (a) copies of the IMPD and IB [***], and (b) a clinical study report within [***] after the Charity has notified the Company that the clinical research database relating to the Clinical Trial has been locked or, in the event that for ethical or other reasons any Clinical Trial Subject(s) continues to be dosed with the Agent after the last patient has been dosed with the [***] cycle or such other event as agreed to by the JPT, an interim clinical study report based upon the data available up to and including the last patient that has been dosed with the [***] cycle or such other event as agreed to by the JPT. In the event that for ethical or other reasons any Clinical Trial Subject(s) continue to be dosed with the Agent after the last patient has been dosed with the [***] cycle or such other event as agreed to by the JPT, the Parties will agree in good faith the basis upon which the Charity will provide reports to the Company on the progress of those Clinical Trial Subjects.</w:t>
      </w:r>
    </w:p>
    <w:p>
      <w:pPr>
        <w:spacing w:after="0" w:line="170" w:lineRule="exact"/>
        <w:rPr>
          <w:sz w:val="20"/>
          <w:szCs w:val="20"/>
          <w:color w:val="auto"/>
        </w:rPr>
      </w:pPr>
    </w:p>
    <w:p>
      <w:pPr>
        <w:ind w:left="582" w:hanging="586"/>
        <w:spacing w:after="0" w:line="261" w:lineRule="auto"/>
        <w:tabs>
          <w:tab w:leader="none" w:pos="562"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6"/>
          <w:szCs w:val="16"/>
          <w:color w:val="auto"/>
        </w:rPr>
        <w:t>Inspection. At the Company’s reasonable request and expense, the Charity will permit or procure permission for representatives of the Company and its professional advisers (with expertise relevant to the conduct of clinical trials) to inspect the records of the Charity concerning only the Clinical Trial and the Charity’s associated standard operating procedures during ordinary business hours and on reasonable prior notice (and in any event not less than [***] business days’ notice), and to take such copies of them as the Company may reasonably require for the purpose of the inspection, provided that the Company’s right to inspect and take copies of records shall be exercisable: (a) no more than once per calendar year in the event that the Company has been requested to undertake an inspection by a third party Sub-Licensee pursuant to a legally binding obligation owed by the Company to such third</w:t>
      </w:r>
    </w:p>
    <w:p>
      <w:pPr>
        <w:spacing w:after="0" w:line="16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576" w:name="page577"/>
    <w:bookmarkEnd w:id="576"/>
    <w:p>
      <w:pPr>
        <w:ind w:left="2" w:right="140" w:hanging="2"/>
        <w:spacing w:after="0" w:line="270" w:lineRule="auto"/>
        <w:tabs>
          <w:tab w:leader="none" w:pos="396" w:val="left"/>
        </w:tabs>
        <w:numPr>
          <w:ilvl w:val="0"/>
          <w:numId w:val="572"/>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602" w:right="560"/>
        <w:spacing w:after="0" w:line="360" w:lineRule="auto"/>
        <w:rPr>
          <w:sz w:val="20"/>
          <w:szCs w:val="20"/>
          <w:color w:val="auto"/>
        </w:rPr>
      </w:pPr>
      <w:r>
        <w:rPr>
          <w:rFonts w:ascii="Arial" w:cs="Arial" w:eastAsia="Arial" w:hAnsi="Arial"/>
          <w:sz w:val="14"/>
          <w:szCs w:val="14"/>
          <w:color w:val="auto"/>
        </w:rPr>
        <w:t>party; or (b) if no inspection under subclause (a) has been performed, by the Company once during the Phase IIa part of the Clinical Trial. Any records to be inspected or copied will be treated as Confidential Information of CRT, on the same terms as for Progress Reports under clause 2.2.2 of this Agreement.</w:t>
      </w:r>
    </w:p>
    <w:p>
      <w:pPr>
        <w:spacing w:after="0" w:line="104" w:lineRule="exact"/>
        <w:rPr>
          <w:sz w:val="20"/>
          <w:szCs w:val="20"/>
          <w:color w:val="auto"/>
        </w:rPr>
      </w:pPr>
    </w:p>
    <w:p>
      <w:pPr>
        <w:ind w:left="582" w:right="320" w:hanging="586"/>
        <w:spacing w:after="0" w:line="285" w:lineRule="auto"/>
        <w:tabs>
          <w:tab w:leader="none" w:pos="562"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6"/>
          <w:szCs w:val="16"/>
          <w:color w:val="auto"/>
        </w:rPr>
        <w:t>Form and content. The Charity will prepare the Progress Reports, IMPD, IB and clinical study report in accordance with, and in a form set by, the Charity’s then current practices, and applicable law (including applicable good clinical practice).</w:t>
      </w:r>
    </w:p>
    <w:p>
      <w:pPr>
        <w:spacing w:after="0" w:line="150" w:lineRule="exact"/>
        <w:rPr>
          <w:sz w:val="20"/>
          <w:szCs w:val="20"/>
          <w:color w:val="auto"/>
        </w:rPr>
      </w:pPr>
    </w:p>
    <w:p>
      <w:pPr>
        <w:ind w:left="582" w:hanging="582"/>
        <w:spacing w:after="0"/>
        <w:tabs>
          <w:tab w:leader="none" w:pos="582" w:val="left"/>
        </w:tabs>
        <w:numPr>
          <w:ilvl w:val="0"/>
          <w:numId w:val="573"/>
        </w:numPr>
        <w:rPr>
          <w:rFonts w:ascii="Arial" w:cs="Arial" w:eastAsia="Arial" w:hAnsi="Arial"/>
          <w:sz w:val="16"/>
          <w:szCs w:val="16"/>
          <w:color w:val="auto"/>
        </w:rPr>
      </w:pPr>
      <w:r>
        <w:rPr>
          <w:rFonts w:ascii="Arial" w:cs="Arial" w:eastAsia="Arial" w:hAnsi="Arial"/>
          <w:sz w:val="16"/>
          <w:szCs w:val="16"/>
          <w:color w:val="auto"/>
        </w:rPr>
        <w:t>Company support for the Clinical Trial</w:t>
      </w:r>
    </w:p>
    <w:p>
      <w:pPr>
        <w:spacing w:after="0" w:line="207" w:lineRule="exact"/>
        <w:rPr>
          <w:sz w:val="20"/>
          <w:szCs w:val="20"/>
          <w:color w:val="auto"/>
        </w:rPr>
      </w:pPr>
    </w:p>
    <w:p>
      <w:pPr>
        <w:jc w:val="both"/>
        <w:ind w:left="582" w:right="80" w:hanging="586"/>
        <w:spacing w:after="0" w:line="270" w:lineRule="auto"/>
        <w:tabs>
          <w:tab w:leader="none" w:pos="562"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Subject to the remainder of this clause 3, and as provided in the Technical Agreement the Company will transfer to the Charity the Agent Materials and will provide to the Charity the Agent Know How in the Company’s possession that in the Charity’s reasonable opinion is necessary to design, prepare and carry out the Clinical Trial within [***] days after the Start Date.</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5"/>
          <w:szCs w:val="15"/>
          <w:color w:val="auto"/>
        </w:rPr>
        <w:t>Materials</w:t>
      </w:r>
    </w:p>
    <w:p>
      <w:pPr>
        <w:spacing w:after="0" w:line="207" w:lineRule="exact"/>
        <w:rPr>
          <w:sz w:val="20"/>
          <w:szCs w:val="20"/>
          <w:color w:val="auto"/>
        </w:rPr>
      </w:pPr>
    </w:p>
    <w:p>
      <w:pPr>
        <w:ind w:left="582" w:hanging="586"/>
        <w:spacing w:after="0" w:line="261" w:lineRule="auto"/>
        <w:tabs>
          <w:tab w:leader="none" w:pos="562"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The Company will supply agreed quantities of GMP Agent Materials, for which the Charity and the Company will agree on acceptable standards reflecting any scientific discussions with the UK Regulatory Authority, which standards will be incorporated in the Charity’s submission of formal documents to the relevant Regulatory Authority. The Company will be responsible for importing GMP Agent Materials into the European Union and United Kingdom, and delivery to the site in the United Kingdom designated by the Charity, at the Company’s cost. Final release of the GMP Agent Materials will be the responsibility of the Charity’s QP and the Company will provide all reasonable assistance to obtain all necessary QP certification. In the event that additional quantities of GMP Agent Materials are required for the Clinical Trial, [***], or [***]: (a) [***], or (b) [***].</w:t>
      </w:r>
    </w:p>
    <w:p>
      <w:pPr>
        <w:spacing w:after="0" w:line="169"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2"/>
          </w:cols>
          <w:pgMar w:left="238" w:top="322" w:right="299" w:bottom="1440" w:gutter="0" w:footer="0" w:header="0"/>
        </w:sectPr>
      </w:pPr>
    </w:p>
    <w:bookmarkStart w:id="577" w:name="page578"/>
    <w:bookmarkEnd w:id="577"/>
    <w:p>
      <w:pPr>
        <w:ind w:left="2" w:right="200" w:hanging="2"/>
        <w:spacing w:after="0" w:line="270" w:lineRule="auto"/>
        <w:tabs>
          <w:tab w:leader="none" w:pos="396" w:val="left"/>
        </w:tabs>
        <w:numPr>
          <w:ilvl w:val="0"/>
          <w:numId w:val="574"/>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spacing w:after="0"/>
        <w:rPr>
          <w:sz w:val="20"/>
          <w:szCs w:val="20"/>
          <w:color w:val="auto"/>
        </w:rPr>
      </w:pPr>
      <w:r>
        <w:rPr>
          <w:rFonts w:ascii="Arial" w:cs="Arial" w:eastAsia="Arial" w:hAnsi="Arial"/>
          <w:sz w:val="16"/>
          <w:szCs w:val="16"/>
          <w:color w:val="auto"/>
        </w:rPr>
        <w:t>[***]</w:t>
      </w:r>
    </w:p>
    <w:p>
      <w:pPr>
        <w:spacing w:after="0" w:line="207" w:lineRule="exact"/>
        <w:rPr>
          <w:sz w:val="20"/>
          <w:szCs w:val="20"/>
          <w:color w:val="auto"/>
        </w:rPr>
      </w:pPr>
    </w:p>
    <w:p>
      <w:pPr>
        <w:ind w:left="582" w:hanging="586"/>
        <w:spacing w:after="0" w:line="280" w:lineRule="auto"/>
        <w:tabs>
          <w:tab w:leader="none" w:pos="562"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5"/>
          <w:szCs w:val="15"/>
          <w:color w:val="auto"/>
        </w:rPr>
        <w:t>The Company warrants that all GMP Agent Materials it supplies under this Agreement will meet the specifications agreed from time to time with the Charity (including any specifications agreed in discussions involving either or both of the JPT or the Charity’s drug supply manager and reflecting any scientific discussions with the UK Regulatory Authority), will have been manufactured, handled, stored, imported and shipped in accordance with GMP and all applicable laws, and will be suitable for use in the Clinical Trial. The Company will use its best endeavours to ensure in relation to the GMP Agent Materials and its specifications that its QP will, to any extent necessary, liaise with either or both of the Charity’s QP or a third party consultant appointed by the Charity, and will, where possible, exercise its contractual rights to ensure that the standard operating procedures of any Third Party Service Provider used by the Company for manufacturing that the Charity may reasonably request from time to time are available in a timely manner for review by the Charity.</w:t>
      </w:r>
    </w:p>
    <w:p>
      <w:pPr>
        <w:spacing w:after="0" w:line="15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5"/>
          <w:szCs w:val="15"/>
          <w:color w:val="auto"/>
        </w:rPr>
        <w:t>Know How</w:t>
      </w:r>
    </w:p>
    <w:p>
      <w:pPr>
        <w:spacing w:after="0" w:line="207" w:lineRule="exact"/>
        <w:rPr>
          <w:sz w:val="20"/>
          <w:szCs w:val="20"/>
          <w:color w:val="auto"/>
        </w:rPr>
      </w:pPr>
    </w:p>
    <w:p>
      <w:pPr>
        <w:ind w:left="582"/>
        <w:spacing w:after="0"/>
        <w:rPr>
          <w:sz w:val="20"/>
          <w:szCs w:val="20"/>
          <w:color w:val="auto"/>
        </w:rPr>
      </w:pPr>
      <w:r>
        <w:rPr>
          <w:rFonts w:ascii="Arial" w:cs="Arial" w:eastAsia="Arial" w:hAnsi="Arial"/>
          <w:sz w:val="16"/>
          <w:szCs w:val="16"/>
          <w:color w:val="auto"/>
        </w:rPr>
        <w:t>At all times after the Start Date:</w:t>
      </w:r>
    </w:p>
    <w:p>
      <w:pPr>
        <w:spacing w:after="0" w:line="207" w:lineRule="exact"/>
        <w:rPr>
          <w:sz w:val="20"/>
          <w:szCs w:val="20"/>
          <w:color w:val="auto"/>
        </w:rPr>
      </w:pPr>
    </w:p>
    <w:p>
      <w:pPr>
        <w:ind w:left="582" w:hanging="586"/>
        <w:spacing w:after="0" w:line="262" w:lineRule="auto"/>
        <w:tabs>
          <w:tab w:leader="none" w:pos="562" w:val="left"/>
        </w:tabs>
        <w:rPr>
          <w:sz w:val="20"/>
          <w:szCs w:val="20"/>
          <w:color w:val="auto"/>
        </w:rPr>
      </w:pPr>
      <w:r>
        <w:rPr>
          <w:rFonts w:ascii="Arial" w:cs="Arial" w:eastAsia="Arial" w:hAnsi="Arial"/>
          <w:sz w:val="16"/>
          <w:szCs w:val="16"/>
          <w:color w:val="auto"/>
        </w:rPr>
        <w:t>3.3.1</w:t>
      </w:r>
      <w:r>
        <w:rPr>
          <w:sz w:val="20"/>
          <w:szCs w:val="20"/>
          <w:color w:val="auto"/>
        </w:rPr>
        <w:tab/>
      </w:r>
      <w:r>
        <w:rPr>
          <w:rFonts w:ascii="Arial" w:cs="Arial" w:eastAsia="Arial" w:hAnsi="Arial"/>
          <w:sz w:val="16"/>
          <w:szCs w:val="16"/>
          <w:color w:val="auto"/>
        </w:rPr>
        <w:t>The Company will ensure that it provides promptly to the Charity all existing Agent Know How and Collaboration Product Know How (and any other Know How relevant to the activities to be performed by or on behalf of the Charity under this Agreement) available to the Company which has been prepared by the Company for use in connection with the Clinical Trial or is in the Company’s or the Charity’s reasonable opinion necessary to perform the Clinical Trial in an efficient, safe and proper manner, together with existing Know How and other information available to the Company which the Charity reasonably requires for the purpose of the Clinical Trial.</w:t>
      </w:r>
    </w:p>
    <w:p>
      <w:pPr>
        <w:spacing w:after="0" w:line="170" w:lineRule="exact"/>
        <w:rPr>
          <w:sz w:val="20"/>
          <w:szCs w:val="20"/>
          <w:color w:val="auto"/>
        </w:rPr>
      </w:pPr>
    </w:p>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3.3.2</w:t>
      </w:r>
      <w:r>
        <w:rPr>
          <w:sz w:val="20"/>
          <w:szCs w:val="20"/>
          <w:color w:val="auto"/>
        </w:rPr>
        <w:tab/>
      </w:r>
      <w:r>
        <w:rPr>
          <w:rFonts w:ascii="Arial" w:cs="Arial" w:eastAsia="Arial" w:hAnsi="Arial"/>
          <w:sz w:val="16"/>
          <w:szCs w:val="16"/>
          <w:color w:val="auto"/>
        </w:rPr>
        <w:t>The Company will ensure that all Know How (including the results of any pre-clinical studies disclosed by it under this Agreement (including in the Cover Sheet)) is, to the best of its knowledge and belief, true, accurate and complete and will assume all risks associated therewith.</w:t>
      </w:r>
    </w:p>
    <w:p>
      <w:pPr>
        <w:spacing w:after="0" w:line="150" w:lineRule="exact"/>
        <w:rPr>
          <w:sz w:val="20"/>
          <w:szCs w:val="20"/>
          <w:color w:val="auto"/>
        </w:rPr>
      </w:pPr>
    </w:p>
    <w:p>
      <w:pPr>
        <w:ind w:left="582" w:hanging="586"/>
        <w:spacing w:after="0" w:line="262" w:lineRule="auto"/>
        <w:tabs>
          <w:tab w:leader="none" w:pos="562" w:val="left"/>
        </w:tabs>
        <w:rPr>
          <w:sz w:val="20"/>
          <w:szCs w:val="20"/>
          <w:color w:val="auto"/>
        </w:rPr>
      </w:pPr>
      <w:r>
        <w:rPr>
          <w:rFonts w:ascii="Arial" w:cs="Arial" w:eastAsia="Arial" w:hAnsi="Arial"/>
          <w:sz w:val="16"/>
          <w:szCs w:val="16"/>
          <w:color w:val="auto"/>
        </w:rPr>
        <w:t>3.3.3</w:t>
      </w:r>
      <w:r>
        <w:rPr>
          <w:sz w:val="20"/>
          <w:szCs w:val="20"/>
          <w:color w:val="auto"/>
        </w:rPr>
        <w:tab/>
      </w:r>
      <w:r>
        <w:rPr>
          <w:rFonts w:ascii="Arial" w:cs="Arial" w:eastAsia="Arial" w:hAnsi="Arial"/>
          <w:sz w:val="16"/>
          <w:szCs w:val="16"/>
          <w:color w:val="auto"/>
        </w:rPr>
        <w:t>If any Agent Know How or Collaboration Product Know How (and any other Know How relevant to the activities to be performed by or on behalf of the Charity under this Agreement) that was not available at the Start Date becomes available to the Company during the Clinical Trial and such Know How is likely to impact on the safe, proper or lawful conduct of the Clinical Trial or on any Clinical Trial Subject, the Company will notify the Charity immediately and provide the Charity with such Know How, and any support or co-operation reasonably requested by the Charity to understand that Know How and its implications, within any timelines reasonably requested by the Charity in the circumstances.</w:t>
      </w:r>
    </w:p>
    <w:p>
      <w:pPr>
        <w:spacing w:after="0" w:line="17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578" w:name="page579"/>
    <w:bookmarkEnd w:id="578"/>
    <w:p>
      <w:pPr>
        <w:ind w:left="2" w:right="200" w:hanging="2"/>
        <w:spacing w:after="0" w:line="270" w:lineRule="auto"/>
        <w:tabs>
          <w:tab w:leader="none" w:pos="396" w:val="left"/>
        </w:tabs>
        <w:numPr>
          <w:ilvl w:val="0"/>
          <w:numId w:val="575"/>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180" w:hanging="586"/>
        <w:spacing w:after="0" w:line="265" w:lineRule="auto"/>
        <w:tabs>
          <w:tab w:leader="none" w:pos="562" w:val="left"/>
        </w:tabs>
        <w:rPr>
          <w:sz w:val="20"/>
          <w:szCs w:val="20"/>
          <w:color w:val="auto"/>
        </w:rPr>
      </w:pPr>
      <w:r>
        <w:rPr>
          <w:rFonts w:ascii="Arial" w:cs="Arial" w:eastAsia="Arial" w:hAnsi="Arial"/>
          <w:sz w:val="16"/>
          <w:szCs w:val="16"/>
          <w:color w:val="auto"/>
        </w:rPr>
        <w:t>3.3.4</w:t>
      </w:r>
      <w:r>
        <w:rPr>
          <w:sz w:val="20"/>
          <w:szCs w:val="20"/>
          <w:color w:val="auto"/>
        </w:rPr>
        <w:tab/>
      </w:r>
      <w:r>
        <w:rPr>
          <w:rFonts w:ascii="Arial" w:cs="Arial" w:eastAsia="Arial" w:hAnsi="Arial"/>
          <w:sz w:val="16"/>
          <w:szCs w:val="16"/>
          <w:color w:val="auto"/>
        </w:rPr>
        <w:t>In addition, until Last Patient Last Visit, the Company will provide the Charity with a summary of the scope and purpose of the pre-clinical activities relating to the Agent, any Agent Product or other Materials provided by the Company for use in the Clinical Trial, that the Company or any third party acting on behalf of the Company is carrying out or intends to carry out. The Company will provide to the Charity copies of the results of those pre-clinical studies as soon as is practicable after the Company receives them, and the results of those pre-clinical studies will be Agent Know How.</w:t>
      </w:r>
    </w:p>
    <w:p>
      <w:pPr>
        <w:spacing w:after="0" w:line="166" w:lineRule="exact"/>
        <w:rPr>
          <w:sz w:val="20"/>
          <w:szCs w:val="20"/>
          <w:color w:val="auto"/>
        </w:rPr>
      </w:pPr>
    </w:p>
    <w:p>
      <w:pPr>
        <w:ind w:left="582" w:right="60" w:hanging="586"/>
        <w:spacing w:after="0" w:line="285" w:lineRule="auto"/>
        <w:tabs>
          <w:tab w:leader="none" w:pos="562" w:val="left"/>
        </w:tabs>
        <w:rPr>
          <w:sz w:val="20"/>
          <w:szCs w:val="20"/>
          <w:color w:val="auto"/>
        </w:rPr>
      </w:pPr>
      <w:r>
        <w:rPr>
          <w:rFonts w:ascii="Arial" w:cs="Arial" w:eastAsia="Arial" w:hAnsi="Arial"/>
          <w:sz w:val="16"/>
          <w:szCs w:val="16"/>
          <w:color w:val="auto"/>
        </w:rPr>
        <w:t>3.3.5</w:t>
      </w:r>
      <w:r>
        <w:rPr>
          <w:sz w:val="20"/>
          <w:szCs w:val="20"/>
          <w:color w:val="auto"/>
        </w:rPr>
        <w:tab/>
      </w:r>
      <w:r>
        <w:rPr>
          <w:rFonts w:ascii="Arial" w:cs="Arial" w:eastAsia="Arial" w:hAnsi="Arial"/>
          <w:sz w:val="16"/>
          <w:szCs w:val="16"/>
          <w:color w:val="auto"/>
        </w:rPr>
        <w:t>Without limitation on clauses 3.3.1 and 3.3.3 of this Agreement, until Last Patient Last Visit, on a Quarterly basis the Company will provide a summary update to the JPT on pre-clinical activities relating to any Collaboration Product.</w:t>
      </w:r>
    </w:p>
    <w:p>
      <w:pPr>
        <w:spacing w:after="0" w:line="150" w:lineRule="exact"/>
        <w:rPr>
          <w:sz w:val="20"/>
          <w:szCs w:val="20"/>
          <w:color w:val="auto"/>
        </w:rPr>
      </w:pPr>
    </w:p>
    <w:p>
      <w:pPr>
        <w:ind w:left="582" w:right="80" w:hanging="586"/>
        <w:spacing w:after="0" w:line="285" w:lineRule="auto"/>
        <w:tabs>
          <w:tab w:leader="none" w:pos="562"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6"/>
          <w:szCs w:val="16"/>
          <w:color w:val="auto"/>
        </w:rPr>
        <w:t>Other clinical activities. Under its collaborative partnership scheme, the Charity wishes to fund oncology research that would not otherwise take place. It also wishes to ensure that all information relevant to the safe and proper performance of the Clinical Trial is made available. In this connection:</w:t>
      </w:r>
    </w:p>
    <w:p>
      <w:pPr>
        <w:spacing w:after="0" w:line="150" w:lineRule="exact"/>
        <w:rPr>
          <w:sz w:val="20"/>
          <w:szCs w:val="20"/>
          <w:color w:val="auto"/>
        </w:rPr>
      </w:pPr>
    </w:p>
    <w:p>
      <w:pPr>
        <w:ind w:left="582" w:right="60" w:hanging="586"/>
        <w:spacing w:after="0" w:line="279" w:lineRule="auto"/>
        <w:tabs>
          <w:tab w:leader="none" w:pos="562" w:val="left"/>
        </w:tabs>
        <w:rPr>
          <w:sz w:val="20"/>
          <w:szCs w:val="20"/>
          <w:color w:val="auto"/>
        </w:rPr>
      </w:pPr>
      <w:r>
        <w:rPr>
          <w:rFonts w:ascii="Arial" w:cs="Arial" w:eastAsia="Arial" w:hAnsi="Arial"/>
          <w:sz w:val="16"/>
          <w:szCs w:val="16"/>
          <w:color w:val="auto"/>
        </w:rPr>
        <w:t>3.4.1</w:t>
      </w:r>
      <w:r>
        <w:rPr>
          <w:sz w:val="20"/>
          <w:szCs w:val="20"/>
          <w:color w:val="auto"/>
        </w:rPr>
        <w:tab/>
      </w:r>
      <w:r>
        <w:rPr>
          <w:rFonts w:ascii="Arial" w:cs="Arial" w:eastAsia="Arial" w:hAnsi="Arial"/>
          <w:sz w:val="15"/>
          <w:szCs w:val="15"/>
          <w:color w:val="auto"/>
        </w:rPr>
        <w:t xml:space="preserve">Until Last Patient Last Visit, the Company will inform and consult with the Charity prior to undertaking any clinical research that it wishes to carry out or to permit a third party to carry out, in respect of either the Agent, any Agent Product or any Collaboration Product or any other Material, that may be, relevant to the safe and proper performance of the Clinical Trial (including any clinical research using Materials generated through the use of the Company’s platform technology as part of its MT1-MMP/cytotoxic research programme) </w:t>
      </w:r>
      <w:r>
        <w:rPr>
          <w:rFonts w:ascii="Arial" w:cs="Arial" w:eastAsia="Arial" w:hAnsi="Arial"/>
          <w:sz w:val="15"/>
          <w:szCs w:val="15"/>
          <w:b w:val="1"/>
          <w:bCs w:val="1"/>
          <w:color w:val="auto"/>
        </w:rPr>
        <w:t>(“Other Clinical Research”).</w:t>
      </w:r>
      <w:r>
        <w:rPr>
          <w:rFonts w:ascii="Arial" w:cs="Arial" w:eastAsia="Arial" w:hAnsi="Arial"/>
          <w:sz w:val="15"/>
          <w:szCs w:val="15"/>
          <w:color w:val="auto"/>
        </w:rPr>
        <w:t xml:space="preserve"> Other Clinical Research shall be permitted only with the Charity’s consent provided that the Company may without obtaining the Charity’s prior consent but subject to clauses 3.4.2, 3.4.3 and 3.4.4 of this Agreement: (a) file an investigational new drug application in the United States for the commencement of, and may conduct, Other Clinical Research in the United States on the Agent that does not duplicate and investigates factors different from those investigated in the Clinical Trial either in terms of doses, dosing regimen, patient population or the combination of the Agent with other active agents; and (b) carry out or permit a third party to carry out clinical research on Collaboration Products.</w:t>
      </w:r>
    </w:p>
    <w:p>
      <w:pPr>
        <w:spacing w:after="0" w:line="157"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3.4.2</w:t>
      </w:r>
      <w:r>
        <w:rPr>
          <w:sz w:val="20"/>
          <w:szCs w:val="20"/>
          <w:color w:val="auto"/>
        </w:rPr>
        <w:tab/>
      </w:r>
      <w:r>
        <w:rPr>
          <w:rFonts w:ascii="Arial" w:cs="Arial" w:eastAsia="Arial" w:hAnsi="Arial"/>
          <w:sz w:val="16"/>
          <w:szCs w:val="16"/>
          <w:color w:val="auto"/>
        </w:rPr>
        <w:t>The Company will promptly discuss with the Charity, in good faith, whether safety data arising from Other Clinical Research conducted by or under authority granted by the Company should be shared with the Charity.</w:t>
      </w:r>
    </w:p>
    <w:p>
      <w:pPr>
        <w:spacing w:after="0" w:line="150" w:lineRule="exact"/>
        <w:rPr>
          <w:sz w:val="20"/>
          <w:szCs w:val="20"/>
          <w:color w:val="auto"/>
        </w:rPr>
      </w:pPr>
    </w:p>
    <w:p>
      <w:pPr>
        <w:ind w:left="582" w:right="160" w:hanging="586"/>
        <w:spacing w:after="0" w:line="270" w:lineRule="auto"/>
        <w:tabs>
          <w:tab w:leader="none" w:pos="562" w:val="left"/>
        </w:tabs>
        <w:rPr>
          <w:sz w:val="20"/>
          <w:szCs w:val="20"/>
          <w:color w:val="auto"/>
        </w:rPr>
      </w:pPr>
      <w:r>
        <w:rPr>
          <w:rFonts w:ascii="Arial" w:cs="Arial" w:eastAsia="Arial" w:hAnsi="Arial"/>
          <w:sz w:val="16"/>
          <w:szCs w:val="16"/>
          <w:color w:val="auto"/>
        </w:rPr>
        <w:t>3.4.3</w:t>
      </w:r>
      <w:r>
        <w:rPr>
          <w:sz w:val="20"/>
          <w:szCs w:val="20"/>
          <w:color w:val="auto"/>
        </w:rPr>
        <w:tab/>
      </w:r>
      <w:r>
        <w:rPr>
          <w:rFonts w:ascii="Arial" w:cs="Arial" w:eastAsia="Arial" w:hAnsi="Arial"/>
          <w:sz w:val="16"/>
          <w:szCs w:val="16"/>
          <w:color w:val="auto"/>
        </w:rPr>
        <w:t>If the Company and the Charity agree that safety data should be exchanged between them, they will agree and record in writing the processes and timeframes under which the safety data will be exchanged. The Company will promptly agree the safety data exchange agreements before the Company begins, or permits any third party to begin, clinical research described in this clause 3.4.</w:t>
      </w:r>
    </w:p>
    <w:p>
      <w:pPr>
        <w:spacing w:after="0" w:line="16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579" w:name="page580"/>
    <w:bookmarkEnd w:id="579"/>
    <w:p>
      <w:pPr>
        <w:ind w:left="2" w:right="180" w:hanging="2"/>
        <w:spacing w:after="0" w:line="270" w:lineRule="auto"/>
        <w:tabs>
          <w:tab w:leader="none" w:pos="396" w:val="left"/>
        </w:tabs>
        <w:numPr>
          <w:ilvl w:val="0"/>
          <w:numId w:val="576"/>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460" w:hanging="586"/>
        <w:spacing w:after="0" w:line="285" w:lineRule="auto"/>
        <w:tabs>
          <w:tab w:leader="none" w:pos="562" w:val="left"/>
        </w:tabs>
        <w:rPr>
          <w:sz w:val="20"/>
          <w:szCs w:val="20"/>
          <w:color w:val="auto"/>
        </w:rPr>
      </w:pPr>
      <w:r>
        <w:rPr>
          <w:rFonts w:ascii="Arial" w:cs="Arial" w:eastAsia="Arial" w:hAnsi="Arial"/>
          <w:sz w:val="16"/>
          <w:szCs w:val="16"/>
          <w:color w:val="auto"/>
        </w:rPr>
        <w:t>3.4.4</w:t>
      </w:r>
      <w:r>
        <w:rPr>
          <w:sz w:val="20"/>
          <w:szCs w:val="20"/>
          <w:color w:val="auto"/>
        </w:rPr>
        <w:tab/>
      </w:r>
      <w:r>
        <w:rPr>
          <w:rFonts w:ascii="Arial" w:cs="Arial" w:eastAsia="Arial" w:hAnsi="Arial"/>
          <w:sz w:val="16"/>
          <w:szCs w:val="16"/>
          <w:color w:val="auto"/>
        </w:rPr>
        <w:t>Other than as required by applicable law or ethical requirements, the Company will not without the Charity’s prior consent publish the results of Other Clinical Research before the Results have been published by the Charity in accordance with clause 12.1 of this Agreement.</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4"/>
          <w:szCs w:val="14"/>
          <w:color w:val="auto"/>
        </w:rPr>
        <w:t>Company’s pre-clinical activities. The Company will at its own cost undertake the pre-clinical studies that are set out in the Cover Sheet.</w:t>
      </w:r>
    </w:p>
    <w:p>
      <w:pPr>
        <w:spacing w:after="0" w:line="207" w:lineRule="exact"/>
        <w:rPr>
          <w:sz w:val="20"/>
          <w:szCs w:val="20"/>
          <w:color w:val="auto"/>
        </w:rPr>
      </w:pPr>
    </w:p>
    <w:p>
      <w:pPr>
        <w:ind w:left="582" w:hanging="582"/>
        <w:spacing w:after="0"/>
        <w:tabs>
          <w:tab w:leader="none" w:pos="582" w:val="left"/>
        </w:tabs>
        <w:numPr>
          <w:ilvl w:val="0"/>
          <w:numId w:val="577"/>
        </w:numPr>
        <w:rPr>
          <w:rFonts w:ascii="Arial" w:cs="Arial" w:eastAsia="Arial" w:hAnsi="Arial"/>
          <w:sz w:val="16"/>
          <w:szCs w:val="16"/>
          <w:color w:val="auto"/>
        </w:rPr>
      </w:pPr>
      <w:r>
        <w:rPr>
          <w:rFonts w:ascii="Arial" w:cs="Arial" w:eastAsia="Arial" w:hAnsi="Arial"/>
          <w:sz w:val="16"/>
          <w:szCs w:val="16"/>
          <w:color w:val="auto"/>
        </w:rPr>
        <w:t>Project governance</w:t>
      </w:r>
    </w:p>
    <w:p>
      <w:pPr>
        <w:spacing w:after="0" w:line="207" w:lineRule="exact"/>
        <w:rPr>
          <w:sz w:val="20"/>
          <w:szCs w:val="20"/>
          <w:color w:val="auto"/>
        </w:rPr>
      </w:pPr>
    </w:p>
    <w:p>
      <w:pPr>
        <w:ind w:left="582" w:hanging="586"/>
        <w:spacing w:after="0" w:line="258" w:lineRule="auto"/>
        <w:tabs>
          <w:tab w:leader="none" w:pos="562"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 xml:space="preserve">No later than 30 days after the Start Date, a Joint Project Team will be formed to oversee the Clinical Trial and to ensure that the activities of the Charity pursuant to clause 1.1 of this Agreement and the Company pursuant to clause 3 of this Agreement are effectively aligned and coordinated to ensure the Clinical Trial is carried out optimally. In particular the JPT will work to ensure that activities are managed to align with meetings arranged as part of the Charity’s internal management processes (including key go-no / go decisions) in a timely manner and to resolve potential and actual issues and disputes relating to the performance of the Clinical Trial. The JPT will also discuss and agree on the form and content of Results (including safety data transfers) to be provided to the Company </w:t>
      </w:r>
      <w:r>
        <w:rPr>
          <w:rFonts w:ascii="Arial" w:cs="Arial" w:eastAsia="Arial" w:hAnsi="Arial"/>
          <w:sz w:val="14"/>
          <w:szCs w:val="14"/>
          <w:color w:val="auto"/>
        </w:rPr>
        <w:t>[***]</w:t>
      </w:r>
      <w:r>
        <w:rPr>
          <w:rFonts w:ascii="Arial" w:cs="Arial" w:eastAsia="Arial" w:hAnsi="Arial"/>
          <w:sz w:val="16"/>
          <w:szCs w:val="16"/>
          <w:color w:val="auto"/>
        </w:rPr>
        <w:t>, a strategy for the publication of Results (including, where appropriate, for the joint publication of Results) and the possibility of opening additional Clinical Trial sites in the UK if necessary. Major decisions relating to the design and conduct of the Clinical Trial (including the selection by the Charity of Contributors) and review of the Protocol and patient consent forms will be referred to the JPT, provided that any final decision relating to the health or safety of Clinical Trial Subjects will be made by the Charity (as sponsor) and if necessary to protect the health and safety of Clinical Trial Subjects on an expedited basis may be made by the Charity without reference to the JPT.</w:t>
      </w:r>
    </w:p>
    <w:p>
      <w:pPr>
        <w:spacing w:after="0" w:line="170" w:lineRule="exact"/>
        <w:rPr>
          <w:sz w:val="20"/>
          <w:szCs w:val="20"/>
          <w:color w:val="auto"/>
        </w:rPr>
      </w:pPr>
    </w:p>
    <w:p>
      <w:pPr>
        <w:jc w:val="both"/>
        <w:ind w:left="582" w:right="100" w:hanging="586"/>
        <w:spacing w:after="0" w:line="299" w:lineRule="auto"/>
        <w:tabs>
          <w:tab w:leader="none" w:pos="562"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color w:val="auto"/>
        </w:rPr>
        <w:t xml:space="preserve">The JPT will comprise six (6) members </w:t>
      </w:r>
      <w:r>
        <w:rPr>
          <w:rFonts w:ascii="Arial" w:cs="Arial" w:eastAsia="Arial" w:hAnsi="Arial"/>
          <w:sz w:val="15"/>
          <w:szCs w:val="15"/>
          <w:b w:val="1"/>
          <w:bCs w:val="1"/>
          <w:color w:val="auto"/>
        </w:rPr>
        <w:t>(“JPT Members”)</w:t>
      </w:r>
      <w:r>
        <w:rPr>
          <w:rFonts w:ascii="Arial" w:cs="Arial" w:eastAsia="Arial" w:hAnsi="Arial"/>
          <w:sz w:val="15"/>
          <w:szCs w:val="15"/>
          <w:color w:val="auto"/>
        </w:rPr>
        <w:t xml:space="preserve"> comprising: three (3) appointees from each of the Charity and the Company. Each of the Charity and the Company will be entitled to remove any JPT Member appointed by it and to appoint any person to fill a vacancy arising from the removal or retirement of such JPT Member. The removing Party will give the other Party prior written notice of any proposed changes in the identity of any of their JPT Members.</w:t>
      </w:r>
    </w:p>
    <w:p>
      <w:pPr>
        <w:spacing w:after="0" w:line="142" w:lineRule="exact"/>
        <w:rPr>
          <w:sz w:val="20"/>
          <w:szCs w:val="20"/>
          <w:color w:val="auto"/>
        </w:rPr>
      </w:pPr>
    </w:p>
    <w:p>
      <w:pPr>
        <w:ind w:left="582" w:right="40" w:hanging="586"/>
        <w:spacing w:after="0" w:line="314" w:lineRule="auto"/>
        <w:tabs>
          <w:tab w:leader="none" w:pos="562"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color w:val="auto"/>
        </w:rPr>
        <w:t>The JPT will meet as soon as reasonably practicable following its establishment pursuant to clause 4.1 of this Agreement and thereafter will hold regular meetings at intervals of approximately [***] weeks throughout the Clinical Trial, in each case at dates and times to be mutually agreed. It is understood and agreed by the Parties that in order to ensure that the Clinical Trial is undertaken optimally that the JPT will need to operate on a highly responsive basis and consider and make decisions on an ad-hoc basis as required from time to time and as appropriate the Parties will use their reasonable endeavours to ensure that JPT Members meet at short notice.</w:t>
      </w:r>
    </w:p>
    <w:p>
      <w:pPr>
        <w:spacing w:after="0" w:line="136" w:lineRule="exact"/>
        <w:rPr>
          <w:sz w:val="20"/>
          <w:szCs w:val="20"/>
          <w:color w:val="auto"/>
        </w:rPr>
      </w:pPr>
    </w:p>
    <w:p>
      <w:pPr>
        <w:ind w:left="582" w:right="160" w:hanging="586"/>
        <w:spacing w:after="0" w:line="285" w:lineRule="auto"/>
        <w:tabs>
          <w:tab w:leader="none" w:pos="562"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Each of the Charity and the Company may invite observers (including its employees and third parties) to meetings of a JPT. A Party inviting any such observer will ensure that the other Party</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580" w:name="page581"/>
    <w:bookmarkEnd w:id="580"/>
    <w:p>
      <w:pPr>
        <w:ind w:left="2" w:right="200" w:hanging="2"/>
        <w:spacing w:after="0" w:line="270" w:lineRule="auto"/>
        <w:tabs>
          <w:tab w:leader="none" w:pos="396" w:val="left"/>
        </w:tabs>
        <w:numPr>
          <w:ilvl w:val="0"/>
          <w:numId w:val="578"/>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602" w:right="400"/>
        <w:spacing w:after="0" w:line="270" w:lineRule="auto"/>
        <w:rPr>
          <w:sz w:val="20"/>
          <w:szCs w:val="20"/>
          <w:color w:val="auto"/>
        </w:rPr>
      </w:pPr>
      <w:r>
        <w:rPr>
          <w:rFonts w:ascii="Arial" w:cs="Arial" w:eastAsia="Arial" w:hAnsi="Arial"/>
          <w:sz w:val="16"/>
          <w:szCs w:val="16"/>
          <w:color w:val="auto"/>
        </w:rPr>
        <w:t>is advised at least three (3) business days prior to the relevant meeting of the identity of the observer and that such observers are bound by obligations of confidentiality no less onerous than those imposed by this Agreement. Such observers will not be counted towards any assessment of quorum for the purpose of clause 4.6 of this Agreement and will not be entitled to participate in any decision making or voting.</w:t>
      </w:r>
    </w:p>
    <w:p>
      <w:pPr>
        <w:spacing w:after="0" w:line="162" w:lineRule="exact"/>
        <w:rPr>
          <w:sz w:val="20"/>
          <w:szCs w:val="20"/>
          <w:color w:val="auto"/>
        </w:rPr>
      </w:pPr>
    </w:p>
    <w:p>
      <w:pPr>
        <w:jc w:val="both"/>
        <w:ind w:left="582" w:right="80" w:hanging="586"/>
        <w:spacing w:after="0" w:line="296" w:lineRule="auto"/>
        <w:tabs>
          <w:tab w:leader="none" w:pos="562"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5"/>
          <w:szCs w:val="15"/>
          <w:color w:val="auto"/>
        </w:rPr>
        <w:t>Meetings of the JPT may be held (at the request of either the Charity or the Company) by teleconference or other electronic means. In the case of meetings at which JPT Members are physically present the venue for all meetings will, unless otherwise agreed by the Project Leaders, alternate between Cambridge and London. Each Party will bear all travel and subsistence costs incurred by their JPT Members in connection with their attendance at meetings of a JPT.</w:t>
      </w:r>
    </w:p>
    <w:p>
      <w:pPr>
        <w:spacing w:after="0" w:line="144"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4"/>
          <w:szCs w:val="14"/>
          <w:color w:val="auto"/>
        </w:rPr>
        <w:t>The quorum for meetings of each JPT will be at least one voting (1) JPT Member appointed by each of the Charity and the Company.</w:t>
      </w:r>
    </w:p>
    <w:p>
      <w:pPr>
        <w:spacing w:after="0" w:line="207" w:lineRule="exact"/>
        <w:rPr>
          <w:sz w:val="20"/>
          <w:szCs w:val="20"/>
          <w:color w:val="auto"/>
        </w:rPr>
      </w:pPr>
    </w:p>
    <w:p>
      <w:pPr>
        <w:ind w:left="582" w:right="140" w:hanging="586"/>
        <w:spacing w:after="0" w:line="288" w:lineRule="auto"/>
        <w:tabs>
          <w:tab w:leader="none" w:pos="562"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5"/>
          <w:szCs w:val="15"/>
          <w:color w:val="auto"/>
        </w:rPr>
        <w:t>Decisions of the JPT will be made by unanimous agreement of the voting Members present. Should it prove impossible to obtain such agreement, it will be referred for resolution to the Director of the Centre for Drug Development for the Charity and the CEO of the Company. For the avoidance of doubt, any decision relating to the safe conduct of the Clinical Trial will be the Charity’s and, for the avoidance of doubt, the JPT will not have authority to vary or amend the terms of this Agreement or the Protocol or to require any Party to incur any expenditure additional to that contemplated expressly by this Agreement.</w:t>
      </w:r>
    </w:p>
    <w:p>
      <w:pPr>
        <w:spacing w:after="0" w:line="150" w:lineRule="exact"/>
        <w:rPr>
          <w:sz w:val="20"/>
          <w:szCs w:val="20"/>
          <w:color w:val="auto"/>
        </w:rPr>
      </w:pPr>
    </w:p>
    <w:p>
      <w:pPr>
        <w:ind w:left="582" w:right="200" w:hanging="586"/>
        <w:spacing w:after="0" w:line="285" w:lineRule="auto"/>
        <w:tabs>
          <w:tab w:leader="none" w:pos="562"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6"/>
          <w:szCs w:val="16"/>
          <w:color w:val="auto"/>
        </w:rPr>
        <w:t>The minutes of each meeting of the JPT will be prepared by the Charity Project Leader and be sent to each of the Members within ten (10) business days after each meeting.</w:t>
      </w:r>
    </w:p>
    <w:p>
      <w:pPr>
        <w:spacing w:after="0" w:line="150" w:lineRule="exact"/>
        <w:rPr>
          <w:sz w:val="20"/>
          <w:szCs w:val="20"/>
          <w:color w:val="auto"/>
        </w:rPr>
      </w:pPr>
    </w:p>
    <w:p>
      <w:pPr>
        <w:ind w:left="582" w:hanging="586"/>
        <w:spacing w:after="0" w:line="260" w:lineRule="auto"/>
        <w:tabs>
          <w:tab w:leader="none" w:pos="562" w:val="left"/>
        </w:tabs>
        <w:rPr>
          <w:sz w:val="20"/>
          <w:szCs w:val="20"/>
          <w:color w:val="auto"/>
        </w:rPr>
      </w:pPr>
      <w:r>
        <w:rPr>
          <w:rFonts w:ascii="Arial" w:cs="Arial" w:eastAsia="Arial" w:hAnsi="Arial"/>
          <w:sz w:val="16"/>
          <w:szCs w:val="16"/>
          <w:color w:val="auto"/>
        </w:rPr>
        <w:t>4.9</w:t>
      </w:r>
      <w:r>
        <w:rPr>
          <w:sz w:val="20"/>
          <w:szCs w:val="20"/>
          <w:color w:val="auto"/>
        </w:rPr>
        <w:tab/>
      </w:r>
      <w:r>
        <w:rPr>
          <w:rFonts w:ascii="Arial" w:cs="Arial" w:eastAsia="Arial" w:hAnsi="Arial"/>
          <w:sz w:val="16"/>
          <w:szCs w:val="16"/>
          <w:color w:val="auto"/>
        </w:rPr>
        <w:t>If the Company concludes reasonably and in good faith that the Charity is performing its obligations pursuant to either or both of clauses 1 and 5 of this Agreement in a manner that will adversely and materially impact the expected timelines for the Clinical Trial or the likelihood that the Clinical Trial will achieve its endpoints, the Company may raise such concerns with the JPT or directly with the Charity. Taking into account any recommendations made by the JPT, the Charity will use all reasonable endeavours to take reasonable actions proposed by the Company to remedy such concerns provided (1) that such actions can be implemented without an unfunded increase in the Charity’s budget for the Clinical Trial (taking account of any commitment by the Company to bear unfunded costs), and (2) that the Charity will retain final decision making authority over all matters necessary for the safe, proper or lawful conduct of the Clinical Trial or the health or safety of any Clinical Trial Subject.</w:t>
      </w:r>
    </w:p>
    <w:p>
      <w:pPr>
        <w:spacing w:after="0" w:line="170" w:lineRule="exact"/>
        <w:rPr>
          <w:sz w:val="20"/>
          <w:szCs w:val="20"/>
          <w:color w:val="auto"/>
        </w:rPr>
      </w:pPr>
    </w:p>
    <w:p>
      <w:pPr>
        <w:ind w:left="582" w:hanging="582"/>
        <w:spacing w:after="0"/>
        <w:tabs>
          <w:tab w:leader="none" w:pos="582" w:val="left"/>
        </w:tabs>
        <w:numPr>
          <w:ilvl w:val="0"/>
          <w:numId w:val="579"/>
        </w:numPr>
        <w:rPr>
          <w:rFonts w:ascii="Arial" w:cs="Arial" w:eastAsia="Arial" w:hAnsi="Arial"/>
          <w:sz w:val="16"/>
          <w:szCs w:val="16"/>
          <w:color w:val="auto"/>
        </w:rPr>
      </w:pPr>
      <w:r>
        <w:rPr>
          <w:rFonts w:ascii="Arial" w:cs="Arial" w:eastAsia="Arial" w:hAnsi="Arial"/>
          <w:sz w:val="16"/>
          <w:szCs w:val="16"/>
          <w:color w:val="auto"/>
        </w:rPr>
        <w:t>Responsibilities for the Clinical Trial</w:t>
      </w:r>
    </w:p>
    <w:p>
      <w:pPr>
        <w:spacing w:after="0" w:line="207" w:lineRule="exact"/>
        <w:rPr>
          <w:sz w:val="20"/>
          <w:szCs w:val="20"/>
          <w:color w:val="auto"/>
        </w:rPr>
      </w:pPr>
    </w:p>
    <w:p>
      <w:pPr>
        <w:ind w:left="582" w:right="540" w:hanging="586"/>
        <w:spacing w:after="0" w:line="285" w:lineRule="auto"/>
        <w:tabs>
          <w:tab w:leader="none" w:pos="562"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Sponsor. The Charity will be the sole sponsor of the Clinical Trial, and it will be the Charity’s responsibility to apply for Regulatory Authorisations relating to performance of the Clinical Trial.</w:t>
      </w:r>
    </w:p>
    <w:p>
      <w:pPr>
        <w:spacing w:after="0" w:line="150" w:lineRule="exact"/>
        <w:rPr>
          <w:sz w:val="20"/>
          <w:szCs w:val="20"/>
          <w:color w:val="auto"/>
        </w:rPr>
      </w:pPr>
    </w:p>
    <w:p>
      <w:pPr>
        <w:ind w:left="582" w:right="600" w:hanging="586"/>
        <w:spacing w:after="0" w:line="285" w:lineRule="auto"/>
        <w:tabs>
          <w:tab w:leader="none" w:pos="562"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Technical Agreement. If not completed prior to the Start Date, the Company and the Charity will promptly negotiate in good faith, complete and enter into, a ‘technical’ or ‘quality’ agreement that</w:t>
      </w:r>
    </w:p>
    <w:p>
      <w:pPr>
        <w:spacing w:after="0" w:line="1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581" w:name="page582"/>
    <w:bookmarkEnd w:id="581"/>
    <w:p>
      <w:pPr>
        <w:ind w:left="2" w:right="200" w:hanging="2"/>
        <w:spacing w:after="0" w:line="270" w:lineRule="auto"/>
        <w:tabs>
          <w:tab w:leader="none" w:pos="396" w:val="left"/>
        </w:tabs>
        <w:numPr>
          <w:ilvl w:val="0"/>
          <w:numId w:val="580"/>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p>
      <w:pPr>
        <w:ind w:left="602"/>
        <w:spacing w:after="0" w:line="267" w:lineRule="auto"/>
        <w:rPr>
          <w:sz w:val="20"/>
          <w:szCs w:val="20"/>
          <w:color w:val="auto"/>
        </w:rPr>
      </w:pPr>
      <w:r>
        <w:rPr>
          <w:rFonts w:ascii="Arial" w:cs="Arial" w:eastAsia="Arial" w:hAnsi="Arial"/>
          <w:sz w:val="16"/>
          <w:szCs w:val="16"/>
          <w:color w:val="auto"/>
        </w:rPr>
        <w:t xml:space="preserve">memorializes the terms and conditions for the supply of GMP Agent Materials and allocates GMP responsibilities between the Parties </w:t>
      </w:r>
      <w:r>
        <w:rPr>
          <w:rFonts w:ascii="Arial" w:cs="Arial" w:eastAsia="Arial" w:hAnsi="Arial"/>
          <w:sz w:val="16"/>
          <w:szCs w:val="16"/>
          <w:b w:val="1"/>
          <w:bCs w:val="1"/>
          <w:color w:val="auto"/>
        </w:rPr>
        <w:t>(“Technical Agreement”)</w:t>
      </w:r>
      <w:r>
        <w:rPr>
          <w:rFonts w:ascii="Arial" w:cs="Arial" w:eastAsia="Arial" w:hAnsi="Arial"/>
          <w:sz w:val="16"/>
          <w:szCs w:val="16"/>
          <w:color w:val="auto"/>
        </w:rPr>
        <w:t xml:space="preserve"> before the Company supplies any GMP Agent Material to the Charity. The terms of any Technical Agreement will be consistent with any requirements and guidelines for technical agreements set out in the Clinical Trial Legislation. The Company and the Charity will comply with the terms of any Technical Agreement they enter into.</w:t>
      </w:r>
    </w:p>
    <w:p>
      <w:pPr>
        <w:spacing w:after="0" w:line="163" w:lineRule="exact"/>
        <w:rPr>
          <w:sz w:val="20"/>
          <w:szCs w:val="20"/>
          <w:color w:val="auto"/>
        </w:rPr>
      </w:pPr>
    </w:p>
    <w:p>
      <w:pPr>
        <w:ind w:left="582" w:right="20" w:hanging="586"/>
        <w:spacing w:after="0" w:line="265" w:lineRule="auto"/>
        <w:tabs>
          <w:tab w:leader="none" w:pos="562"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6"/>
          <w:szCs w:val="16"/>
          <w:color w:val="auto"/>
        </w:rPr>
        <w:t>Guidance. The Company will provide the Charity or any Contributor with all available technical and scientific guidance, co-operation, data or information reasonably requested by the Charity to help the Charity to perform the Clinical Trial in a timely, safe and proper manner. The guidance to be provided by the Company may include, among other things, assistance with the preparation, drafting or submission of any application for Regulatory Authorisation (such as a clinical trial application) or communication with any Regulatory Authority in connection with the Clinical Trial.</w:t>
      </w:r>
    </w:p>
    <w:p>
      <w:pPr>
        <w:spacing w:after="0" w:line="16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4"/>
          <w:szCs w:val="14"/>
          <w:color w:val="auto"/>
        </w:rPr>
        <w:t>Other than as expressly set out in this Agreement, each Party will bear the costs it incurs in performing its obligations under this Agreement.</w:t>
      </w:r>
    </w:p>
    <w:p>
      <w:pPr>
        <w:spacing w:after="0" w:line="207" w:lineRule="exact"/>
        <w:rPr>
          <w:sz w:val="20"/>
          <w:szCs w:val="20"/>
          <w:color w:val="auto"/>
        </w:rPr>
      </w:pPr>
    </w:p>
    <w:p>
      <w:pPr>
        <w:ind w:left="582" w:right="60" w:hanging="586"/>
        <w:spacing w:after="0" w:line="261" w:lineRule="auto"/>
        <w:tabs>
          <w:tab w:leader="none" w:pos="562"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6"/>
          <w:szCs w:val="16"/>
          <w:color w:val="auto"/>
        </w:rPr>
        <w:t>In the event that the Company intends to grant to a third party a commercial licence to the Agent, an Agent Product or any Collaboration Product prior to the grant of the Licence it will notify the Charity and CRT in writing and at the Company’s request, the Charity (and CRT) will consider in good faith any request made by the Company to approve such licence or reasonably amend, assign and/or novate the terms of this Agreement to permit such licence and the Charity and CRT shall grant such approval unless the terms of the licence or the characteristics, experience and resources of the third party are materially adverse to the Charity or CRT or to the conduct of the Clinical Trial. For the avoidance of doubt, except as may otherwise be agreed, the Company shall remain responsible for the timely and complete performance of this Agreement.</w:t>
      </w:r>
    </w:p>
    <w:p>
      <w:pPr>
        <w:spacing w:after="0" w:line="169" w:lineRule="exact"/>
        <w:rPr>
          <w:sz w:val="20"/>
          <w:szCs w:val="20"/>
          <w:color w:val="auto"/>
        </w:rPr>
      </w:pPr>
    </w:p>
    <w:p>
      <w:pPr>
        <w:ind w:left="582" w:right="80" w:hanging="586"/>
        <w:spacing w:after="0" w:line="262" w:lineRule="auto"/>
        <w:tabs>
          <w:tab w:leader="none" w:pos="562"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 xml:space="preserve">In the event that the Company intends to assign to a third party the Company’s rights to the Agent, any Agent Product or any Collaboration Product prior to the grant of the Licence it will notify the Charity and CRT in writing and at the Company’s request, the Charity (and CRT) will consider in good faith any request made by the Company to approve such assignment or reasonably amend, assign and/or novate the terms of this Agreement to permit such assignment and the Charity and CRT shall grant such approval unless the terms of the assignment or the characteristics, experience and resources of the third party are materially adverse to the Charity or CRT or to the conduct of the Clinical Trial. </w:t>
      </w:r>
      <w:r>
        <w:rPr>
          <w:rFonts w:ascii="Arial" w:cs="Arial" w:eastAsia="Arial" w:hAnsi="Arial"/>
          <w:sz w:val="14"/>
          <w:szCs w:val="14"/>
          <w:color w:val="auto"/>
        </w:rPr>
        <w:t>[***]</w:t>
      </w:r>
      <w:r>
        <w:rPr>
          <w:rFonts w:ascii="Arial" w:cs="Arial" w:eastAsia="Arial" w:hAnsi="Arial"/>
          <w:sz w:val="16"/>
          <w:szCs w:val="16"/>
          <w:color w:val="auto"/>
        </w:rPr>
        <w:t>.</w:t>
      </w:r>
    </w:p>
    <w:p>
      <w:pPr>
        <w:spacing w:after="0" w:line="170" w:lineRule="exact"/>
        <w:rPr>
          <w:sz w:val="20"/>
          <w:szCs w:val="20"/>
          <w:color w:val="auto"/>
        </w:rPr>
      </w:pPr>
    </w:p>
    <w:p>
      <w:pPr>
        <w:ind w:left="582" w:right="100" w:hanging="586"/>
        <w:spacing w:after="0" w:line="285" w:lineRule="auto"/>
        <w:tabs>
          <w:tab w:leader="none" w:pos="562"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6"/>
          <w:szCs w:val="16"/>
          <w:color w:val="auto"/>
        </w:rPr>
        <w:t>Taking into account any recommendations made by the JPT and any discussions between the Company and the Charity pursuant to clause 4.1 of this Agreement, the Charity will use reasonable endeavours to implement any reasonable request made by the Company to add</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 w:right="200" w:hanging="2"/>
        <w:spacing w:after="0" w:line="270" w:lineRule="auto"/>
        <w:tabs>
          <w:tab w:leader="none" w:pos="396" w:val="left"/>
        </w:tabs>
        <w:numPr>
          <w:ilvl w:val="0"/>
          <w:numId w:val="581"/>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602" w:right="360"/>
        <w:spacing w:after="0" w:line="288" w:lineRule="auto"/>
        <w:rPr>
          <w:sz w:val="20"/>
          <w:szCs w:val="20"/>
          <w:color w:val="auto"/>
        </w:rPr>
      </w:pPr>
      <w:r>
        <w:rPr>
          <w:rFonts w:ascii="Arial" w:cs="Arial" w:eastAsia="Arial" w:hAnsi="Arial"/>
          <w:sz w:val="15"/>
          <w:szCs w:val="15"/>
          <w:color w:val="auto"/>
        </w:rPr>
        <w:t>additional trial sites to the Clinical Trial where the Company reasonably determines that this is necessary to ensure the timely completion of the Clinical Trial, provided that the Charity will have the right to select the sites to be added and that the Charity shall not be required to implement any such request if the Charity determines in good faith that doing so would be inconsistent with its obligations as the Sponsor of the Clinical Trial or would compromise the completion of the Clinical Trial in a timely, safe and proper manner. The cost of such additional trial sites will be borne solely by the Company.</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Part B: : Rights to Results, IP and information</w:t>
      </w:r>
    </w:p>
    <w:p>
      <w:pPr>
        <w:spacing w:after="0" w:line="211" w:lineRule="exact"/>
        <w:rPr>
          <w:sz w:val="20"/>
          <w:szCs w:val="20"/>
          <w:color w:val="auto"/>
        </w:rPr>
      </w:pPr>
    </w:p>
    <w:p>
      <w:pPr>
        <w:ind w:left="582" w:hanging="582"/>
        <w:spacing w:after="0"/>
        <w:tabs>
          <w:tab w:leader="none" w:pos="582" w:val="left"/>
        </w:tabs>
        <w:numPr>
          <w:ilvl w:val="0"/>
          <w:numId w:val="582"/>
        </w:numPr>
        <w:rPr>
          <w:rFonts w:ascii="Arial" w:cs="Arial" w:eastAsia="Arial" w:hAnsi="Arial"/>
          <w:sz w:val="16"/>
          <w:szCs w:val="16"/>
          <w:color w:val="auto"/>
        </w:rPr>
      </w:pPr>
      <w:r>
        <w:rPr>
          <w:rFonts w:ascii="Arial" w:cs="Arial" w:eastAsia="Arial" w:hAnsi="Arial"/>
          <w:sz w:val="16"/>
          <w:szCs w:val="16"/>
          <w:color w:val="auto"/>
        </w:rPr>
        <w:t>Rights to perform the Clinical Trial</w:t>
      </w:r>
    </w:p>
    <w:p>
      <w:pPr>
        <w:spacing w:after="0" w:line="207" w:lineRule="exact"/>
        <w:rPr>
          <w:sz w:val="20"/>
          <w:szCs w:val="20"/>
          <w:color w:val="auto"/>
        </w:rPr>
      </w:pPr>
    </w:p>
    <w:p>
      <w:pPr>
        <w:ind w:left="602" w:right="20"/>
        <w:spacing w:after="0" w:line="261" w:lineRule="auto"/>
        <w:rPr>
          <w:sz w:val="20"/>
          <w:szCs w:val="20"/>
          <w:color w:val="auto"/>
        </w:rPr>
      </w:pPr>
      <w:r>
        <w:rPr>
          <w:rFonts w:ascii="Arial" w:cs="Arial" w:eastAsia="Arial" w:hAnsi="Arial"/>
          <w:sz w:val="16"/>
          <w:szCs w:val="16"/>
          <w:color w:val="auto"/>
        </w:rPr>
        <w:t>With effect from the Start Date, the Company grants to the Charity a worldwide, royalty-free, fully paid-up, sub-licensable licence under the Agent IP and any results and IP generated through the use of assays which are proprietary to the Company and which results are generated in the course of carrying out the Clinical Trial, subject to the terms and conditions set forth herein, to design, prepare for, sponsor and carry out the Clinical Trial. The Charity and Contributors may, among other things, develop, manufacture, use, import or dispose of IMP in carrying out the Clinical Trial. For the avoidance of doubt, the Charity may not use the IP of the Company for the purpose of preparing libraries of bicyclic peptides or for screening libraries of bicyclic peptides to identify candidate compounds for further research and development.</w:t>
      </w:r>
    </w:p>
    <w:p>
      <w:pPr>
        <w:spacing w:after="0" w:line="169" w:lineRule="exact"/>
        <w:rPr>
          <w:sz w:val="20"/>
          <w:szCs w:val="20"/>
          <w:color w:val="auto"/>
        </w:rPr>
      </w:pPr>
    </w:p>
    <w:p>
      <w:pPr>
        <w:ind w:left="582" w:hanging="582"/>
        <w:spacing w:after="0"/>
        <w:tabs>
          <w:tab w:leader="none" w:pos="582" w:val="left"/>
        </w:tabs>
        <w:numPr>
          <w:ilvl w:val="0"/>
          <w:numId w:val="583"/>
        </w:numPr>
        <w:rPr>
          <w:rFonts w:ascii="Arial" w:cs="Arial" w:eastAsia="Arial" w:hAnsi="Arial"/>
          <w:sz w:val="16"/>
          <w:szCs w:val="16"/>
          <w:color w:val="auto"/>
        </w:rPr>
      </w:pPr>
      <w:r>
        <w:rPr>
          <w:rFonts w:ascii="Arial" w:cs="Arial" w:eastAsia="Arial" w:hAnsi="Arial"/>
          <w:sz w:val="16"/>
          <w:szCs w:val="16"/>
          <w:color w:val="auto"/>
        </w:rPr>
        <w:t>The Results of the Clinical Trial</w:t>
      </w:r>
    </w:p>
    <w:p>
      <w:pPr>
        <w:spacing w:after="0" w:line="203" w:lineRule="exact"/>
        <w:rPr>
          <w:sz w:val="20"/>
          <w:szCs w:val="20"/>
          <w:color w:val="auto"/>
        </w:rPr>
      </w:pPr>
    </w:p>
    <w:p>
      <w:pPr>
        <w:ind w:left="582" w:right="120" w:hanging="586"/>
        <w:spacing w:after="0" w:line="281" w:lineRule="auto"/>
        <w:tabs>
          <w:tab w:leader="none" w:pos="562"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5"/>
          <w:szCs w:val="15"/>
          <w:color w:val="auto"/>
        </w:rPr>
        <w:t xml:space="preserve">Know How Controlled by the Charity or CRT and generated in performing the Clinical Trial, and the IP therein, is referred to in this Agreement as the </w:t>
      </w:r>
      <w:r>
        <w:rPr>
          <w:rFonts w:ascii="Arial" w:cs="Arial" w:eastAsia="Arial" w:hAnsi="Arial"/>
          <w:sz w:val="15"/>
          <w:szCs w:val="15"/>
          <w:b w:val="1"/>
          <w:bCs w:val="1"/>
          <w:color w:val="auto"/>
        </w:rPr>
        <w:t>“Results”.</w:t>
      </w:r>
      <w:r>
        <w:rPr>
          <w:rFonts w:ascii="Arial" w:cs="Arial" w:eastAsia="Arial" w:hAnsi="Arial"/>
          <w:sz w:val="15"/>
          <w:szCs w:val="15"/>
          <w:color w:val="auto"/>
        </w:rPr>
        <w:t xml:space="preserve"> Results include, among other things, the contents of the IMPD, IB, Progress Reports and the clinical study report generated by the Charity and the Contributors in carrying out the Clinical Trial but will exclude any results generated through the use of assays, biomarkers, companion diagnostics or formulation methodologies which are provided by the Company at the Company’s cost (if such cost constitutes a material charge and as contrasted with assays, biomarkers, companion diagnostics or formulation methodologies which are generally available without material charge from third parties) and which results are generated in the course of carrying out the Clinical Trial (such results and data will be solely owned by the Company). For the avoidance of doubt, Results does not include any information or data that is proprietary to the Company and was provided for use in the IMPD or the IB.</w:t>
      </w:r>
    </w:p>
    <w:p>
      <w:pPr>
        <w:spacing w:after="0" w:line="155" w:lineRule="exact"/>
        <w:rPr>
          <w:sz w:val="20"/>
          <w:szCs w:val="20"/>
          <w:color w:val="auto"/>
        </w:rPr>
      </w:pPr>
    </w:p>
    <w:p>
      <w:pPr>
        <w:ind w:left="602"/>
        <w:spacing w:after="0"/>
        <w:rPr>
          <w:sz w:val="20"/>
          <w:szCs w:val="20"/>
          <w:color w:val="auto"/>
        </w:rPr>
      </w:pPr>
      <w:r>
        <w:rPr>
          <w:rFonts w:ascii="Arial" w:cs="Arial" w:eastAsia="Arial" w:hAnsi="Arial"/>
          <w:sz w:val="15"/>
          <w:szCs w:val="15"/>
          <w:color w:val="auto"/>
        </w:rPr>
        <w:t>The Charity wishes to make outputs of the Clinical Trial with a general application available to others to help deliver cancer patient benefit. For this reason, this</w:t>
      </w:r>
    </w:p>
    <w:p>
      <w:pPr>
        <w:spacing w:after="0" w:line="35" w:lineRule="exact"/>
        <w:rPr>
          <w:sz w:val="20"/>
          <w:szCs w:val="20"/>
          <w:color w:val="auto"/>
        </w:rPr>
      </w:pPr>
    </w:p>
    <w:p>
      <w:pPr>
        <w:ind w:left="602"/>
        <w:spacing w:after="0"/>
        <w:rPr>
          <w:sz w:val="20"/>
          <w:szCs w:val="20"/>
          <w:color w:val="auto"/>
        </w:rPr>
      </w:pPr>
      <w:r>
        <w:rPr>
          <w:rFonts w:ascii="Arial" w:cs="Arial" w:eastAsia="Arial" w:hAnsi="Arial"/>
          <w:sz w:val="16"/>
          <w:szCs w:val="16"/>
          <w:color w:val="auto"/>
        </w:rPr>
        <w:t>Agreement refers to two categories of Results:</w:t>
      </w:r>
    </w:p>
    <w:p>
      <w:pPr>
        <w:spacing w:after="0" w:line="192" w:lineRule="exact"/>
        <w:rPr>
          <w:sz w:val="20"/>
          <w:szCs w:val="20"/>
          <w:color w:val="auto"/>
        </w:rPr>
      </w:pPr>
    </w:p>
    <w:p>
      <w:pPr>
        <w:ind w:left="602" w:right="500"/>
        <w:spacing w:after="0" w:line="290" w:lineRule="auto"/>
        <w:rPr>
          <w:sz w:val="20"/>
          <w:szCs w:val="20"/>
          <w:color w:val="auto"/>
        </w:rPr>
      </w:pPr>
      <w:r>
        <w:rPr>
          <w:rFonts w:ascii="Arial" w:cs="Arial" w:eastAsia="Arial" w:hAnsi="Arial"/>
          <w:sz w:val="16"/>
          <w:szCs w:val="16"/>
          <w:b w:val="1"/>
          <w:bCs w:val="1"/>
          <w:color w:val="auto"/>
        </w:rPr>
        <w:t xml:space="preserve">“Exclusive Results”, </w:t>
      </w:r>
      <w:r>
        <w:rPr>
          <w:rFonts w:ascii="Arial" w:cs="Arial" w:eastAsia="Arial" w:hAnsi="Arial"/>
          <w:sz w:val="16"/>
          <w:szCs w:val="16"/>
          <w:color w:val="auto"/>
        </w:rPr>
        <w:t>which are those Results that relate to, and only to, the Agent, any Agent Product, any Collaboration Product or any assay, or companion</w:t>
      </w:r>
      <w:r>
        <w:rPr>
          <w:rFonts w:ascii="Arial" w:cs="Arial" w:eastAsia="Arial" w:hAnsi="Arial"/>
          <w:sz w:val="16"/>
          <w:szCs w:val="16"/>
          <w:b w:val="1"/>
          <w:bCs w:val="1"/>
          <w:color w:val="auto"/>
        </w:rPr>
        <w:t xml:space="preserve"> </w:t>
      </w:r>
      <w:r>
        <w:rPr>
          <w:rFonts w:ascii="Arial" w:cs="Arial" w:eastAsia="Arial" w:hAnsi="Arial"/>
          <w:sz w:val="16"/>
          <w:szCs w:val="16"/>
          <w:color w:val="auto"/>
        </w:rPr>
        <w:t>diagnostic not provided by the Company at the Company’s cost (if such cost constitutes a material charge) which can be used</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582" w:name="page583"/>
    <w:bookmarkEnd w:id="582"/>
    <w:p>
      <w:pPr>
        <w:ind w:left="2" w:right="180" w:hanging="2"/>
        <w:spacing w:after="0" w:line="270" w:lineRule="auto"/>
        <w:tabs>
          <w:tab w:leader="none" w:pos="396" w:val="left"/>
        </w:tabs>
        <w:numPr>
          <w:ilvl w:val="0"/>
          <w:numId w:val="584"/>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602" w:right="100"/>
        <w:spacing w:after="0" w:line="288" w:lineRule="auto"/>
        <w:rPr>
          <w:sz w:val="20"/>
          <w:szCs w:val="20"/>
          <w:color w:val="auto"/>
        </w:rPr>
      </w:pPr>
      <w:r>
        <w:rPr>
          <w:rFonts w:ascii="Arial" w:cs="Arial" w:eastAsia="Arial" w:hAnsi="Arial"/>
          <w:sz w:val="15"/>
          <w:szCs w:val="15"/>
          <w:color w:val="auto"/>
        </w:rPr>
        <w:t>only with the Agent, an Agent Product or a Collaboration Product, as well as in each case their manufacture and use. Exclusive Results exclude any Result that may have a generic application or use in respect of any agent, biologic, drug, treatment or active ingredient other than the Agent, an Agent Product or a Collaboration Product (including those used in combination with the Agent in the course of the Clinical Trial), or that is or relates to any assay or companion diagnostic not provided by the Company at the Company’s cost (if such cost constitutes a material charge) or to any biomarker or formulation methodology; and</w:t>
      </w:r>
    </w:p>
    <w:p>
      <w:pPr>
        <w:spacing w:after="0" w:line="146" w:lineRule="exact"/>
        <w:rPr>
          <w:sz w:val="20"/>
          <w:szCs w:val="20"/>
          <w:color w:val="auto"/>
        </w:rPr>
      </w:pPr>
    </w:p>
    <w:p>
      <w:pPr>
        <w:ind w:left="622"/>
        <w:spacing w:after="0"/>
        <w:rPr>
          <w:sz w:val="20"/>
          <w:szCs w:val="20"/>
          <w:color w:val="auto"/>
        </w:rPr>
      </w:pPr>
      <w:r>
        <w:rPr>
          <w:rFonts w:ascii="Arial" w:cs="Arial" w:eastAsia="Arial" w:hAnsi="Arial"/>
          <w:sz w:val="16"/>
          <w:szCs w:val="16"/>
          <w:b w:val="1"/>
          <w:bCs w:val="1"/>
          <w:color w:val="auto"/>
        </w:rPr>
        <w:t xml:space="preserve">“Non-Exclusive Results”, </w:t>
      </w:r>
      <w:r>
        <w:rPr>
          <w:rFonts w:ascii="Arial" w:cs="Arial" w:eastAsia="Arial" w:hAnsi="Arial"/>
          <w:sz w:val="16"/>
          <w:szCs w:val="16"/>
          <w:color w:val="auto"/>
        </w:rPr>
        <w:t>which are the Results that are not Exclusive Results.</w:t>
      </w:r>
    </w:p>
    <w:p>
      <w:pPr>
        <w:spacing w:after="0" w:line="207" w:lineRule="exact"/>
        <w:rPr>
          <w:sz w:val="20"/>
          <w:szCs w:val="20"/>
          <w:color w:val="auto"/>
        </w:rPr>
      </w:pPr>
    </w:p>
    <w:p>
      <w:pPr>
        <w:ind w:left="622"/>
        <w:spacing w:after="0" w:line="290" w:lineRule="auto"/>
        <w:rPr>
          <w:sz w:val="20"/>
          <w:szCs w:val="20"/>
          <w:color w:val="auto"/>
        </w:rPr>
      </w:pPr>
      <w:r>
        <w:rPr>
          <w:rFonts w:ascii="Arial" w:cs="Arial" w:eastAsia="Arial" w:hAnsi="Arial"/>
          <w:sz w:val="16"/>
          <w:szCs w:val="16"/>
          <w:color w:val="auto"/>
        </w:rPr>
        <w:t xml:space="preserve">For purposes of this clause 7.1, the cost of a biomarker, assay or similar item will be considered a </w:t>
      </w:r>
      <w:r>
        <w:rPr>
          <w:rFonts w:ascii="Arial" w:cs="Arial" w:eastAsia="Arial" w:hAnsi="Arial"/>
          <w:sz w:val="16"/>
          <w:szCs w:val="16"/>
          <w:b w:val="1"/>
          <w:bCs w:val="1"/>
          <w:color w:val="auto"/>
        </w:rPr>
        <w:t>“material charge”</w:t>
      </w:r>
      <w:r>
        <w:rPr>
          <w:rFonts w:ascii="Arial" w:cs="Arial" w:eastAsia="Arial" w:hAnsi="Arial"/>
          <w:sz w:val="16"/>
          <w:szCs w:val="16"/>
          <w:color w:val="auto"/>
        </w:rPr>
        <w:t xml:space="preserve"> if is greater than [***] pounds sterling (£[***]) per sample tested or similar use.</w:t>
      </w:r>
    </w:p>
    <w:p>
      <w:pPr>
        <w:spacing w:after="0" w:line="146" w:lineRule="exact"/>
        <w:rPr>
          <w:sz w:val="20"/>
          <w:szCs w:val="20"/>
          <w:color w:val="auto"/>
        </w:rPr>
      </w:pPr>
    </w:p>
    <w:p>
      <w:pPr>
        <w:ind w:left="582" w:right="300" w:hanging="586"/>
        <w:spacing w:after="0" w:line="285" w:lineRule="auto"/>
        <w:tabs>
          <w:tab w:leader="none" w:pos="562"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The Charity hereby assigns its rights, title and interest in or to the Results to CRT. CRT hereby grants a non-exclusive, fully paid-up, sub-licensable licence to the Charity under the Results to perform the Clinical Trial and fulfil the Charity’s obligations under this Agreement.</w:t>
      </w:r>
    </w:p>
    <w:p>
      <w:pPr>
        <w:spacing w:after="0" w:line="150" w:lineRule="exact"/>
        <w:rPr>
          <w:sz w:val="20"/>
          <w:szCs w:val="20"/>
          <w:color w:val="auto"/>
        </w:rPr>
      </w:pPr>
    </w:p>
    <w:p>
      <w:pPr>
        <w:ind w:left="582" w:right="20" w:hanging="586"/>
        <w:spacing w:after="0" w:line="296" w:lineRule="auto"/>
        <w:tabs>
          <w:tab w:leader="none" w:pos="562"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5"/>
          <w:szCs w:val="15"/>
          <w:color w:val="auto"/>
        </w:rPr>
        <w:t>Unless and until the Licence is granted and, for the avoidance of doubt, subject to clause 8.3.1, the Company will not use the Results other than as permitted in clause 11 of this Agreement or in connection with the conduct of the Clinical Trial or subject to clauses 3.4 and 11 of this Agreement and, for any Progress Report, in compliance with clause 2.2.2 of this Agreement, in the planning or, preparation of clinical trials to be performed by the Company after the Clinical Trial.</w:t>
      </w:r>
    </w:p>
    <w:p>
      <w:pPr>
        <w:spacing w:after="0" w:line="144" w:lineRule="exact"/>
        <w:rPr>
          <w:sz w:val="20"/>
          <w:szCs w:val="20"/>
          <w:color w:val="auto"/>
        </w:rPr>
      </w:pPr>
    </w:p>
    <w:p>
      <w:pPr>
        <w:ind w:left="582" w:hanging="582"/>
        <w:spacing w:after="0"/>
        <w:tabs>
          <w:tab w:leader="none" w:pos="582" w:val="left"/>
        </w:tabs>
        <w:numPr>
          <w:ilvl w:val="0"/>
          <w:numId w:val="585"/>
        </w:numPr>
        <w:rPr>
          <w:rFonts w:ascii="Arial" w:cs="Arial" w:eastAsia="Arial" w:hAnsi="Arial"/>
          <w:sz w:val="16"/>
          <w:szCs w:val="16"/>
          <w:color w:val="auto"/>
        </w:rPr>
      </w:pPr>
      <w:r>
        <w:rPr>
          <w:rFonts w:ascii="Arial" w:cs="Arial" w:eastAsia="Arial" w:hAnsi="Arial"/>
          <w:sz w:val="16"/>
          <w:szCs w:val="16"/>
          <w:color w:val="auto"/>
        </w:rPr>
        <w:t>The Company’s Licence to the Results</w:t>
      </w:r>
    </w:p>
    <w:p>
      <w:pPr>
        <w:spacing w:after="0" w:line="203"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4"/>
          <w:szCs w:val="14"/>
          <w:color w:val="auto"/>
        </w:rPr>
        <w:t xml:space="preserve">CRT hereby grants the Company the following licence (the </w:t>
      </w:r>
      <w:r>
        <w:rPr>
          <w:rFonts w:ascii="Arial" w:cs="Arial" w:eastAsia="Arial" w:hAnsi="Arial"/>
          <w:sz w:val="14"/>
          <w:szCs w:val="14"/>
          <w:b w:val="1"/>
          <w:bCs w:val="1"/>
          <w:color w:val="auto"/>
        </w:rPr>
        <w:t>“Licence”):</w:t>
      </w:r>
    </w:p>
    <w:p>
      <w:pPr>
        <w:spacing w:after="0" w:line="211" w:lineRule="exact"/>
        <w:rPr>
          <w:sz w:val="20"/>
          <w:szCs w:val="20"/>
          <w:color w:val="auto"/>
        </w:rPr>
      </w:pPr>
    </w:p>
    <w:p>
      <w:pPr>
        <w:ind w:left="582" w:right="260" w:hanging="586"/>
        <w:spacing w:after="0" w:line="270" w:lineRule="auto"/>
        <w:tabs>
          <w:tab w:leader="none" w:pos="562" w:val="left"/>
        </w:tabs>
        <w:rPr>
          <w:sz w:val="20"/>
          <w:szCs w:val="20"/>
          <w:color w:val="auto"/>
        </w:rPr>
      </w:pPr>
      <w:r>
        <w:rPr>
          <w:rFonts w:ascii="Arial" w:cs="Arial" w:eastAsia="Arial" w:hAnsi="Arial"/>
          <w:sz w:val="16"/>
          <w:szCs w:val="16"/>
          <w:color w:val="auto"/>
        </w:rPr>
        <w:t>8.1.1</w:t>
      </w:r>
      <w:r>
        <w:rPr>
          <w:sz w:val="20"/>
          <w:szCs w:val="20"/>
          <w:color w:val="auto"/>
        </w:rPr>
        <w:tab/>
      </w:r>
      <w:r>
        <w:rPr>
          <w:rFonts w:ascii="Arial" w:cs="Arial" w:eastAsia="Arial" w:hAnsi="Arial"/>
          <w:sz w:val="16"/>
          <w:szCs w:val="16"/>
          <w:color w:val="auto"/>
        </w:rPr>
        <w:t>an exclusive licence under the Exclusive Results to research, develop, make, have made, import, use and sell the Agent, any Agent Product and any Collaboration Products in the Field in the Territory and apply for Regulatory Authorisations for the Agent, any Agent Products or Collaboration Products in the Field in the Territory; and</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8.1.2</w:t>
      </w:r>
      <w:r>
        <w:rPr>
          <w:sz w:val="20"/>
          <w:szCs w:val="20"/>
          <w:color w:val="auto"/>
        </w:rPr>
        <w:tab/>
      </w:r>
      <w:r>
        <w:rPr>
          <w:rFonts w:ascii="Arial" w:cs="Arial" w:eastAsia="Arial" w:hAnsi="Arial"/>
          <w:sz w:val="14"/>
          <w:szCs w:val="14"/>
          <w:color w:val="auto"/>
        </w:rPr>
        <w:t>an exclusive licence under the Non-Exclusive Results to research, develop, make, have made,</w:t>
      </w:r>
    </w:p>
    <w:p>
      <w:pPr>
        <w:spacing w:after="0" w:line="207" w:lineRule="exact"/>
        <w:rPr>
          <w:sz w:val="20"/>
          <w:szCs w:val="20"/>
          <w:color w:val="auto"/>
        </w:rPr>
      </w:pPr>
    </w:p>
    <w:p>
      <w:pPr>
        <w:ind w:left="622" w:right="140"/>
        <w:spacing w:after="0" w:line="265" w:lineRule="auto"/>
        <w:rPr>
          <w:sz w:val="20"/>
          <w:szCs w:val="20"/>
          <w:color w:val="auto"/>
        </w:rPr>
      </w:pPr>
      <w:r>
        <w:rPr>
          <w:rFonts w:ascii="Arial" w:cs="Arial" w:eastAsia="Arial" w:hAnsi="Arial"/>
          <w:sz w:val="16"/>
          <w:szCs w:val="16"/>
          <w:color w:val="auto"/>
        </w:rPr>
        <w:t>import, use and sell the Agent, any Agent Product and any Collaboration Products only in the Field in the Territory and apply for Regulatory Authorisations for the Agent, any Agent Products and any Collaboration Products in the Field in the Territory. For the avoidance of doubt, the Charity and CRT have the sub-licensable (through multiple tiers) exclusive right under the Non-Exclusive Results to research, develop, make, have made, import, use and sell any products other than the Agent, any Agent Product and any Collaboration Products,</w:t>
      </w:r>
    </w:p>
    <w:p>
      <w:pPr>
        <w:spacing w:after="0" w:line="166" w:lineRule="exact"/>
        <w:rPr>
          <w:sz w:val="20"/>
          <w:szCs w:val="20"/>
          <w:color w:val="auto"/>
        </w:rPr>
      </w:pPr>
    </w:p>
    <w:p>
      <w:pPr>
        <w:ind w:left="622"/>
        <w:spacing w:after="0"/>
        <w:rPr>
          <w:sz w:val="20"/>
          <w:szCs w:val="20"/>
          <w:color w:val="auto"/>
        </w:rPr>
      </w:pPr>
      <w:r>
        <w:rPr>
          <w:rFonts w:ascii="Arial" w:cs="Arial" w:eastAsia="Arial" w:hAnsi="Arial"/>
          <w:sz w:val="16"/>
          <w:szCs w:val="16"/>
          <w:color w:val="auto"/>
        </w:rPr>
        <w:t>subject to the remainder of this Agreement including the Licence Terms set out in Schedule 1.</w:t>
      </w:r>
    </w:p>
    <w:p>
      <w:pPr>
        <w:spacing w:after="0" w:line="207" w:lineRule="exact"/>
        <w:rPr>
          <w:sz w:val="20"/>
          <w:szCs w:val="20"/>
          <w:color w:val="auto"/>
        </w:rPr>
      </w:pPr>
    </w:p>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6"/>
          <w:szCs w:val="16"/>
          <w:color w:val="auto"/>
        </w:rPr>
        <w:t xml:space="preserve">The Licence will be granted and effective only upon payment by the Company of the Licence Fee (cf: Box 1 of the Cover Sheet) and the issue by the Company of the first tranche of shares in accordance with section 5.10 of the Licence Terms, to CRT in the </w:t>
      </w:r>
      <w:r>
        <w:rPr>
          <w:rFonts w:ascii="Arial" w:cs="Arial" w:eastAsia="Arial" w:hAnsi="Arial"/>
          <w:sz w:val="14"/>
          <w:szCs w:val="14"/>
          <w:color w:val="auto"/>
        </w:rPr>
        <w:t>[***]</w:t>
      </w:r>
      <w:r>
        <w:rPr>
          <w:rFonts w:ascii="Arial" w:cs="Arial" w:eastAsia="Arial" w:hAnsi="Arial"/>
          <w:sz w:val="16"/>
          <w:szCs w:val="16"/>
          <w:color w:val="auto"/>
        </w:rPr>
        <w:t xml:space="preserve"> days after the</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583" w:name="page584"/>
    <w:bookmarkEnd w:id="583"/>
    <w:p>
      <w:pPr>
        <w:ind w:left="2" w:right="200" w:hanging="2"/>
        <w:spacing w:after="0" w:line="270" w:lineRule="auto"/>
        <w:tabs>
          <w:tab w:leader="none" w:pos="396" w:val="left"/>
        </w:tabs>
        <w:numPr>
          <w:ilvl w:val="0"/>
          <w:numId w:val="586"/>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602"/>
        <w:spacing w:after="0"/>
        <w:rPr>
          <w:sz w:val="20"/>
          <w:szCs w:val="20"/>
          <w:color w:val="auto"/>
        </w:rPr>
      </w:pPr>
      <w:r>
        <w:rPr>
          <w:rFonts w:ascii="Arial" w:cs="Arial" w:eastAsia="Arial" w:hAnsi="Arial"/>
          <w:sz w:val="16"/>
          <w:szCs w:val="16"/>
          <w:color w:val="auto"/>
        </w:rPr>
        <w:t>date the Charity provides the clinical study report (or interim clinical study report) under clause 2.6 of this Agreement.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5"/>
          <w:szCs w:val="15"/>
          <w:color w:val="auto"/>
        </w:rPr>
        <w:t>If, after the clinical trial report is provided to the Company, the Licence is not entered into:</w:t>
      </w:r>
    </w:p>
    <w:p>
      <w:pPr>
        <w:spacing w:after="0" w:line="207" w:lineRule="exact"/>
        <w:rPr>
          <w:sz w:val="20"/>
          <w:szCs w:val="20"/>
          <w:color w:val="auto"/>
        </w:rPr>
      </w:pPr>
    </w:p>
    <w:p>
      <w:pPr>
        <w:jc w:val="both"/>
        <w:ind w:left="582" w:hanging="586"/>
        <w:spacing w:after="0" w:line="270" w:lineRule="auto"/>
        <w:tabs>
          <w:tab w:leader="none" w:pos="562" w:val="left"/>
        </w:tabs>
        <w:rPr>
          <w:sz w:val="20"/>
          <w:szCs w:val="20"/>
          <w:color w:val="auto"/>
        </w:rPr>
      </w:pPr>
      <w:r>
        <w:rPr>
          <w:rFonts w:ascii="Arial" w:cs="Arial" w:eastAsia="Arial" w:hAnsi="Arial"/>
          <w:sz w:val="16"/>
          <w:szCs w:val="16"/>
          <w:color w:val="auto"/>
        </w:rPr>
        <w:t>8.3.1</w:t>
      </w:r>
      <w:r>
        <w:rPr>
          <w:sz w:val="20"/>
          <w:szCs w:val="20"/>
          <w:color w:val="auto"/>
        </w:rPr>
        <w:tab/>
      </w:r>
      <w:r>
        <w:rPr>
          <w:rFonts w:ascii="Arial" w:cs="Arial" w:eastAsia="Arial" w:hAnsi="Arial"/>
          <w:sz w:val="16"/>
          <w:szCs w:val="16"/>
          <w:color w:val="auto"/>
        </w:rPr>
        <w:t>the Company will have no further right to use the Results under this Agreement (without limitation on the right of the Company to continue to use, in connection with future clinical trials, materials prepared in planning or preparation therefor (but excluding any Materials prepared by or on behalf of the Charity for the purpose of the Clinical Trial), so long as they do not disclose or use any Results); and</w:t>
      </w:r>
    </w:p>
    <w:p>
      <w:pPr>
        <w:spacing w:after="0" w:line="162" w:lineRule="exact"/>
        <w:rPr>
          <w:sz w:val="20"/>
          <w:szCs w:val="20"/>
          <w:color w:val="auto"/>
        </w:rPr>
      </w:pPr>
    </w:p>
    <w:p>
      <w:pPr>
        <w:jc w:val="both"/>
        <w:ind w:left="582" w:right="100" w:hanging="586"/>
        <w:spacing w:after="0" w:line="270" w:lineRule="auto"/>
        <w:tabs>
          <w:tab w:leader="none" w:pos="562" w:val="left"/>
        </w:tabs>
        <w:rPr>
          <w:sz w:val="20"/>
          <w:szCs w:val="20"/>
          <w:color w:val="auto"/>
        </w:rPr>
      </w:pPr>
      <w:r>
        <w:rPr>
          <w:rFonts w:ascii="Arial" w:cs="Arial" w:eastAsia="Arial" w:hAnsi="Arial"/>
          <w:sz w:val="16"/>
          <w:szCs w:val="16"/>
          <w:color w:val="auto"/>
        </w:rPr>
        <w:t>8.3.2</w:t>
      </w:r>
      <w:r>
        <w:rPr>
          <w:sz w:val="20"/>
          <w:szCs w:val="20"/>
          <w:color w:val="auto"/>
        </w:rPr>
        <w:tab/>
      </w:r>
      <w:r>
        <w:rPr>
          <w:rFonts w:ascii="Arial" w:cs="Arial" w:eastAsia="Arial" w:hAnsi="Arial"/>
          <w:sz w:val="16"/>
          <w:szCs w:val="16"/>
          <w:color w:val="auto"/>
        </w:rPr>
        <w:t>the grant by the Company to CRT of the rights described in the Step-in Agreement will become effective, if requested by CRT by notice. The Company will execute and provide to CRT an executed original of the Step-In Agreement within [***] days after receipt of such notice from CRT to evidence such grant, and give effect to the other terms of the Step-In Agreement.</w:t>
      </w:r>
    </w:p>
    <w:p>
      <w:pPr>
        <w:spacing w:after="0" w:line="162" w:lineRule="exact"/>
        <w:rPr>
          <w:sz w:val="20"/>
          <w:szCs w:val="20"/>
          <w:color w:val="auto"/>
        </w:rPr>
      </w:pPr>
    </w:p>
    <w:p>
      <w:pPr>
        <w:ind w:left="582" w:hanging="582"/>
        <w:spacing w:after="0"/>
        <w:tabs>
          <w:tab w:leader="none" w:pos="582" w:val="left"/>
        </w:tabs>
        <w:numPr>
          <w:ilvl w:val="0"/>
          <w:numId w:val="587"/>
        </w:numPr>
        <w:rPr>
          <w:rFonts w:ascii="Arial" w:cs="Arial" w:eastAsia="Arial" w:hAnsi="Arial"/>
          <w:sz w:val="16"/>
          <w:szCs w:val="16"/>
          <w:color w:val="auto"/>
        </w:rPr>
      </w:pPr>
      <w:r>
        <w:rPr>
          <w:rFonts w:ascii="Arial" w:cs="Arial" w:eastAsia="Arial" w:hAnsi="Arial"/>
          <w:sz w:val="16"/>
          <w:szCs w:val="16"/>
          <w:color w:val="auto"/>
        </w:rPr>
        <w:t>Agent Patents and Collaboration Patents</w:t>
      </w:r>
    </w:p>
    <w:p>
      <w:pPr>
        <w:spacing w:after="0" w:line="207" w:lineRule="exact"/>
        <w:rPr>
          <w:sz w:val="20"/>
          <w:szCs w:val="20"/>
          <w:color w:val="auto"/>
        </w:rPr>
      </w:pPr>
    </w:p>
    <w:p>
      <w:pPr>
        <w:jc w:val="both"/>
        <w:ind w:left="582" w:hanging="586"/>
        <w:spacing w:after="0" w:line="285" w:lineRule="auto"/>
        <w:tabs>
          <w:tab w:leader="none" w:pos="562"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6"/>
          <w:szCs w:val="16"/>
          <w:color w:val="auto"/>
        </w:rPr>
        <w:t>Subject to the remainder of this clause 9, the Company will continue to prosecute and maintain the Agent Patents and Collaboration Patents throughout the Term at its own cost.</w:t>
      </w:r>
    </w:p>
    <w:p>
      <w:pPr>
        <w:spacing w:after="0" w:line="150" w:lineRule="exact"/>
        <w:rPr>
          <w:sz w:val="20"/>
          <w:szCs w:val="20"/>
          <w:color w:val="auto"/>
        </w:rPr>
      </w:pPr>
    </w:p>
    <w:p>
      <w:pPr>
        <w:ind w:left="582" w:right="580" w:hanging="586"/>
        <w:spacing w:after="0" w:line="285" w:lineRule="auto"/>
        <w:tabs>
          <w:tab w:leader="none" w:pos="562"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color w:val="auto"/>
        </w:rPr>
        <w:t>If the Company intends to substantially narrow the scope of any Agent Patent or Collaboration Patent in any Major Market, it will first consult with CRT and consider, in good faith, any comments provided by CRT.</w:t>
      </w:r>
    </w:p>
    <w:p>
      <w:pPr>
        <w:spacing w:after="0" w:line="150" w:lineRule="exact"/>
        <w:rPr>
          <w:sz w:val="20"/>
          <w:szCs w:val="20"/>
          <w:color w:val="auto"/>
        </w:rPr>
      </w:pPr>
    </w:p>
    <w:p>
      <w:pPr>
        <w:jc w:val="both"/>
        <w:ind w:left="582" w:hanging="586"/>
        <w:spacing w:after="0" w:line="270" w:lineRule="auto"/>
        <w:tabs>
          <w:tab w:leader="none" w:pos="562"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Step-In. Without the prior agreement of CRT (not to be unreasonably withheld), if the Company elects not to prosecute or maintain any Agent Patent or Collaboration Patent in any Major Market, it will notify CRT in writing no less than [***] ([***]) days before the expiry of any applicable time bars. At CRT’s request in that notice period, the Company will:</w:t>
      </w:r>
    </w:p>
    <w:p>
      <w:pPr>
        <w:spacing w:after="0" w:line="162" w:lineRule="exact"/>
        <w:rPr>
          <w:sz w:val="20"/>
          <w:szCs w:val="20"/>
          <w:color w:val="auto"/>
        </w:rPr>
      </w:pPr>
    </w:p>
    <w:p>
      <w:pPr>
        <w:ind w:left="582" w:right="160" w:hanging="586"/>
        <w:spacing w:after="0" w:line="265" w:lineRule="auto"/>
        <w:tabs>
          <w:tab w:leader="none" w:pos="562" w:val="left"/>
        </w:tabs>
        <w:rPr>
          <w:sz w:val="20"/>
          <w:szCs w:val="20"/>
          <w:color w:val="auto"/>
        </w:rPr>
      </w:pPr>
      <w:r>
        <w:rPr>
          <w:rFonts w:ascii="Arial" w:cs="Arial" w:eastAsia="Arial" w:hAnsi="Arial"/>
          <w:sz w:val="16"/>
          <w:szCs w:val="16"/>
          <w:color w:val="auto"/>
        </w:rPr>
        <w:t>9.3.1</w:t>
      </w:r>
      <w:r>
        <w:rPr>
          <w:sz w:val="20"/>
          <w:szCs w:val="20"/>
          <w:color w:val="auto"/>
        </w:rPr>
        <w:tab/>
      </w:r>
      <w:r>
        <w:rPr>
          <w:rFonts w:ascii="Arial" w:cs="Arial" w:eastAsia="Arial" w:hAnsi="Arial"/>
          <w:sz w:val="16"/>
          <w:szCs w:val="16"/>
          <w:color w:val="auto"/>
        </w:rPr>
        <w:t xml:space="preserve">only to the extent that such Agent Patent or Collaboration Patent relates to </w:t>
      </w:r>
      <w:r>
        <w:rPr>
          <w:rFonts w:ascii="Arial" w:cs="Arial" w:eastAsia="Arial" w:hAnsi="Arial"/>
          <w:sz w:val="14"/>
          <w:szCs w:val="14"/>
          <w:color w:val="auto"/>
        </w:rPr>
        <w:t>[***]</w:t>
      </w:r>
      <w:r>
        <w:rPr>
          <w:rFonts w:ascii="Arial" w:cs="Arial" w:eastAsia="Arial" w:hAnsi="Arial"/>
          <w:sz w:val="16"/>
          <w:szCs w:val="16"/>
          <w:color w:val="auto"/>
        </w:rPr>
        <w:t xml:space="preserve"> Major Market, assign to CRT the Agent Patent or Collaboration Patent identified in that notice or, if such Agent Patent or Collaboration Patent Covers products other than the Agent, grant CRT an exclusive, perpetual, fully paid, royalty free, worldwide licence to use such Agent Patent or Collaboration Patent in connection with the further development or commercialisation of the Agent and any Agent Product or Collaboration Product, for consideration of one pound (£1); and</w:t>
      </w:r>
    </w:p>
    <w:p>
      <w:pPr>
        <w:spacing w:after="0" w:line="166" w:lineRule="exact"/>
        <w:rPr>
          <w:sz w:val="20"/>
          <w:szCs w:val="20"/>
          <w:color w:val="auto"/>
        </w:rPr>
      </w:pPr>
    </w:p>
    <w:p>
      <w:pPr>
        <w:ind w:left="582" w:right="220" w:hanging="586"/>
        <w:spacing w:after="0" w:line="285" w:lineRule="auto"/>
        <w:tabs>
          <w:tab w:leader="none" w:pos="562" w:val="left"/>
        </w:tabs>
        <w:rPr>
          <w:sz w:val="20"/>
          <w:szCs w:val="20"/>
          <w:color w:val="auto"/>
        </w:rPr>
      </w:pPr>
      <w:r>
        <w:rPr>
          <w:rFonts w:ascii="Arial" w:cs="Arial" w:eastAsia="Arial" w:hAnsi="Arial"/>
          <w:sz w:val="16"/>
          <w:szCs w:val="16"/>
          <w:color w:val="auto"/>
        </w:rPr>
        <w:t>9.3.2</w:t>
      </w:r>
      <w:r>
        <w:rPr>
          <w:sz w:val="20"/>
          <w:szCs w:val="20"/>
          <w:color w:val="auto"/>
        </w:rPr>
        <w:tab/>
      </w:r>
      <w:r>
        <w:rPr>
          <w:rFonts w:ascii="Arial" w:cs="Arial" w:eastAsia="Arial" w:hAnsi="Arial"/>
          <w:sz w:val="16"/>
          <w:szCs w:val="16"/>
          <w:color w:val="auto"/>
        </w:rPr>
        <w:t>transfer promptly to CRT, or any person nominated by CRT, copies of all documents memorializing Know How in the Company’s Control that relates to the filing, prosecution, maintenance, enforcement and defence of any Agent Patent or Collaboration Patent assigned or licensed to CRT,</w:t>
      </w:r>
    </w:p>
    <w:p>
      <w:pPr>
        <w:spacing w:after="0" w:line="150" w:lineRule="exact"/>
        <w:rPr>
          <w:sz w:val="20"/>
          <w:szCs w:val="20"/>
          <w:color w:val="auto"/>
        </w:rPr>
      </w:pPr>
    </w:p>
    <w:p>
      <w:pPr>
        <w:ind w:left="602"/>
        <w:spacing w:after="0" w:line="285" w:lineRule="auto"/>
        <w:rPr>
          <w:sz w:val="20"/>
          <w:szCs w:val="20"/>
          <w:color w:val="auto"/>
        </w:rPr>
      </w:pPr>
      <w:r>
        <w:rPr>
          <w:rFonts w:ascii="Arial" w:cs="Arial" w:eastAsia="Arial" w:hAnsi="Arial"/>
          <w:sz w:val="16"/>
          <w:szCs w:val="16"/>
          <w:color w:val="auto"/>
        </w:rPr>
        <w:t>and CRT may prosecute, maintain, enforce and defend the Agent Patents and Collaboration Patents assigned to it at its discretion and with no further obligation to the Company.</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584" w:name="page585"/>
    <w:bookmarkEnd w:id="584"/>
    <w:p>
      <w:pPr>
        <w:ind w:left="2" w:right="100" w:hanging="2"/>
        <w:spacing w:after="0" w:line="270" w:lineRule="auto"/>
        <w:tabs>
          <w:tab w:leader="none" w:pos="396" w:val="left"/>
        </w:tabs>
        <w:numPr>
          <w:ilvl w:val="0"/>
          <w:numId w:val="588"/>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100" w:hanging="586"/>
        <w:spacing w:after="0" w:line="285" w:lineRule="auto"/>
        <w:tabs>
          <w:tab w:leader="none" w:pos="562"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6"/>
          <w:szCs w:val="16"/>
          <w:color w:val="auto"/>
        </w:rPr>
        <w:t>The Company may not assign or encumber any Agent Patent or Collaboration Patent without CRT’s prior consent in a manner that would prevent an assignment or licence to CRT as provided herein.</w:t>
      </w:r>
    </w:p>
    <w:p>
      <w:pPr>
        <w:spacing w:after="0" w:line="150" w:lineRule="exact"/>
        <w:rPr>
          <w:sz w:val="20"/>
          <w:szCs w:val="20"/>
          <w:color w:val="auto"/>
        </w:rPr>
      </w:pPr>
    </w:p>
    <w:p>
      <w:pPr>
        <w:ind w:left="582" w:hanging="582"/>
        <w:spacing w:after="0"/>
        <w:tabs>
          <w:tab w:leader="none" w:pos="582" w:val="left"/>
        </w:tabs>
        <w:numPr>
          <w:ilvl w:val="0"/>
          <w:numId w:val="589"/>
        </w:numPr>
        <w:rPr>
          <w:rFonts w:ascii="Arial" w:cs="Arial" w:eastAsia="Arial" w:hAnsi="Arial"/>
          <w:sz w:val="16"/>
          <w:szCs w:val="16"/>
          <w:color w:val="auto"/>
        </w:rPr>
      </w:pPr>
      <w:r>
        <w:rPr>
          <w:rFonts w:ascii="Arial" w:cs="Arial" w:eastAsia="Arial" w:hAnsi="Arial"/>
          <w:sz w:val="16"/>
          <w:szCs w:val="16"/>
          <w:color w:val="auto"/>
        </w:rPr>
        <w:t>Rights to Agent IP and Collaboration Product IP</w:t>
      </w:r>
    </w:p>
    <w:p>
      <w:pPr>
        <w:spacing w:after="0" w:line="207" w:lineRule="exact"/>
        <w:rPr>
          <w:rFonts w:ascii="Arial" w:cs="Arial" w:eastAsia="Arial" w:hAnsi="Arial"/>
          <w:sz w:val="16"/>
          <w:szCs w:val="16"/>
          <w:color w:val="auto"/>
        </w:rPr>
      </w:pPr>
    </w:p>
    <w:p>
      <w:pPr>
        <w:ind w:left="582"/>
        <w:spacing w:after="0"/>
        <w:rPr>
          <w:rFonts w:ascii="Arial" w:cs="Arial" w:eastAsia="Arial" w:hAnsi="Arial"/>
          <w:sz w:val="16"/>
          <w:szCs w:val="16"/>
          <w:color w:val="auto"/>
        </w:rPr>
      </w:pPr>
      <w:r>
        <w:rPr>
          <w:rFonts w:ascii="Arial" w:cs="Arial" w:eastAsia="Arial" w:hAnsi="Arial"/>
          <w:sz w:val="16"/>
          <w:szCs w:val="16"/>
          <w:color w:val="auto"/>
        </w:rPr>
        <w:t>The Company warrants to the Charity and CRT that, except as disclosed in the disclosure schedule previously provided to the Charity and CRT: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color w:val="auto"/>
        </w:rPr>
        <w:t>it is the legal and beneficial owner of the Agent IP, other than Third Party IP, free of any third party rights or encumbrances;</w:t>
      </w:r>
    </w:p>
    <w:p>
      <w:pPr>
        <w:spacing w:after="0" w:line="207"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it has not entered, and will not enter, into any arrangement with any third party that prevents it from fulfilling its obligations under this Agreement or under the Step-In Agreement; and</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5"/>
          <w:szCs w:val="15"/>
          <w:color w:val="auto"/>
        </w:rPr>
        <w:t>in respect of Third Party IP:</w:t>
      </w:r>
    </w:p>
    <w:p>
      <w:pPr>
        <w:spacing w:after="0" w:line="207" w:lineRule="exact"/>
        <w:rPr>
          <w:sz w:val="20"/>
          <w:szCs w:val="20"/>
          <w:color w:val="auto"/>
        </w:rPr>
      </w:pPr>
    </w:p>
    <w:p>
      <w:pPr>
        <w:ind w:left="582" w:right="300" w:hanging="586"/>
        <w:spacing w:after="0" w:line="285" w:lineRule="auto"/>
        <w:tabs>
          <w:tab w:leader="none" w:pos="562" w:val="left"/>
        </w:tabs>
        <w:rPr>
          <w:sz w:val="20"/>
          <w:szCs w:val="20"/>
          <w:color w:val="auto"/>
        </w:rPr>
      </w:pPr>
      <w:r>
        <w:rPr>
          <w:rFonts w:ascii="Arial" w:cs="Arial" w:eastAsia="Arial" w:hAnsi="Arial"/>
          <w:sz w:val="16"/>
          <w:szCs w:val="16"/>
          <w:color w:val="auto"/>
        </w:rPr>
        <w:t>10.3.1</w:t>
        <w:tab/>
        <w:t>the Third Party Agreements identified in the Cover Sheet are the only third party licences to the Company relating to the manufacture, possession and use of the Agent;</w:t>
      </w:r>
    </w:p>
    <w:p>
      <w:pPr>
        <w:spacing w:after="0" w:line="150" w:lineRule="exact"/>
        <w:rPr>
          <w:sz w:val="20"/>
          <w:szCs w:val="20"/>
          <w:color w:val="auto"/>
        </w:rPr>
      </w:pPr>
    </w:p>
    <w:p>
      <w:pPr>
        <w:ind w:left="582" w:right="280" w:hanging="586"/>
        <w:spacing w:after="0" w:line="285" w:lineRule="auto"/>
        <w:tabs>
          <w:tab w:leader="none" w:pos="562" w:val="left"/>
        </w:tabs>
        <w:rPr>
          <w:sz w:val="20"/>
          <w:szCs w:val="20"/>
          <w:color w:val="auto"/>
        </w:rPr>
      </w:pPr>
      <w:r>
        <w:rPr>
          <w:rFonts w:ascii="Arial" w:cs="Arial" w:eastAsia="Arial" w:hAnsi="Arial"/>
          <w:sz w:val="16"/>
          <w:szCs w:val="16"/>
          <w:color w:val="auto"/>
        </w:rPr>
        <w:t>10.3.2</w:t>
        <w:tab/>
        <w:t>all Third Party Agreements are and, subject to the remainder of this clause 10.3, will remain in full force and effect, and the Company will comply with all of its obligations under the Third Party Agreements;</w:t>
      </w:r>
    </w:p>
    <w:p>
      <w:pPr>
        <w:spacing w:after="0" w:line="150" w:lineRule="exact"/>
        <w:rPr>
          <w:sz w:val="20"/>
          <w:szCs w:val="20"/>
          <w:color w:val="auto"/>
        </w:rPr>
      </w:pPr>
    </w:p>
    <w:p>
      <w:pPr>
        <w:ind w:left="582" w:right="620" w:hanging="586"/>
        <w:spacing w:after="0" w:line="285" w:lineRule="auto"/>
        <w:tabs>
          <w:tab w:leader="none" w:pos="562" w:val="left"/>
        </w:tabs>
        <w:rPr>
          <w:sz w:val="20"/>
          <w:szCs w:val="20"/>
          <w:color w:val="auto"/>
        </w:rPr>
      </w:pPr>
      <w:r>
        <w:rPr>
          <w:rFonts w:ascii="Arial" w:cs="Arial" w:eastAsia="Arial" w:hAnsi="Arial"/>
          <w:sz w:val="16"/>
          <w:szCs w:val="16"/>
          <w:color w:val="auto"/>
        </w:rPr>
        <w:t>10.3.3</w:t>
        <w:tab/>
        <w:t>to the best of its knowledge and belief there are no outstanding breaches of any Third Party Agreement by any person party to them and there are no acts or circumstances that may give any person the right to terminate any Third Party Agreement;</w:t>
      </w:r>
    </w:p>
    <w:p>
      <w:pPr>
        <w:spacing w:after="0" w:line="150" w:lineRule="exact"/>
        <w:rPr>
          <w:sz w:val="20"/>
          <w:szCs w:val="20"/>
          <w:color w:val="auto"/>
        </w:rPr>
      </w:pPr>
    </w:p>
    <w:p>
      <w:pPr>
        <w:jc w:val="both"/>
        <w:ind w:left="582" w:right="140" w:hanging="586"/>
        <w:spacing w:after="0" w:line="270" w:lineRule="auto"/>
        <w:tabs>
          <w:tab w:leader="none" w:pos="562" w:val="left"/>
        </w:tabs>
        <w:rPr>
          <w:sz w:val="20"/>
          <w:szCs w:val="20"/>
          <w:color w:val="auto"/>
        </w:rPr>
      </w:pPr>
      <w:r>
        <w:rPr>
          <w:rFonts w:ascii="Arial" w:cs="Arial" w:eastAsia="Arial" w:hAnsi="Arial"/>
          <w:sz w:val="16"/>
          <w:szCs w:val="16"/>
          <w:color w:val="auto"/>
        </w:rPr>
        <w:t>10.3.4</w:t>
        <w:tab/>
        <w:t>it will notify the Charity in writing immediately upon becoming aware of any act or circumstance described in clause 10.3.3 of this Agreement, and will not enter into, amend or terminate any Third Party Agreement in a manner that is detrimental and adverse to the interests of the Charity without first obtaining the Charity’s prior consent.</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5"/>
          <w:szCs w:val="15"/>
          <w:color w:val="auto"/>
        </w:rPr>
        <w:t>in performing the Clinical Trial in the United Kingdom, the Charity and any Contributors will not infringe any enforceable rights of a third party (including IP).</w:t>
      </w:r>
    </w:p>
    <w:p>
      <w:pPr>
        <w:spacing w:after="0" w:line="207" w:lineRule="exact"/>
        <w:rPr>
          <w:sz w:val="20"/>
          <w:szCs w:val="20"/>
          <w:color w:val="auto"/>
        </w:rPr>
      </w:pPr>
    </w:p>
    <w:p>
      <w:pPr>
        <w:ind w:left="582" w:right="120" w:hanging="586"/>
        <w:spacing w:after="0" w:line="270" w:lineRule="auto"/>
        <w:tabs>
          <w:tab w:leader="none" w:pos="562"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color w:val="auto"/>
        </w:rPr>
        <w:t>The Company will give CRT as much notice as is practicable if any threat is made by a third party to terminate any Third Party Agreement or if any Third Party Agreement is terminated and, at CRT’s request and direction, the Company will use Commercially Reasonable Efforts to enable CRT to take a licence of the Third Party IP licensed under that Third Party Agreement or an assignment of the relevant Third Party Agreement.</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Use of information</w:t>
      </w:r>
    </w:p>
    <w:p>
      <w:pPr>
        <w:spacing w:after="0" w:line="203" w:lineRule="exact"/>
        <w:rPr>
          <w:sz w:val="20"/>
          <w:szCs w:val="20"/>
          <w:color w:val="auto"/>
        </w:rPr>
      </w:pPr>
    </w:p>
    <w:p>
      <w:pPr>
        <w:ind w:left="602"/>
        <w:spacing w:after="0"/>
        <w:rPr>
          <w:sz w:val="20"/>
          <w:szCs w:val="20"/>
          <w:color w:val="auto"/>
        </w:rPr>
      </w:pPr>
      <w:r>
        <w:rPr>
          <w:rFonts w:ascii="Arial" w:cs="Arial" w:eastAsia="Arial" w:hAnsi="Arial"/>
          <w:sz w:val="16"/>
          <w:szCs w:val="16"/>
          <w:b w:val="1"/>
          <w:bCs w:val="1"/>
          <w:color w:val="auto"/>
        </w:rPr>
        <w:t>Confidentiality</w:t>
      </w:r>
    </w:p>
    <w:p>
      <w:pPr>
        <w:spacing w:after="0" w:line="207" w:lineRule="exact"/>
        <w:rPr>
          <w:sz w:val="20"/>
          <w:szCs w:val="20"/>
          <w:color w:val="auto"/>
        </w:rPr>
      </w:pPr>
    </w:p>
    <w:p>
      <w:pPr>
        <w:ind w:left="582" w:right="40" w:hanging="586"/>
        <w:spacing w:after="0" w:line="272" w:lineRule="auto"/>
        <w:tabs>
          <w:tab w:leader="none" w:pos="562"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color w:val="auto"/>
        </w:rPr>
        <w:t xml:space="preserve">Subject to clause 11.3 of this Agreement, each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xml:space="preserve"> may disclose to its officers, employees, professional advisors or Sub-Licensees who need to know any Confidential Information of another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xml:space="preserve"> disclosed to or obtained by it under this Agreement. The Receiving Party will inform those officers, employees professional</w:t>
      </w:r>
    </w:p>
    <w:p>
      <w:pPr>
        <w:spacing w:after="0" w:line="161" w:lineRule="exact"/>
        <w:rPr>
          <w:sz w:val="20"/>
          <w:szCs w:val="20"/>
          <w:color w:val="auto"/>
        </w:rPr>
      </w:pPr>
    </w:p>
    <w:p>
      <w:pPr>
        <w:jc w:val="center"/>
        <w:ind w:right="-10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22"/>
          </w:cols>
          <w:pgMar w:left="238" w:top="322" w:right="339" w:bottom="1440" w:gutter="0" w:footer="0" w:header="0"/>
        </w:sectPr>
      </w:pPr>
    </w:p>
    <w:bookmarkStart w:id="585" w:name="page586"/>
    <w:bookmarkEnd w:id="585"/>
    <w:p>
      <w:pPr>
        <w:ind w:left="2" w:right="160" w:hanging="2"/>
        <w:spacing w:after="0" w:line="270" w:lineRule="auto"/>
        <w:tabs>
          <w:tab w:leader="none" w:pos="396" w:val="left"/>
        </w:tabs>
        <w:numPr>
          <w:ilvl w:val="0"/>
          <w:numId w:val="590"/>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240"/>
        <w:spacing w:after="0" w:line="270" w:lineRule="auto"/>
        <w:rPr>
          <w:sz w:val="20"/>
          <w:szCs w:val="20"/>
          <w:color w:val="auto"/>
        </w:rPr>
      </w:pPr>
      <w:r>
        <w:rPr>
          <w:rFonts w:ascii="Arial" w:cs="Arial" w:eastAsia="Arial" w:hAnsi="Arial"/>
          <w:sz w:val="16"/>
          <w:szCs w:val="16"/>
          <w:color w:val="auto"/>
        </w:rPr>
        <w:t>advisors or Sub-Licensees of the confidential nature of the information disclosed and bind them to obligations of confidence consistent with those imposed on the Receiving Party. Subject to the remainder of this clause 11, the Receiving Party will keep confidential and not disclose to any other person any Confidential Information of the Disclosing Party disclosed to or obtained by it under this Agreement.</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color w:val="auto"/>
        </w:rPr>
        <w:t>Clause 11.1 of this Agreement does not apply to Confidential Information that:</w:t>
      </w:r>
    </w:p>
    <w:p>
      <w:pPr>
        <w:spacing w:after="0" w:line="207" w:lineRule="exact"/>
        <w:rPr>
          <w:sz w:val="20"/>
          <w:szCs w:val="20"/>
          <w:color w:val="auto"/>
        </w:rPr>
      </w:pPr>
    </w:p>
    <w:p>
      <w:pPr>
        <w:ind w:left="582" w:right="580" w:hanging="586"/>
        <w:spacing w:after="0" w:line="285" w:lineRule="auto"/>
        <w:tabs>
          <w:tab w:leader="none" w:pos="562" w:val="left"/>
        </w:tabs>
        <w:rPr>
          <w:sz w:val="20"/>
          <w:szCs w:val="20"/>
          <w:color w:val="auto"/>
        </w:rPr>
      </w:pPr>
      <w:r>
        <w:rPr>
          <w:rFonts w:ascii="Arial" w:cs="Arial" w:eastAsia="Arial" w:hAnsi="Arial"/>
          <w:sz w:val="16"/>
          <w:szCs w:val="16"/>
          <w:color w:val="auto"/>
        </w:rPr>
        <w:t>11.2.1</w:t>
        <w:tab/>
        <w:t>is or was already known to the Receiving Party at the time of disclosure, as shown by the Receiving Party’s written records, without any obligation to keep it confidential;</w:t>
      </w:r>
    </w:p>
    <w:p>
      <w:pPr>
        <w:spacing w:after="0" w:line="150" w:lineRule="exact"/>
        <w:rPr>
          <w:sz w:val="20"/>
          <w:szCs w:val="20"/>
          <w:color w:val="auto"/>
        </w:rPr>
      </w:pPr>
    </w:p>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11.2.2</w:t>
        <w:tab/>
        <w:t>at the time of being disclosed or obtained by the Receiving Party or at any time afterwards, is published or generally available to the public other than due to a breach of the Receiving Party’s obligations under this Agreement; or</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11.2.3</w:t>
      </w:r>
      <w:r>
        <w:rPr>
          <w:sz w:val="20"/>
          <w:szCs w:val="20"/>
          <w:color w:val="auto"/>
        </w:rPr>
        <w:tab/>
      </w:r>
      <w:r>
        <w:rPr>
          <w:rFonts w:ascii="Arial" w:cs="Arial" w:eastAsia="Arial" w:hAnsi="Arial"/>
          <w:sz w:val="14"/>
          <w:szCs w:val="14"/>
          <w:color w:val="auto"/>
        </w:rPr>
        <w:t>is required by a competent Court or Regulatory Authority or under applicable law (including securities law or rules of a securities exchange) to be disclosed by any</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Party or Contributor, so long as the Receiving Party:</w:t>
      </w:r>
    </w:p>
    <w:p>
      <w:pPr>
        <w:spacing w:after="0" w:line="196" w:lineRule="exact"/>
        <w:rPr>
          <w:sz w:val="20"/>
          <w:szCs w:val="20"/>
          <w:color w:val="auto"/>
        </w:rPr>
      </w:pPr>
    </w:p>
    <w:p>
      <w:pPr>
        <w:ind w:left="1782" w:hanging="577"/>
        <w:spacing w:after="0"/>
        <w:tabs>
          <w:tab w:leader="none" w:pos="1782" w:val="left"/>
        </w:tabs>
        <w:numPr>
          <w:ilvl w:val="0"/>
          <w:numId w:val="591"/>
        </w:numPr>
        <w:rPr>
          <w:rFonts w:ascii="Arial" w:cs="Arial" w:eastAsia="Arial" w:hAnsi="Arial"/>
          <w:sz w:val="16"/>
          <w:szCs w:val="16"/>
          <w:color w:val="auto"/>
        </w:rPr>
      </w:pPr>
      <w:r>
        <w:rPr>
          <w:rFonts w:ascii="Arial" w:cs="Arial" w:eastAsia="Arial" w:hAnsi="Arial"/>
          <w:sz w:val="16"/>
          <w:szCs w:val="16"/>
          <w:color w:val="auto"/>
        </w:rPr>
        <w:t>gives notice of the disclosure as soon as reasonably practicable;</w:t>
      </w:r>
    </w:p>
    <w:p>
      <w:pPr>
        <w:spacing w:after="0" w:line="207" w:lineRule="exact"/>
        <w:rPr>
          <w:rFonts w:ascii="Arial" w:cs="Arial" w:eastAsia="Arial" w:hAnsi="Arial"/>
          <w:sz w:val="16"/>
          <w:szCs w:val="16"/>
          <w:color w:val="auto"/>
        </w:rPr>
      </w:pPr>
    </w:p>
    <w:p>
      <w:pPr>
        <w:ind w:left="1802" w:right="620" w:hanging="597"/>
        <w:spacing w:after="0" w:line="285" w:lineRule="auto"/>
        <w:tabs>
          <w:tab w:leader="none" w:pos="1813" w:val="left"/>
        </w:tabs>
        <w:numPr>
          <w:ilvl w:val="0"/>
          <w:numId w:val="591"/>
        </w:numPr>
        <w:rPr>
          <w:rFonts w:ascii="Arial" w:cs="Arial" w:eastAsia="Arial" w:hAnsi="Arial"/>
          <w:sz w:val="16"/>
          <w:szCs w:val="16"/>
          <w:color w:val="auto"/>
        </w:rPr>
      </w:pPr>
      <w:r>
        <w:rPr>
          <w:rFonts w:ascii="Arial" w:cs="Arial" w:eastAsia="Arial" w:hAnsi="Arial"/>
          <w:sz w:val="16"/>
          <w:szCs w:val="16"/>
          <w:color w:val="auto"/>
        </w:rPr>
        <w:t>gives the Disclosing Party a reasonable opportunity to limit the scope of the disclosure or obtain a protective order requiring Confidential Information to be held in confidence by the relevant Court or Regulatory Authority; and</w:t>
      </w:r>
    </w:p>
    <w:p>
      <w:pPr>
        <w:spacing w:after="0" w:line="149" w:lineRule="exact"/>
        <w:rPr>
          <w:rFonts w:ascii="Arial" w:cs="Arial" w:eastAsia="Arial" w:hAnsi="Arial"/>
          <w:sz w:val="16"/>
          <w:szCs w:val="16"/>
          <w:color w:val="auto"/>
        </w:rPr>
      </w:pPr>
    </w:p>
    <w:p>
      <w:pPr>
        <w:ind w:left="1802" w:hanging="597"/>
        <w:spacing w:after="0"/>
        <w:tabs>
          <w:tab w:leader="none" w:pos="1802" w:val="left"/>
        </w:tabs>
        <w:numPr>
          <w:ilvl w:val="0"/>
          <w:numId w:val="591"/>
        </w:numPr>
        <w:rPr>
          <w:rFonts w:ascii="Arial" w:cs="Arial" w:eastAsia="Arial" w:hAnsi="Arial"/>
          <w:sz w:val="16"/>
          <w:szCs w:val="16"/>
          <w:color w:val="auto"/>
        </w:rPr>
      </w:pPr>
      <w:r>
        <w:rPr>
          <w:rFonts w:ascii="Arial" w:cs="Arial" w:eastAsia="Arial" w:hAnsi="Arial"/>
          <w:sz w:val="16"/>
          <w:szCs w:val="16"/>
          <w:color w:val="auto"/>
        </w:rPr>
        <w:t>discloses only Confidential Information that it is legally required to disclose.</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4"/>
          <w:szCs w:val="14"/>
          <w:color w:val="auto"/>
        </w:rPr>
        <w:t>Permitted disclosures</w:t>
      </w:r>
    </w:p>
    <w:p>
      <w:pPr>
        <w:spacing w:after="0" w:line="207"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11.3.1</w:t>
        <w:tab/>
        <w:t>CRT and the Charity may disclose Confidential Information of the Company in the course of exercising or enforcing its rights or performing its obligations under this Agreement, including to potential or actual Contributors in connection with the Clinical Trial;</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11.3.2</w:t>
      </w:r>
      <w:r>
        <w:rPr>
          <w:sz w:val="20"/>
          <w:szCs w:val="20"/>
          <w:color w:val="auto"/>
        </w:rPr>
        <w:tab/>
      </w:r>
      <w:r>
        <w:rPr>
          <w:rFonts w:ascii="Arial" w:cs="Arial" w:eastAsia="Arial" w:hAnsi="Arial"/>
          <w:sz w:val="14"/>
          <w:szCs w:val="14"/>
          <w:color w:val="auto"/>
        </w:rPr>
        <w:t>the Charity and Contributors may publish Results in accordance with clause 12 of this Agreement;</w:t>
      </w:r>
    </w:p>
    <w:p>
      <w:pPr>
        <w:spacing w:after="0" w:line="207" w:lineRule="exact"/>
        <w:rPr>
          <w:sz w:val="20"/>
          <w:szCs w:val="20"/>
          <w:color w:val="auto"/>
        </w:rPr>
      </w:pPr>
    </w:p>
    <w:p>
      <w:pPr>
        <w:ind w:left="582" w:right="80" w:hanging="586"/>
        <w:spacing w:after="0" w:line="285" w:lineRule="auto"/>
        <w:tabs>
          <w:tab w:leader="none" w:pos="562" w:val="left"/>
        </w:tabs>
        <w:rPr>
          <w:sz w:val="20"/>
          <w:szCs w:val="20"/>
          <w:color w:val="auto"/>
        </w:rPr>
      </w:pPr>
      <w:r>
        <w:rPr>
          <w:rFonts w:ascii="Arial" w:cs="Arial" w:eastAsia="Arial" w:hAnsi="Arial"/>
          <w:sz w:val="16"/>
          <w:szCs w:val="16"/>
          <w:color w:val="auto"/>
        </w:rPr>
        <w:t>11.3.3</w:t>
        <w:tab/>
        <w:t>the Company may disclose Progress Reports to persons holding investments in the Company for the sole purpose of providing an update on the status of the Clinical Trial;</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11.3.4</w:t>
      </w:r>
      <w:r>
        <w:rPr>
          <w:sz w:val="20"/>
          <w:szCs w:val="20"/>
          <w:color w:val="auto"/>
        </w:rPr>
        <w:tab/>
      </w:r>
      <w:r>
        <w:rPr>
          <w:rFonts w:ascii="Arial" w:cs="Arial" w:eastAsia="Arial" w:hAnsi="Arial"/>
          <w:sz w:val="14"/>
          <w:szCs w:val="14"/>
          <w:color w:val="auto"/>
        </w:rPr>
        <w:t>each Party may disclose the “BT1718 clinical plan in partnership with CRUK” overview included in Schedule 7, and any agreed updated version thereof;</w:t>
      </w:r>
    </w:p>
    <w:p>
      <w:pPr>
        <w:spacing w:after="0" w:line="207" w:lineRule="exact"/>
        <w:rPr>
          <w:sz w:val="20"/>
          <w:szCs w:val="20"/>
          <w:color w:val="auto"/>
        </w:rPr>
      </w:pPr>
    </w:p>
    <w:p>
      <w:pPr>
        <w:ind w:left="582" w:right="100" w:hanging="586"/>
        <w:spacing w:after="0" w:line="285" w:lineRule="auto"/>
        <w:tabs>
          <w:tab w:leader="none" w:pos="562" w:val="left"/>
        </w:tabs>
        <w:rPr>
          <w:sz w:val="20"/>
          <w:szCs w:val="20"/>
          <w:color w:val="auto"/>
        </w:rPr>
      </w:pPr>
      <w:r>
        <w:rPr>
          <w:rFonts w:ascii="Arial" w:cs="Arial" w:eastAsia="Arial" w:hAnsi="Arial"/>
          <w:sz w:val="16"/>
          <w:szCs w:val="16"/>
          <w:color w:val="auto"/>
        </w:rPr>
        <w:t>11.3.5</w:t>
        <w:tab/>
        <w:t>the Company may disclose Confidential Information to third party consultants and contract manufacturing and research organisations only to the extent necessary to allow such Third Parties to perform obligations on behalf of the Company pursuant to clause 3 of this Agreement;</w:t>
      </w:r>
    </w:p>
    <w:p>
      <w:pPr>
        <w:spacing w:after="0" w:line="150" w:lineRule="exact"/>
        <w:rPr>
          <w:sz w:val="20"/>
          <w:szCs w:val="20"/>
          <w:color w:val="auto"/>
        </w:rPr>
      </w:pPr>
    </w:p>
    <w:p>
      <w:pPr>
        <w:ind w:left="582" w:right="380" w:hanging="586"/>
        <w:spacing w:after="0" w:line="285" w:lineRule="auto"/>
        <w:tabs>
          <w:tab w:leader="none" w:pos="562" w:val="left"/>
        </w:tabs>
        <w:rPr>
          <w:sz w:val="20"/>
          <w:szCs w:val="20"/>
          <w:color w:val="auto"/>
        </w:rPr>
      </w:pPr>
      <w:r>
        <w:rPr>
          <w:rFonts w:ascii="Arial" w:cs="Arial" w:eastAsia="Arial" w:hAnsi="Arial"/>
          <w:sz w:val="16"/>
          <w:szCs w:val="16"/>
          <w:color w:val="auto"/>
        </w:rPr>
        <w:t>11.3.6</w:t>
        <w:tab/>
        <w:t>the Charity may disclose Confidential Information of the Company to independent persons nominated by the Charity to monitor and review the work it funds or provide scientific advice; and</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82"/>
          </w:cols>
          <w:pgMar w:left="238" w:top="322" w:right="279" w:bottom="1440" w:gutter="0" w:footer="0" w:header="0"/>
        </w:sectPr>
      </w:pPr>
    </w:p>
    <w:bookmarkStart w:id="586" w:name="page587"/>
    <w:bookmarkEnd w:id="586"/>
    <w:p>
      <w:pPr>
        <w:ind w:left="2" w:right="180" w:hanging="2"/>
        <w:spacing w:after="0" w:line="270" w:lineRule="auto"/>
        <w:tabs>
          <w:tab w:leader="none" w:pos="396" w:val="left"/>
        </w:tabs>
        <w:numPr>
          <w:ilvl w:val="0"/>
          <w:numId w:val="592"/>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11.3.7</w:t>
        <w:tab/>
        <w:t>where the Licence has been granted, the Company may disclose Confidential Information of the Charity and CRT relating to the approval, marketing or sale of Agent Products and Collaboration Products, as necessary, to Sub-Licensees and to Regulatory Authorities in the Territory,</w:t>
      </w:r>
    </w:p>
    <w:p>
      <w:pPr>
        <w:spacing w:after="0" w:line="150" w:lineRule="exact"/>
        <w:rPr>
          <w:sz w:val="20"/>
          <w:szCs w:val="20"/>
          <w:color w:val="auto"/>
        </w:rPr>
      </w:pPr>
    </w:p>
    <w:p>
      <w:pPr>
        <w:ind w:left="602" w:right="160"/>
        <w:spacing w:after="0" w:line="285" w:lineRule="auto"/>
        <w:rPr>
          <w:sz w:val="20"/>
          <w:szCs w:val="20"/>
          <w:color w:val="auto"/>
        </w:rPr>
      </w:pPr>
      <w:r>
        <w:rPr>
          <w:rFonts w:ascii="Arial" w:cs="Arial" w:eastAsia="Arial" w:hAnsi="Arial"/>
          <w:sz w:val="16"/>
          <w:szCs w:val="16"/>
          <w:color w:val="auto"/>
        </w:rPr>
        <w:t>in each case, other than as concerns disclosure to Regulatory Authorities which are legally required, under written confidentiality provisions equivalent to those set out in this clause 11.</w:t>
      </w:r>
    </w:p>
    <w:p>
      <w:pPr>
        <w:spacing w:after="0" w:line="150"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6"/>
          <w:szCs w:val="16"/>
          <w:color w:val="auto"/>
        </w:rPr>
        <w:t>Each Receiving Party acknowledges that a breach of this clause 11 may result in irreparable injury to the Disclosing Party that may not be adequately compensated by monetary damages.</w:t>
      </w:r>
    </w:p>
    <w:p>
      <w:pPr>
        <w:spacing w:after="0" w:line="150" w:lineRule="exact"/>
        <w:rPr>
          <w:sz w:val="20"/>
          <w:szCs w:val="20"/>
          <w:color w:val="auto"/>
        </w:rPr>
      </w:pPr>
    </w:p>
    <w:p>
      <w:pPr>
        <w:ind w:left="582" w:right="340" w:hanging="586"/>
        <w:spacing w:after="0" w:line="227" w:lineRule="auto"/>
        <w:tabs>
          <w:tab w:leader="none" w:pos="562"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6"/>
          <w:szCs w:val="16"/>
          <w:color w:val="auto"/>
        </w:rPr>
        <w:t>The obligations under clauses 11.1 to 11.4 of this Agreement (inclusive) survive the expiry, or termination for any reason, of this Agreement until the tenth (10</w:t>
      </w:r>
      <w:r>
        <w:rPr>
          <w:rFonts w:ascii="Arial" w:cs="Arial" w:eastAsia="Arial" w:hAnsi="Arial"/>
          <w:sz w:val="21"/>
          <w:szCs w:val="21"/>
          <w:color w:val="auto"/>
          <w:vertAlign w:val="superscript"/>
        </w:rPr>
        <w:t>th</w:t>
      </w:r>
      <w:r>
        <w:rPr>
          <w:rFonts w:ascii="Arial" w:cs="Arial" w:eastAsia="Arial" w:hAnsi="Arial"/>
          <w:sz w:val="16"/>
          <w:szCs w:val="16"/>
          <w:color w:val="auto"/>
        </w:rPr>
        <w:t>) anniversary of the Start Date, or any shorter period described in clause 17.11.2 under an Existing CDA.</w:t>
      </w:r>
    </w:p>
    <w:p>
      <w:pPr>
        <w:spacing w:after="0" w:line="180" w:lineRule="exact"/>
        <w:rPr>
          <w:sz w:val="20"/>
          <w:szCs w:val="20"/>
          <w:color w:val="auto"/>
        </w:rPr>
      </w:pPr>
    </w:p>
    <w:p>
      <w:pPr>
        <w:ind w:left="602"/>
        <w:spacing w:after="0"/>
        <w:rPr>
          <w:sz w:val="20"/>
          <w:szCs w:val="20"/>
          <w:color w:val="auto"/>
        </w:rPr>
      </w:pPr>
      <w:r>
        <w:rPr>
          <w:rFonts w:ascii="Arial" w:cs="Arial" w:eastAsia="Arial" w:hAnsi="Arial"/>
          <w:sz w:val="16"/>
          <w:szCs w:val="16"/>
          <w:b w:val="1"/>
          <w:bCs w:val="1"/>
          <w:color w:val="auto"/>
        </w:rPr>
        <w:t>Investor, Buyer or Sub-licensee Information</w:t>
      </w:r>
    </w:p>
    <w:p>
      <w:pPr>
        <w:spacing w:after="0" w:line="211" w:lineRule="exact"/>
        <w:rPr>
          <w:sz w:val="20"/>
          <w:szCs w:val="20"/>
          <w:color w:val="auto"/>
        </w:rPr>
      </w:pPr>
    </w:p>
    <w:p>
      <w:pPr>
        <w:ind w:left="582" w:right="80" w:hanging="586"/>
        <w:spacing w:after="0" w:line="285" w:lineRule="auto"/>
        <w:tabs>
          <w:tab w:leader="none" w:pos="562"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6"/>
          <w:szCs w:val="16"/>
          <w:color w:val="auto"/>
        </w:rPr>
        <w:t>The Charity and CRT acknowledge that the Company may wish to seek (a) additional investment in the Company through new share issues during the Term or other financial support, (b) to sell the Company and/or (c) sub-licence the rights granted under the Licence.</w:t>
      </w:r>
    </w:p>
    <w:p>
      <w:pPr>
        <w:spacing w:after="0" w:line="150" w:lineRule="exact"/>
        <w:rPr>
          <w:sz w:val="20"/>
          <w:szCs w:val="20"/>
          <w:color w:val="auto"/>
        </w:rPr>
      </w:pPr>
    </w:p>
    <w:p>
      <w:pPr>
        <w:ind w:left="582" w:right="40" w:hanging="586"/>
        <w:spacing w:after="0" w:line="265" w:lineRule="auto"/>
        <w:tabs>
          <w:tab w:leader="none" w:pos="562"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6"/>
          <w:szCs w:val="16"/>
          <w:color w:val="auto"/>
        </w:rPr>
        <w:t xml:space="preserve">At the Company’s request, the Parties will discuss in good faith and agree a bundle of anonymised Results that the Company may disclose to bona fide potential investors in or bona fide providers of other financial support to the Company or bona fide potential buyers of the Company or bona fide potential sub-licensees of the rights granted under the Licence (with each such bundle being referred to in this Agreement as a </w:t>
      </w:r>
      <w:r>
        <w:rPr>
          <w:rFonts w:ascii="Arial" w:cs="Arial" w:eastAsia="Arial" w:hAnsi="Arial"/>
          <w:sz w:val="16"/>
          <w:szCs w:val="16"/>
          <w:b w:val="1"/>
          <w:bCs w:val="1"/>
          <w:color w:val="auto"/>
        </w:rPr>
        <w:t>“Data Package”).</w:t>
      </w:r>
      <w:r>
        <w:rPr>
          <w:rFonts w:ascii="Arial" w:cs="Arial" w:eastAsia="Arial" w:hAnsi="Arial"/>
          <w:sz w:val="16"/>
          <w:szCs w:val="16"/>
          <w:color w:val="auto"/>
        </w:rPr>
        <w:t xml:space="preserve"> The Parties acknowledge that the aim of each Data Package is to provide an illustrative overview of the status of the Clinical Trial, and each will contain:</w:t>
      </w:r>
    </w:p>
    <w:p>
      <w:pPr>
        <w:spacing w:after="0" w:line="16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11.7.1</w:t>
      </w:r>
      <w:r>
        <w:rPr>
          <w:sz w:val="20"/>
          <w:szCs w:val="20"/>
          <w:color w:val="auto"/>
        </w:rPr>
        <w:tab/>
      </w:r>
      <w:r>
        <w:rPr>
          <w:rFonts w:ascii="Arial" w:cs="Arial" w:eastAsia="Arial" w:hAnsi="Arial"/>
          <w:sz w:val="14"/>
          <w:szCs w:val="14"/>
          <w:color w:val="auto"/>
        </w:rPr>
        <w:t>summaries of the Protocol and commercial terms of the Company’s arrangements with CRT;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11.7.2</w:t>
      </w:r>
      <w:r>
        <w:rPr>
          <w:sz w:val="20"/>
          <w:szCs w:val="20"/>
          <w:color w:val="auto"/>
        </w:rPr>
        <w:tab/>
      </w:r>
      <w:r>
        <w:rPr>
          <w:rFonts w:ascii="Arial" w:cs="Arial" w:eastAsia="Arial" w:hAnsi="Arial"/>
          <w:sz w:val="14"/>
          <w:szCs w:val="14"/>
          <w:color w:val="auto"/>
        </w:rPr>
        <w:t>Progress Reports and other Results available from the Clinical Trial as agreed between the Charity and the Company; and</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11.7.3</w:t>
      </w:r>
      <w:r>
        <w:rPr>
          <w:sz w:val="20"/>
          <w:szCs w:val="20"/>
          <w:color w:val="auto"/>
        </w:rPr>
        <w:tab/>
      </w:r>
      <w:r>
        <w:rPr>
          <w:rFonts w:ascii="Arial" w:cs="Arial" w:eastAsia="Arial" w:hAnsi="Arial"/>
          <w:sz w:val="14"/>
          <w:szCs w:val="14"/>
          <w:color w:val="auto"/>
        </w:rPr>
        <w:t>details of the current recruitment numbers and the expected completion date of the Clinical Trial.</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4"/>
          <w:szCs w:val="14"/>
          <w:color w:val="auto"/>
        </w:rPr>
        <w:t>The Company acknowledges that the contents of each Data Package may not be ‘cleaned’ or validated, and should not be relied upon.</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11.9</w:t>
      </w:r>
      <w:r>
        <w:rPr>
          <w:sz w:val="20"/>
          <w:szCs w:val="20"/>
          <w:color w:val="auto"/>
        </w:rPr>
        <w:tab/>
      </w:r>
      <w:r>
        <w:rPr>
          <w:rFonts w:ascii="Arial" w:cs="Arial" w:eastAsia="Arial" w:hAnsi="Arial"/>
          <w:sz w:val="14"/>
          <w:szCs w:val="14"/>
          <w:color w:val="auto"/>
        </w:rPr>
        <w:t>Until the Licence has been granted to the Company, before each disclosure of a Data Package, the Company will:</w:t>
      </w:r>
    </w:p>
    <w:p>
      <w:pPr>
        <w:spacing w:after="0" w:line="207" w:lineRule="exact"/>
        <w:rPr>
          <w:sz w:val="20"/>
          <w:szCs w:val="20"/>
          <w:color w:val="auto"/>
        </w:rPr>
      </w:pPr>
    </w:p>
    <w:p>
      <w:pPr>
        <w:ind w:left="582" w:right="40" w:hanging="586"/>
        <w:spacing w:after="0" w:line="270" w:lineRule="auto"/>
        <w:tabs>
          <w:tab w:leader="none" w:pos="562" w:val="left"/>
        </w:tabs>
        <w:rPr>
          <w:sz w:val="20"/>
          <w:szCs w:val="20"/>
          <w:color w:val="auto"/>
        </w:rPr>
      </w:pPr>
      <w:r>
        <w:rPr>
          <w:rFonts w:ascii="Arial" w:cs="Arial" w:eastAsia="Arial" w:hAnsi="Arial"/>
          <w:sz w:val="16"/>
          <w:szCs w:val="16"/>
          <w:color w:val="auto"/>
        </w:rPr>
        <w:t>11.9.1</w:t>
        <w:tab/>
        <w:t>notify CRT of the identity of the potential investor, buyer or sub-licensee and the scope and the purpose of the intended disclosure and obtain CRT’s prior approval of the disclosure of the Data Package to that potential investor, provider of other financial support, buyer or sub-licensee, and CRT may not unreasonably withhold, condition or delay that approval; and</w:t>
      </w:r>
    </w:p>
    <w:p>
      <w:pPr>
        <w:spacing w:after="0" w:line="16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1" w:right="259" w:bottom="1440" w:gutter="0" w:footer="0" w:header="0"/>
        </w:sectPr>
      </w:pPr>
    </w:p>
    <w:bookmarkStart w:id="587" w:name="page588"/>
    <w:bookmarkEnd w:id="587"/>
    <w:p>
      <w:pPr>
        <w:ind w:left="2" w:right="180" w:hanging="2"/>
        <w:spacing w:after="0" w:line="270" w:lineRule="auto"/>
        <w:tabs>
          <w:tab w:leader="none" w:pos="396" w:val="left"/>
        </w:tabs>
        <w:numPr>
          <w:ilvl w:val="0"/>
          <w:numId w:val="593"/>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380" w:hanging="586"/>
        <w:spacing w:after="0" w:line="285" w:lineRule="auto"/>
        <w:tabs>
          <w:tab w:leader="none" w:pos="562" w:val="left"/>
        </w:tabs>
        <w:rPr>
          <w:sz w:val="20"/>
          <w:szCs w:val="20"/>
          <w:color w:val="auto"/>
        </w:rPr>
      </w:pPr>
      <w:r>
        <w:rPr>
          <w:rFonts w:ascii="Arial" w:cs="Arial" w:eastAsia="Arial" w:hAnsi="Arial"/>
          <w:sz w:val="16"/>
          <w:szCs w:val="16"/>
          <w:color w:val="auto"/>
        </w:rPr>
        <w:t>11.9.2</w:t>
        <w:tab/>
        <w:t>bind each proposed recipient in writing to confidentiality undertakings consistent with clause 11.1 of this Agreement and obtain an acknowledgement from each proposed recipient identical to that in clause 11.8 of this Agreement.</w:t>
      </w:r>
    </w:p>
    <w:p>
      <w:pPr>
        <w:spacing w:after="0" w:line="150" w:lineRule="exact"/>
        <w:rPr>
          <w:sz w:val="20"/>
          <w:szCs w:val="20"/>
          <w:color w:val="auto"/>
        </w:rPr>
      </w:pPr>
    </w:p>
    <w:p>
      <w:pPr>
        <w:ind w:left="562" w:right="20" w:hanging="586"/>
        <w:spacing w:after="0" w:line="265" w:lineRule="auto"/>
        <w:tabs>
          <w:tab w:leader="none" w:pos="542" w:val="left"/>
        </w:tabs>
        <w:rPr>
          <w:sz w:val="20"/>
          <w:szCs w:val="20"/>
          <w:color w:val="auto"/>
        </w:rPr>
      </w:pPr>
      <w:r>
        <w:rPr>
          <w:rFonts w:ascii="Arial" w:cs="Arial" w:eastAsia="Arial" w:hAnsi="Arial"/>
          <w:sz w:val="16"/>
          <w:szCs w:val="16"/>
          <w:color w:val="auto"/>
        </w:rPr>
        <w:t>11.10</w:t>
        <w:tab/>
        <w:t>After the Licence has been granted to the Company, the [***]. Except as provided in clause 12 of this Agreement and sections 2.2, 2.3, 2.4 and 2.8 of the Licence Terms and as contemplated by the Step-in Agreement and to any extent which may be necessary for the Charity and CRT to exercise their rights in relation to Non-Exclusive Results (which shall not require consent from the Company), [***]. Under no circumstances shall the Company be permitted to disclose any Results which include non-anonymised information relating to any Clinical Trial Subject.</w:t>
      </w:r>
    </w:p>
    <w:p>
      <w:pPr>
        <w:spacing w:after="0" w:line="16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Publications</w:t>
      </w:r>
    </w:p>
    <w:p>
      <w:pPr>
        <w:spacing w:after="0" w:line="207" w:lineRule="exact"/>
        <w:rPr>
          <w:sz w:val="20"/>
          <w:szCs w:val="20"/>
          <w:color w:val="auto"/>
        </w:rPr>
      </w:pPr>
    </w:p>
    <w:p>
      <w:pPr>
        <w:ind w:left="582" w:right="500" w:hanging="586"/>
        <w:spacing w:after="0" w:line="285" w:lineRule="auto"/>
        <w:tabs>
          <w:tab w:leader="none" w:pos="562"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Having regard to any publication strategy agreed by the JPT pursuant to clause 4.1 of this Agreement, the Charity and Contributors may publish the Results in academic or scientific publications or presentations by following the process set out in this clause 12.</w:t>
      </w:r>
    </w:p>
    <w:p>
      <w:pPr>
        <w:spacing w:after="0" w:line="150" w:lineRule="exact"/>
        <w:rPr>
          <w:sz w:val="20"/>
          <w:szCs w:val="20"/>
          <w:color w:val="auto"/>
        </w:rPr>
      </w:pPr>
    </w:p>
    <w:p>
      <w:pPr>
        <w:ind w:left="582" w:hanging="586"/>
        <w:spacing w:after="0" w:line="259" w:lineRule="auto"/>
        <w:tabs>
          <w:tab w:leader="none" w:pos="562"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The Charity and the Company will each consider in good faith any request made through the JPT to disclose or publish any Results prior to the completion of the Clinical Trial in the form of interim presentations at conferences. Such disclosures or publications will require the consent of both the Charity and the Company, and the content shall be agreed by the Charity and the Company prior to disclosure or publication. The Charity will use all reasonable endeavours to notify the Company and CRT if either a Contributor informs the Charity that they wish to publish or present publically Results (pursuant to clause 12.1 of this Agreement or otherwise) or the Charity wishes to itself publish or present publically Results at any time. At the Company’s or CRT’s request following a notice of proposed publication from the Charity, the Charity will provide a copy or summary of the proposed disclosure at least [***] days before submission for publication or [***] days before presentation, or as soon as possible if a Contributor informs the Charity on shorter notice, and inform the Company and CRT of the date on which the proposed disclosure is intended to be submitted for publication.</w:t>
      </w:r>
    </w:p>
    <w:p>
      <w:pPr>
        <w:spacing w:after="0" w:line="172" w:lineRule="exact"/>
        <w:rPr>
          <w:sz w:val="20"/>
          <w:szCs w:val="20"/>
          <w:color w:val="auto"/>
        </w:rPr>
      </w:pPr>
    </w:p>
    <w:p>
      <w:pPr>
        <w:ind w:left="582" w:right="60" w:hanging="586"/>
        <w:spacing w:after="0" w:line="285" w:lineRule="auto"/>
        <w:tabs>
          <w:tab w:leader="none" w:pos="562"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The Company or CRT may make the following requests to the Charity so long as it does so at least [***] ([***]) days before the intended submission or presentation date (to the extent reasonably possible):</w:t>
      </w:r>
    </w:p>
    <w:p>
      <w:pPr>
        <w:spacing w:after="0" w:line="150" w:lineRule="exact"/>
        <w:rPr>
          <w:sz w:val="20"/>
          <w:szCs w:val="20"/>
          <w:color w:val="auto"/>
        </w:rPr>
      </w:pPr>
    </w:p>
    <w:p>
      <w:pPr>
        <w:ind w:left="582" w:right="40" w:hanging="586"/>
        <w:spacing w:after="0" w:line="285" w:lineRule="auto"/>
        <w:tabs>
          <w:tab w:leader="none" w:pos="562" w:val="left"/>
        </w:tabs>
        <w:rPr>
          <w:sz w:val="20"/>
          <w:szCs w:val="20"/>
          <w:color w:val="auto"/>
        </w:rPr>
      </w:pPr>
      <w:r>
        <w:rPr>
          <w:rFonts w:ascii="Arial" w:cs="Arial" w:eastAsia="Arial" w:hAnsi="Arial"/>
          <w:sz w:val="16"/>
          <w:szCs w:val="16"/>
          <w:color w:val="auto"/>
        </w:rPr>
        <w:t>12.3.1</w:t>
        <w:tab/>
        <w:t>that its Confidential Information (other than the Results) be removed from the proposed publication or presentation, so long as it also provides written reasons for the request; or</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12.3.2</w:t>
      </w:r>
      <w:r>
        <w:rPr>
          <w:sz w:val="20"/>
          <w:szCs w:val="20"/>
          <w:color w:val="auto"/>
        </w:rPr>
        <w:tab/>
      </w:r>
      <w:r>
        <w:rPr>
          <w:rFonts w:ascii="Arial" w:cs="Arial" w:eastAsia="Arial" w:hAnsi="Arial"/>
          <w:sz w:val="14"/>
          <w:szCs w:val="14"/>
          <w:color w:val="auto"/>
        </w:rPr>
        <w:t>that submission of the publication is delayed so that a Patent may be filed in respect of any Results disclosed.</w:t>
      </w:r>
    </w:p>
    <w:p>
      <w:pPr>
        <w:spacing w:after="0" w:line="207" w:lineRule="exact"/>
        <w:rPr>
          <w:sz w:val="20"/>
          <w:szCs w:val="20"/>
          <w:color w:val="auto"/>
        </w:rPr>
      </w:pPr>
    </w:p>
    <w:p>
      <w:pPr>
        <w:ind w:left="582" w:right="400" w:hanging="586"/>
        <w:spacing w:after="0" w:line="285" w:lineRule="auto"/>
        <w:tabs>
          <w:tab w:leader="none" w:pos="562"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6"/>
          <w:szCs w:val="16"/>
          <w:color w:val="auto"/>
        </w:rPr>
        <w:t>The Charity and CRT may publish on public clinical trial registers typically used by clinical trial sponsors (such as clinicaltrials.gov) information relating to the Clinical Trial customarily made</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588" w:name="page589"/>
    <w:bookmarkEnd w:id="588"/>
    <w:p>
      <w:pPr>
        <w:ind w:left="2" w:right="200" w:hanging="2"/>
        <w:spacing w:after="0" w:line="270" w:lineRule="auto"/>
        <w:tabs>
          <w:tab w:leader="none" w:pos="396" w:val="left"/>
        </w:tabs>
        <w:numPr>
          <w:ilvl w:val="0"/>
          <w:numId w:val="594"/>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80"/>
        <w:spacing w:after="0" w:line="262" w:lineRule="auto"/>
        <w:rPr>
          <w:sz w:val="20"/>
          <w:szCs w:val="20"/>
          <w:color w:val="auto"/>
        </w:rPr>
      </w:pPr>
      <w:r>
        <w:rPr>
          <w:rFonts w:ascii="Arial" w:cs="Arial" w:eastAsia="Arial" w:hAnsi="Arial"/>
          <w:sz w:val="16"/>
          <w:szCs w:val="16"/>
          <w:color w:val="auto"/>
        </w:rPr>
        <w:t>available on those registers. The Company and the Charity may also publish the following on its own websites: that a trial is being or will be conducted by the Charity’s collaborative partnership scheme, the patient recruitment criteria and a brief description of the Clinical Trial, including the Company’s and Charity’s name, the reference number and class of IMP, locations at which the trial will take place and biographical information about the lead investigator. The Charity and the Company may each also include on its own website announcements of the achievement of the following milestone events: first patient dosed, selection of dose for Phase IIa and last patient dosed.</w:t>
      </w:r>
    </w:p>
    <w:p>
      <w:pPr>
        <w:spacing w:after="0" w:line="16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Part C: : Allocation of risk; Term; and General</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Liability</w:t>
      </w:r>
    </w:p>
    <w:p>
      <w:pPr>
        <w:spacing w:after="0" w:line="207" w:lineRule="exact"/>
        <w:rPr>
          <w:sz w:val="20"/>
          <w:szCs w:val="20"/>
          <w:color w:val="auto"/>
        </w:rPr>
      </w:pPr>
    </w:p>
    <w:p>
      <w:pPr>
        <w:jc w:val="center"/>
        <w:ind w:left="240"/>
        <w:spacing w:after="0" w:line="320" w:lineRule="auto"/>
        <w:rPr>
          <w:sz w:val="20"/>
          <w:szCs w:val="20"/>
          <w:color w:val="auto"/>
        </w:rPr>
      </w:pPr>
      <w:r>
        <w:rPr>
          <w:rFonts w:ascii="Arial" w:cs="Arial" w:eastAsia="Arial" w:hAnsi="Arial"/>
          <w:sz w:val="15"/>
          <w:szCs w:val="15"/>
          <w:color w:val="auto"/>
        </w:rPr>
        <w:t>13.1    Subject to clause 13.2 of this Agreement, each Party’s maximum aggregate liability to any other Party for Losses arising from acts, omissions, claims and proceedings relating to this Agreement regardless of form of action (in contract or tort, including negligence, strict liability or otherwise) is [***] pounds sterling (£[***]).</w:t>
      </w:r>
    </w:p>
    <w:p>
      <w:pPr>
        <w:spacing w:after="0" w:line="12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5"/>
          <w:szCs w:val="15"/>
          <w:color w:val="auto"/>
        </w:rPr>
        <w:t>The limit on liability set out in clause 13.1 of this Agreement does not apply to:</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13.2.1</w:t>
      </w:r>
      <w:r>
        <w:rPr>
          <w:sz w:val="20"/>
          <w:szCs w:val="20"/>
          <w:color w:val="auto"/>
        </w:rPr>
        <w:tab/>
      </w:r>
      <w:r>
        <w:rPr>
          <w:rFonts w:ascii="Arial" w:cs="Arial" w:eastAsia="Arial" w:hAnsi="Arial"/>
          <w:sz w:val="14"/>
          <w:szCs w:val="14"/>
          <w:color w:val="auto"/>
        </w:rPr>
        <w:t>the extent that such Losses are paid to a Party pursuant to any insurance policy required under clause 14.5 this Agreement;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13.2.2</w:t>
      </w:r>
      <w:r>
        <w:rPr>
          <w:sz w:val="20"/>
          <w:szCs w:val="20"/>
          <w:color w:val="auto"/>
        </w:rPr>
        <w:tab/>
      </w:r>
      <w:r>
        <w:rPr>
          <w:rFonts w:ascii="Arial" w:cs="Arial" w:eastAsia="Arial" w:hAnsi="Arial"/>
          <w:sz w:val="14"/>
          <w:szCs w:val="14"/>
          <w:color w:val="auto"/>
        </w:rPr>
        <w:t>any indemnity given by the Company under this Agreement (including under the Licence Terms);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13.2.3</w:t>
      </w:r>
      <w:r>
        <w:rPr>
          <w:sz w:val="20"/>
          <w:szCs w:val="20"/>
          <w:color w:val="auto"/>
        </w:rPr>
        <w:tab/>
      </w:r>
      <w:r>
        <w:rPr>
          <w:rFonts w:ascii="Arial" w:cs="Arial" w:eastAsia="Arial" w:hAnsi="Arial"/>
          <w:sz w:val="14"/>
          <w:szCs w:val="14"/>
          <w:color w:val="auto"/>
        </w:rPr>
        <w:t>the obligations of the Company under clause 16 of this Agreement to reimburse the Charity’s costs and expenses;</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13.2.4</w:t>
      </w:r>
      <w:r>
        <w:rPr>
          <w:sz w:val="20"/>
          <w:szCs w:val="20"/>
          <w:color w:val="auto"/>
        </w:rPr>
        <w:tab/>
      </w:r>
      <w:r>
        <w:rPr>
          <w:rFonts w:ascii="Arial" w:cs="Arial" w:eastAsia="Arial" w:hAnsi="Arial"/>
          <w:sz w:val="15"/>
          <w:szCs w:val="15"/>
          <w:color w:val="auto"/>
        </w:rPr>
        <w:t>any liability arising from the Company’s obligations under any of the Licence Terms; or</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13.2.5</w:t>
      </w:r>
      <w:r>
        <w:rPr>
          <w:sz w:val="20"/>
          <w:szCs w:val="20"/>
          <w:color w:val="auto"/>
        </w:rPr>
        <w:tab/>
      </w:r>
      <w:r>
        <w:rPr>
          <w:rFonts w:ascii="Arial" w:cs="Arial" w:eastAsia="Arial" w:hAnsi="Arial"/>
          <w:sz w:val="15"/>
          <w:szCs w:val="15"/>
          <w:color w:val="auto"/>
        </w:rPr>
        <w:t>any liability arising from CRT’s obligations under clause 3 of the Step-in Agreement,</w:t>
      </w:r>
    </w:p>
    <w:p>
      <w:pPr>
        <w:spacing w:after="0" w:line="207" w:lineRule="exact"/>
        <w:rPr>
          <w:sz w:val="20"/>
          <w:szCs w:val="20"/>
          <w:color w:val="auto"/>
        </w:rPr>
      </w:pPr>
    </w:p>
    <w:p>
      <w:pPr>
        <w:ind w:left="582" w:right="20"/>
        <w:spacing w:after="0" w:line="285" w:lineRule="auto"/>
        <w:rPr>
          <w:sz w:val="20"/>
          <w:szCs w:val="20"/>
          <w:color w:val="auto"/>
        </w:rPr>
      </w:pPr>
      <w:r>
        <w:rPr>
          <w:rFonts w:ascii="Arial" w:cs="Arial" w:eastAsia="Arial" w:hAnsi="Arial"/>
          <w:sz w:val="16"/>
          <w:szCs w:val="16"/>
          <w:color w:val="auto"/>
        </w:rPr>
        <w:t>and nothing in this Agreement excludes or limits the liability of any Party for death or personal injury resulting from its negligence or the negligence of its employees while acting in the course of their employment or excludes or limits the liability of any Party for fraud.</w:t>
      </w:r>
    </w:p>
    <w:p>
      <w:pPr>
        <w:spacing w:after="0" w:line="150" w:lineRule="exact"/>
        <w:rPr>
          <w:sz w:val="20"/>
          <w:szCs w:val="20"/>
          <w:color w:val="auto"/>
        </w:rPr>
      </w:pPr>
    </w:p>
    <w:p>
      <w:pPr>
        <w:ind w:left="582" w:right="80" w:hanging="586"/>
        <w:spacing w:after="0" w:line="284" w:lineRule="auto"/>
        <w:tabs>
          <w:tab w:leader="none" w:pos="562"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5"/>
          <w:szCs w:val="15"/>
          <w:color w:val="auto"/>
        </w:rPr>
        <w:t>Other than under any indemnity arising from claims of third parties given under this Agreement (including under the Licence Terms), no Party will be liable to another for: (i) loss of revenue, profits, or anticipated savings or profits (in each case, other than Milestone Payments and Royalties payable under the Licence Terms and costs and expenses described in clause 16 of this Agreement, and only if and to the extent payable by reason of events occurring prior to the termination of this Agreement or as provided for expressly in clause 16 of this Agreement, after termination of this Agreement); (ii) loss of business; (iii) loss of contracts; (iv) indirect loss; or (v) consequential loss, in each case, however arising, whether negligence, breach of contract or otherwise.</w:t>
      </w:r>
    </w:p>
    <w:p>
      <w:pPr>
        <w:spacing w:after="0" w:line="15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589" w:name="page590"/>
    <w:bookmarkEnd w:id="589"/>
    <w:p>
      <w:pPr>
        <w:ind w:left="2" w:right="180" w:hanging="2"/>
        <w:spacing w:after="0" w:line="270" w:lineRule="auto"/>
        <w:tabs>
          <w:tab w:leader="none" w:pos="396" w:val="left"/>
        </w:tabs>
        <w:numPr>
          <w:ilvl w:val="0"/>
          <w:numId w:val="595"/>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w:t>
      </w:r>
    </w:p>
    <w:p>
      <w:pPr>
        <w:spacing w:after="0" w:line="207" w:lineRule="exact"/>
        <w:rPr>
          <w:sz w:val="20"/>
          <w:szCs w:val="20"/>
          <w:color w:val="auto"/>
        </w:rPr>
      </w:pPr>
    </w:p>
    <w:p>
      <w:pPr>
        <w:ind w:left="582" w:hanging="586"/>
        <w:spacing w:after="0" w:line="320" w:lineRule="auto"/>
        <w:tabs>
          <w:tab w:leader="none" w:pos="562"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5"/>
          <w:szCs w:val="15"/>
          <w:color w:val="auto"/>
        </w:rPr>
        <w:t>Other than those expressly given by the Company, the Charity or CRT in this Agreement, each Party excludes all warranties, representations and conditions regarding the performance of its obligations under this Agreement (including those implied by law), in each case to the extent permitted by law.</w:t>
      </w:r>
    </w:p>
    <w:p>
      <w:pPr>
        <w:spacing w:after="0" w:line="127" w:lineRule="exact"/>
        <w:rPr>
          <w:sz w:val="20"/>
          <w:szCs w:val="20"/>
          <w:color w:val="auto"/>
        </w:rPr>
      </w:pPr>
    </w:p>
    <w:p>
      <w:pPr>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6"/>
          <w:szCs w:val="16"/>
          <w:color w:val="auto"/>
        </w:rPr>
        <w:t>For the avoidance of doubt, nothing in this Agreement shall restrict any Party’s entitlement to equitable relief (including injunctive relief and specific performance) in connection with any threatened or actual breach of this Agreement.</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Indemnification</w:t>
      </w:r>
    </w:p>
    <w:p>
      <w:pPr>
        <w:spacing w:after="0" w:line="203" w:lineRule="exact"/>
        <w:rPr>
          <w:sz w:val="20"/>
          <w:szCs w:val="20"/>
          <w:color w:val="auto"/>
        </w:rPr>
      </w:pPr>
    </w:p>
    <w:p>
      <w:pPr>
        <w:ind w:left="582" w:right="20" w:hanging="586"/>
        <w:spacing w:after="0" w:line="290" w:lineRule="auto"/>
        <w:tabs>
          <w:tab w:leader="none" w:pos="562"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6"/>
          <w:szCs w:val="16"/>
          <w:color w:val="auto"/>
        </w:rPr>
        <w:t xml:space="preserve">Indemnity from the Charity. The Charity indemnifies the Company, and its officers, employees, sub-contractors and agents (the </w:t>
      </w:r>
      <w:r>
        <w:rPr>
          <w:rFonts w:ascii="Arial" w:cs="Arial" w:eastAsia="Arial" w:hAnsi="Arial"/>
          <w:sz w:val="16"/>
          <w:szCs w:val="16"/>
          <w:b w:val="1"/>
          <w:bCs w:val="1"/>
          <w:color w:val="auto"/>
        </w:rPr>
        <w:t>“Company Indemnitees”)</w:t>
      </w:r>
      <w:r>
        <w:rPr>
          <w:rFonts w:ascii="Arial" w:cs="Arial" w:eastAsia="Arial" w:hAnsi="Arial"/>
          <w:sz w:val="16"/>
          <w:szCs w:val="16"/>
          <w:color w:val="auto"/>
        </w:rPr>
        <w:t xml:space="preserve"> for [***], save to the extent that those Losses arise as a consequence of:</w:t>
      </w:r>
    </w:p>
    <w:p>
      <w:pPr>
        <w:spacing w:after="0" w:line="14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14.1.1</w:t>
      </w:r>
      <w:r>
        <w:rPr>
          <w:sz w:val="20"/>
          <w:szCs w:val="20"/>
          <w:color w:val="auto"/>
        </w:rPr>
        <w:tab/>
      </w:r>
      <w:r>
        <w:rPr>
          <w:rFonts w:ascii="Arial" w:cs="Arial" w:eastAsia="Arial" w:hAnsi="Arial"/>
          <w:sz w:val="15"/>
          <w:szCs w:val="15"/>
          <w:color w:val="auto"/>
        </w:rPr>
        <w:t>any wrongful act, wrongful omission or negligence of any Company Indemnitee;</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14.1.2</w:t>
      </w:r>
      <w:r>
        <w:rPr>
          <w:sz w:val="20"/>
          <w:szCs w:val="20"/>
          <w:color w:val="auto"/>
        </w:rPr>
        <w:tab/>
      </w:r>
      <w:r>
        <w:rPr>
          <w:rFonts w:ascii="Arial" w:cs="Arial" w:eastAsia="Arial" w:hAnsi="Arial"/>
          <w:sz w:val="14"/>
          <w:szCs w:val="14"/>
          <w:color w:val="auto"/>
        </w:rPr>
        <w:t>a breach of this Agreement by the Company; or</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14.1.3</w:t>
      </w:r>
      <w:r>
        <w:rPr>
          <w:sz w:val="20"/>
          <w:szCs w:val="20"/>
          <w:color w:val="auto"/>
        </w:rPr>
        <w:tab/>
      </w:r>
      <w:r>
        <w:rPr>
          <w:rFonts w:ascii="Arial" w:cs="Arial" w:eastAsia="Arial" w:hAnsi="Arial"/>
          <w:sz w:val="14"/>
          <w:szCs w:val="14"/>
          <w:color w:val="auto"/>
        </w:rPr>
        <w:t>a misrepresentation by the Company.</w:t>
      </w:r>
    </w:p>
    <w:p>
      <w:pPr>
        <w:spacing w:after="0" w:line="207" w:lineRule="exact"/>
        <w:rPr>
          <w:sz w:val="20"/>
          <w:szCs w:val="20"/>
          <w:color w:val="auto"/>
        </w:rPr>
      </w:pPr>
    </w:p>
    <w:p>
      <w:pPr>
        <w:ind w:left="582" w:right="440" w:hanging="586"/>
        <w:spacing w:after="0" w:line="285" w:lineRule="auto"/>
        <w:tabs>
          <w:tab w:leader="none" w:pos="562" w:val="left"/>
        </w:tabs>
        <w:rPr>
          <w:sz w:val="20"/>
          <w:szCs w:val="20"/>
          <w:color w:val="auto"/>
        </w:rPr>
      </w:pPr>
      <w:r>
        <w:rPr>
          <w:rFonts w:ascii="Arial" w:cs="Arial" w:eastAsia="Arial" w:hAnsi="Arial"/>
          <w:sz w:val="16"/>
          <w:szCs w:val="16"/>
          <w:color w:val="auto"/>
        </w:rPr>
        <w:t>14.2</w:t>
      </w:r>
      <w:r>
        <w:rPr>
          <w:sz w:val="20"/>
          <w:szCs w:val="20"/>
          <w:color w:val="auto"/>
        </w:rPr>
        <w:tab/>
      </w:r>
      <w:r>
        <w:rPr>
          <w:rFonts w:ascii="Arial" w:cs="Arial" w:eastAsia="Arial" w:hAnsi="Arial"/>
          <w:sz w:val="16"/>
          <w:szCs w:val="16"/>
          <w:color w:val="auto"/>
        </w:rPr>
        <w:t>The Charity’s maximum aggregate liability under the indemnity given in this clause 14, and otherwise under this Agreement, is limited to the amount set out in clauses 13.1 and 13.2 of this Agreement.</w:t>
      </w:r>
    </w:p>
    <w:p>
      <w:pPr>
        <w:spacing w:after="0" w:line="150" w:lineRule="exact"/>
        <w:rPr>
          <w:sz w:val="20"/>
          <w:szCs w:val="20"/>
          <w:color w:val="auto"/>
        </w:rPr>
      </w:pPr>
    </w:p>
    <w:p>
      <w:pPr>
        <w:ind w:left="582" w:hanging="586"/>
        <w:spacing w:after="0" w:line="320" w:lineRule="auto"/>
        <w:tabs>
          <w:tab w:leader="none" w:pos="562"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5"/>
          <w:szCs w:val="15"/>
          <w:color w:val="auto"/>
        </w:rPr>
        <w:t xml:space="preserve">Indemnity from the Company. The Company indemnifies the Charity, CRT, the Contributors, and their respective officers, employees, sub-contractors and agents (the </w:t>
      </w:r>
      <w:r>
        <w:rPr>
          <w:rFonts w:ascii="Arial" w:cs="Arial" w:eastAsia="Arial" w:hAnsi="Arial"/>
          <w:sz w:val="15"/>
          <w:szCs w:val="15"/>
          <w:b w:val="1"/>
          <w:bCs w:val="1"/>
          <w:color w:val="auto"/>
        </w:rPr>
        <w:t xml:space="preserve">“Charity Indemnitees”) </w:t>
      </w:r>
      <w:r>
        <w:rPr>
          <w:rFonts w:ascii="Arial" w:cs="Arial" w:eastAsia="Arial" w:hAnsi="Arial"/>
          <w:sz w:val="15"/>
          <w:szCs w:val="15"/>
          <w:color w:val="auto"/>
        </w:rPr>
        <w:t>for all Losses arising from all claims and proceedings (whether threatened or brought, and whether successful or not):</w:t>
      </w:r>
    </w:p>
    <w:p>
      <w:pPr>
        <w:spacing w:after="0" w:line="12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14.3.1</w:t>
      </w:r>
      <w:r>
        <w:rPr>
          <w:sz w:val="20"/>
          <w:szCs w:val="20"/>
          <w:color w:val="auto"/>
        </w:rPr>
        <w:tab/>
      </w:r>
      <w:r>
        <w:rPr>
          <w:rFonts w:ascii="Arial" w:cs="Arial" w:eastAsia="Arial" w:hAnsi="Arial"/>
          <w:sz w:val="15"/>
          <w:szCs w:val="15"/>
          <w:color w:val="auto"/>
        </w:rPr>
        <w:t>by or on behalf of Clinical Trial Subjects for personal injury or death arising out of any:</w:t>
      </w:r>
    </w:p>
    <w:p>
      <w:pPr>
        <w:spacing w:after="0" w:line="207" w:lineRule="exact"/>
        <w:rPr>
          <w:sz w:val="20"/>
          <w:szCs w:val="20"/>
          <w:color w:val="auto"/>
        </w:rPr>
      </w:pPr>
    </w:p>
    <w:p>
      <w:pPr>
        <w:ind w:left="1782" w:right="400" w:hanging="577"/>
        <w:spacing w:after="0" w:line="285" w:lineRule="auto"/>
        <w:tabs>
          <w:tab w:leader="none" w:pos="1780" w:val="left"/>
        </w:tabs>
        <w:numPr>
          <w:ilvl w:val="0"/>
          <w:numId w:val="596"/>
        </w:numPr>
        <w:rPr>
          <w:rFonts w:ascii="Arial" w:cs="Arial" w:eastAsia="Arial" w:hAnsi="Arial"/>
          <w:sz w:val="16"/>
          <w:szCs w:val="16"/>
          <w:color w:val="auto"/>
        </w:rPr>
      </w:pPr>
      <w:r>
        <w:rPr>
          <w:rFonts w:ascii="Arial" w:cs="Arial" w:eastAsia="Arial" w:hAnsi="Arial"/>
          <w:sz w:val="16"/>
          <w:szCs w:val="16"/>
          <w:color w:val="auto"/>
        </w:rPr>
        <w:t>failure or delay to provide Know-How or other information relating to the storage, use and safety of any Agent Material, the Agent or IMP in accordance with this Agreement; or</w:t>
      </w:r>
    </w:p>
    <w:p>
      <w:pPr>
        <w:spacing w:after="0" w:line="149" w:lineRule="exact"/>
        <w:rPr>
          <w:rFonts w:ascii="Arial" w:cs="Arial" w:eastAsia="Arial" w:hAnsi="Arial"/>
          <w:sz w:val="16"/>
          <w:szCs w:val="16"/>
          <w:color w:val="auto"/>
        </w:rPr>
      </w:pPr>
    </w:p>
    <w:p>
      <w:pPr>
        <w:ind w:left="1782" w:right="240" w:hanging="577"/>
        <w:spacing w:after="0" w:line="285" w:lineRule="auto"/>
        <w:tabs>
          <w:tab w:leader="none" w:pos="1789" w:val="left"/>
        </w:tabs>
        <w:numPr>
          <w:ilvl w:val="0"/>
          <w:numId w:val="596"/>
        </w:numPr>
        <w:rPr>
          <w:rFonts w:ascii="Arial" w:cs="Arial" w:eastAsia="Arial" w:hAnsi="Arial"/>
          <w:sz w:val="16"/>
          <w:szCs w:val="16"/>
          <w:color w:val="auto"/>
        </w:rPr>
      </w:pPr>
      <w:r>
        <w:rPr>
          <w:rFonts w:ascii="Arial" w:cs="Arial" w:eastAsia="Arial" w:hAnsi="Arial"/>
          <w:sz w:val="16"/>
          <w:szCs w:val="16"/>
          <w:color w:val="auto"/>
        </w:rPr>
        <w:t>wrongful act or wrongful omission or negligence of the Company (or third party acting on its behalf) in importing, storing, shipping, supplying, manufacturing or using Material; or</w:t>
      </w:r>
    </w:p>
    <w:p>
      <w:pPr>
        <w:spacing w:after="0" w:line="150" w:lineRule="exact"/>
        <w:rPr>
          <w:sz w:val="20"/>
          <w:szCs w:val="20"/>
          <w:color w:val="auto"/>
        </w:rPr>
      </w:pPr>
    </w:p>
    <w:p>
      <w:pPr>
        <w:ind w:left="582" w:right="100" w:hanging="586"/>
        <w:spacing w:after="0" w:line="285" w:lineRule="auto"/>
        <w:tabs>
          <w:tab w:leader="none" w:pos="562" w:val="left"/>
        </w:tabs>
        <w:rPr>
          <w:sz w:val="20"/>
          <w:szCs w:val="20"/>
          <w:color w:val="auto"/>
        </w:rPr>
      </w:pPr>
      <w:r>
        <w:rPr>
          <w:rFonts w:ascii="Arial" w:cs="Arial" w:eastAsia="Arial" w:hAnsi="Arial"/>
          <w:sz w:val="16"/>
          <w:szCs w:val="16"/>
          <w:color w:val="auto"/>
        </w:rPr>
        <w:t>14.3.2</w:t>
        <w:tab/>
        <w:t>that allege infringement of any third party’s rights (including IP) in performing the Clinical Trial or by importation, storage, shipment, supply, manufacture or use of any of the Agent Materials or</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3" w:right="259" w:bottom="1440" w:gutter="0" w:footer="0" w:header="0"/>
        </w:sectPr>
      </w:pPr>
    </w:p>
    <w:bookmarkStart w:id="590" w:name="page591"/>
    <w:bookmarkEnd w:id="590"/>
    <w:p>
      <w:pPr>
        <w:ind w:left="2" w:right="200" w:hanging="2"/>
        <w:spacing w:after="0" w:line="270" w:lineRule="auto"/>
        <w:tabs>
          <w:tab w:leader="none" w:pos="396" w:val="left"/>
        </w:tabs>
        <w:numPr>
          <w:ilvl w:val="0"/>
          <w:numId w:val="597"/>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602"/>
        <w:spacing w:after="0" w:line="285" w:lineRule="auto"/>
        <w:rPr>
          <w:sz w:val="20"/>
          <w:szCs w:val="20"/>
          <w:color w:val="auto"/>
        </w:rPr>
      </w:pPr>
      <w:r>
        <w:rPr>
          <w:rFonts w:ascii="Arial" w:cs="Arial" w:eastAsia="Arial" w:hAnsi="Arial"/>
          <w:sz w:val="16"/>
          <w:szCs w:val="16"/>
          <w:color w:val="auto"/>
        </w:rPr>
        <w:t>IMP for or in connection with the Clinical Trial. For the avoidance of doubt the indemnity provided by this clause 14 will apply regardless of whether or not any third party’s rights (including) IP are enforceable legally; or</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14.3.3</w:t>
      </w:r>
      <w:r>
        <w:rPr>
          <w:sz w:val="20"/>
          <w:szCs w:val="20"/>
          <w:color w:val="auto"/>
        </w:rPr>
        <w:tab/>
      </w:r>
      <w:r>
        <w:rPr>
          <w:rFonts w:ascii="Arial" w:cs="Arial" w:eastAsia="Arial" w:hAnsi="Arial"/>
          <w:sz w:val="14"/>
          <w:szCs w:val="14"/>
          <w:color w:val="auto"/>
        </w:rPr>
        <w:t>that relate to the disclosure of Data Packages to, or use of Data Packages by, any third party, and/or</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14.3.4</w:t>
      </w:r>
      <w:r>
        <w:rPr>
          <w:sz w:val="20"/>
          <w:szCs w:val="20"/>
          <w:color w:val="auto"/>
        </w:rPr>
        <w:tab/>
      </w:r>
      <w:r>
        <w:rPr>
          <w:rFonts w:ascii="Arial" w:cs="Arial" w:eastAsia="Arial" w:hAnsi="Arial"/>
          <w:sz w:val="14"/>
          <w:szCs w:val="14"/>
          <w:color w:val="auto"/>
        </w:rPr>
        <w:t>the use made by the Company or any third party of the content of a Progress Report before such content is ‘clean’ and validated,</w:t>
      </w:r>
    </w:p>
    <w:p>
      <w:pPr>
        <w:spacing w:after="0" w:line="207" w:lineRule="exact"/>
        <w:rPr>
          <w:sz w:val="20"/>
          <w:szCs w:val="20"/>
          <w:color w:val="auto"/>
        </w:rPr>
      </w:pPr>
    </w:p>
    <w:p>
      <w:pPr>
        <w:ind w:left="582" w:right="260"/>
        <w:spacing w:after="0" w:line="270" w:lineRule="auto"/>
        <w:rPr>
          <w:sz w:val="20"/>
          <w:szCs w:val="20"/>
          <w:color w:val="auto"/>
        </w:rPr>
      </w:pPr>
      <w:r>
        <w:rPr>
          <w:rFonts w:ascii="Arial" w:cs="Arial" w:eastAsia="Arial" w:hAnsi="Arial"/>
          <w:sz w:val="16"/>
          <w:szCs w:val="16"/>
          <w:color w:val="auto"/>
        </w:rPr>
        <w:t>save to the extent those Losses arise as a consequence of: (i) any wrongful act, wrongful omission or negligence of any Charity Indemnitee; (ii) a breach of this Agreement by the Charity; or (iii) a misrepresentation by the Charity. Following the Licence Grant Date, the indemnity set out in section 7.3 of the Licence Terms will also apply in relation to activities carried out under the Licence Terms.</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14.4</w:t>
      </w:r>
      <w:r>
        <w:rPr>
          <w:sz w:val="20"/>
          <w:szCs w:val="20"/>
          <w:color w:val="auto"/>
        </w:rPr>
        <w:tab/>
      </w:r>
      <w:r>
        <w:rPr>
          <w:rFonts w:ascii="Arial" w:cs="Arial" w:eastAsia="Arial" w:hAnsi="Arial"/>
          <w:sz w:val="14"/>
          <w:szCs w:val="14"/>
          <w:color w:val="auto"/>
        </w:rPr>
        <w:t>Claims made under an indemnity</w:t>
      </w:r>
    </w:p>
    <w:p>
      <w:pPr>
        <w:spacing w:after="0" w:line="203" w:lineRule="exact"/>
        <w:rPr>
          <w:sz w:val="20"/>
          <w:szCs w:val="20"/>
          <w:color w:val="auto"/>
        </w:rPr>
      </w:pPr>
    </w:p>
    <w:p>
      <w:pPr>
        <w:ind w:left="582" w:right="120" w:hanging="586"/>
        <w:spacing w:after="0" w:line="299" w:lineRule="auto"/>
        <w:tabs>
          <w:tab w:leader="none" w:pos="562" w:val="left"/>
        </w:tabs>
        <w:rPr>
          <w:sz w:val="20"/>
          <w:szCs w:val="20"/>
          <w:color w:val="auto"/>
        </w:rPr>
      </w:pPr>
      <w:r>
        <w:rPr>
          <w:rFonts w:ascii="Arial" w:cs="Arial" w:eastAsia="Arial" w:hAnsi="Arial"/>
          <w:sz w:val="16"/>
          <w:szCs w:val="16"/>
          <w:color w:val="auto"/>
        </w:rPr>
        <w:t>14.4.1</w:t>
      </w:r>
      <w:r>
        <w:rPr>
          <w:sz w:val="20"/>
          <w:szCs w:val="20"/>
          <w:color w:val="auto"/>
        </w:rPr>
        <w:tab/>
      </w:r>
      <w:r>
        <w:rPr>
          <w:rFonts w:ascii="Arial" w:cs="Arial" w:eastAsia="Arial" w:hAnsi="Arial"/>
          <w:sz w:val="14"/>
          <w:szCs w:val="14"/>
          <w:color w:val="auto"/>
        </w:rPr>
        <w:t xml:space="preserve">Any Charity Indemnitee or Company Indemnitee wishing to claim under any indemnity given under this Agreement (the </w:t>
      </w:r>
      <w:r>
        <w:rPr>
          <w:rFonts w:ascii="Arial" w:cs="Arial" w:eastAsia="Arial" w:hAnsi="Arial"/>
          <w:sz w:val="14"/>
          <w:szCs w:val="14"/>
          <w:b w:val="1"/>
          <w:bCs w:val="1"/>
          <w:color w:val="auto"/>
        </w:rPr>
        <w:t>“Indemnified Person”)</w:t>
      </w:r>
      <w:r>
        <w:rPr>
          <w:rFonts w:ascii="Arial" w:cs="Arial" w:eastAsia="Arial" w:hAnsi="Arial"/>
          <w:sz w:val="14"/>
          <w:szCs w:val="14"/>
          <w:color w:val="auto"/>
        </w:rPr>
        <w:t xml:space="preserve"> will promptly notify the indemnifying Party after it receives notice of any claim or alleged claim or notice of the commencement of any action, administrative or legal proceeding, or investigation to which the indemnity may apply (a </w:t>
      </w:r>
      <w:r>
        <w:rPr>
          <w:rFonts w:ascii="Arial" w:cs="Arial" w:eastAsia="Arial" w:hAnsi="Arial"/>
          <w:sz w:val="14"/>
          <w:szCs w:val="14"/>
          <w:b w:val="1"/>
          <w:bCs w:val="1"/>
          <w:color w:val="auto"/>
        </w:rPr>
        <w:t>“Claim”).</w:t>
      </w:r>
      <w:r>
        <w:rPr>
          <w:rFonts w:ascii="Arial" w:cs="Arial" w:eastAsia="Arial" w:hAnsi="Arial"/>
          <w:sz w:val="14"/>
          <w:szCs w:val="14"/>
          <w:color w:val="auto"/>
        </w:rPr>
        <w:t xml:space="preserve"> The indemnifying Party may elect to defend any Claim by giving written notice within seven</w:t>
      </w:r>
    </w:p>
    <w:p>
      <w:pPr>
        <w:spacing w:after="0" w:line="1" w:lineRule="exact"/>
        <w:rPr>
          <w:sz w:val="20"/>
          <w:szCs w:val="20"/>
          <w:color w:val="auto"/>
        </w:rPr>
      </w:pPr>
    </w:p>
    <w:p>
      <w:pPr>
        <w:ind w:left="582"/>
        <w:spacing w:after="0"/>
        <w:rPr>
          <w:sz w:val="20"/>
          <w:szCs w:val="20"/>
          <w:color w:val="auto"/>
        </w:rPr>
      </w:pPr>
      <w:r>
        <w:rPr>
          <w:rFonts w:ascii="Arial" w:cs="Arial" w:eastAsia="Arial" w:hAnsi="Arial"/>
          <w:sz w:val="16"/>
          <w:szCs w:val="16"/>
          <w:color w:val="auto"/>
        </w:rPr>
        <w:t xml:space="preserve">(7) days of receiving notice of the Claim (the </w:t>
      </w:r>
      <w:r>
        <w:rPr>
          <w:rFonts w:ascii="Arial" w:cs="Arial" w:eastAsia="Arial" w:hAnsi="Arial"/>
          <w:sz w:val="16"/>
          <w:szCs w:val="16"/>
          <w:b w:val="1"/>
          <w:bCs w:val="1"/>
          <w:color w:val="auto"/>
        </w:rPr>
        <w:t>“Election Period”).</w:t>
      </w:r>
    </w:p>
    <w:p>
      <w:pPr>
        <w:spacing w:after="0" w:line="19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14.4.2</w:t>
      </w:r>
      <w:r>
        <w:rPr>
          <w:sz w:val="20"/>
          <w:szCs w:val="20"/>
          <w:color w:val="auto"/>
        </w:rPr>
        <w:tab/>
      </w:r>
      <w:r>
        <w:rPr>
          <w:rFonts w:ascii="Arial" w:cs="Arial" w:eastAsia="Arial" w:hAnsi="Arial"/>
          <w:sz w:val="15"/>
          <w:szCs w:val="15"/>
          <w:color w:val="auto"/>
        </w:rPr>
        <w:t>If the indemnifying Party elects, within the Election Period, to defend the Claim:</w:t>
      </w:r>
    </w:p>
    <w:p>
      <w:pPr>
        <w:spacing w:after="0" w:line="207" w:lineRule="exact"/>
        <w:rPr>
          <w:sz w:val="20"/>
          <w:szCs w:val="20"/>
          <w:color w:val="auto"/>
        </w:rPr>
      </w:pPr>
    </w:p>
    <w:p>
      <w:pPr>
        <w:ind w:left="1782" w:hanging="577"/>
        <w:spacing w:after="0"/>
        <w:tabs>
          <w:tab w:leader="none" w:pos="1782" w:val="left"/>
        </w:tabs>
        <w:numPr>
          <w:ilvl w:val="0"/>
          <w:numId w:val="598"/>
        </w:numPr>
        <w:rPr>
          <w:rFonts w:ascii="Arial" w:cs="Arial" w:eastAsia="Arial" w:hAnsi="Arial"/>
          <w:sz w:val="16"/>
          <w:szCs w:val="16"/>
          <w:color w:val="auto"/>
        </w:rPr>
      </w:pPr>
      <w:r>
        <w:rPr>
          <w:rFonts w:ascii="Arial" w:cs="Arial" w:eastAsia="Arial" w:hAnsi="Arial"/>
          <w:sz w:val="16"/>
          <w:szCs w:val="16"/>
          <w:color w:val="auto"/>
        </w:rPr>
        <w:t>the Indemnified Person may retain separate legal advisers, at its sole cost and expense;</w:t>
      </w:r>
    </w:p>
    <w:p>
      <w:pPr>
        <w:spacing w:after="0" w:line="207" w:lineRule="exact"/>
        <w:rPr>
          <w:rFonts w:ascii="Arial" w:cs="Arial" w:eastAsia="Arial" w:hAnsi="Arial"/>
          <w:sz w:val="16"/>
          <w:szCs w:val="16"/>
          <w:color w:val="auto"/>
        </w:rPr>
      </w:pPr>
    </w:p>
    <w:p>
      <w:pPr>
        <w:ind w:left="1802" w:hanging="597"/>
        <w:spacing w:after="0"/>
        <w:tabs>
          <w:tab w:leader="none" w:pos="1802" w:val="left"/>
        </w:tabs>
        <w:numPr>
          <w:ilvl w:val="0"/>
          <w:numId w:val="598"/>
        </w:numPr>
        <w:rPr>
          <w:rFonts w:ascii="Arial" w:cs="Arial" w:eastAsia="Arial" w:hAnsi="Arial"/>
          <w:sz w:val="16"/>
          <w:szCs w:val="16"/>
          <w:color w:val="auto"/>
        </w:rPr>
      </w:pPr>
      <w:r>
        <w:rPr>
          <w:rFonts w:ascii="Arial" w:cs="Arial" w:eastAsia="Arial" w:hAnsi="Arial"/>
          <w:sz w:val="16"/>
          <w:szCs w:val="16"/>
          <w:color w:val="auto"/>
        </w:rPr>
        <w:t>the Indemnified Person will not admit liability in respect of, or settle, the Claim without the prior consent of the indemnifying Party; and</w:t>
      </w:r>
    </w:p>
    <w:p>
      <w:pPr>
        <w:spacing w:after="0" w:line="207" w:lineRule="exact"/>
        <w:rPr>
          <w:rFonts w:ascii="Arial" w:cs="Arial" w:eastAsia="Arial" w:hAnsi="Arial"/>
          <w:sz w:val="16"/>
          <w:szCs w:val="16"/>
          <w:color w:val="auto"/>
        </w:rPr>
      </w:pPr>
    </w:p>
    <w:p>
      <w:pPr>
        <w:ind w:left="1782" w:right="220" w:hanging="577"/>
        <w:spacing w:after="0" w:line="285" w:lineRule="auto"/>
        <w:tabs>
          <w:tab w:leader="none" w:pos="1792" w:val="left"/>
        </w:tabs>
        <w:numPr>
          <w:ilvl w:val="0"/>
          <w:numId w:val="598"/>
        </w:numPr>
        <w:rPr>
          <w:rFonts w:ascii="Arial" w:cs="Arial" w:eastAsia="Arial" w:hAnsi="Arial"/>
          <w:sz w:val="16"/>
          <w:szCs w:val="16"/>
          <w:color w:val="auto"/>
        </w:rPr>
      </w:pPr>
      <w:r>
        <w:rPr>
          <w:rFonts w:ascii="Arial" w:cs="Arial" w:eastAsia="Arial" w:hAnsi="Arial"/>
          <w:sz w:val="16"/>
          <w:szCs w:val="16"/>
          <w:color w:val="auto"/>
        </w:rPr>
        <w:t>the indemnifying Party will not consent to the entry of any judgment or enter into any settlement of the Claim without the written consent of the Indemnified Person.</w:t>
      </w:r>
    </w:p>
    <w:p>
      <w:pPr>
        <w:spacing w:after="0" w:line="150" w:lineRule="exact"/>
        <w:rPr>
          <w:sz w:val="20"/>
          <w:szCs w:val="20"/>
          <w:color w:val="auto"/>
        </w:rPr>
      </w:pPr>
    </w:p>
    <w:p>
      <w:pPr>
        <w:ind w:left="582" w:right="460" w:hanging="586"/>
        <w:spacing w:after="0" w:line="270" w:lineRule="auto"/>
        <w:tabs>
          <w:tab w:leader="none" w:pos="562" w:val="left"/>
        </w:tabs>
        <w:rPr>
          <w:sz w:val="20"/>
          <w:szCs w:val="20"/>
          <w:color w:val="auto"/>
        </w:rPr>
      </w:pPr>
      <w:r>
        <w:rPr>
          <w:rFonts w:ascii="Arial" w:cs="Arial" w:eastAsia="Arial" w:hAnsi="Arial"/>
          <w:sz w:val="16"/>
          <w:szCs w:val="16"/>
          <w:color w:val="auto"/>
        </w:rPr>
        <w:t>14.4.3</w:t>
        <w:tab/>
        <w:t>If the indemnifying Party does not elect, within the Election Period, to defend the Claim, the Indemnified Person may assume the defence of the Claim, and the Indemnifying Party will be liable for the legal and other expenses consequently incurred in connection with that defence (subject, where the Charity is the indemnifying Party, to clause 13.1 of this Agreement).</w:t>
      </w:r>
    </w:p>
    <w:p>
      <w:pPr>
        <w:spacing w:after="0" w:line="162" w:lineRule="exact"/>
        <w:rPr>
          <w:sz w:val="20"/>
          <w:szCs w:val="20"/>
          <w:color w:val="auto"/>
        </w:rPr>
      </w:pPr>
    </w:p>
    <w:p>
      <w:pPr>
        <w:ind w:left="582" w:right="80" w:hanging="586"/>
        <w:spacing w:after="0" w:line="270" w:lineRule="auto"/>
        <w:tabs>
          <w:tab w:leader="none" w:pos="562" w:val="left"/>
        </w:tabs>
        <w:rPr>
          <w:sz w:val="20"/>
          <w:szCs w:val="20"/>
          <w:color w:val="auto"/>
        </w:rPr>
      </w:pPr>
      <w:r>
        <w:rPr>
          <w:rFonts w:ascii="Arial" w:cs="Arial" w:eastAsia="Arial" w:hAnsi="Arial"/>
          <w:sz w:val="16"/>
          <w:szCs w:val="16"/>
          <w:color w:val="auto"/>
        </w:rPr>
        <w:t>14.4.4</w:t>
        <w:tab/>
        <w:t>The Parties will co-operate in good faith in the conduct of the defence of any Claim and will provide any assistance reasonably required for the Claim to be defended properly, and the Party with conduct of the Claim will provide promptly to the other Parties copies of all correspondence and documents, and written summaries of oral communications, material to the Claim.</w:t>
      </w:r>
    </w:p>
    <w:p>
      <w:pPr>
        <w:spacing w:after="0" w:line="1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sectPr>
      </w:pPr>
    </w:p>
    <w:bookmarkStart w:id="591" w:name="page592"/>
    <w:bookmarkEnd w:id="591"/>
    <w:p>
      <w:pPr>
        <w:ind w:left="2" w:right="200" w:hanging="2"/>
        <w:spacing w:after="0" w:line="270" w:lineRule="auto"/>
        <w:tabs>
          <w:tab w:leader="none" w:pos="396" w:val="left"/>
        </w:tabs>
        <w:numPr>
          <w:ilvl w:val="0"/>
          <w:numId w:val="599"/>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20" w:hanging="586"/>
        <w:spacing w:after="0" w:line="265" w:lineRule="auto"/>
        <w:tabs>
          <w:tab w:leader="none" w:pos="562" w:val="left"/>
        </w:tabs>
        <w:rPr>
          <w:sz w:val="20"/>
          <w:szCs w:val="20"/>
          <w:color w:val="auto"/>
        </w:rPr>
      </w:pPr>
      <w:r>
        <w:rPr>
          <w:rFonts w:ascii="Arial" w:cs="Arial" w:eastAsia="Arial" w:hAnsi="Arial"/>
          <w:sz w:val="16"/>
          <w:szCs w:val="16"/>
          <w:color w:val="auto"/>
        </w:rPr>
        <w:t>14.5</w:t>
      </w:r>
      <w:r>
        <w:rPr>
          <w:sz w:val="20"/>
          <w:szCs w:val="20"/>
          <w:color w:val="auto"/>
        </w:rPr>
        <w:tab/>
      </w:r>
      <w:r>
        <w:rPr>
          <w:rFonts w:ascii="Arial" w:cs="Arial" w:eastAsia="Arial" w:hAnsi="Arial"/>
          <w:sz w:val="16"/>
          <w:szCs w:val="16"/>
          <w:color w:val="auto"/>
        </w:rPr>
        <w:t>Insurance. The Company will have insurance coverage for its potential liabilities under this Agreement, and maintain such insurance throughout the Term. At the request of the Charity, the Company will promptly provide written evidence of its insurance and, at the request of the Company, the Charity will promptly provide written evidence of the insurance maintained by the Charity and CRT. The Charity will maintain, as sponsor of the Clinical Trial, its customary clinical trial insurance coverage.</w:t>
      </w:r>
    </w:p>
    <w:p>
      <w:pPr>
        <w:spacing w:after="0" w:line="162" w:lineRule="exact"/>
        <w:rPr>
          <w:sz w:val="20"/>
          <w:szCs w:val="20"/>
          <w:color w:val="auto"/>
        </w:rPr>
      </w:pPr>
    </w:p>
    <w:p>
      <w:pPr>
        <w:ind w:left="582" w:hanging="582"/>
        <w:spacing w:after="0"/>
        <w:tabs>
          <w:tab w:leader="none" w:pos="582" w:val="left"/>
        </w:tabs>
        <w:numPr>
          <w:ilvl w:val="0"/>
          <w:numId w:val="600"/>
        </w:numPr>
        <w:rPr>
          <w:rFonts w:ascii="Arial" w:cs="Arial" w:eastAsia="Arial" w:hAnsi="Arial"/>
          <w:sz w:val="16"/>
          <w:szCs w:val="16"/>
          <w:color w:val="auto"/>
        </w:rPr>
      </w:pPr>
      <w:r>
        <w:rPr>
          <w:rFonts w:ascii="Arial" w:cs="Arial" w:eastAsia="Arial" w:hAnsi="Arial"/>
          <w:sz w:val="16"/>
          <w:szCs w:val="16"/>
          <w:b w:val="1"/>
          <w:bCs w:val="1"/>
          <w:color w:val="auto"/>
        </w:rPr>
        <w:t>Term and termination</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15.1</w:t>
      </w:r>
      <w:r>
        <w:rPr>
          <w:sz w:val="20"/>
          <w:szCs w:val="20"/>
          <w:color w:val="auto"/>
        </w:rPr>
        <w:tab/>
      </w:r>
      <w:r>
        <w:rPr>
          <w:rFonts w:ascii="Arial" w:cs="Arial" w:eastAsia="Arial" w:hAnsi="Arial"/>
          <w:sz w:val="14"/>
          <w:szCs w:val="14"/>
          <w:color w:val="auto"/>
        </w:rPr>
        <w:t>This Agreement comes into force on the Start Date.</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5"/>
          <w:szCs w:val="15"/>
          <w:color w:val="auto"/>
        </w:rPr>
        <w:t>Expiry. If the Company:</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15.2.1</w:t>
      </w:r>
      <w:r>
        <w:rPr>
          <w:sz w:val="20"/>
          <w:szCs w:val="20"/>
          <w:color w:val="auto"/>
        </w:rPr>
        <w:tab/>
      </w:r>
      <w:r>
        <w:rPr>
          <w:rFonts w:ascii="Arial" w:cs="Arial" w:eastAsia="Arial" w:hAnsi="Arial"/>
          <w:sz w:val="14"/>
          <w:szCs w:val="14"/>
          <w:color w:val="auto"/>
        </w:rPr>
        <w:t>is granted the Licence, this Agreement will continue in force until the Licence is terminated in accordance with its terms;</w:t>
      </w:r>
    </w:p>
    <w:p>
      <w:pPr>
        <w:spacing w:after="0" w:line="207" w:lineRule="exact"/>
        <w:rPr>
          <w:sz w:val="20"/>
          <w:szCs w:val="20"/>
          <w:color w:val="auto"/>
        </w:rPr>
      </w:pPr>
    </w:p>
    <w:p>
      <w:pPr>
        <w:ind w:left="582" w:right="700" w:hanging="586"/>
        <w:spacing w:after="0" w:line="285" w:lineRule="auto"/>
        <w:tabs>
          <w:tab w:leader="none" w:pos="562" w:val="left"/>
        </w:tabs>
        <w:rPr>
          <w:sz w:val="20"/>
          <w:szCs w:val="20"/>
          <w:color w:val="auto"/>
        </w:rPr>
      </w:pPr>
      <w:r>
        <w:rPr>
          <w:rFonts w:ascii="Arial" w:cs="Arial" w:eastAsia="Arial" w:hAnsi="Arial"/>
          <w:sz w:val="16"/>
          <w:szCs w:val="16"/>
          <w:color w:val="auto"/>
        </w:rPr>
        <w:t>15.2.2</w:t>
        <w:tab/>
        <w:t>is not granted the Licence, this Agreement will expire when the Company provides to CRT an original executed Step-In Agreement under clause 8.3 of this Agreement or CRT provides notice to the Company that it does not require execution of the Step-In Agreement.</w:t>
      </w:r>
    </w:p>
    <w:p>
      <w:pPr>
        <w:spacing w:after="0" w:line="150" w:lineRule="exact"/>
        <w:rPr>
          <w:sz w:val="20"/>
          <w:szCs w:val="20"/>
          <w:color w:val="auto"/>
        </w:rPr>
      </w:pPr>
    </w:p>
    <w:p>
      <w:pPr>
        <w:ind w:left="582" w:right="4680" w:hanging="586"/>
        <w:spacing w:after="0" w:line="285" w:lineRule="auto"/>
        <w:tabs>
          <w:tab w:leader="none" w:pos="562" w:val="left"/>
        </w:tabs>
        <w:rPr>
          <w:sz w:val="20"/>
          <w:szCs w:val="20"/>
          <w:color w:val="auto"/>
        </w:rPr>
      </w:pPr>
      <w:r>
        <w:rPr>
          <w:rFonts w:ascii="Arial" w:cs="Arial" w:eastAsia="Arial" w:hAnsi="Arial"/>
          <w:sz w:val="16"/>
          <w:szCs w:val="16"/>
          <w:color w:val="auto"/>
        </w:rPr>
        <w:t>15.3</w:t>
      </w:r>
      <w:r>
        <w:rPr>
          <w:sz w:val="20"/>
          <w:szCs w:val="20"/>
          <w:color w:val="auto"/>
        </w:rPr>
        <w:tab/>
      </w:r>
      <w:r>
        <w:rPr>
          <w:rFonts w:ascii="Arial" w:cs="Arial" w:eastAsia="Arial" w:hAnsi="Arial"/>
          <w:sz w:val="16"/>
          <w:szCs w:val="16"/>
          <w:color w:val="auto"/>
        </w:rPr>
        <w:t>Termination. Without limiting any other right of a Party, this Agreement may be terminated on written notice to the other Parties:</w:t>
      </w:r>
    </w:p>
    <w:p>
      <w:pPr>
        <w:spacing w:after="0" w:line="150" w:lineRule="exact"/>
        <w:rPr>
          <w:sz w:val="20"/>
          <w:szCs w:val="20"/>
          <w:color w:val="auto"/>
        </w:rPr>
      </w:pPr>
    </w:p>
    <w:p>
      <w:pPr>
        <w:ind w:left="582" w:right="4560" w:hanging="586"/>
        <w:spacing w:after="0" w:line="285" w:lineRule="auto"/>
        <w:tabs>
          <w:tab w:leader="none" w:pos="562" w:val="left"/>
        </w:tabs>
        <w:rPr>
          <w:sz w:val="20"/>
          <w:szCs w:val="20"/>
          <w:color w:val="auto"/>
        </w:rPr>
      </w:pPr>
      <w:r>
        <w:rPr>
          <w:rFonts w:ascii="Arial" w:cs="Arial" w:eastAsia="Arial" w:hAnsi="Arial"/>
          <w:sz w:val="16"/>
          <w:szCs w:val="16"/>
          <w:color w:val="auto"/>
        </w:rPr>
        <w:t>15.3.1</w:t>
        <w:tab/>
        <w:t>by the Company, before the grant to the Company of the Licence, if the Charity or CRT or in the case of (d) and (e) below the Charity’s QP:</w:t>
      </w:r>
    </w:p>
    <w:p>
      <w:pPr>
        <w:spacing w:after="0" w:line="150" w:lineRule="exact"/>
        <w:rPr>
          <w:sz w:val="20"/>
          <w:szCs w:val="20"/>
          <w:color w:val="auto"/>
        </w:rPr>
      </w:pPr>
    </w:p>
    <w:p>
      <w:pPr>
        <w:ind w:left="1782" w:right="360" w:hanging="577"/>
        <w:spacing w:after="0" w:line="285" w:lineRule="auto"/>
        <w:tabs>
          <w:tab w:leader="none" w:pos="1780" w:val="left"/>
        </w:tabs>
        <w:numPr>
          <w:ilvl w:val="0"/>
          <w:numId w:val="601"/>
        </w:numPr>
        <w:rPr>
          <w:rFonts w:ascii="Arial" w:cs="Arial" w:eastAsia="Arial" w:hAnsi="Arial"/>
          <w:sz w:val="16"/>
          <w:szCs w:val="16"/>
          <w:color w:val="auto"/>
        </w:rPr>
      </w:pPr>
      <w:r>
        <w:rPr>
          <w:rFonts w:ascii="Arial" w:cs="Arial" w:eastAsia="Arial" w:hAnsi="Arial"/>
          <w:sz w:val="16"/>
          <w:szCs w:val="16"/>
          <w:color w:val="auto"/>
        </w:rPr>
        <w:t>commits a material breach, and in the case of a material breach that is capable of remedy, that is not remedied within thirty (30) days of notice being given of the breach;</w:t>
      </w:r>
    </w:p>
    <w:p>
      <w:pPr>
        <w:spacing w:after="0" w:line="149" w:lineRule="exact"/>
        <w:rPr>
          <w:rFonts w:ascii="Arial" w:cs="Arial" w:eastAsia="Arial" w:hAnsi="Arial"/>
          <w:sz w:val="16"/>
          <w:szCs w:val="16"/>
          <w:color w:val="auto"/>
        </w:rPr>
      </w:pPr>
    </w:p>
    <w:p>
      <w:pPr>
        <w:ind w:left="1782" w:right="660" w:hanging="577"/>
        <w:spacing w:after="0" w:line="320" w:lineRule="auto"/>
        <w:tabs>
          <w:tab w:leader="none" w:pos="1789" w:val="left"/>
        </w:tabs>
        <w:numPr>
          <w:ilvl w:val="0"/>
          <w:numId w:val="601"/>
        </w:numPr>
        <w:rPr>
          <w:rFonts w:ascii="Arial" w:cs="Arial" w:eastAsia="Arial" w:hAnsi="Arial"/>
          <w:sz w:val="15"/>
          <w:szCs w:val="15"/>
          <w:color w:val="auto"/>
        </w:rPr>
      </w:pPr>
      <w:r>
        <w:rPr>
          <w:rFonts w:ascii="Arial" w:cs="Arial" w:eastAsia="Arial" w:hAnsi="Arial"/>
          <w:sz w:val="15"/>
          <w:szCs w:val="15"/>
          <w:color w:val="auto"/>
        </w:rPr>
        <w:t>is the subject of any Insolvency Event, gives notice under clause 17.1 of this Agreement, or fails after request by the Company to provide reasonable assurances of the continuing availability of the required budget from the Charity’s Centre for Drug Development;</w:t>
      </w:r>
    </w:p>
    <w:p>
      <w:pPr>
        <w:spacing w:after="0" w:line="126" w:lineRule="exact"/>
        <w:rPr>
          <w:rFonts w:ascii="Arial" w:cs="Arial" w:eastAsia="Arial" w:hAnsi="Arial"/>
          <w:sz w:val="15"/>
          <w:szCs w:val="15"/>
          <w:color w:val="auto"/>
        </w:rPr>
      </w:pPr>
    </w:p>
    <w:p>
      <w:pPr>
        <w:ind w:left="1802" w:hanging="597"/>
        <w:spacing w:after="0"/>
        <w:tabs>
          <w:tab w:leader="none" w:pos="1802" w:val="left"/>
        </w:tabs>
        <w:numPr>
          <w:ilvl w:val="0"/>
          <w:numId w:val="601"/>
        </w:numPr>
        <w:rPr>
          <w:rFonts w:ascii="Arial" w:cs="Arial" w:eastAsia="Arial" w:hAnsi="Arial"/>
          <w:sz w:val="16"/>
          <w:szCs w:val="16"/>
          <w:color w:val="auto"/>
        </w:rPr>
      </w:pPr>
      <w:r>
        <w:rPr>
          <w:rFonts w:ascii="Arial" w:cs="Arial" w:eastAsia="Arial" w:hAnsi="Arial"/>
          <w:sz w:val="16"/>
          <w:szCs w:val="16"/>
          <w:color w:val="auto"/>
        </w:rPr>
        <w:t>undergoes a change of Control, and the new Controlling person is a Tobacco Party; or</w:t>
      </w:r>
    </w:p>
    <w:p>
      <w:pPr>
        <w:spacing w:after="0" w:line="207" w:lineRule="exact"/>
        <w:rPr>
          <w:rFonts w:ascii="Arial" w:cs="Arial" w:eastAsia="Arial" w:hAnsi="Arial"/>
          <w:sz w:val="16"/>
          <w:szCs w:val="16"/>
          <w:color w:val="auto"/>
        </w:rPr>
      </w:pPr>
    </w:p>
    <w:p>
      <w:pPr>
        <w:ind w:left="1802" w:hanging="597"/>
        <w:spacing w:after="0"/>
        <w:tabs>
          <w:tab w:leader="none" w:pos="1802" w:val="left"/>
        </w:tabs>
        <w:numPr>
          <w:ilvl w:val="0"/>
          <w:numId w:val="601"/>
        </w:numPr>
        <w:rPr>
          <w:rFonts w:ascii="Arial" w:cs="Arial" w:eastAsia="Arial" w:hAnsi="Arial"/>
          <w:sz w:val="16"/>
          <w:szCs w:val="16"/>
          <w:color w:val="auto"/>
        </w:rPr>
      </w:pPr>
      <w:r>
        <w:rPr>
          <w:rFonts w:ascii="Arial" w:cs="Arial" w:eastAsia="Arial" w:hAnsi="Arial"/>
          <w:sz w:val="16"/>
          <w:szCs w:val="16"/>
          <w:color w:val="auto"/>
        </w:rPr>
        <w:t>[***]; or</w:t>
      </w:r>
    </w:p>
    <w:p>
      <w:pPr>
        <w:spacing w:after="0" w:line="207" w:lineRule="exact"/>
        <w:rPr>
          <w:rFonts w:ascii="Arial" w:cs="Arial" w:eastAsia="Arial" w:hAnsi="Arial"/>
          <w:sz w:val="16"/>
          <w:szCs w:val="16"/>
          <w:color w:val="auto"/>
        </w:rPr>
      </w:pPr>
    </w:p>
    <w:p>
      <w:pPr>
        <w:ind w:left="1802" w:hanging="597"/>
        <w:spacing w:after="0"/>
        <w:tabs>
          <w:tab w:leader="none" w:pos="1802" w:val="left"/>
        </w:tabs>
        <w:numPr>
          <w:ilvl w:val="0"/>
          <w:numId w:val="601"/>
        </w:numPr>
        <w:rPr>
          <w:rFonts w:ascii="Arial" w:cs="Arial" w:eastAsia="Arial" w:hAnsi="Arial"/>
          <w:sz w:val="16"/>
          <w:szCs w:val="16"/>
          <w:color w:val="auto"/>
        </w:rPr>
      </w:pPr>
      <w:r>
        <w:rPr>
          <w:rFonts w:ascii="Arial" w:cs="Arial" w:eastAsia="Arial" w:hAnsi="Arial"/>
          <w:sz w:val="16"/>
          <w:szCs w:val="16"/>
          <w:color w:val="auto"/>
        </w:rPr>
        <w: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15.3.2</w:t>
      </w:r>
      <w:r>
        <w:rPr>
          <w:sz w:val="20"/>
          <w:szCs w:val="20"/>
          <w:color w:val="auto"/>
        </w:rPr>
        <w:tab/>
      </w:r>
      <w:r>
        <w:rPr>
          <w:rFonts w:ascii="Arial" w:cs="Arial" w:eastAsia="Arial" w:hAnsi="Arial"/>
          <w:sz w:val="14"/>
          <w:szCs w:val="14"/>
          <w:color w:val="auto"/>
        </w:rPr>
        <w:t>by the Charity, at any time before Last Patient, Last Visit:</w:t>
      </w:r>
    </w:p>
    <w:p>
      <w:pPr>
        <w:spacing w:after="0" w:line="207" w:lineRule="exact"/>
        <w:rPr>
          <w:sz w:val="20"/>
          <w:szCs w:val="20"/>
          <w:color w:val="auto"/>
        </w:rPr>
      </w:pPr>
    </w:p>
    <w:p>
      <w:pPr>
        <w:ind w:left="1802" w:right="360" w:hanging="596"/>
        <w:spacing w:after="0" w:line="270" w:lineRule="auto"/>
        <w:tabs>
          <w:tab w:leader="none" w:pos="1800" w:val="left"/>
        </w:tabs>
        <w:numPr>
          <w:ilvl w:val="0"/>
          <w:numId w:val="602"/>
        </w:numPr>
        <w:rPr>
          <w:rFonts w:ascii="Arial" w:cs="Arial" w:eastAsia="Arial" w:hAnsi="Arial"/>
          <w:sz w:val="16"/>
          <w:szCs w:val="16"/>
          <w:color w:val="auto"/>
        </w:rPr>
      </w:pPr>
      <w:r>
        <w:rPr>
          <w:rFonts w:ascii="Arial" w:cs="Arial" w:eastAsia="Arial" w:hAnsi="Arial"/>
          <w:sz w:val="16"/>
          <w:szCs w:val="16"/>
          <w:color w:val="auto"/>
        </w:rPr>
        <w:t>if the Company commits a material breach rendering impracticable the completion of the Clinical Trial within the budget provided for by the Charity and, in the case of a material breach that is capable of remedy, that is not remedied within thirty (30) days of notice being given of the breach;</w:t>
      </w:r>
    </w:p>
    <w:p>
      <w:pPr>
        <w:spacing w:after="0" w:line="1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 w:right="200" w:hanging="2"/>
        <w:spacing w:after="0" w:line="270" w:lineRule="auto"/>
        <w:tabs>
          <w:tab w:leader="none" w:pos="396" w:val="left"/>
        </w:tabs>
        <w:numPr>
          <w:ilvl w:val="0"/>
          <w:numId w:val="603"/>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rFonts w:ascii="Arial" w:cs="Arial" w:eastAsia="Arial" w:hAnsi="Arial"/>
          <w:sz w:val="16"/>
          <w:szCs w:val="16"/>
          <w:color w:val="auto"/>
        </w:rPr>
      </w:pPr>
    </w:p>
    <w:p>
      <w:pPr>
        <w:ind w:left="1802" w:right="820" w:hanging="597"/>
        <w:spacing w:after="0" w:line="320" w:lineRule="auto"/>
        <w:tabs>
          <w:tab w:leader="none" w:pos="1805" w:val="left"/>
        </w:tabs>
        <w:numPr>
          <w:ilvl w:val="1"/>
          <w:numId w:val="603"/>
        </w:numPr>
        <w:rPr>
          <w:rFonts w:ascii="Arial" w:cs="Arial" w:eastAsia="Arial" w:hAnsi="Arial"/>
          <w:sz w:val="15"/>
          <w:szCs w:val="15"/>
          <w:color w:val="auto"/>
        </w:rPr>
      </w:pPr>
      <w:r>
        <w:rPr>
          <w:rFonts w:ascii="Arial" w:cs="Arial" w:eastAsia="Arial" w:hAnsi="Arial"/>
          <w:sz w:val="15"/>
          <w:szCs w:val="15"/>
          <w:color w:val="auto"/>
        </w:rPr>
        <w:t>if the Company is the subject of any Insolvency Event or gives notice under clause 17.1 of this Agreement, in each case if the resulting circumstances render impracticable the completion of the Clinical Trial within the budget provided for by the Charity;</w:t>
      </w:r>
    </w:p>
    <w:p>
      <w:pPr>
        <w:spacing w:after="0" w:line="126" w:lineRule="exact"/>
        <w:rPr>
          <w:rFonts w:ascii="Arial" w:cs="Arial" w:eastAsia="Arial" w:hAnsi="Arial"/>
          <w:sz w:val="15"/>
          <w:szCs w:val="15"/>
          <w:color w:val="auto"/>
        </w:rPr>
      </w:pPr>
    </w:p>
    <w:p>
      <w:pPr>
        <w:ind w:left="1802" w:right="80" w:hanging="597"/>
        <w:spacing w:after="0" w:line="270" w:lineRule="auto"/>
        <w:tabs>
          <w:tab w:leader="none" w:pos="1808" w:val="left"/>
        </w:tabs>
        <w:numPr>
          <w:ilvl w:val="1"/>
          <w:numId w:val="603"/>
        </w:numPr>
        <w:rPr>
          <w:rFonts w:ascii="Arial" w:cs="Arial" w:eastAsia="Arial" w:hAnsi="Arial"/>
          <w:sz w:val="16"/>
          <w:szCs w:val="16"/>
          <w:color w:val="auto"/>
        </w:rPr>
      </w:pPr>
      <w:r>
        <w:rPr>
          <w:rFonts w:ascii="Arial" w:cs="Arial" w:eastAsia="Arial" w:hAnsi="Arial"/>
          <w:sz w:val="16"/>
          <w:szCs w:val="16"/>
          <w:color w:val="auto"/>
        </w:rPr>
        <w:t>for safety reasons or if the Charity reasonably concludes, on the basis of objective and verifiable factors (including factors arising from any allegation that the Clinical Trial and the manufacture of the Agent necessary for the Clinical Trial infringes any third party’s rights (including IP)), that the objectives of the Clinical Trial will not be met for any reason;</w:t>
      </w:r>
    </w:p>
    <w:p>
      <w:pPr>
        <w:spacing w:after="0" w:line="162" w:lineRule="exact"/>
        <w:rPr>
          <w:sz w:val="20"/>
          <w:szCs w:val="20"/>
          <w:color w:val="auto"/>
        </w:rPr>
      </w:pPr>
    </w:p>
    <w:p>
      <w:pPr>
        <w:ind w:left="582" w:right="320" w:hanging="586"/>
        <w:spacing w:after="0" w:line="326" w:lineRule="auto"/>
        <w:tabs>
          <w:tab w:leader="none" w:pos="562" w:val="left"/>
        </w:tabs>
        <w:rPr>
          <w:sz w:val="20"/>
          <w:szCs w:val="20"/>
          <w:color w:val="auto"/>
        </w:rPr>
      </w:pPr>
      <w:r>
        <w:rPr>
          <w:rFonts w:ascii="Arial" w:cs="Arial" w:eastAsia="Arial" w:hAnsi="Arial"/>
          <w:sz w:val="16"/>
          <w:szCs w:val="16"/>
          <w:color w:val="auto"/>
        </w:rPr>
        <w:t>15.3.3</w:t>
      </w:r>
      <w:r>
        <w:rPr>
          <w:sz w:val="20"/>
          <w:szCs w:val="20"/>
          <w:color w:val="auto"/>
        </w:rPr>
        <w:tab/>
      </w:r>
      <w:r>
        <w:rPr>
          <w:rFonts w:ascii="Arial" w:cs="Arial" w:eastAsia="Arial" w:hAnsi="Arial"/>
          <w:sz w:val="14"/>
          <w:szCs w:val="14"/>
          <w:color w:val="auto"/>
        </w:rPr>
        <w:t>by the Charity, at any time before last cycle of treatment under the Clinical Trial has been completed, if the Company undergoes a change of Control and the new Controlling person is a Tobacco Party, or the Company assigns the rights under this Agreement or sub-licenses the Licence to a person then responsible for the development or commercialisation of the Agent, any Agent Products or any other Collaboration Products who or which is or becomes a Tobacco Party; and</w:t>
      </w:r>
    </w:p>
    <w:p>
      <w:pPr>
        <w:spacing w:after="0" w:line="12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15.3.4</w:t>
      </w:r>
      <w:r>
        <w:rPr>
          <w:sz w:val="20"/>
          <w:szCs w:val="20"/>
          <w:color w:val="auto"/>
        </w:rPr>
        <w:tab/>
      </w:r>
      <w:r>
        <w:rPr>
          <w:rFonts w:ascii="Arial" w:cs="Arial" w:eastAsia="Arial" w:hAnsi="Arial"/>
          <w:sz w:val="15"/>
          <w:szCs w:val="15"/>
          <w:color w:val="auto"/>
        </w:rPr>
        <w:t>by agreement of the Charity and the Company, [***].</w:t>
      </w:r>
    </w:p>
    <w:p>
      <w:pPr>
        <w:spacing w:after="0" w:line="203" w:lineRule="exact"/>
        <w:rPr>
          <w:sz w:val="20"/>
          <w:szCs w:val="20"/>
          <w:color w:val="auto"/>
        </w:rPr>
      </w:pPr>
    </w:p>
    <w:p>
      <w:pPr>
        <w:ind w:left="582" w:hanging="582"/>
        <w:spacing w:after="0"/>
        <w:tabs>
          <w:tab w:leader="none" w:pos="582" w:val="left"/>
        </w:tabs>
        <w:numPr>
          <w:ilvl w:val="0"/>
          <w:numId w:val="604"/>
        </w:numPr>
        <w:rPr>
          <w:rFonts w:ascii="Arial" w:cs="Arial" w:eastAsia="Arial" w:hAnsi="Arial"/>
          <w:sz w:val="16"/>
          <w:szCs w:val="16"/>
          <w:color w:val="auto"/>
        </w:rPr>
      </w:pPr>
      <w:r>
        <w:rPr>
          <w:rFonts w:ascii="Arial" w:cs="Arial" w:eastAsia="Arial" w:hAnsi="Arial"/>
          <w:sz w:val="16"/>
          <w:szCs w:val="16"/>
          <w:b w:val="1"/>
          <w:bCs w:val="1"/>
          <w:color w:val="auto"/>
        </w:rPr>
        <w:t>Consequences of termination</w:t>
      </w:r>
    </w:p>
    <w:p>
      <w:pPr>
        <w:spacing w:after="0" w:line="211"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16.1</w:t>
      </w:r>
      <w:r>
        <w:rPr>
          <w:sz w:val="20"/>
          <w:szCs w:val="20"/>
          <w:color w:val="auto"/>
        </w:rPr>
        <w:tab/>
      </w:r>
      <w:r>
        <w:rPr>
          <w:rFonts w:ascii="Arial" w:cs="Arial" w:eastAsia="Arial" w:hAnsi="Arial"/>
          <w:sz w:val="14"/>
          <w:szCs w:val="14"/>
          <w:color w:val="auto"/>
        </w:rPr>
        <w:t>General</w:t>
      </w:r>
    </w:p>
    <w:p>
      <w:pPr>
        <w:spacing w:after="0" w:line="207" w:lineRule="exact"/>
        <w:rPr>
          <w:sz w:val="20"/>
          <w:szCs w:val="20"/>
          <w:color w:val="auto"/>
        </w:rPr>
      </w:pPr>
    </w:p>
    <w:p>
      <w:pPr>
        <w:ind w:left="602"/>
        <w:spacing w:after="0"/>
        <w:rPr>
          <w:sz w:val="20"/>
          <w:szCs w:val="20"/>
          <w:color w:val="auto"/>
        </w:rPr>
      </w:pPr>
      <w:r>
        <w:rPr>
          <w:rFonts w:ascii="Arial" w:cs="Arial" w:eastAsia="Arial" w:hAnsi="Arial"/>
          <w:sz w:val="16"/>
          <w:szCs w:val="16"/>
          <w:color w:val="auto"/>
        </w:rPr>
        <w:t>Upon expiry or termination of this Agreement, without limitation on the other provisions of this clause 16:</w:t>
      </w:r>
    </w:p>
    <w:p>
      <w:pPr>
        <w:spacing w:after="0" w:line="207" w:lineRule="exact"/>
        <w:rPr>
          <w:sz w:val="20"/>
          <w:szCs w:val="20"/>
          <w:color w:val="auto"/>
        </w:rPr>
      </w:pPr>
    </w:p>
    <w:p>
      <w:pPr>
        <w:jc w:val="center"/>
        <w:ind w:right="-1"/>
        <w:spacing w:after="0"/>
        <w:tabs>
          <w:tab w:leader="none" w:pos="160" w:val="left"/>
        </w:tabs>
        <w:rPr>
          <w:sz w:val="20"/>
          <w:szCs w:val="20"/>
          <w:color w:val="auto"/>
        </w:rPr>
      </w:pPr>
      <w:r>
        <w:rPr>
          <w:rFonts w:ascii="Arial" w:cs="Arial" w:eastAsia="Arial" w:hAnsi="Arial"/>
          <w:sz w:val="16"/>
          <w:szCs w:val="16"/>
          <w:color w:val="auto"/>
        </w:rPr>
        <w:t>16.1.1</w:t>
      </w:r>
      <w:r>
        <w:rPr>
          <w:sz w:val="20"/>
          <w:szCs w:val="20"/>
          <w:color w:val="auto"/>
        </w:rPr>
        <w:tab/>
      </w:r>
      <w:r>
        <w:rPr>
          <w:rFonts w:ascii="Arial" w:cs="Arial" w:eastAsia="Arial" w:hAnsi="Arial"/>
          <w:sz w:val="14"/>
          <w:szCs w:val="14"/>
          <w:color w:val="auto"/>
        </w:rPr>
        <w:t>for any reason, the Receiving Party will cease to use Confidential Information of the Disclosing Party and, at the request of the Disclosing Party, will return or destroy</w:t>
      </w:r>
    </w:p>
    <w:p>
      <w:pPr>
        <w:spacing w:after="0" w:line="23" w:lineRule="exact"/>
        <w:rPr>
          <w:sz w:val="20"/>
          <w:szCs w:val="20"/>
          <w:color w:val="auto"/>
        </w:rPr>
      </w:pPr>
    </w:p>
    <w:p>
      <w:pPr>
        <w:ind w:left="582" w:right="220"/>
        <w:spacing w:after="0" w:line="282" w:lineRule="auto"/>
        <w:rPr>
          <w:sz w:val="20"/>
          <w:szCs w:val="20"/>
          <w:color w:val="auto"/>
        </w:rPr>
      </w:pPr>
      <w:r>
        <w:rPr>
          <w:rFonts w:ascii="Arial" w:cs="Arial" w:eastAsia="Arial" w:hAnsi="Arial"/>
          <w:sz w:val="15"/>
          <w:szCs w:val="15"/>
          <w:color w:val="auto"/>
        </w:rPr>
        <w:t>the Disclosing Party’s Confidential Information; provided that the Charity and CRT may hold and use Confidential Information of the Company to the extent necessary to perform and complete activities under clause 16.1.3 of this Agreement and to exercise any rights granted under the Step-in Agreement and that the Company may hold and use Confidential Information of the Charity and CRT to the extent necessary to exercise any rights granted under the Licence Terms or the Step-in Agreement. If Confidential Information is destroyed, the Receiving Party will confirm the destruction in writing to the Disclosing Party;</w:t>
      </w:r>
    </w:p>
    <w:p>
      <w:pPr>
        <w:spacing w:after="0" w:line="156" w:lineRule="exact"/>
        <w:rPr>
          <w:sz w:val="20"/>
          <w:szCs w:val="20"/>
          <w:color w:val="auto"/>
        </w:rPr>
      </w:pPr>
    </w:p>
    <w:p>
      <w:pPr>
        <w:jc w:val="both"/>
        <w:ind w:left="582" w:hanging="586"/>
        <w:spacing w:after="0" w:line="296" w:lineRule="auto"/>
        <w:tabs>
          <w:tab w:leader="none" w:pos="562" w:val="left"/>
        </w:tabs>
        <w:rPr>
          <w:sz w:val="20"/>
          <w:szCs w:val="20"/>
          <w:color w:val="auto"/>
        </w:rPr>
      </w:pPr>
      <w:r>
        <w:rPr>
          <w:rFonts w:ascii="Arial" w:cs="Arial" w:eastAsia="Arial" w:hAnsi="Arial"/>
          <w:sz w:val="16"/>
          <w:szCs w:val="16"/>
          <w:color w:val="auto"/>
        </w:rPr>
        <w:t>16.1.2</w:t>
      </w:r>
      <w:r>
        <w:rPr>
          <w:sz w:val="20"/>
          <w:szCs w:val="20"/>
          <w:color w:val="auto"/>
        </w:rPr>
        <w:tab/>
      </w:r>
      <w:r>
        <w:rPr>
          <w:rFonts w:ascii="Arial" w:cs="Arial" w:eastAsia="Arial" w:hAnsi="Arial"/>
          <w:sz w:val="15"/>
          <w:szCs w:val="15"/>
          <w:color w:val="auto"/>
        </w:rPr>
        <w:t xml:space="preserve">for any reason, the Charity, as sponsor of the clinical aspects of the Clinical Trial, and Contributors, may retain Confidential Information in accordance with ICH GCP (the </w:t>
      </w:r>
      <w:r>
        <w:rPr>
          <w:rFonts w:ascii="Arial" w:cs="Arial" w:eastAsia="Arial" w:hAnsi="Arial"/>
          <w:sz w:val="15"/>
          <w:szCs w:val="15"/>
          <w:i w:val="1"/>
          <w:iCs w:val="1"/>
          <w:color w:val="auto"/>
        </w:rPr>
        <w:t>ICH Harmonised Tripartite Guideline for Good Clinical Practice</w:t>
      </w:r>
      <w:r>
        <w:rPr>
          <w:rFonts w:ascii="Arial" w:cs="Arial" w:eastAsia="Arial" w:hAnsi="Arial"/>
          <w:sz w:val="15"/>
          <w:szCs w:val="15"/>
          <w:color w:val="auto"/>
        </w:rPr>
        <w:t xml:space="preserve">; CPMP/ICH/135/95) and as required by any applicable law, and the Company and its assignees and Sub-Licensees may retain Confidential Information in accordance with ICH GCP (the </w:t>
      </w:r>
      <w:r>
        <w:rPr>
          <w:rFonts w:ascii="Arial" w:cs="Arial" w:eastAsia="Arial" w:hAnsi="Arial"/>
          <w:sz w:val="15"/>
          <w:szCs w:val="15"/>
          <w:i w:val="1"/>
          <w:iCs w:val="1"/>
          <w:color w:val="auto"/>
        </w:rPr>
        <w:t>ICH Harmonised Tripartite Guideline</w:t>
      </w:r>
    </w:p>
    <w:p>
      <w:pPr>
        <w:spacing w:after="0" w:line="14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2"/>
          </w:cols>
          <w:pgMar w:left="238" w:top="322" w:right="239" w:bottom="0" w:gutter="0" w:footer="0" w:header="0"/>
        </w:sectPr>
      </w:pPr>
    </w:p>
    <w:bookmarkStart w:id="592" w:name="page593"/>
    <w:bookmarkEnd w:id="5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280275" cy="254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027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3" w:name="page594"/>
    <w:bookmarkEnd w:id="593"/>
    <w:p>
      <w:pPr>
        <w:ind w:left="2" w:right="200" w:hanging="2"/>
        <w:spacing w:after="0" w:line="270" w:lineRule="auto"/>
        <w:tabs>
          <w:tab w:leader="none" w:pos="396" w:val="left"/>
        </w:tabs>
        <w:numPr>
          <w:ilvl w:val="0"/>
          <w:numId w:val="605"/>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602"/>
        <w:spacing w:after="0"/>
        <w:rPr>
          <w:sz w:val="20"/>
          <w:szCs w:val="20"/>
          <w:color w:val="auto"/>
        </w:rPr>
      </w:pPr>
      <w:r>
        <w:rPr>
          <w:rFonts w:ascii="Arial" w:cs="Arial" w:eastAsia="Arial" w:hAnsi="Arial"/>
          <w:sz w:val="16"/>
          <w:szCs w:val="16"/>
          <w:i w:val="1"/>
          <w:iCs w:val="1"/>
          <w:color w:val="auto"/>
        </w:rPr>
        <w:t>for Good Clinical Practice</w:t>
      </w:r>
      <w:r>
        <w:rPr>
          <w:rFonts w:ascii="Arial" w:cs="Arial" w:eastAsia="Arial" w:hAnsi="Arial"/>
          <w:sz w:val="16"/>
          <w:szCs w:val="16"/>
          <w:color w:val="auto"/>
        </w:rPr>
        <w:t>; CPMP/ICH/135/95) in connection with any clinical trials that they have initiated;</w:t>
      </w:r>
    </w:p>
    <w:p>
      <w:pPr>
        <w:spacing w:after="0" w:line="207" w:lineRule="exact"/>
        <w:rPr>
          <w:sz w:val="20"/>
          <w:szCs w:val="20"/>
          <w:color w:val="auto"/>
        </w:rPr>
      </w:pPr>
    </w:p>
    <w:p>
      <w:pPr>
        <w:ind w:left="582" w:right="20" w:hanging="586"/>
        <w:spacing w:after="0" w:line="260" w:lineRule="auto"/>
        <w:tabs>
          <w:tab w:leader="none" w:pos="562" w:val="left"/>
        </w:tabs>
        <w:rPr>
          <w:sz w:val="20"/>
          <w:szCs w:val="20"/>
          <w:color w:val="auto"/>
        </w:rPr>
      </w:pPr>
      <w:r>
        <w:rPr>
          <w:rFonts w:ascii="Arial" w:cs="Arial" w:eastAsia="Arial" w:hAnsi="Arial"/>
          <w:sz w:val="16"/>
          <w:szCs w:val="16"/>
          <w:color w:val="auto"/>
        </w:rPr>
        <w:t>16.1.3</w:t>
        <w:tab/>
        <w:t>for any reason, if the Clinical Trial is not complete at the date of termination, the Charity may begin or continue to administer IMP to Clinical Trial Subjects as required by the Regulatory Authority, Ethics Committee or Clinical Trial Legislation for the duration of their proposed course of treatment. The Charity’s use of IMP will continue to be subject to the terms of this Agreement. If the Company is supplying IMP for use in the Clinical Trial, the Company will continue to supply IMP in quantities sufficient to complete those courses of treatment up to the levels of supply agreed pursuant to clause 3.2.1. If the Company is not supplying IMP for use in the Clinical Trial, the Charity may manufacture IMP in quantities sufficient to complete those courses of treatment and, at the Charity’s request, the Company will provide to the Charity and its designees any Know How that is necessary or desirable to manufacture, or have manufactured, a sufficient quantity of IMP to complete those courses of treatment; and</w:t>
      </w:r>
    </w:p>
    <w:p>
      <w:pPr>
        <w:spacing w:after="0" w:line="170" w:lineRule="exact"/>
        <w:rPr>
          <w:sz w:val="20"/>
          <w:szCs w:val="20"/>
          <w:color w:val="auto"/>
        </w:rPr>
      </w:pPr>
    </w:p>
    <w:p>
      <w:pPr>
        <w:ind w:left="582" w:hanging="586"/>
        <w:spacing w:after="0" w:line="270" w:lineRule="auto"/>
        <w:tabs>
          <w:tab w:leader="none" w:pos="562" w:val="left"/>
        </w:tabs>
        <w:rPr>
          <w:sz w:val="20"/>
          <w:szCs w:val="20"/>
          <w:color w:val="auto"/>
        </w:rPr>
      </w:pPr>
      <w:r>
        <w:rPr>
          <w:rFonts w:ascii="Arial" w:cs="Arial" w:eastAsia="Arial" w:hAnsi="Arial"/>
          <w:sz w:val="16"/>
          <w:szCs w:val="16"/>
          <w:color w:val="auto"/>
        </w:rPr>
        <w:t>16.1.4</w:t>
        <w:tab/>
        <w:t>pursuant to clause 15.3.1, 15.3.2 or 15.3.4 of this Agreement and provided that clause 15.3.3 of this Agreement does not apply to the Company at the time, at the Company’s request and at the Company’s expense, and to the extent reasonably practicable, the Charity will use its reasonable endeavours and cooperate in good faith to transfer to the Company responsibility as sponsor for the completion of the Clinical Trial.</w:t>
      </w:r>
    </w:p>
    <w:p>
      <w:pPr>
        <w:spacing w:after="0" w:line="158" w:lineRule="exact"/>
        <w:rPr>
          <w:sz w:val="20"/>
          <w:szCs w:val="20"/>
          <w:color w:val="auto"/>
        </w:rPr>
      </w:pPr>
    </w:p>
    <w:p>
      <w:pPr>
        <w:ind w:left="582" w:right="460" w:hanging="586"/>
        <w:spacing w:after="0" w:line="290" w:lineRule="auto"/>
        <w:tabs>
          <w:tab w:leader="none" w:pos="562" w:val="left"/>
        </w:tabs>
        <w:rPr>
          <w:sz w:val="20"/>
          <w:szCs w:val="20"/>
          <w:color w:val="auto"/>
        </w:rPr>
      </w:pPr>
      <w:r>
        <w:rPr>
          <w:rFonts w:ascii="Arial" w:cs="Arial" w:eastAsia="Arial" w:hAnsi="Arial"/>
          <w:sz w:val="16"/>
          <w:szCs w:val="16"/>
          <w:color w:val="auto"/>
        </w:rPr>
        <w:t>16.2</w:t>
      </w:r>
      <w:r>
        <w:rPr>
          <w:sz w:val="20"/>
          <w:szCs w:val="20"/>
          <w:color w:val="auto"/>
        </w:rPr>
        <w:tab/>
      </w:r>
      <w:r>
        <w:rPr>
          <w:rFonts w:ascii="Arial" w:cs="Arial" w:eastAsia="Arial" w:hAnsi="Arial"/>
          <w:sz w:val="16"/>
          <w:szCs w:val="16"/>
          <w:color w:val="auto"/>
        </w:rPr>
        <w:t>If this Agreement is terminated prior to the completion of the dose escalation (Phase I) part of the Clinical Trial (a “</w:t>
      </w:r>
      <w:r>
        <w:rPr>
          <w:rFonts w:ascii="Arial" w:cs="Arial" w:eastAsia="Arial" w:hAnsi="Arial"/>
          <w:sz w:val="16"/>
          <w:szCs w:val="16"/>
          <w:b w:val="1"/>
          <w:bCs w:val="1"/>
          <w:color w:val="auto"/>
        </w:rPr>
        <w:t>Phase I Termination</w:t>
      </w:r>
      <w:r>
        <w:rPr>
          <w:rFonts w:ascii="Arial" w:cs="Arial" w:eastAsia="Arial" w:hAnsi="Arial"/>
          <w:sz w:val="16"/>
          <w:szCs w:val="16"/>
          <w:color w:val="auto"/>
        </w:rPr>
        <w:t>”) by the Company in accordance with clause 15.3.1(a), 15.3.1(b), or 15.3.1(c) of this Agreement: (a) [***]; (b) [***]; and (c) [***].</w:t>
      </w:r>
    </w:p>
    <w:p>
      <w:pPr>
        <w:spacing w:after="0" w:line="14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16.3</w:t>
      </w:r>
      <w:r>
        <w:rPr>
          <w:sz w:val="20"/>
          <w:szCs w:val="20"/>
          <w:color w:val="auto"/>
        </w:rPr>
        <w:tab/>
      </w:r>
      <w:r>
        <w:rPr>
          <w:rFonts w:ascii="Arial" w:cs="Arial" w:eastAsia="Arial" w:hAnsi="Arial"/>
          <w:sz w:val="15"/>
          <w:szCs w:val="15"/>
          <w:color w:val="auto"/>
        </w:rPr>
        <w:t>For a Phase I Termination by the Charity in accordance with clause 15.3.2(a) or 15.3.2(b) of this Agreement: (a) [***]; and (b) [***].</w:t>
      </w: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594" w:name="page595"/>
    <w:bookmarkEnd w:id="594"/>
    <w:p>
      <w:pPr>
        <w:ind w:left="2" w:right="200" w:hanging="2"/>
        <w:spacing w:after="0" w:line="270" w:lineRule="auto"/>
        <w:tabs>
          <w:tab w:leader="none" w:pos="396" w:val="left"/>
        </w:tabs>
        <w:numPr>
          <w:ilvl w:val="0"/>
          <w:numId w:val="606"/>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520" w:hanging="586"/>
        <w:spacing w:after="0" w:line="285" w:lineRule="auto"/>
        <w:tabs>
          <w:tab w:leader="none" w:pos="562" w:val="left"/>
        </w:tabs>
        <w:rPr>
          <w:sz w:val="20"/>
          <w:szCs w:val="20"/>
          <w:color w:val="auto"/>
        </w:rPr>
      </w:pPr>
      <w:r>
        <w:rPr>
          <w:rFonts w:ascii="Arial" w:cs="Arial" w:eastAsia="Arial" w:hAnsi="Arial"/>
          <w:sz w:val="16"/>
          <w:szCs w:val="16"/>
          <w:color w:val="auto"/>
        </w:rPr>
        <w:t>16.4</w:t>
      </w:r>
      <w:r>
        <w:rPr>
          <w:sz w:val="20"/>
          <w:szCs w:val="20"/>
          <w:color w:val="auto"/>
        </w:rPr>
        <w:tab/>
      </w:r>
      <w:r>
        <w:rPr>
          <w:rFonts w:ascii="Arial" w:cs="Arial" w:eastAsia="Arial" w:hAnsi="Arial"/>
          <w:sz w:val="16"/>
          <w:szCs w:val="16"/>
          <w:color w:val="auto"/>
        </w:rPr>
        <w:t>For a Phase I Termination by the Charity in accordance with clause 15.3.2(c) of this Agreement or by the Company in accordance with clause 15.3.1(e) of this Agreement or by the Charity and the Company in accordance with clause 15.3.4 of this Agreement: (a) [***]; (b) [***]; and (c) [***].</w:t>
      </w:r>
    </w:p>
    <w:p>
      <w:pPr>
        <w:spacing w:after="0" w:line="150" w:lineRule="exact"/>
        <w:rPr>
          <w:sz w:val="20"/>
          <w:szCs w:val="20"/>
          <w:color w:val="auto"/>
        </w:rPr>
      </w:pPr>
    </w:p>
    <w:p>
      <w:pPr>
        <w:ind w:left="582" w:right="260" w:hanging="586"/>
        <w:spacing w:after="0" w:line="285" w:lineRule="auto"/>
        <w:tabs>
          <w:tab w:leader="none" w:pos="562" w:val="left"/>
        </w:tabs>
        <w:rPr>
          <w:sz w:val="20"/>
          <w:szCs w:val="20"/>
          <w:color w:val="auto"/>
        </w:rPr>
      </w:pPr>
      <w:r>
        <w:rPr>
          <w:rFonts w:ascii="Arial" w:cs="Arial" w:eastAsia="Arial" w:hAnsi="Arial"/>
          <w:sz w:val="16"/>
          <w:szCs w:val="16"/>
          <w:color w:val="auto"/>
        </w:rPr>
        <w:t>16.5</w:t>
      </w:r>
      <w:r>
        <w:rPr>
          <w:sz w:val="20"/>
          <w:szCs w:val="20"/>
          <w:color w:val="auto"/>
        </w:rPr>
        <w:tab/>
      </w:r>
      <w:r>
        <w:rPr>
          <w:rFonts w:ascii="Arial" w:cs="Arial" w:eastAsia="Arial" w:hAnsi="Arial"/>
          <w:sz w:val="16"/>
          <w:szCs w:val="16"/>
          <w:color w:val="auto"/>
        </w:rPr>
        <w:t>For termination by the Company in accordance with clause 15.3.1(d) of this Agreement before the first Clinical Trial Subject is dosed with GMP Agent Materials, this Agreement will [***];</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16.6</w:t>
      </w:r>
      <w:r>
        <w:rPr>
          <w:sz w:val="20"/>
          <w:szCs w:val="20"/>
          <w:color w:val="auto"/>
        </w:rPr>
        <w:tab/>
      </w:r>
      <w:r>
        <w:rPr>
          <w:rFonts w:ascii="Arial" w:cs="Arial" w:eastAsia="Arial" w:hAnsi="Arial"/>
          <w:sz w:val="14"/>
          <w:szCs w:val="14"/>
          <w:color w:val="auto"/>
        </w:rPr>
        <w:t>If at any time the Charity terminates this Agreement in accordance with clause 15.3.3 of this Agreement:</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16.6.1</w:t>
      </w:r>
      <w:r>
        <w:rPr>
          <w:sz w:val="20"/>
          <w:szCs w:val="20"/>
          <w:color w:val="auto"/>
        </w:rPr>
        <w:tab/>
      </w:r>
      <w:r>
        <w:rPr>
          <w:rFonts w:ascii="Arial" w:cs="Arial" w:eastAsia="Arial" w:hAnsi="Arial"/>
          <w:sz w:val="14"/>
          <w:szCs w:val="14"/>
          <w:color w:val="auto"/>
        </w:rPr>
        <w:t>the Charity will not be obliged to grant a Licence (or any other licence) to the Company in respect any Results;</w:t>
      </w:r>
    </w:p>
    <w:p>
      <w:pPr>
        <w:spacing w:after="0" w:line="207" w:lineRule="exact"/>
        <w:rPr>
          <w:sz w:val="20"/>
          <w:szCs w:val="20"/>
          <w:color w:val="auto"/>
        </w:rPr>
      </w:pPr>
    </w:p>
    <w:p>
      <w:pPr>
        <w:ind w:left="582" w:hanging="586"/>
        <w:spacing w:after="0" w:line="270" w:lineRule="auto"/>
        <w:tabs>
          <w:tab w:leader="none" w:pos="562" w:val="left"/>
        </w:tabs>
        <w:rPr>
          <w:sz w:val="20"/>
          <w:szCs w:val="20"/>
          <w:color w:val="auto"/>
        </w:rPr>
      </w:pPr>
      <w:r>
        <w:rPr>
          <w:rFonts w:ascii="Arial" w:cs="Arial" w:eastAsia="Arial" w:hAnsi="Arial"/>
          <w:sz w:val="16"/>
          <w:szCs w:val="16"/>
          <w:color w:val="auto"/>
        </w:rPr>
        <w:t>16.6.2</w:t>
        <w:tab/>
        <w:t>the Company will reimburse in full all actual paid, prepaid and committed costs (including personnel costs) and expenses incurred by the Charity and the Contributors in connection with the Clinical Trial, and no Milestone Payments, License Fee or Royalties will be payable or shares issued to CRT after termination of this Agreement or the Licence; and</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16.6.3</w:t>
      </w:r>
      <w:r>
        <w:rPr>
          <w:sz w:val="20"/>
          <w:szCs w:val="20"/>
          <w:color w:val="auto"/>
        </w:rPr>
        <w:tab/>
      </w:r>
      <w:r>
        <w:rPr>
          <w:rFonts w:ascii="Arial" w:cs="Arial" w:eastAsia="Arial" w:hAnsi="Arial"/>
          <w:sz w:val="14"/>
          <w:szCs w:val="14"/>
          <w:color w:val="auto"/>
        </w:rPr>
        <w:t>the Step-In Rights of CRT under this Agreement will apply forthwith except that no payments will be made by CRT pursuant to clause 3 of the Step-In Agreement.</w:t>
      </w:r>
    </w:p>
    <w:p>
      <w:pPr>
        <w:spacing w:after="0" w:line="207" w:lineRule="exact"/>
        <w:rPr>
          <w:sz w:val="20"/>
          <w:szCs w:val="20"/>
          <w:color w:val="auto"/>
        </w:rPr>
      </w:pPr>
    </w:p>
    <w:p>
      <w:pPr>
        <w:ind w:left="582" w:right="280" w:hanging="586"/>
        <w:spacing w:after="0" w:line="320" w:lineRule="auto"/>
        <w:tabs>
          <w:tab w:leader="none" w:pos="562" w:val="left"/>
        </w:tabs>
        <w:rPr>
          <w:sz w:val="20"/>
          <w:szCs w:val="20"/>
          <w:color w:val="auto"/>
        </w:rPr>
      </w:pPr>
      <w:r>
        <w:rPr>
          <w:rFonts w:ascii="Arial" w:cs="Arial" w:eastAsia="Arial" w:hAnsi="Arial"/>
          <w:sz w:val="16"/>
          <w:szCs w:val="16"/>
          <w:color w:val="auto"/>
        </w:rPr>
        <w:t>16.7</w:t>
      </w:r>
      <w:r>
        <w:rPr>
          <w:sz w:val="20"/>
          <w:szCs w:val="20"/>
          <w:color w:val="auto"/>
        </w:rPr>
        <w:tab/>
      </w:r>
      <w:r>
        <w:rPr>
          <w:rFonts w:ascii="Arial" w:cs="Arial" w:eastAsia="Arial" w:hAnsi="Arial"/>
          <w:sz w:val="15"/>
          <w:szCs w:val="15"/>
          <w:color w:val="auto"/>
        </w:rPr>
        <w:t>If the Agreement is terminated after the completion of the dose escalation (Phase I) part of the Clinical Trial and before the completion of the Phase IIa part of the Clinical Trial (a “</w:t>
      </w:r>
      <w:r>
        <w:rPr>
          <w:rFonts w:ascii="Arial" w:cs="Arial" w:eastAsia="Arial" w:hAnsi="Arial"/>
          <w:sz w:val="15"/>
          <w:szCs w:val="15"/>
          <w:b w:val="1"/>
          <w:bCs w:val="1"/>
          <w:color w:val="auto"/>
        </w:rPr>
        <w:t>Phase IIa Termination</w:t>
      </w:r>
      <w:r>
        <w:rPr>
          <w:rFonts w:ascii="Arial" w:cs="Arial" w:eastAsia="Arial" w:hAnsi="Arial"/>
          <w:sz w:val="15"/>
          <w:szCs w:val="15"/>
          <w:color w:val="auto"/>
        </w:rPr>
        <w:t>”) by the Company in accordance with clause 15.3.1(a), 15.3.1(b), or 15.3.1(c) of this Agreement: (a) [***]</w:t>
      </w:r>
    </w:p>
    <w:p>
      <w:pPr>
        <w:spacing w:after="0" w:line="12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595" w:name="page596"/>
    <w:bookmarkEnd w:id="595"/>
    <w:p>
      <w:pPr>
        <w:ind w:left="2" w:right="180" w:hanging="2"/>
        <w:spacing w:after="0" w:line="270" w:lineRule="auto"/>
        <w:tabs>
          <w:tab w:leader="none" w:pos="396" w:val="left"/>
        </w:tabs>
        <w:numPr>
          <w:ilvl w:val="0"/>
          <w:numId w:val="607"/>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spacing w:after="0"/>
        <w:rPr>
          <w:sz w:val="20"/>
          <w:szCs w:val="20"/>
          <w:color w:val="auto"/>
        </w:rPr>
      </w:pPr>
      <w:r>
        <w:rPr>
          <w:rFonts w:ascii="Arial" w:cs="Arial" w:eastAsia="Arial" w:hAnsi="Arial"/>
          <w:sz w:val="16"/>
          <w:szCs w:val="16"/>
          <w:color w:val="auto"/>
        </w:rPr>
        <w:t>[***]; and (b) [***]</w:t>
      </w:r>
    </w:p>
    <w:p>
      <w:pPr>
        <w:spacing w:after="0" w:line="207" w:lineRule="exact"/>
        <w:rPr>
          <w:sz w:val="20"/>
          <w:szCs w:val="20"/>
          <w:color w:val="auto"/>
        </w:rPr>
      </w:pPr>
    </w:p>
    <w:p>
      <w:pPr>
        <w:jc w:val="both"/>
        <w:ind w:left="582" w:hanging="586"/>
        <w:spacing w:after="0" w:line="285" w:lineRule="auto"/>
        <w:tabs>
          <w:tab w:leader="none" w:pos="562" w:val="left"/>
        </w:tabs>
        <w:rPr>
          <w:sz w:val="20"/>
          <w:szCs w:val="20"/>
          <w:color w:val="auto"/>
        </w:rPr>
      </w:pPr>
      <w:r>
        <w:rPr>
          <w:rFonts w:ascii="Arial" w:cs="Arial" w:eastAsia="Arial" w:hAnsi="Arial"/>
          <w:sz w:val="16"/>
          <w:szCs w:val="16"/>
          <w:color w:val="auto"/>
        </w:rPr>
        <w:t>16.8</w:t>
      </w:r>
      <w:r>
        <w:rPr>
          <w:sz w:val="20"/>
          <w:szCs w:val="20"/>
          <w:color w:val="auto"/>
        </w:rPr>
        <w:tab/>
      </w:r>
      <w:r>
        <w:rPr>
          <w:rFonts w:ascii="Arial" w:cs="Arial" w:eastAsia="Arial" w:hAnsi="Arial"/>
          <w:sz w:val="16"/>
          <w:szCs w:val="16"/>
          <w:color w:val="auto"/>
        </w:rPr>
        <w:t>For a Phase IIa Termination by the Charity in accordance with clause 15.3.2(a) or 15.3.2(b) of this Agreement: (a) [***]; and (b) the Step-In Rights of CRT under this Agreement will continue to be exercisable.</w:t>
      </w:r>
    </w:p>
    <w:p>
      <w:pPr>
        <w:spacing w:after="0" w:line="150" w:lineRule="exact"/>
        <w:rPr>
          <w:sz w:val="20"/>
          <w:szCs w:val="20"/>
          <w:color w:val="auto"/>
        </w:rPr>
      </w:pPr>
    </w:p>
    <w:p>
      <w:pPr>
        <w:ind w:left="582" w:right="560" w:hanging="586"/>
        <w:spacing w:after="0" w:line="285" w:lineRule="auto"/>
        <w:tabs>
          <w:tab w:leader="none" w:pos="562" w:val="left"/>
        </w:tabs>
        <w:rPr>
          <w:sz w:val="20"/>
          <w:szCs w:val="20"/>
          <w:color w:val="auto"/>
        </w:rPr>
      </w:pPr>
      <w:r>
        <w:rPr>
          <w:rFonts w:ascii="Arial" w:cs="Arial" w:eastAsia="Arial" w:hAnsi="Arial"/>
          <w:sz w:val="16"/>
          <w:szCs w:val="16"/>
          <w:color w:val="auto"/>
        </w:rPr>
        <w:t>16.9</w:t>
      </w:r>
      <w:r>
        <w:rPr>
          <w:sz w:val="20"/>
          <w:szCs w:val="20"/>
          <w:color w:val="auto"/>
        </w:rPr>
        <w:tab/>
      </w:r>
      <w:r>
        <w:rPr>
          <w:rFonts w:ascii="Arial" w:cs="Arial" w:eastAsia="Arial" w:hAnsi="Arial"/>
          <w:sz w:val="16"/>
          <w:szCs w:val="16"/>
          <w:color w:val="auto"/>
        </w:rPr>
        <w:t>For a Phase IIa Termination by the Charity in accordance with clause 15.3.2(c) or by the Charity and the Company in accordance with clause 15.3.4 or by the Company in accordance with clause 15.1.3(e) of this Agreement: (a) [***]; and (b) [***]</w:t>
      </w:r>
    </w:p>
    <w:p>
      <w:pPr>
        <w:spacing w:after="0" w:line="150" w:lineRule="exact"/>
        <w:rPr>
          <w:sz w:val="20"/>
          <w:szCs w:val="20"/>
          <w:color w:val="auto"/>
        </w:rPr>
      </w:pPr>
    </w:p>
    <w:p>
      <w:pPr>
        <w:jc w:val="both"/>
        <w:ind w:left="582" w:right="20" w:hanging="586"/>
        <w:spacing w:after="0" w:line="288" w:lineRule="auto"/>
        <w:tabs>
          <w:tab w:leader="none" w:pos="562" w:val="left"/>
        </w:tabs>
        <w:rPr>
          <w:sz w:val="20"/>
          <w:szCs w:val="20"/>
          <w:color w:val="auto"/>
        </w:rPr>
      </w:pPr>
      <w:r>
        <w:rPr>
          <w:rFonts w:ascii="Arial" w:cs="Arial" w:eastAsia="Arial" w:hAnsi="Arial"/>
          <w:sz w:val="16"/>
          <w:szCs w:val="16"/>
          <w:color w:val="auto"/>
        </w:rPr>
        <w:t>16.10</w:t>
      </w:r>
      <w:r>
        <w:rPr>
          <w:sz w:val="20"/>
          <w:szCs w:val="20"/>
          <w:color w:val="auto"/>
        </w:rPr>
        <w:tab/>
      </w:r>
      <w:r>
        <w:rPr>
          <w:rFonts w:ascii="Arial" w:cs="Arial" w:eastAsia="Arial" w:hAnsi="Arial"/>
          <w:sz w:val="15"/>
          <w:szCs w:val="15"/>
          <w:color w:val="auto"/>
        </w:rPr>
        <w:t>The following provisions survive expiration or termination of this Agreement for any reason: clauses 5 (responsibilities); 6 (rights) (but only for so long as and to the extent necessary to perform activities under clause 16.1.3); 9 (patents); 10 (rights); 11 (confidentiality), 12 (publication), 13 (liability, warranties); 14 (indemnity); 16 (consequences of termination) and 17 (general) of this Agreement and the following sections of the Licence Terms: 2.2 (reserved rights), 6 (statements), 7 (insurance, liability, indemnity) and the Glossary. Termination of this Agreement for any reason does not affect any rights of the Parties accrued before termination.</w:t>
      </w:r>
    </w:p>
    <w:p>
      <w:pPr>
        <w:spacing w:after="0" w:line="150" w:lineRule="exact"/>
        <w:rPr>
          <w:sz w:val="20"/>
          <w:szCs w:val="20"/>
          <w:color w:val="auto"/>
        </w:rPr>
      </w:pPr>
    </w:p>
    <w:p>
      <w:pPr>
        <w:ind w:left="562" w:right="120" w:hanging="586"/>
        <w:spacing w:after="0" w:line="285" w:lineRule="auto"/>
        <w:tabs>
          <w:tab w:leader="none" w:pos="542" w:val="left"/>
        </w:tabs>
        <w:rPr>
          <w:sz w:val="20"/>
          <w:szCs w:val="20"/>
          <w:color w:val="auto"/>
        </w:rPr>
      </w:pPr>
      <w:r>
        <w:rPr>
          <w:rFonts w:ascii="Arial" w:cs="Arial" w:eastAsia="Arial" w:hAnsi="Arial"/>
          <w:sz w:val="16"/>
          <w:szCs w:val="16"/>
          <w:color w:val="auto"/>
        </w:rPr>
        <w:t>16.11</w:t>
        <w:tab/>
        <w:t>Obligations to destroy or return Confidential Information exclude Confidential information maintained on routine computer system backup storage devices, so long as backup</w:t>
      </w:r>
    </w:p>
    <w:p>
      <w:pPr>
        <w:spacing w:after="0" w:line="1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596" w:name="page597"/>
    <w:bookmarkEnd w:id="596"/>
    <w:p>
      <w:pPr>
        <w:ind w:left="2" w:right="220" w:hanging="2"/>
        <w:spacing w:after="0" w:line="270" w:lineRule="auto"/>
        <w:tabs>
          <w:tab w:leader="none" w:pos="396" w:val="left"/>
        </w:tabs>
        <w:numPr>
          <w:ilvl w:val="0"/>
          <w:numId w:val="608"/>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602"/>
        <w:spacing w:after="0"/>
        <w:rPr>
          <w:sz w:val="20"/>
          <w:szCs w:val="20"/>
          <w:color w:val="auto"/>
        </w:rPr>
      </w:pPr>
      <w:r>
        <w:rPr>
          <w:rFonts w:ascii="Arial" w:cs="Arial" w:eastAsia="Arial" w:hAnsi="Arial"/>
          <w:sz w:val="16"/>
          <w:szCs w:val="16"/>
          <w:color w:val="auto"/>
        </w:rPr>
        <w:t>Confidential Information is not used, disclosed or recovered intentionally from storage devices, and continues to be Confidential Information.</w:t>
      </w:r>
    </w:p>
    <w:p>
      <w:pPr>
        <w:spacing w:after="0" w:line="207" w:lineRule="exact"/>
        <w:rPr>
          <w:sz w:val="20"/>
          <w:szCs w:val="20"/>
          <w:color w:val="auto"/>
        </w:rPr>
      </w:pPr>
    </w:p>
    <w:p>
      <w:pPr>
        <w:ind w:left="582" w:right="140" w:hanging="586"/>
        <w:spacing w:after="0" w:line="285" w:lineRule="auto"/>
        <w:tabs>
          <w:tab w:leader="none" w:pos="562" w:val="left"/>
        </w:tabs>
        <w:rPr>
          <w:sz w:val="20"/>
          <w:szCs w:val="20"/>
          <w:color w:val="auto"/>
        </w:rPr>
      </w:pPr>
      <w:r>
        <w:rPr>
          <w:rFonts w:ascii="Arial" w:cs="Arial" w:eastAsia="Arial" w:hAnsi="Arial"/>
          <w:sz w:val="16"/>
          <w:szCs w:val="16"/>
          <w:color w:val="auto"/>
        </w:rPr>
        <w:t>16.12</w:t>
        <w:tab/>
        <w:t>In all the circumstances set out in this clause 16, each Party will use all reasonable endeavours to provide another Party with all information necessary for such other Party to be able to satisfy its regulatory and/or legal obligations.</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6"/>
          <w:szCs w:val="16"/>
          <w:color w:val="auto"/>
        </w:rPr>
        <w:t>General</w:t>
      </w:r>
    </w:p>
    <w:p>
      <w:pPr>
        <w:spacing w:after="0" w:line="207"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4"/>
          <w:szCs w:val="14"/>
          <w:color w:val="auto"/>
        </w:rPr>
        <w:t>Insolvency. Each Party will notify the other Parties immediately upon becoming aware that an Insolvency Event has or is likely to take place in relation to it.</w:t>
      </w:r>
    </w:p>
    <w:p>
      <w:pPr>
        <w:spacing w:after="0" w:line="207" w:lineRule="exact"/>
        <w:rPr>
          <w:sz w:val="20"/>
          <w:szCs w:val="20"/>
          <w:color w:val="auto"/>
        </w:rPr>
      </w:pPr>
    </w:p>
    <w:p>
      <w:pPr>
        <w:ind w:left="582" w:right="100" w:hanging="586"/>
        <w:spacing w:after="0" w:line="270" w:lineRule="auto"/>
        <w:tabs>
          <w:tab w:leader="none" w:pos="562"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6"/>
          <w:szCs w:val="16"/>
          <w:color w:val="auto"/>
        </w:rPr>
        <w:t>Standing. The Company will keep the Charity generally informed of the progress of the Company’s business and affairs on at least an annual basis and will promptly notify the Charity, with written details, of circumstances that will or may cause any actual or prospective material adverse change in the Company’s financial position, prospects or business. All information so provided by the Company to the Charity will be Confidential Information.</w:t>
      </w:r>
    </w:p>
    <w:p>
      <w:pPr>
        <w:spacing w:after="0" w:line="162" w:lineRule="exact"/>
        <w:rPr>
          <w:sz w:val="20"/>
          <w:szCs w:val="20"/>
          <w:color w:val="auto"/>
        </w:rPr>
      </w:pPr>
    </w:p>
    <w:p>
      <w:pPr>
        <w:ind w:left="582" w:right="120" w:hanging="586"/>
        <w:spacing w:after="0" w:line="285" w:lineRule="auto"/>
        <w:tabs>
          <w:tab w:leader="none" w:pos="562" w:val="left"/>
        </w:tabs>
        <w:rPr>
          <w:sz w:val="20"/>
          <w:szCs w:val="20"/>
          <w:color w:val="auto"/>
        </w:rPr>
      </w:pPr>
      <w:r>
        <w:rPr>
          <w:rFonts w:ascii="Arial" w:cs="Arial" w:eastAsia="Arial" w:hAnsi="Arial"/>
          <w:sz w:val="16"/>
          <w:szCs w:val="16"/>
          <w:color w:val="auto"/>
        </w:rPr>
        <w:t>17.3</w:t>
      </w:r>
      <w:r>
        <w:rPr>
          <w:sz w:val="20"/>
          <w:szCs w:val="20"/>
          <w:color w:val="auto"/>
        </w:rPr>
        <w:tab/>
      </w:r>
      <w:r>
        <w:rPr>
          <w:rFonts w:ascii="Arial" w:cs="Arial" w:eastAsia="Arial" w:hAnsi="Arial"/>
          <w:sz w:val="16"/>
          <w:szCs w:val="16"/>
          <w:color w:val="auto"/>
        </w:rPr>
        <w:t>Relationship. Nothing in this Agreement gives or will give rise to any partnership or the relationship of principal and agent between any of the Parties. The Charity’s and CRT’s respective liability under this Agreement is several, and not joint or joint and several.</w:t>
      </w:r>
    </w:p>
    <w:p>
      <w:pPr>
        <w:spacing w:after="0" w:line="150" w:lineRule="exact"/>
        <w:rPr>
          <w:sz w:val="20"/>
          <w:szCs w:val="20"/>
          <w:color w:val="auto"/>
        </w:rPr>
      </w:pPr>
    </w:p>
    <w:p>
      <w:pPr>
        <w:ind w:left="582" w:hanging="586"/>
        <w:spacing w:after="0" w:line="262" w:lineRule="auto"/>
        <w:tabs>
          <w:tab w:leader="none" w:pos="562" w:val="left"/>
        </w:tabs>
        <w:rPr>
          <w:sz w:val="20"/>
          <w:szCs w:val="20"/>
          <w:color w:val="auto"/>
        </w:rPr>
      </w:pPr>
      <w:r>
        <w:rPr>
          <w:rFonts w:ascii="Arial" w:cs="Arial" w:eastAsia="Arial" w:hAnsi="Arial"/>
          <w:sz w:val="16"/>
          <w:szCs w:val="16"/>
          <w:color w:val="auto"/>
        </w:rPr>
        <w:t>17.4</w:t>
      </w:r>
      <w:r>
        <w:rPr>
          <w:sz w:val="20"/>
          <w:szCs w:val="20"/>
          <w:color w:val="auto"/>
        </w:rPr>
        <w:tab/>
      </w:r>
      <w:r>
        <w:rPr>
          <w:rFonts w:ascii="Arial" w:cs="Arial" w:eastAsia="Arial" w:hAnsi="Arial"/>
          <w:sz w:val="16"/>
          <w:szCs w:val="16"/>
          <w:color w:val="auto"/>
        </w:rPr>
        <w:t>Public Announcements. An agreed form of press release and question and answer guidelines concerning the execution and other aspects of this Agreement are attached hereto as Schedule 6. Subject to the other terms of this Agreement, each of the Charity and the Company may issue a further press release upon the first dosing of a Clinical Trial Subject in the Clinical Trial, but no Party may make any press or other public announcement concerning the execution or other aspect of this Agreement disclosing Confidential Information other than as agreed between the Parties or such as is included in the agreed form of press release and question and answer guidelines without the prior agreement of the other Parties.</w:t>
      </w:r>
    </w:p>
    <w:p>
      <w:pPr>
        <w:spacing w:after="0" w:line="17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17.5</w:t>
      </w:r>
      <w:r>
        <w:rPr>
          <w:sz w:val="20"/>
          <w:szCs w:val="20"/>
          <w:color w:val="auto"/>
        </w:rPr>
        <w:tab/>
      </w:r>
      <w:r>
        <w:rPr>
          <w:rFonts w:ascii="Arial" w:cs="Arial" w:eastAsia="Arial" w:hAnsi="Arial"/>
          <w:sz w:val="14"/>
          <w:szCs w:val="14"/>
          <w:color w:val="auto"/>
        </w:rPr>
        <w:t>Payments</w:t>
      </w:r>
    </w:p>
    <w:p>
      <w:pPr>
        <w:spacing w:after="0" w:line="207" w:lineRule="exact"/>
        <w:rPr>
          <w:sz w:val="20"/>
          <w:szCs w:val="20"/>
          <w:color w:val="auto"/>
        </w:rPr>
      </w:pPr>
    </w:p>
    <w:p>
      <w:pPr>
        <w:ind w:left="582" w:right="60" w:hanging="586"/>
        <w:spacing w:after="0" w:line="285" w:lineRule="auto"/>
        <w:tabs>
          <w:tab w:leader="none" w:pos="562" w:val="left"/>
        </w:tabs>
        <w:rPr>
          <w:sz w:val="20"/>
          <w:szCs w:val="20"/>
          <w:color w:val="auto"/>
        </w:rPr>
      </w:pPr>
      <w:r>
        <w:rPr>
          <w:rFonts w:ascii="Arial" w:cs="Arial" w:eastAsia="Arial" w:hAnsi="Arial"/>
          <w:sz w:val="16"/>
          <w:szCs w:val="16"/>
          <w:color w:val="auto"/>
        </w:rPr>
        <w:t>17.5.1</w:t>
        <w:tab/>
        <w:t>The Company will make all payments due to CRT or the Charity under this Agreement in cleared funds in pounds sterling to the bank accounts nominated by CRT or the Charity respectively.</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17.5.2</w:t>
      </w:r>
      <w:r>
        <w:rPr>
          <w:sz w:val="20"/>
          <w:szCs w:val="20"/>
          <w:color w:val="auto"/>
        </w:rPr>
        <w:tab/>
      </w:r>
      <w:r>
        <w:rPr>
          <w:rFonts w:ascii="Arial" w:cs="Arial" w:eastAsia="Arial" w:hAnsi="Arial"/>
          <w:sz w:val="14"/>
          <w:szCs w:val="14"/>
          <w:color w:val="auto"/>
        </w:rPr>
        <w:t>The Company will bear all costs of transmission and currency conversion.</w:t>
      </w:r>
    </w:p>
    <w:p>
      <w:pPr>
        <w:spacing w:after="0" w:line="207" w:lineRule="exact"/>
        <w:rPr>
          <w:sz w:val="20"/>
          <w:szCs w:val="20"/>
          <w:color w:val="auto"/>
        </w:rPr>
      </w:pPr>
    </w:p>
    <w:p>
      <w:pPr>
        <w:jc w:val="both"/>
        <w:ind w:left="582" w:right="360" w:hanging="586"/>
        <w:spacing w:after="0" w:line="296" w:lineRule="auto"/>
        <w:tabs>
          <w:tab w:leader="none" w:pos="562" w:val="left"/>
        </w:tabs>
        <w:rPr>
          <w:sz w:val="20"/>
          <w:szCs w:val="20"/>
          <w:color w:val="auto"/>
        </w:rPr>
      </w:pPr>
      <w:r>
        <w:rPr>
          <w:rFonts w:ascii="Arial" w:cs="Arial" w:eastAsia="Arial" w:hAnsi="Arial"/>
          <w:sz w:val="16"/>
          <w:szCs w:val="16"/>
          <w:color w:val="auto"/>
        </w:rPr>
        <w:t>17.5.3</w:t>
      </w:r>
      <w:r>
        <w:rPr>
          <w:sz w:val="20"/>
          <w:szCs w:val="20"/>
          <w:color w:val="auto"/>
        </w:rPr>
        <w:tab/>
      </w:r>
      <w:r>
        <w:rPr>
          <w:rFonts w:ascii="Arial" w:cs="Arial" w:eastAsia="Arial" w:hAnsi="Arial"/>
          <w:sz w:val="15"/>
          <w:szCs w:val="15"/>
          <w:color w:val="auto"/>
        </w:rPr>
        <w:t>All payments under this Agreement are expressed exclusive of value added tax however arising. If CRT, the Charity or the Company is obligated to charge value added tax in relation to any supply made or deemed to be made for tax purposes pursuant to this Agreement, the paying Party will pay that value added tax at the same time as, and in addition to, the payment to which the tax relates or, if earlier, on receipt of a tax invoice from the invoicing Party.</w:t>
      </w:r>
    </w:p>
    <w:p>
      <w:pPr>
        <w:spacing w:after="0" w:line="144" w:lineRule="exact"/>
        <w:rPr>
          <w:sz w:val="20"/>
          <w:szCs w:val="20"/>
          <w:color w:val="auto"/>
        </w:rPr>
      </w:pPr>
    </w:p>
    <w:p>
      <w:pPr>
        <w:ind w:left="582" w:right="200" w:hanging="586"/>
        <w:spacing w:after="0" w:line="285" w:lineRule="auto"/>
        <w:tabs>
          <w:tab w:leader="none" w:pos="562" w:val="left"/>
        </w:tabs>
        <w:rPr>
          <w:sz w:val="20"/>
          <w:szCs w:val="20"/>
          <w:color w:val="auto"/>
        </w:rPr>
      </w:pPr>
      <w:r>
        <w:rPr>
          <w:rFonts w:ascii="Arial" w:cs="Arial" w:eastAsia="Arial" w:hAnsi="Arial"/>
          <w:sz w:val="16"/>
          <w:szCs w:val="16"/>
          <w:color w:val="auto"/>
        </w:rPr>
        <w:t>17.5.4</w:t>
        <w:tab/>
        <w:t>Each Party will pay all amounts due under this Agreement in full without any deduction or withholding other than as required by law, and will not assert any credit, set-off or counterclaim to justify withholding payment of any amount due. Interest will accrue on all sums due and owing</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42"/>
          </w:cols>
          <w:pgMar w:left="238" w:top="322" w:right="219" w:bottom="1440" w:gutter="0" w:footer="0" w:header="0"/>
        </w:sectPr>
      </w:pPr>
    </w:p>
    <w:bookmarkStart w:id="597" w:name="page598"/>
    <w:bookmarkEnd w:id="597"/>
    <w:p>
      <w:pPr>
        <w:ind w:left="2" w:right="140" w:hanging="2"/>
        <w:spacing w:after="0" w:line="270" w:lineRule="auto"/>
        <w:tabs>
          <w:tab w:leader="none" w:pos="396" w:val="left"/>
        </w:tabs>
        <w:numPr>
          <w:ilvl w:val="0"/>
          <w:numId w:val="609"/>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602" w:right="180"/>
        <w:spacing w:after="0" w:line="285" w:lineRule="auto"/>
        <w:rPr>
          <w:sz w:val="20"/>
          <w:szCs w:val="20"/>
          <w:color w:val="auto"/>
        </w:rPr>
      </w:pPr>
      <w:r>
        <w:rPr>
          <w:rFonts w:ascii="Arial" w:cs="Arial" w:eastAsia="Arial" w:hAnsi="Arial"/>
          <w:sz w:val="16"/>
          <w:szCs w:val="16"/>
          <w:color w:val="auto"/>
        </w:rPr>
        <w:t>hereunder at an annual rate equal to an annual rate of [***] percent ([***]%) over the then current base rate of NatWest Bank, calculated on a daily basis, until the full amount is paid. A Party’s right to receive interest is without prejudice to its right to receive payment on the date due.</w:t>
      </w:r>
    </w:p>
    <w:p>
      <w:pPr>
        <w:spacing w:after="0" w:line="150" w:lineRule="exact"/>
        <w:rPr>
          <w:sz w:val="20"/>
          <w:szCs w:val="20"/>
          <w:color w:val="auto"/>
        </w:rPr>
      </w:pPr>
    </w:p>
    <w:p>
      <w:pPr>
        <w:ind w:left="582" w:hanging="586"/>
        <w:spacing w:after="0" w:line="270" w:lineRule="auto"/>
        <w:tabs>
          <w:tab w:leader="none" w:pos="562" w:val="left"/>
        </w:tabs>
        <w:rPr>
          <w:sz w:val="20"/>
          <w:szCs w:val="20"/>
          <w:color w:val="auto"/>
        </w:rPr>
      </w:pPr>
      <w:r>
        <w:rPr>
          <w:rFonts w:ascii="Arial" w:cs="Arial" w:eastAsia="Arial" w:hAnsi="Arial"/>
          <w:sz w:val="16"/>
          <w:szCs w:val="16"/>
          <w:color w:val="auto"/>
        </w:rPr>
        <w:t>17.5.5</w:t>
        <w:tab/>
        <w:t>If a Party is required by law to make any tax deduction or withholding, such Party will give reasonable assistance to the payee Party to claim exemption from or (if that is not possible) a credit for the deduction or withholding under any applicable double taxation or similar agreement from time to time in force, and will promptly give the payee Party proper evidence as to the deduction or withholding and payment over of the tax deducted or withheld.</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17.6</w:t>
      </w:r>
      <w:r>
        <w:rPr>
          <w:sz w:val="20"/>
          <w:szCs w:val="20"/>
          <w:color w:val="auto"/>
        </w:rPr>
        <w:tab/>
      </w:r>
      <w:r>
        <w:rPr>
          <w:rFonts w:ascii="Arial" w:cs="Arial" w:eastAsia="Arial" w:hAnsi="Arial"/>
          <w:sz w:val="14"/>
          <w:szCs w:val="14"/>
          <w:color w:val="auto"/>
        </w:rPr>
        <w:t>Data Protection</w:t>
      </w:r>
    </w:p>
    <w:p>
      <w:pPr>
        <w:spacing w:after="0" w:line="207" w:lineRule="exact"/>
        <w:rPr>
          <w:sz w:val="20"/>
          <w:szCs w:val="20"/>
          <w:color w:val="auto"/>
        </w:rPr>
      </w:pPr>
    </w:p>
    <w:p>
      <w:pPr>
        <w:ind w:left="582" w:right="380" w:hanging="586"/>
        <w:spacing w:after="0" w:line="285" w:lineRule="auto"/>
        <w:tabs>
          <w:tab w:leader="none" w:pos="562" w:val="left"/>
        </w:tabs>
        <w:rPr>
          <w:sz w:val="20"/>
          <w:szCs w:val="20"/>
          <w:color w:val="auto"/>
        </w:rPr>
      </w:pPr>
      <w:r>
        <w:rPr>
          <w:rFonts w:ascii="Arial" w:cs="Arial" w:eastAsia="Arial" w:hAnsi="Arial"/>
          <w:sz w:val="16"/>
          <w:szCs w:val="16"/>
          <w:color w:val="auto"/>
        </w:rPr>
        <w:t>17.6.1</w:t>
        <w:tab/>
        <w:t>Each Party’s attention is drawn to the Data Protection Act 1998 and Directive 95/46/EC of the European Parliament and any national or European legislation or regulations implementing or made in pursuance of them (the “</w:t>
      </w:r>
      <w:r>
        <w:rPr>
          <w:rFonts w:ascii="Arial" w:cs="Arial" w:eastAsia="Arial" w:hAnsi="Arial"/>
          <w:sz w:val="16"/>
          <w:szCs w:val="16"/>
          <w:b w:val="1"/>
          <w:bCs w:val="1"/>
          <w:color w:val="auto"/>
        </w:rPr>
        <w:t>Data Protection Requirements</w:t>
      </w:r>
      <w:r>
        <w:rPr>
          <w:rFonts w:ascii="Arial" w:cs="Arial" w:eastAsia="Arial" w:hAnsi="Arial"/>
          <w:sz w:val="16"/>
          <w:szCs w:val="16"/>
          <w:color w:val="auto"/>
        </w:rPr>
        <w:t>”).</w:t>
      </w:r>
    </w:p>
    <w:p>
      <w:pPr>
        <w:spacing w:after="0" w:line="150" w:lineRule="exact"/>
        <w:rPr>
          <w:sz w:val="20"/>
          <w:szCs w:val="20"/>
          <w:color w:val="auto"/>
        </w:rPr>
      </w:pPr>
    </w:p>
    <w:p>
      <w:pPr>
        <w:ind w:left="582" w:right="220" w:hanging="586"/>
        <w:spacing w:after="0" w:line="285" w:lineRule="auto"/>
        <w:tabs>
          <w:tab w:leader="none" w:pos="562" w:val="left"/>
        </w:tabs>
        <w:rPr>
          <w:sz w:val="20"/>
          <w:szCs w:val="20"/>
          <w:color w:val="auto"/>
        </w:rPr>
      </w:pPr>
      <w:r>
        <w:rPr>
          <w:rFonts w:ascii="Arial" w:cs="Arial" w:eastAsia="Arial" w:hAnsi="Arial"/>
          <w:sz w:val="16"/>
          <w:szCs w:val="16"/>
          <w:color w:val="auto"/>
        </w:rPr>
        <w:t>17.6.2</w:t>
        <w:tab/>
        <w:t>Each Party will observe its obligations under the Data Protection Requirements that arise in the performance of this Agreement, and will process and use personal data fairly and lawfully.</w:t>
      </w:r>
    </w:p>
    <w:p>
      <w:pPr>
        <w:spacing w:after="0" w:line="150" w:lineRule="exact"/>
        <w:rPr>
          <w:sz w:val="20"/>
          <w:szCs w:val="20"/>
          <w:color w:val="auto"/>
        </w:rPr>
      </w:pPr>
    </w:p>
    <w:p>
      <w:pPr>
        <w:ind w:left="582" w:right="40" w:hanging="586"/>
        <w:spacing w:after="0" w:line="265" w:lineRule="auto"/>
        <w:tabs>
          <w:tab w:leader="none" w:pos="562" w:val="left"/>
        </w:tabs>
        <w:rPr>
          <w:sz w:val="20"/>
          <w:szCs w:val="20"/>
          <w:color w:val="auto"/>
        </w:rPr>
      </w:pPr>
      <w:r>
        <w:rPr>
          <w:rFonts w:ascii="Arial" w:cs="Arial" w:eastAsia="Arial" w:hAnsi="Arial"/>
          <w:sz w:val="16"/>
          <w:szCs w:val="16"/>
          <w:color w:val="auto"/>
        </w:rPr>
        <w:t>17.6.3</w:t>
        <w:tab/>
        <w:t>At the Charity’s request, the Company will enter into an agreement with the Charity in respect of the transfer of personal data (as defined in the Data Protection Act 1998) based on the standard contractual clauses governing data transfers recommended or approved by the UK’s Information Commissioner’s Office (or any successor) from time to time. Irrespective of any other provision of this Agreement, the Charity will have no obligation to transfer any personal data to the Company unless and until the Company enters into that data transfer agreement.</w:t>
      </w:r>
    </w:p>
    <w:p>
      <w:pPr>
        <w:spacing w:after="0" w:line="16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17.7</w:t>
      </w:r>
      <w:r>
        <w:rPr>
          <w:sz w:val="20"/>
          <w:szCs w:val="20"/>
          <w:color w:val="auto"/>
        </w:rPr>
        <w:tab/>
      </w:r>
      <w:r>
        <w:rPr>
          <w:rFonts w:ascii="Arial" w:cs="Arial" w:eastAsia="Arial" w:hAnsi="Arial"/>
          <w:sz w:val="14"/>
          <w:szCs w:val="14"/>
          <w:color w:val="auto"/>
        </w:rPr>
        <w:t>Force Majeure</w:t>
      </w:r>
    </w:p>
    <w:p>
      <w:pPr>
        <w:spacing w:after="0" w:line="207" w:lineRule="exact"/>
        <w:rPr>
          <w:sz w:val="20"/>
          <w:szCs w:val="20"/>
          <w:color w:val="auto"/>
        </w:rPr>
      </w:pPr>
    </w:p>
    <w:p>
      <w:pPr>
        <w:ind w:left="582" w:right="80" w:hanging="586"/>
        <w:spacing w:after="0" w:line="320" w:lineRule="auto"/>
        <w:tabs>
          <w:tab w:leader="none" w:pos="562" w:val="left"/>
        </w:tabs>
        <w:rPr>
          <w:sz w:val="20"/>
          <w:szCs w:val="20"/>
          <w:color w:val="auto"/>
        </w:rPr>
      </w:pPr>
      <w:r>
        <w:rPr>
          <w:rFonts w:ascii="Arial" w:cs="Arial" w:eastAsia="Arial" w:hAnsi="Arial"/>
          <w:sz w:val="16"/>
          <w:szCs w:val="16"/>
          <w:color w:val="auto"/>
        </w:rPr>
        <w:t>17.7.1</w:t>
      </w:r>
      <w:r>
        <w:rPr>
          <w:sz w:val="20"/>
          <w:szCs w:val="20"/>
          <w:color w:val="auto"/>
        </w:rPr>
        <w:tab/>
      </w:r>
      <w:r>
        <w:rPr>
          <w:rFonts w:ascii="Arial" w:cs="Arial" w:eastAsia="Arial" w:hAnsi="Arial"/>
          <w:sz w:val="15"/>
          <w:szCs w:val="15"/>
          <w:color w:val="auto"/>
        </w:rPr>
        <w:t>If a Party is delayed in performing or fails to perform its obligations (other than payment obligations) under this Agreement because of strike, riot, civil commotion, fire, acts of God or other circumstances beyond its reasonable control (“</w:t>
      </w:r>
      <w:r>
        <w:rPr>
          <w:rFonts w:ascii="Arial" w:cs="Arial" w:eastAsia="Arial" w:hAnsi="Arial"/>
          <w:sz w:val="15"/>
          <w:szCs w:val="15"/>
          <w:b w:val="1"/>
          <w:bCs w:val="1"/>
          <w:color w:val="auto"/>
        </w:rPr>
        <w:t>Force Majeure</w:t>
      </w:r>
      <w:r>
        <w:rPr>
          <w:rFonts w:ascii="Arial" w:cs="Arial" w:eastAsia="Arial" w:hAnsi="Arial"/>
          <w:sz w:val="15"/>
          <w:szCs w:val="15"/>
          <w:color w:val="auto"/>
        </w:rPr>
        <w:t>”), it will give prompt notice of the Force Majeure to the other Parties.</w:t>
      </w:r>
    </w:p>
    <w:p>
      <w:pPr>
        <w:spacing w:after="0" w:line="127" w:lineRule="exact"/>
        <w:rPr>
          <w:sz w:val="20"/>
          <w:szCs w:val="20"/>
          <w:color w:val="auto"/>
        </w:rPr>
      </w:pPr>
    </w:p>
    <w:p>
      <w:pPr>
        <w:ind w:left="582" w:right="220" w:hanging="586"/>
        <w:spacing w:after="0" w:line="285" w:lineRule="auto"/>
        <w:tabs>
          <w:tab w:leader="none" w:pos="562" w:val="left"/>
        </w:tabs>
        <w:rPr>
          <w:sz w:val="20"/>
          <w:szCs w:val="20"/>
          <w:color w:val="auto"/>
        </w:rPr>
      </w:pPr>
      <w:r>
        <w:rPr>
          <w:rFonts w:ascii="Arial" w:cs="Arial" w:eastAsia="Arial" w:hAnsi="Arial"/>
          <w:sz w:val="16"/>
          <w:szCs w:val="16"/>
          <w:color w:val="auto"/>
        </w:rPr>
        <w:t>17.7.2</w:t>
        <w:tab/>
        <w:t>The Party giving notice of a Force Majeure will be excused from the performance of the relevant obligations for as long as it continues to be affected by the Force Majeure, and will perform its obligations as soon as the Force Majeure circumstances cease to affect its operations.</w:t>
      </w:r>
    </w:p>
    <w:p>
      <w:pPr>
        <w:spacing w:after="0" w:line="150" w:lineRule="exact"/>
        <w:rPr>
          <w:sz w:val="20"/>
          <w:szCs w:val="20"/>
          <w:color w:val="auto"/>
        </w:rPr>
      </w:pPr>
    </w:p>
    <w:p>
      <w:pPr>
        <w:jc w:val="both"/>
        <w:ind w:left="582" w:right="40" w:hanging="586"/>
        <w:spacing w:after="0" w:line="326" w:lineRule="auto"/>
        <w:tabs>
          <w:tab w:leader="none" w:pos="562" w:val="left"/>
        </w:tabs>
        <w:rPr>
          <w:sz w:val="20"/>
          <w:szCs w:val="20"/>
          <w:color w:val="auto"/>
        </w:rPr>
      </w:pPr>
      <w:r>
        <w:rPr>
          <w:rFonts w:ascii="Arial" w:cs="Arial" w:eastAsia="Arial" w:hAnsi="Arial"/>
          <w:sz w:val="16"/>
          <w:szCs w:val="16"/>
          <w:color w:val="auto"/>
        </w:rPr>
        <w:t>17.7.3</w:t>
      </w:r>
      <w:r>
        <w:rPr>
          <w:sz w:val="20"/>
          <w:szCs w:val="20"/>
          <w:color w:val="auto"/>
        </w:rPr>
        <w:tab/>
      </w:r>
      <w:r>
        <w:rPr>
          <w:rFonts w:ascii="Arial" w:cs="Arial" w:eastAsia="Arial" w:hAnsi="Arial"/>
          <w:sz w:val="14"/>
          <w:szCs w:val="14"/>
          <w:color w:val="auto"/>
        </w:rPr>
        <w:t>If the Force Majeure continues for a period of: (a) fourteen (14) days or more for obligations arising under clause 3 or 5.3 of this Agreement or under any Technical Agreement; and (b) twelve (12) weeks or more for obligations arising under all other provisions, the Parties will meet to discuss in good faith what actions to take or what modification should be made to this Agreement as a consequence of such Force Majeure in order to alleviate its consequences on the affected Party.</w:t>
      </w:r>
    </w:p>
    <w:p>
      <w:pPr>
        <w:spacing w:after="0" w:line="126" w:lineRule="exact"/>
        <w:rPr>
          <w:sz w:val="20"/>
          <w:szCs w:val="20"/>
          <w:color w:val="auto"/>
        </w:rPr>
      </w:pPr>
    </w:p>
    <w:p>
      <w:pPr>
        <w:jc w:val="both"/>
        <w:ind w:left="582" w:right="20" w:hanging="586"/>
        <w:spacing w:after="0" w:line="285" w:lineRule="auto"/>
        <w:tabs>
          <w:tab w:leader="none" w:pos="562" w:val="left"/>
        </w:tabs>
        <w:rPr>
          <w:sz w:val="20"/>
          <w:szCs w:val="20"/>
          <w:color w:val="auto"/>
        </w:rPr>
      </w:pPr>
      <w:r>
        <w:rPr>
          <w:rFonts w:ascii="Arial" w:cs="Arial" w:eastAsia="Arial" w:hAnsi="Arial"/>
          <w:sz w:val="16"/>
          <w:szCs w:val="16"/>
          <w:color w:val="auto"/>
        </w:rPr>
        <w:t>17.8</w:t>
      </w:r>
      <w:r>
        <w:rPr>
          <w:sz w:val="20"/>
          <w:szCs w:val="20"/>
          <w:color w:val="auto"/>
        </w:rPr>
        <w:tab/>
      </w:r>
      <w:r>
        <w:rPr>
          <w:rFonts w:ascii="Arial" w:cs="Arial" w:eastAsia="Arial" w:hAnsi="Arial"/>
          <w:sz w:val="16"/>
          <w:szCs w:val="16"/>
          <w:color w:val="auto"/>
        </w:rPr>
        <w:t>No Assignment. Neither the Company, on the one hand, nor the Charity and CRT, on the other hand, may assign, transfer, charge, encumber, sub-contract (other than to a Third Party Service Provider) or otherwise deal with any of its rights (or obligations) under this Agreement, except as</w:t>
      </w:r>
    </w:p>
    <w:p>
      <w:pPr>
        <w:spacing w:after="0" w:line="150"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62"/>
          </w:cols>
          <w:pgMar w:left="238" w:top="323" w:right="299" w:bottom="1440" w:gutter="0" w:footer="0" w:header="0"/>
        </w:sectPr>
      </w:pPr>
    </w:p>
    <w:bookmarkStart w:id="598" w:name="page599"/>
    <w:bookmarkEnd w:id="598"/>
    <w:p>
      <w:pPr>
        <w:ind w:left="2" w:right="220" w:hanging="2"/>
        <w:spacing w:after="0" w:line="270" w:lineRule="auto"/>
        <w:tabs>
          <w:tab w:leader="none" w:pos="396" w:val="left"/>
        </w:tabs>
        <w:numPr>
          <w:ilvl w:val="0"/>
          <w:numId w:val="610"/>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320"/>
        <w:spacing w:after="0" w:line="285" w:lineRule="auto"/>
        <w:rPr>
          <w:sz w:val="20"/>
          <w:szCs w:val="20"/>
          <w:color w:val="auto"/>
        </w:rPr>
      </w:pPr>
      <w:r>
        <w:rPr>
          <w:rFonts w:ascii="Arial" w:cs="Arial" w:eastAsia="Arial" w:hAnsi="Arial"/>
          <w:sz w:val="16"/>
          <w:szCs w:val="16"/>
          <w:color w:val="auto"/>
        </w:rPr>
        <w:t>expressly provided in this Agreement (which, for the avoidance of doubt, includes the right of the Charity pursuant to clause 1.3 to sub-contract or otherwise deal with Contributors engaged in the performance of the Clinical Trial).</w:t>
      </w:r>
    </w:p>
    <w:p>
      <w:pPr>
        <w:spacing w:after="0" w:line="150"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17.9</w:t>
      </w:r>
      <w:r>
        <w:rPr>
          <w:sz w:val="20"/>
          <w:szCs w:val="20"/>
          <w:color w:val="auto"/>
        </w:rPr>
        <w:tab/>
      </w:r>
      <w:r>
        <w:rPr>
          <w:rFonts w:ascii="Arial" w:cs="Arial" w:eastAsia="Arial" w:hAnsi="Arial"/>
          <w:sz w:val="14"/>
          <w:szCs w:val="14"/>
          <w:color w:val="auto"/>
        </w:rPr>
        <w:t>Notices</w:t>
      </w:r>
    </w:p>
    <w:p>
      <w:pPr>
        <w:spacing w:after="0" w:line="207" w:lineRule="exact"/>
        <w:rPr>
          <w:sz w:val="20"/>
          <w:szCs w:val="20"/>
          <w:color w:val="auto"/>
        </w:rPr>
      </w:pPr>
    </w:p>
    <w:p>
      <w:pPr>
        <w:ind w:left="582" w:hanging="586"/>
        <w:spacing w:after="0" w:line="270" w:lineRule="auto"/>
        <w:tabs>
          <w:tab w:leader="none" w:pos="562" w:val="left"/>
        </w:tabs>
        <w:rPr>
          <w:sz w:val="20"/>
          <w:szCs w:val="20"/>
          <w:color w:val="auto"/>
        </w:rPr>
      </w:pPr>
      <w:r>
        <w:rPr>
          <w:rFonts w:ascii="Arial" w:cs="Arial" w:eastAsia="Arial" w:hAnsi="Arial"/>
          <w:sz w:val="16"/>
          <w:szCs w:val="16"/>
          <w:color w:val="auto"/>
        </w:rPr>
        <w:t>17.9.1</w:t>
        <w:tab/>
        <w:t>Notices must be sent to the recipient Party’s address set out on the front of this document, sent by a method described in clause 17.9.2 of this Agreement and be marked for the attention of the Executive Officer of the recipient Party (with a copy, in the case of Charity and the Company, to their respective Project Leaders), or to any other address notified to the other Parties under this Agreement.</w:t>
      </w:r>
    </w:p>
    <w:p>
      <w:pPr>
        <w:spacing w:after="0" w:line="162"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17.9.2</w:t>
      </w:r>
      <w:r>
        <w:rPr>
          <w:sz w:val="20"/>
          <w:szCs w:val="20"/>
          <w:color w:val="auto"/>
        </w:rPr>
        <w:tab/>
      </w:r>
      <w:r>
        <w:rPr>
          <w:rFonts w:ascii="Arial" w:cs="Arial" w:eastAsia="Arial" w:hAnsi="Arial"/>
          <w:sz w:val="15"/>
          <w:szCs w:val="15"/>
          <w:color w:val="auto"/>
        </w:rPr>
        <w:t>Notices will be deemed served: (i) upon delivery, if given in person; (ii) three (3) days after posting, if sent domestically by first class ‘signed for’ post; and (iii) five</w:t>
      </w:r>
    </w:p>
    <w:p>
      <w:pPr>
        <w:spacing w:after="0" w:line="2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(5) days after posting, if sent by ‘signed for’ airmail.</w:t>
      </w:r>
    </w:p>
    <w:p>
      <w:pPr>
        <w:spacing w:after="0" w:line="196" w:lineRule="exact"/>
        <w:rPr>
          <w:sz w:val="20"/>
          <w:szCs w:val="20"/>
          <w:color w:val="auto"/>
        </w:rPr>
      </w:pPr>
    </w:p>
    <w:p>
      <w:pPr>
        <w:ind w:left="582" w:right="220" w:hanging="586"/>
        <w:spacing w:after="0" w:line="285" w:lineRule="auto"/>
        <w:tabs>
          <w:tab w:leader="none" w:pos="562" w:val="left"/>
        </w:tabs>
        <w:rPr>
          <w:sz w:val="20"/>
          <w:szCs w:val="20"/>
          <w:color w:val="auto"/>
        </w:rPr>
      </w:pPr>
      <w:r>
        <w:rPr>
          <w:rFonts w:ascii="Arial" w:cs="Arial" w:eastAsia="Arial" w:hAnsi="Arial"/>
          <w:sz w:val="16"/>
          <w:szCs w:val="16"/>
          <w:color w:val="auto"/>
        </w:rPr>
        <w:t>17.10</w:t>
        <w:tab/>
        <w:t>Amendments. No variation, modification, amendment, extension or release from any provision of this Agreement will be effective unless it is in writing and signed by all Parties to be bound thereby.</w:t>
      </w:r>
    </w:p>
    <w:p>
      <w:pPr>
        <w:spacing w:after="0" w:line="150" w:lineRule="exact"/>
        <w:rPr>
          <w:sz w:val="20"/>
          <w:szCs w:val="20"/>
          <w:color w:val="auto"/>
        </w:rPr>
      </w:pPr>
    </w:p>
    <w:p>
      <w:pPr>
        <w:ind w:left="2"/>
        <w:spacing w:after="0"/>
        <w:tabs>
          <w:tab w:leader="none" w:pos="542" w:val="left"/>
        </w:tabs>
        <w:rPr>
          <w:sz w:val="20"/>
          <w:szCs w:val="20"/>
          <w:color w:val="auto"/>
        </w:rPr>
      </w:pPr>
      <w:r>
        <w:rPr>
          <w:rFonts w:ascii="Arial" w:cs="Arial" w:eastAsia="Arial" w:hAnsi="Arial"/>
          <w:sz w:val="16"/>
          <w:szCs w:val="16"/>
          <w:color w:val="auto"/>
        </w:rPr>
        <w:t>17.11</w:t>
      </w:r>
      <w:r>
        <w:rPr>
          <w:sz w:val="20"/>
          <w:szCs w:val="20"/>
          <w:color w:val="auto"/>
        </w:rPr>
        <w:tab/>
      </w:r>
      <w:r>
        <w:rPr>
          <w:rFonts w:ascii="Arial" w:cs="Arial" w:eastAsia="Arial" w:hAnsi="Arial"/>
          <w:sz w:val="14"/>
          <w:szCs w:val="14"/>
          <w:color w:val="auto"/>
        </w:rPr>
        <w:t>Entire Agreement</w:t>
      </w:r>
    </w:p>
    <w:p>
      <w:pPr>
        <w:spacing w:after="0" w:line="207" w:lineRule="exact"/>
        <w:rPr>
          <w:sz w:val="20"/>
          <w:szCs w:val="20"/>
          <w:color w:val="auto"/>
        </w:rPr>
      </w:pPr>
    </w:p>
    <w:p>
      <w:pPr>
        <w:jc w:val="both"/>
        <w:ind w:left="582" w:right="60" w:hanging="586"/>
        <w:spacing w:after="0" w:line="296" w:lineRule="auto"/>
        <w:rPr>
          <w:sz w:val="20"/>
          <w:szCs w:val="20"/>
          <w:color w:val="auto"/>
        </w:rPr>
      </w:pPr>
      <w:r>
        <w:rPr>
          <w:rFonts w:ascii="Arial" w:cs="Arial" w:eastAsia="Arial" w:hAnsi="Arial"/>
          <w:sz w:val="15"/>
          <w:szCs w:val="15"/>
          <w:color w:val="auto"/>
        </w:rPr>
        <w:t>17.11.1 This Agreement (together with any Technical Agreement entered into by the Company and the Charity and any amendments to this Agreement agreed by the Parties in accordance with clause 17.10 of this Agreement) represent the entire understanding, and constitutes the whole agreement, in connection with its subject matter and supersedes all previous agreements, understandings or arrangements between the Parties in connection with its subject matter.</w:t>
      </w:r>
    </w:p>
    <w:p>
      <w:pPr>
        <w:spacing w:after="0" w:line="140" w:lineRule="exact"/>
        <w:rPr>
          <w:sz w:val="20"/>
          <w:szCs w:val="20"/>
          <w:color w:val="auto"/>
        </w:rPr>
      </w:pPr>
    </w:p>
    <w:p>
      <w:pPr>
        <w:ind w:left="582" w:right="40" w:hanging="586"/>
        <w:spacing w:after="0" w:line="267" w:lineRule="auto"/>
        <w:rPr>
          <w:sz w:val="20"/>
          <w:szCs w:val="20"/>
          <w:color w:val="auto"/>
        </w:rPr>
      </w:pPr>
      <w:r>
        <w:rPr>
          <w:rFonts w:ascii="Arial" w:cs="Arial" w:eastAsia="Arial" w:hAnsi="Arial"/>
          <w:sz w:val="16"/>
          <w:szCs w:val="16"/>
          <w:color w:val="auto"/>
        </w:rPr>
        <w:t>17.11.2 Upon signature of this Agreement, the Confidential Disclosure Agreement between the Parties dated 6 March 2015 (the “</w:t>
      </w:r>
      <w:r>
        <w:rPr>
          <w:rFonts w:ascii="Arial" w:cs="Arial" w:eastAsia="Arial" w:hAnsi="Arial"/>
          <w:sz w:val="16"/>
          <w:szCs w:val="16"/>
          <w:b w:val="1"/>
          <w:bCs w:val="1"/>
          <w:color w:val="auto"/>
        </w:rPr>
        <w:t>Existing CDA</w:t>
      </w:r>
      <w:r>
        <w:rPr>
          <w:rFonts w:ascii="Arial" w:cs="Arial" w:eastAsia="Arial" w:hAnsi="Arial"/>
          <w:sz w:val="16"/>
          <w:szCs w:val="16"/>
          <w:color w:val="auto"/>
        </w:rPr>
        <w:t>”) will terminate automatically. This Agreement will prevail if there is any inconsistency between the terms of this Agreement and those of the Existing CDA, save that any confidentiality period imposed under the Existing CDA will apply to, and only to, Confidential Information disclosed before the Start Date under the Existing CDA if that confidentiality period is shorter than that imposed under clause 11.5 of this Agreement.</w:t>
      </w:r>
    </w:p>
    <w:p>
      <w:pPr>
        <w:spacing w:after="0" w:line="163" w:lineRule="exact"/>
        <w:rPr>
          <w:sz w:val="20"/>
          <w:szCs w:val="20"/>
          <w:color w:val="auto"/>
        </w:rPr>
      </w:pPr>
    </w:p>
    <w:p>
      <w:pPr>
        <w:ind w:left="582" w:right="40" w:hanging="586"/>
        <w:spacing w:after="0" w:line="270" w:lineRule="auto"/>
        <w:rPr>
          <w:sz w:val="20"/>
          <w:szCs w:val="20"/>
          <w:color w:val="auto"/>
        </w:rPr>
      </w:pPr>
      <w:r>
        <w:rPr>
          <w:rFonts w:ascii="Arial" w:cs="Arial" w:eastAsia="Arial" w:hAnsi="Arial"/>
          <w:sz w:val="16"/>
          <w:szCs w:val="16"/>
          <w:color w:val="auto"/>
        </w:rPr>
        <w:t>17.11.3 If there is any inconsistency between the Cover Sheet, the terms and conditions of this Agreement and any Technical Agreement entered into by the Company and the Charity, the following order of priority will apply (with the first being given the greatest priority): (a) the Cover Sheet; (b) the terms and conditions of this Agreement; and (c) the Technical Agreement.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color w:val="auto"/>
        </w:rPr>
        <w:t>17.11.4 Nothing in this Agreement excludes a Party’s liability to the other for fraudulent misrepresentation or fraudulent misstatement.</w:t>
      </w:r>
    </w:p>
    <w:p>
      <w:pPr>
        <w:spacing w:after="0" w:line="207" w:lineRule="exact"/>
        <w:rPr>
          <w:sz w:val="20"/>
          <w:szCs w:val="20"/>
          <w:color w:val="auto"/>
        </w:rPr>
      </w:pPr>
    </w:p>
    <w:p>
      <w:pPr>
        <w:ind w:left="582" w:right="140" w:hanging="586"/>
        <w:spacing w:after="0" w:line="270" w:lineRule="auto"/>
        <w:tabs>
          <w:tab w:leader="none" w:pos="562" w:val="left"/>
        </w:tabs>
        <w:rPr>
          <w:sz w:val="20"/>
          <w:szCs w:val="20"/>
          <w:color w:val="auto"/>
        </w:rPr>
      </w:pPr>
      <w:r>
        <w:rPr>
          <w:rFonts w:ascii="Arial" w:cs="Arial" w:eastAsia="Arial" w:hAnsi="Arial"/>
          <w:sz w:val="16"/>
          <w:szCs w:val="16"/>
          <w:color w:val="auto"/>
        </w:rPr>
        <w:t>17.12</w:t>
        <w:tab/>
        <w:t>Waiver. A Party does not waive a right, power or remedy if it fails to exercise or delays in exercising that right, power or remedy. A single or partial exercise of a right, power or remedy does not prevent another or further exercise of that right, power or remedy. Any waiver must be in writing and signed by the Party giving the waiver.</w:t>
      </w:r>
    </w:p>
    <w:p>
      <w:pPr>
        <w:spacing w:after="0" w:line="1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42"/>
          </w:cols>
          <w:pgMar w:left="238" w:top="323" w:right="219" w:bottom="1440" w:gutter="0" w:footer="0" w:header="0"/>
        </w:sectPr>
      </w:pPr>
    </w:p>
    <w:bookmarkStart w:id="599" w:name="page600"/>
    <w:bookmarkEnd w:id="599"/>
    <w:p>
      <w:pPr>
        <w:ind w:left="2" w:right="180" w:hanging="2"/>
        <w:spacing w:after="0" w:line="270" w:lineRule="auto"/>
        <w:tabs>
          <w:tab w:leader="none" w:pos="396" w:val="left"/>
        </w:tabs>
        <w:numPr>
          <w:ilvl w:val="0"/>
          <w:numId w:val="611"/>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180" w:hanging="586"/>
        <w:spacing w:after="0" w:line="285" w:lineRule="auto"/>
        <w:tabs>
          <w:tab w:leader="none" w:pos="562" w:val="left"/>
        </w:tabs>
        <w:rPr>
          <w:sz w:val="20"/>
          <w:szCs w:val="20"/>
          <w:color w:val="auto"/>
        </w:rPr>
      </w:pPr>
      <w:r>
        <w:rPr>
          <w:rFonts w:ascii="Arial" w:cs="Arial" w:eastAsia="Arial" w:hAnsi="Arial"/>
          <w:sz w:val="16"/>
          <w:szCs w:val="16"/>
          <w:color w:val="auto"/>
        </w:rPr>
        <w:t>17.13</w:t>
        <w:tab/>
        <w:t>Severability. A term or part of a term of this Agreement that is illegal or unenforceable may be severed from this Agreement, and the remaining terms or part of the terms of this Agreement will continue in force.</w:t>
      </w:r>
    </w:p>
    <w:p>
      <w:pPr>
        <w:spacing w:after="0" w:line="150" w:lineRule="exact"/>
        <w:rPr>
          <w:sz w:val="20"/>
          <w:szCs w:val="20"/>
          <w:color w:val="auto"/>
        </w:rPr>
      </w:pPr>
    </w:p>
    <w:p>
      <w:pPr>
        <w:ind w:left="582" w:hanging="586"/>
        <w:spacing w:after="0" w:line="265" w:lineRule="auto"/>
        <w:tabs>
          <w:tab w:leader="none" w:pos="562" w:val="left"/>
        </w:tabs>
        <w:rPr>
          <w:sz w:val="20"/>
          <w:szCs w:val="20"/>
          <w:color w:val="auto"/>
        </w:rPr>
      </w:pPr>
      <w:r>
        <w:rPr>
          <w:rFonts w:ascii="Arial" w:cs="Arial" w:eastAsia="Arial" w:hAnsi="Arial"/>
          <w:sz w:val="16"/>
          <w:szCs w:val="16"/>
          <w:color w:val="auto"/>
        </w:rPr>
        <w:t>17.14</w:t>
        <w:tab/>
        <w:t>Law and Jurisdiction. This Agreement (and any non-contractual dispute or claim related to it or its subject matter) is governed by the laws of England and Wales (or in the event that Wales becomes an independent country, the laws of England). Each Party irrevocably and unconditionally submits to the exclusive jurisdiction of the English courts in respect of disputes arising out of or in connection with it (except in respect of disputes under clause 11 of this Agreement, where jurisdiction is non-exclusive).</w:t>
      </w:r>
    </w:p>
    <w:p>
      <w:pPr>
        <w:spacing w:after="0" w:line="166" w:lineRule="exact"/>
        <w:rPr>
          <w:sz w:val="20"/>
          <w:szCs w:val="20"/>
          <w:color w:val="auto"/>
        </w:rPr>
      </w:pPr>
    </w:p>
    <w:p>
      <w:pPr>
        <w:ind w:left="582" w:right="100" w:hanging="586"/>
        <w:spacing w:after="0" w:line="285" w:lineRule="auto"/>
        <w:tabs>
          <w:tab w:leader="none" w:pos="562" w:val="left"/>
        </w:tabs>
        <w:rPr>
          <w:sz w:val="20"/>
          <w:szCs w:val="20"/>
          <w:color w:val="auto"/>
        </w:rPr>
      </w:pPr>
      <w:r>
        <w:rPr>
          <w:rFonts w:ascii="Arial" w:cs="Arial" w:eastAsia="Arial" w:hAnsi="Arial"/>
          <w:sz w:val="16"/>
          <w:szCs w:val="16"/>
          <w:color w:val="auto"/>
        </w:rPr>
        <w:t>17.15</w:t>
        <w:tab/>
        <w:t>Counterparts. This Agreement may be executed in counterparts. All executed counterparts constitute one document. The Parties may exchange executed originals of this Agreement by pdf, which will effect binding and valid delivery of this Agreement.</w:t>
      </w:r>
    </w:p>
    <w:p>
      <w:pPr>
        <w:spacing w:after="0" w:line="150" w:lineRule="exact"/>
        <w:rPr>
          <w:sz w:val="20"/>
          <w:szCs w:val="20"/>
          <w:color w:val="auto"/>
        </w:rPr>
      </w:pPr>
    </w:p>
    <w:p>
      <w:pPr>
        <w:ind w:left="582" w:right="80" w:hanging="586"/>
        <w:spacing w:after="0" w:line="265" w:lineRule="auto"/>
        <w:tabs>
          <w:tab w:leader="none" w:pos="562" w:val="left"/>
        </w:tabs>
        <w:rPr>
          <w:sz w:val="20"/>
          <w:szCs w:val="20"/>
          <w:color w:val="auto"/>
        </w:rPr>
      </w:pPr>
      <w:r>
        <w:rPr>
          <w:rFonts w:ascii="Arial" w:cs="Arial" w:eastAsia="Arial" w:hAnsi="Arial"/>
          <w:sz w:val="16"/>
          <w:szCs w:val="16"/>
          <w:color w:val="auto"/>
        </w:rPr>
        <w:t>17.16</w:t>
        <w:tab/>
        <w:t>Third Parties. The third parties identified in clauses 6 (rights), 12 (publication), 13.1 (liability), 14.1 and 14.3 (indemnities) of this Agreement and section 7.3 of the Licence Terms, (the “</w:t>
      </w:r>
      <w:r>
        <w:rPr>
          <w:rFonts w:ascii="Arial" w:cs="Arial" w:eastAsia="Arial" w:hAnsi="Arial"/>
          <w:sz w:val="16"/>
          <w:szCs w:val="16"/>
          <w:b w:val="1"/>
          <w:bCs w:val="1"/>
          <w:color w:val="auto"/>
        </w:rPr>
        <w:t>Third Party Beneficiaries</w:t>
      </w:r>
      <w:r>
        <w:rPr>
          <w:rFonts w:ascii="Arial" w:cs="Arial" w:eastAsia="Arial" w:hAnsi="Arial"/>
          <w:sz w:val="16"/>
          <w:szCs w:val="16"/>
          <w:color w:val="auto"/>
        </w:rPr>
        <w:t>”) have the benefit of those respective provisions. Other than the Third Party Beneficiaries, this Agreement does not create any rights enforceable by anyone other than the Parties. The Parties may amend, suspend, cancel or terminate this Agreement without consent of any third party, including the Third Party Beneficiaries.</w:t>
      </w:r>
    </w:p>
    <w:p>
      <w:pPr>
        <w:spacing w:after="0" w:line="166" w:lineRule="exact"/>
        <w:rPr>
          <w:sz w:val="20"/>
          <w:szCs w:val="20"/>
          <w:color w:val="auto"/>
        </w:rPr>
      </w:pPr>
    </w:p>
    <w:p>
      <w:pPr>
        <w:ind w:left="2"/>
        <w:spacing w:after="0"/>
        <w:tabs>
          <w:tab w:leader="none" w:pos="562" w:val="left"/>
        </w:tabs>
        <w:rPr>
          <w:sz w:val="20"/>
          <w:szCs w:val="20"/>
          <w:color w:val="auto"/>
        </w:rPr>
      </w:pPr>
      <w:r>
        <w:rPr>
          <w:rFonts w:ascii="Arial" w:cs="Arial" w:eastAsia="Arial" w:hAnsi="Arial"/>
          <w:sz w:val="16"/>
          <w:szCs w:val="16"/>
          <w:color w:val="auto"/>
        </w:rPr>
        <w:t>17.17</w:t>
      </w:r>
      <w:r>
        <w:rPr>
          <w:sz w:val="20"/>
          <w:szCs w:val="20"/>
          <w:color w:val="auto"/>
        </w:rPr>
        <w:tab/>
      </w:r>
      <w:r>
        <w:rPr>
          <w:rFonts w:ascii="Arial" w:cs="Arial" w:eastAsia="Arial" w:hAnsi="Arial"/>
          <w:sz w:val="14"/>
          <w:szCs w:val="14"/>
          <w:color w:val="auto"/>
        </w:rPr>
        <w:t>Disputes</w:t>
      </w:r>
    </w:p>
    <w:p>
      <w:pPr>
        <w:spacing w:after="0" w:line="207" w:lineRule="exact"/>
        <w:rPr>
          <w:sz w:val="20"/>
          <w:szCs w:val="20"/>
          <w:color w:val="auto"/>
        </w:rPr>
      </w:pPr>
    </w:p>
    <w:p>
      <w:pPr>
        <w:ind w:left="582" w:right="740" w:hanging="586"/>
        <w:spacing w:after="0" w:line="320" w:lineRule="auto"/>
        <w:rPr>
          <w:sz w:val="20"/>
          <w:szCs w:val="20"/>
          <w:color w:val="auto"/>
        </w:rPr>
      </w:pPr>
      <w:r>
        <w:rPr>
          <w:rFonts w:ascii="Arial" w:cs="Arial" w:eastAsia="Arial" w:hAnsi="Arial"/>
          <w:sz w:val="15"/>
          <w:szCs w:val="15"/>
          <w:color w:val="auto"/>
        </w:rPr>
        <w:t>17.17.1 No Party may refer any dispute to an expert, or issue or bring any action in court or other tribunal (other than an interim injunction) in connection with this Agreement or the Clinical Trial unless the Parties have sought to resolve the dispute through their respective Executive Officers.</w:t>
      </w:r>
    </w:p>
    <w:p>
      <w:pPr>
        <w:spacing w:after="0" w:line="127" w:lineRule="exact"/>
        <w:rPr>
          <w:sz w:val="20"/>
          <w:szCs w:val="20"/>
          <w:color w:val="auto"/>
        </w:rPr>
      </w:pPr>
    </w:p>
    <w:p>
      <w:pPr>
        <w:ind w:left="582" w:right="80" w:hanging="586"/>
        <w:spacing w:after="0" w:line="285" w:lineRule="auto"/>
        <w:rPr>
          <w:sz w:val="20"/>
          <w:szCs w:val="20"/>
          <w:color w:val="auto"/>
        </w:rPr>
      </w:pPr>
      <w:r>
        <w:rPr>
          <w:rFonts w:ascii="Arial" w:cs="Arial" w:eastAsia="Arial" w:hAnsi="Arial"/>
          <w:sz w:val="16"/>
          <w:szCs w:val="16"/>
          <w:color w:val="auto"/>
        </w:rPr>
        <w:t>17.17.2 If the Parties are unable to resolve a dispute within thirty (30) days of referring that dispute to the Executive Officers, a Party may have any of the disputes described below determined by an expert:</w:t>
      </w:r>
    </w:p>
    <w:p>
      <w:pPr>
        <w:spacing w:after="0" w:line="150" w:lineRule="exact"/>
        <w:rPr>
          <w:sz w:val="20"/>
          <w:szCs w:val="20"/>
          <w:color w:val="auto"/>
        </w:rPr>
      </w:pPr>
    </w:p>
    <w:p>
      <w:pPr>
        <w:ind w:left="1802" w:right="4680" w:hanging="597"/>
        <w:spacing w:after="0" w:line="285" w:lineRule="auto"/>
        <w:tabs>
          <w:tab w:leader="none" w:pos="1804" w:val="left"/>
        </w:tabs>
        <w:numPr>
          <w:ilvl w:val="0"/>
          <w:numId w:val="612"/>
        </w:numPr>
        <w:rPr>
          <w:rFonts w:ascii="Arial" w:cs="Arial" w:eastAsia="Arial" w:hAnsi="Arial"/>
          <w:sz w:val="16"/>
          <w:szCs w:val="16"/>
          <w:color w:val="auto"/>
        </w:rPr>
      </w:pPr>
      <w:r>
        <w:rPr>
          <w:rFonts w:ascii="Arial" w:cs="Arial" w:eastAsia="Arial" w:hAnsi="Arial"/>
          <w:sz w:val="16"/>
          <w:szCs w:val="16"/>
          <w:color w:val="auto"/>
        </w:rPr>
        <w:t>arising under sections 5.6, 5.10, 6.4.2, 8.2, 8.3and 8.5of the Licence Terms; and</w:t>
      </w:r>
    </w:p>
    <w:p>
      <w:pPr>
        <w:spacing w:after="0" w:line="149" w:lineRule="exact"/>
        <w:rPr>
          <w:rFonts w:ascii="Arial" w:cs="Arial" w:eastAsia="Arial" w:hAnsi="Arial"/>
          <w:sz w:val="16"/>
          <w:szCs w:val="16"/>
          <w:color w:val="auto"/>
        </w:rPr>
      </w:pPr>
    </w:p>
    <w:p>
      <w:pPr>
        <w:ind w:left="1802" w:hanging="597"/>
        <w:spacing w:after="0"/>
        <w:tabs>
          <w:tab w:leader="none" w:pos="1802" w:val="left"/>
        </w:tabs>
        <w:numPr>
          <w:ilvl w:val="0"/>
          <w:numId w:val="612"/>
        </w:numPr>
        <w:rPr>
          <w:rFonts w:ascii="Arial" w:cs="Arial" w:eastAsia="Arial" w:hAnsi="Arial"/>
          <w:sz w:val="16"/>
          <w:szCs w:val="16"/>
          <w:color w:val="auto"/>
        </w:rPr>
      </w:pPr>
      <w:r>
        <w:rPr>
          <w:rFonts w:ascii="Arial" w:cs="Arial" w:eastAsia="Arial" w:hAnsi="Arial"/>
          <w:sz w:val="16"/>
          <w:szCs w:val="16"/>
          <w:color w:val="auto"/>
        </w:rPr>
        <w:t>arising under clauses 1.3and 3.3of the Step-In Agreement; and</w:t>
      </w:r>
    </w:p>
    <w:p>
      <w:pPr>
        <w:spacing w:after="0" w:line="207" w:lineRule="exact"/>
        <w:rPr>
          <w:rFonts w:ascii="Arial" w:cs="Arial" w:eastAsia="Arial" w:hAnsi="Arial"/>
          <w:sz w:val="16"/>
          <w:szCs w:val="16"/>
          <w:color w:val="auto"/>
        </w:rPr>
      </w:pPr>
    </w:p>
    <w:p>
      <w:pPr>
        <w:ind w:left="1802" w:hanging="597"/>
        <w:spacing w:after="0"/>
        <w:tabs>
          <w:tab w:leader="none" w:pos="1802" w:val="left"/>
        </w:tabs>
        <w:numPr>
          <w:ilvl w:val="0"/>
          <w:numId w:val="612"/>
        </w:numPr>
        <w:rPr>
          <w:rFonts w:ascii="Arial" w:cs="Arial" w:eastAsia="Arial" w:hAnsi="Arial"/>
          <w:sz w:val="16"/>
          <w:szCs w:val="16"/>
          <w:color w:val="auto"/>
        </w:rPr>
      </w:pPr>
      <w:r>
        <w:rPr>
          <w:rFonts w:ascii="Arial" w:cs="Arial" w:eastAsia="Arial" w:hAnsi="Arial"/>
          <w:sz w:val="16"/>
          <w:szCs w:val="16"/>
          <w:color w:val="auto"/>
        </w:rPr>
        <w:t>arising under the definition of “Net Sales” in the Glossary.</w:t>
      </w:r>
    </w:p>
    <w:p>
      <w:pPr>
        <w:spacing w:after="0" w:line="207" w:lineRule="exact"/>
        <w:rPr>
          <w:sz w:val="20"/>
          <w:szCs w:val="20"/>
          <w:color w:val="auto"/>
        </w:rPr>
      </w:pPr>
    </w:p>
    <w:p>
      <w:pPr>
        <w:ind w:left="602"/>
        <w:spacing w:after="0"/>
        <w:rPr>
          <w:sz w:val="20"/>
          <w:szCs w:val="20"/>
          <w:color w:val="auto"/>
        </w:rPr>
      </w:pPr>
      <w:r>
        <w:rPr>
          <w:rFonts w:ascii="Arial" w:cs="Arial" w:eastAsia="Arial" w:hAnsi="Arial"/>
          <w:sz w:val="16"/>
          <w:szCs w:val="16"/>
          <w:color w:val="auto"/>
        </w:rPr>
        <w:t>and may have other disputes settled by any remedy available to it in law or equity.</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17.17.3 If a dispute is to be determined by an expert:</w:t>
      </w:r>
    </w:p>
    <w:p>
      <w:pPr>
        <w:spacing w:after="0" w:line="207" w:lineRule="exact"/>
        <w:rPr>
          <w:sz w:val="20"/>
          <w:szCs w:val="20"/>
          <w:color w:val="auto"/>
        </w:rPr>
      </w:pPr>
    </w:p>
    <w:p>
      <w:pPr>
        <w:ind w:left="1802" w:right="120" w:hanging="605"/>
        <w:spacing w:after="0" w:line="270" w:lineRule="auto"/>
        <w:tabs>
          <w:tab w:leader="none" w:pos="1801" w:val="left"/>
        </w:tabs>
        <w:numPr>
          <w:ilvl w:val="0"/>
          <w:numId w:val="613"/>
        </w:numPr>
        <w:rPr>
          <w:rFonts w:ascii="Arial" w:cs="Arial" w:eastAsia="Arial" w:hAnsi="Arial"/>
          <w:sz w:val="16"/>
          <w:szCs w:val="16"/>
          <w:color w:val="auto"/>
        </w:rPr>
      </w:pPr>
      <w:r>
        <w:rPr>
          <w:rFonts w:ascii="Arial" w:cs="Arial" w:eastAsia="Arial" w:hAnsi="Arial"/>
          <w:sz w:val="16"/>
          <w:szCs w:val="16"/>
          <w:color w:val="auto"/>
        </w:rPr>
        <w:t>The Parties will try to agree, in good faith, a suitably qualified independent expert. If the Parties do not agree on the identity of the expert within twenty one (21) days of either Party seeking in writing to the other to appoint an expert, each Party will submit two (2) names to the President (or equivalent) for the time being of: (i) the Institute of Chartered Accountants of England and Wales</w:t>
      </w:r>
    </w:p>
    <w:p>
      <w:pPr>
        <w:spacing w:after="0" w:line="162"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3" w:right="259" w:bottom="1440" w:gutter="0" w:footer="0" w:header="0"/>
        </w:sectPr>
      </w:pPr>
    </w:p>
    <w:bookmarkStart w:id="600" w:name="page601"/>
    <w:bookmarkEnd w:id="600"/>
    <w:p>
      <w:pPr>
        <w:ind w:left="2" w:right="240" w:hanging="2"/>
        <w:spacing w:after="0" w:line="270" w:lineRule="auto"/>
        <w:tabs>
          <w:tab w:leader="none" w:pos="396" w:val="left"/>
        </w:tabs>
        <w:numPr>
          <w:ilvl w:val="0"/>
          <w:numId w:val="614"/>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1802" w:right="80"/>
        <w:spacing w:after="0" w:line="285" w:lineRule="auto"/>
        <w:rPr>
          <w:sz w:val="20"/>
          <w:szCs w:val="20"/>
          <w:color w:val="auto"/>
        </w:rPr>
      </w:pPr>
      <w:r>
        <w:rPr>
          <w:rFonts w:ascii="Arial" w:cs="Arial" w:eastAsia="Arial" w:hAnsi="Arial"/>
          <w:sz w:val="16"/>
          <w:szCs w:val="16"/>
          <w:color w:val="auto"/>
        </w:rPr>
        <w:t>where the dispute relates principally to an accounting or financial matter; and (ii) the Association of the British Pharmaceutical Industry, where the dispute relates to other matters; (or, in either case, any successor body), who will select an individual from those submitted;</w:t>
      </w:r>
    </w:p>
    <w:p>
      <w:pPr>
        <w:spacing w:after="0" w:line="150" w:lineRule="exact"/>
        <w:rPr>
          <w:sz w:val="20"/>
          <w:szCs w:val="20"/>
          <w:color w:val="auto"/>
        </w:rPr>
      </w:pPr>
    </w:p>
    <w:p>
      <w:pPr>
        <w:ind w:left="1802" w:hanging="597"/>
        <w:spacing w:after="0"/>
        <w:tabs>
          <w:tab w:leader="none" w:pos="1802" w:val="left"/>
        </w:tabs>
        <w:numPr>
          <w:ilvl w:val="0"/>
          <w:numId w:val="615"/>
        </w:numPr>
        <w:rPr>
          <w:rFonts w:ascii="Arial" w:cs="Arial" w:eastAsia="Arial" w:hAnsi="Arial"/>
          <w:sz w:val="16"/>
          <w:szCs w:val="16"/>
          <w:color w:val="auto"/>
        </w:rPr>
      </w:pPr>
      <w:r>
        <w:rPr>
          <w:rFonts w:ascii="Arial" w:cs="Arial" w:eastAsia="Arial" w:hAnsi="Arial"/>
          <w:sz w:val="16"/>
          <w:szCs w:val="16"/>
          <w:color w:val="auto"/>
        </w:rPr>
        <w:t>the expert will act as an expert and not as an arbitrator, and will be so instructed;</w:t>
      </w:r>
    </w:p>
    <w:p>
      <w:pPr>
        <w:spacing w:after="0" w:line="207" w:lineRule="exact"/>
        <w:rPr>
          <w:rFonts w:ascii="Arial" w:cs="Arial" w:eastAsia="Arial" w:hAnsi="Arial"/>
          <w:sz w:val="16"/>
          <w:szCs w:val="16"/>
          <w:color w:val="auto"/>
        </w:rPr>
      </w:pPr>
    </w:p>
    <w:p>
      <w:pPr>
        <w:ind w:left="1782" w:right="40" w:hanging="577"/>
        <w:spacing w:after="0" w:line="285" w:lineRule="auto"/>
        <w:tabs>
          <w:tab w:leader="none" w:pos="1792" w:val="left"/>
        </w:tabs>
        <w:numPr>
          <w:ilvl w:val="0"/>
          <w:numId w:val="615"/>
        </w:numPr>
        <w:rPr>
          <w:rFonts w:ascii="Arial" w:cs="Arial" w:eastAsia="Arial" w:hAnsi="Arial"/>
          <w:sz w:val="16"/>
          <w:szCs w:val="16"/>
          <w:color w:val="auto"/>
        </w:rPr>
      </w:pPr>
      <w:r>
        <w:rPr>
          <w:rFonts w:ascii="Arial" w:cs="Arial" w:eastAsia="Arial" w:hAnsi="Arial"/>
          <w:sz w:val="16"/>
          <w:szCs w:val="16"/>
          <w:color w:val="auto"/>
        </w:rPr>
        <w:t>each Party will make written submissions to the expert and to the other Parties within fourteen (14) days of the expert’s appointment and each Party will have seven (7) days to respond to the other Parties’ submissions;</w:t>
      </w:r>
    </w:p>
    <w:p>
      <w:pPr>
        <w:spacing w:after="0" w:line="149" w:lineRule="exact"/>
        <w:rPr>
          <w:rFonts w:ascii="Arial" w:cs="Arial" w:eastAsia="Arial" w:hAnsi="Arial"/>
          <w:sz w:val="16"/>
          <w:szCs w:val="16"/>
          <w:color w:val="auto"/>
        </w:rPr>
      </w:pPr>
    </w:p>
    <w:p>
      <w:pPr>
        <w:ind w:left="1782" w:right="360" w:hanging="577"/>
        <w:spacing w:after="0" w:line="285" w:lineRule="auto"/>
        <w:tabs>
          <w:tab w:leader="none" w:pos="1789" w:val="left"/>
        </w:tabs>
        <w:numPr>
          <w:ilvl w:val="0"/>
          <w:numId w:val="615"/>
        </w:numPr>
        <w:rPr>
          <w:rFonts w:ascii="Arial" w:cs="Arial" w:eastAsia="Arial" w:hAnsi="Arial"/>
          <w:sz w:val="16"/>
          <w:szCs w:val="16"/>
          <w:color w:val="auto"/>
        </w:rPr>
      </w:pPr>
      <w:r>
        <w:rPr>
          <w:rFonts w:ascii="Arial" w:cs="Arial" w:eastAsia="Arial" w:hAnsi="Arial"/>
          <w:sz w:val="16"/>
          <w:szCs w:val="16"/>
          <w:color w:val="auto"/>
        </w:rPr>
        <w:t>the expert will be asked to make and deliver his or her determination within a further thirty (30) days and the expert’s opinion will be final and binding on the Parties; and</w:t>
      </w:r>
    </w:p>
    <w:p>
      <w:pPr>
        <w:spacing w:after="0" w:line="149" w:lineRule="exact"/>
        <w:rPr>
          <w:rFonts w:ascii="Arial" w:cs="Arial" w:eastAsia="Arial" w:hAnsi="Arial"/>
          <w:sz w:val="16"/>
          <w:szCs w:val="16"/>
          <w:color w:val="auto"/>
        </w:rPr>
      </w:pPr>
    </w:p>
    <w:p>
      <w:pPr>
        <w:ind w:left="1782" w:right="200" w:hanging="577"/>
        <w:spacing w:after="0" w:line="320" w:lineRule="auto"/>
        <w:tabs>
          <w:tab w:leader="none" w:pos="1792" w:val="left"/>
        </w:tabs>
        <w:numPr>
          <w:ilvl w:val="0"/>
          <w:numId w:val="615"/>
        </w:numPr>
        <w:rPr>
          <w:rFonts w:ascii="Arial" w:cs="Arial" w:eastAsia="Arial" w:hAnsi="Arial"/>
          <w:sz w:val="15"/>
          <w:szCs w:val="15"/>
          <w:color w:val="auto"/>
        </w:rPr>
      </w:pPr>
      <w:r>
        <w:rPr>
          <w:rFonts w:ascii="Arial" w:cs="Arial" w:eastAsia="Arial" w:hAnsi="Arial"/>
          <w:sz w:val="15"/>
          <w:szCs w:val="15"/>
          <w:color w:val="auto"/>
        </w:rPr>
        <w:t>the costs of any expert will be borne in proportions determined as fair and reasonable, in the circumstances, by the expert or, if he or she does not make a determination, the Company will bear one half of the costs of the expert, and the Charity and CRT will bear the other half.</w:t>
      </w:r>
    </w:p>
    <w:p>
      <w:pPr>
        <w:spacing w:after="0" w:line="127" w:lineRule="exact"/>
        <w:rPr>
          <w:sz w:val="20"/>
          <w:szCs w:val="20"/>
          <w:color w:val="auto"/>
        </w:rPr>
      </w:pPr>
    </w:p>
    <w:p>
      <w:pPr>
        <w:jc w:val="center"/>
        <w:ind w:right="18"/>
        <w:spacing w:after="0"/>
        <w:rPr>
          <w:sz w:val="20"/>
          <w:szCs w:val="20"/>
          <w:color w:val="auto"/>
        </w:rPr>
      </w:pPr>
      <w:r>
        <w:rPr>
          <w:rFonts w:ascii="Arial" w:cs="Arial" w:eastAsia="Arial" w:hAnsi="Arial"/>
          <w:sz w:val="16"/>
          <w:szCs w:val="16"/>
          <w:i w:val="1"/>
          <w:iCs w:val="1"/>
          <w:color w:val="auto"/>
        </w:rPr>
        <w:t>[Schedules 1 to 7, and the Glossary follow]</w:t>
      </w:r>
    </w:p>
    <w:p>
      <w:pPr>
        <w:spacing w:after="0" w:line="207"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 w:right="240" w:hanging="2"/>
        <w:spacing w:after="0" w:line="270" w:lineRule="auto"/>
        <w:tabs>
          <w:tab w:leader="none" w:pos="396" w:val="left"/>
        </w:tabs>
        <w:numPr>
          <w:ilvl w:val="0"/>
          <w:numId w:val="616"/>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Glossary</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Definitions</w:t>
      </w:r>
    </w:p>
    <w:p>
      <w:pPr>
        <w:spacing w:after="0" w:line="211" w:lineRule="exact"/>
        <w:rPr>
          <w:sz w:val="20"/>
          <w:szCs w:val="20"/>
          <w:color w:val="auto"/>
        </w:rPr>
      </w:pPr>
    </w:p>
    <w:p>
      <w:pPr>
        <w:ind w:left="2" w:right="160"/>
        <w:spacing w:after="0" w:line="285" w:lineRule="auto"/>
        <w:rPr>
          <w:sz w:val="20"/>
          <w:szCs w:val="20"/>
          <w:color w:val="auto"/>
        </w:rPr>
      </w:pPr>
      <w:r>
        <w:rPr>
          <w:rFonts w:ascii="Arial" w:cs="Arial" w:eastAsia="Arial" w:hAnsi="Arial"/>
          <w:sz w:val="16"/>
          <w:szCs w:val="16"/>
          <w:color w:val="auto"/>
        </w:rPr>
        <w:t>The words and phrases in this Agreement have the meaning set out below, unless the context requires otherwise. Words and phrases in this Agreement not defined below, but which are defined in the Clinical Trial Legislation have the meaning given to them in the Clinical Trial Legislation.</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2280" w:type="dxa"/>
            <w:vAlign w:val="bottom"/>
          </w:tcPr>
          <w:p>
            <w:pPr>
              <w:spacing w:after="0"/>
              <w:rPr>
                <w:sz w:val="20"/>
                <w:szCs w:val="20"/>
                <w:color w:val="auto"/>
              </w:rPr>
            </w:pPr>
            <w:r>
              <w:rPr>
                <w:rFonts w:ascii="Arial" w:cs="Arial" w:eastAsia="Arial" w:hAnsi="Arial"/>
                <w:sz w:val="16"/>
                <w:szCs w:val="16"/>
                <w:b w:val="1"/>
                <w:bCs w:val="1"/>
                <w:color w:val="auto"/>
              </w:rPr>
              <w:t>“Abandoned Product”</w:t>
            </w:r>
          </w:p>
        </w:tc>
        <w:tc>
          <w:tcPr>
            <w:tcW w:w="9180" w:type="dxa"/>
            <w:vAlign w:val="bottom"/>
          </w:tcPr>
          <w:p>
            <w:pPr>
              <w:ind w:left="700"/>
              <w:spacing w:after="0"/>
              <w:rPr>
                <w:sz w:val="20"/>
                <w:szCs w:val="20"/>
                <w:color w:val="auto"/>
              </w:rPr>
            </w:pPr>
            <w:r>
              <w:rPr>
                <w:rFonts w:ascii="Arial" w:cs="Arial" w:eastAsia="Arial" w:hAnsi="Arial"/>
                <w:sz w:val="16"/>
                <w:szCs w:val="16"/>
                <w:color w:val="auto"/>
              </w:rPr>
              <w:t>has the meaning given in section 5.5.1 of the Licence Terms;</w:t>
            </w:r>
          </w:p>
        </w:tc>
      </w:tr>
      <w:tr>
        <w:trPr>
          <w:trHeight w:val="380"/>
        </w:trPr>
        <w:tc>
          <w:tcPr>
            <w:tcW w:w="2280" w:type="dxa"/>
            <w:vAlign w:val="bottom"/>
          </w:tcPr>
          <w:p>
            <w:pPr>
              <w:spacing w:after="0"/>
              <w:rPr>
                <w:sz w:val="20"/>
                <w:szCs w:val="20"/>
                <w:color w:val="auto"/>
              </w:rPr>
            </w:pPr>
            <w:r>
              <w:rPr>
                <w:rFonts w:ascii="Arial" w:cs="Arial" w:eastAsia="Arial" w:hAnsi="Arial"/>
                <w:sz w:val="16"/>
                <w:szCs w:val="16"/>
                <w:b w:val="1"/>
                <w:bCs w:val="1"/>
                <w:color w:val="auto"/>
              </w:rPr>
              <w:t>“Affiliate”</w:t>
            </w:r>
          </w:p>
        </w:tc>
        <w:tc>
          <w:tcPr>
            <w:tcW w:w="9180" w:type="dxa"/>
            <w:vAlign w:val="bottom"/>
          </w:tcPr>
          <w:p>
            <w:pPr>
              <w:ind w:left="700"/>
              <w:spacing w:after="0"/>
              <w:rPr>
                <w:sz w:val="20"/>
                <w:szCs w:val="20"/>
                <w:color w:val="auto"/>
              </w:rPr>
            </w:pPr>
            <w:r>
              <w:rPr>
                <w:rFonts w:ascii="Arial" w:cs="Arial" w:eastAsia="Arial" w:hAnsi="Arial"/>
                <w:sz w:val="16"/>
                <w:szCs w:val="16"/>
                <w:color w:val="auto"/>
                <w:w w:val="97"/>
              </w:rPr>
              <w:t>means an entity that, whether now or in the future, Controls, is Controlled by or is under common Control with a Party, and</w:t>
            </w:r>
          </w:p>
        </w:tc>
      </w:tr>
      <w:tr>
        <w:trPr>
          <w:trHeight w:val="196"/>
        </w:trPr>
        <w:tc>
          <w:tcPr>
            <w:tcW w:w="2280" w:type="dxa"/>
            <w:vAlign w:val="bottom"/>
          </w:tcPr>
          <w:p>
            <w:pPr>
              <w:spacing w:after="0"/>
              <w:rPr>
                <w:sz w:val="17"/>
                <w:szCs w:val="17"/>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w w:val="94"/>
              </w:rPr>
              <w:t>“Control” means in respect of any corporate relationship, the possession (directly or indirectly) of fifty per cent (50%) or more of</w:t>
            </w:r>
          </w:p>
        </w:tc>
      </w:tr>
      <w:tr>
        <w:trPr>
          <w:trHeight w:val="192"/>
        </w:trPr>
        <w:tc>
          <w:tcPr>
            <w:tcW w:w="2280" w:type="dxa"/>
            <w:vAlign w:val="bottom"/>
          </w:tcPr>
          <w:p>
            <w:pPr>
              <w:spacing w:after="0"/>
              <w:rPr>
                <w:sz w:val="16"/>
                <w:szCs w:val="16"/>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w w:val="94"/>
              </w:rPr>
              <w:t>the voting stock or equity interest of an entity with the power to vote or control management decisions of that entity through the</w:t>
            </w:r>
          </w:p>
        </w:tc>
      </w:tr>
      <w:tr>
        <w:trPr>
          <w:trHeight w:val="200"/>
        </w:trPr>
        <w:tc>
          <w:tcPr>
            <w:tcW w:w="2280" w:type="dxa"/>
            <w:vAlign w:val="bottom"/>
          </w:tcPr>
          <w:p>
            <w:pPr>
              <w:spacing w:after="0"/>
              <w:rPr>
                <w:sz w:val="17"/>
                <w:szCs w:val="17"/>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w w:val="96"/>
              </w:rPr>
              <w:t>ownership of securities or by contract or otherwise. When used in respect of an entity, “</w:t>
            </w:r>
            <w:r>
              <w:rPr>
                <w:rFonts w:ascii="Arial" w:cs="Arial" w:eastAsia="Arial" w:hAnsi="Arial"/>
                <w:sz w:val="16"/>
                <w:szCs w:val="16"/>
                <w:b w:val="1"/>
                <w:bCs w:val="1"/>
                <w:color w:val="auto"/>
                <w:w w:val="96"/>
              </w:rPr>
              <w:t>Control</w:t>
            </w:r>
            <w:r>
              <w:rPr>
                <w:rFonts w:ascii="Arial" w:cs="Arial" w:eastAsia="Arial" w:hAnsi="Arial"/>
                <w:sz w:val="16"/>
                <w:szCs w:val="16"/>
                <w:color w:val="auto"/>
                <w:w w:val="96"/>
              </w:rPr>
              <w:t>” and “</w:t>
            </w:r>
            <w:r>
              <w:rPr>
                <w:rFonts w:ascii="Arial" w:cs="Arial" w:eastAsia="Arial" w:hAnsi="Arial"/>
                <w:sz w:val="16"/>
                <w:szCs w:val="16"/>
                <w:b w:val="1"/>
                <w:bCs w:val="1"/>
                <w:color w:val="auto"/>
                <w:w w:val="96"/>
              </w:rPr>
              <w:t>Controlled by</w:t>
            </w:r>
            <w:r>
              <w:rPr>
                <w:rFonts w:ascii="Arial" w:cs="Arial" w:eastAsia="Arial" w:hAnsi="Arial"/>
                <w:sz w:val="16"/>
                <w:szCs w:val="16"/>
                <w:color w:val="auto"/>
                <w:w w:val="96"/>
              </w:rPr>
              <w:t>” have a</w:t>
            </w:r>
          </w:p>
        </w:tc>
      </w:tr>
      <w:tr>
        <w:trPr>
          <w:trHeight w:val="207"/>
        </w:trPr>
        <w:tc>
          <w:tcPr>
            <w:tcW w:w="228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corresponding meaning;</w:t>
            </w:r>
          </w:p>
        </w:tc>
      </w:tr>
      <w:tr>
        <w:trPr>
          <w:trHeight w:val="380"/>
        </w:trPr>
        <w:tc>
          <w:tcPr>
            <w:tcW w:w="2280" w:type="dxa"/>
            <w:vAlign w:val="bottom"/>
          </w:tcPr>
          <w:p>
            <w:pPr>
              <w:spacing w:after="0"/>
              <w:rPr>
                <w:sz w:val="20"/>
                <w:szCs w:val="20"/>
                <w:color w:val="auto"/>
              </w:rPr>
            </w:pPr>
            <w:r>
              <w:rPr>
                <w:rFonts w:ascii="Arial" w:cs="Arial" w:eastAsia="Arial" w:hAnsi="Arial"/>
                <w:sz w:val="16"/>
                <w:szCs w:val="16"/>
                <w:b w:val="1"/>
                <w:bCs w:val="1"/>
                <w:color w:val="auto"/>
              </w:rPr>
              <w:t>“Agent”</w:t>
            </w:r>
          </w:p>
        </w:tc>
        <w:tc>
          <w:tcPr>
            <w:tcW w:w="9180" w:type="dxa"/>
            <w:vAlign w:val="bottom"/>
          </w:tcPr>
          <w:p>
            <w:pPr>
              <w:ind w:left="700"/>
              <w:spacing w:after="0"/>
              <w:rPr>
                <w:sz w:val="20"/>
                <w:szCs w:val="20"/>
                <w:color w:val="auto"/>
              </w:rPr>
            </w:pPr>
            <w:r>
              <w:rPr>
                <w:rFonts w:ascii="Arial" w:cs="Arial" w:eastAsia="Arial" w:hAnsi="Arial"/>
                <w:sz w:val="16"/>
                <w:szCs w:val="16"/>
                <w:color w:val="auto"/>
              </w:rPr>
              <w:t>means the Material identified as the “</w:t>
            </w:r>
            <w:r>
              <w:rPr>
                <w:rFonts w:ascii="Arial" w:cs="Arial" w:eastAsia="Arial" w:hAnsi="Arial"/>
                <w:sz w:val="16"/>
                <w:szCs w:val="16"/>
                <w:b w:val="1"/>
                <w:bCs w:val="1"/>
                <w:color w:val="auto"/>
              </w:rPr>
              <w:t>Agent</w:t>
            </w:r>
            <w:r>
              <w:rPr>
                <w:rFonts w:ascii="Arial" w:cs="Arial" w:eastAsia="Arial" w:hAnsi="Arial"/>
                <w:sz w:val="16"/>
                <w:szCs w:val="16"/>
                <w:color w:val="auto"/>
              </w:rPr>
              <w:t>” on the Cover Sheet in any and all current and potential future forms or</w:t>
            </w:r>
          </w:p>
        </w:tc>
      </w:tr>
      <w:tr>
        <w:trPr>
          <w:trHeight w:val="207"/>
        </w:trPr>
        <w:tc>
          <w:tcPr>
            <w:tcW w:w="228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formulations.</w:t>
            </w:r>
          </w:p>
        </w:tc>
      </w:tr>
      <w:tr>
        <w:trPr>
          <w:trHeight w:val="391"/>
        </w:trPr>
        <w:tc>
          <w:tcPr>
            <w:tcW w:w="2280" w:type="dxa"/>
            <w:vAlign w:val="bottom"/>
          </w:tcPr>
          <w:p>
            <w:pPr>
              <w:spacing w:after="0"/>
              <w:rPr>
                <w:sz w:val="20"/>
                <w:szCs w:val="20"/>
                <w:color w:val="auto"/>
              </w:rPr>
            </w:pPr>
            <w:r>
              <w:rPr>
                <w:rFonts w:ascii="Arial" w:cs="Arial" w:eastAsia="Arial" w:hAnsi="Arial"/>
                <w:sz w:val="16"/>
                <w:szCs w:val="16"/>
                <w:b w:val="1"/>
                <w:bCs w:val="1"/>
                <w:color w:val="auto"/>
              </w:rPr>
              <w:t>“Agent IP”</w:t>
            </w:r>
          </w:p>
        </w:tc>
        <w:tc>
          <w:tcPr>
            <w:tcW w:w="9180" w:type="dxa"/>
            <w:vAlign w:val="bottom"/>
          </w:tcPr>
          <w:p>
            <w:pPr>
              <w:ind w:left="700"/>
              <w:spacing w:after="0"/>
              <w:rPr>
                <w:sz w:val="20"/>
                <w:szCs w:val="20"/>
                <w:color w:val="auto"/>
              </w:rPr>
            </w:pPr>
            <w:r>
              <w:rPr>
                <w:rFonts w:ascii="Arial" w:cs="Arial" w:eastAsia="Arial" w:hAnsi="Arial"/>
                <w:sz w:val="16"/>
                <w:szCs w:val="16"/>
                <w:color w:val="auto"/>
              </w:rPr>
              <w:t>means:</w:t>
            </w:r>
          </w:p>
        </w:tc>
      </w:tr>
      <w:tr>
        <w:trPr>
          <w:trHeight w:val="391"/>
        </w:trPr>
        <w:tc>
          <w:tcPr>
            <w:tcW w:w="2280" w:type="dxa"/>
            <w:vAlign w:val="bottom"/>
          </w:tcPr>
          <w:p>
            <w:pPr>
              <w:spacing w:after="0"/>
              <w:rPr>
                <w:sz w:val="24"/>
                <w:szCs w:val="24"/>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a)  the Agent Know How;</w:t>
            </w:r>
          </w:p>
        </w:tc>
      </w:tr>
      <w:tr>
        <w:trPr>
          <w:trHeight w:val="391"/>
        </w:trPr>
        <w:tc>
          <w:tcPr>
            <w:tcW w:w="2280" w:type="dxa"/>
            <w:vAlign w:val="bottom"/>
          </w:tcPr>
          <w:p>
            <w:pPr>
              <w:spacing w:after="0"/>
              <w:rPr>
                <w:sz w:val="24"/>
                <w:szCs w:val="24"/>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b)  the Agent Materials; and</w:t>
            </w:r>
          </w:p>
        </w:tc>
      </w:tr>
      <w:tr>
        <w:trPr>
          <w:trHeight w:val="391"/>
        </w:trPr>
        <w:tc>
          <w:tcPr>
            <w:tcW w:w="2280" w:type="dxa"/>
            <w:vAlign w:val="bottom"/>
          </w:tcPr>
          <w:p>
            <w:pPr>
              <w:spacing w:after="0"/>
              <w:rPr>
                <w:sz w:val="24"/>
                <w:szCs w:val="24"/>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c)  the Agent Patents.</w:t>
            </w:r>
          </w:p>
        </w:tc>
      </w:tr>
      <w:tr>
        <w:trPr>
          <w:trHeight w:val="380"/>
        </w:trPr>
        <w:tc>
          <w:tcPr>
            <w:tcW w:w="2280" w:type="dxa"/>
            <w:vAlign w:val="bottom"/>
          </w:tcPr>
          <w:p>
            <w:pPr>
              <w:spacing w:after="0"/>
              <w:rPr>
                <w:sz w:val="20"/>
                <w:szCs w:val="20"/>
                <w:color w:val="auto"/>
              </w:rPr>
            </w:pPr>
            <w:r>
              <w:rPr>
                <w:rFonts w:ascii="Arial" w:cs="Arial" w:eastAsia="Arial" w:hAnsi="Arial"/>
                <w:sz w:val="16"/>
                <w:szCs w:val="16"/>
                <w:b w:val="1"/>
                <w:bCs w:val="1"/>
                <w:color w:val="auto"/>
              </w:rPr>
              <w:t>“Agent Know How”</w:t>
            </w:r>
          </w:p>
        </w:tc>
        <w:tc>
          <w:tcPr>
            <w:tcW w:w="9180" w:type="dxa"/>
            <w:vAlign w:val="bottom"/>
          </w:tcPr>
          <w:p>
            <w:pPr>
              <w:ind w:left="700"/>
              <w:spacing w:after="0"/>
              <w:rPr>
                <w:sz w:val="20"/>
                <w:szCs w:val="20"/>
                <w:color w:val="auto"/>
              </w:rPr>
            </w:pPr>
            <w:r>
              <w:rPr>
                <w:rFonts w:ascii="Arial" w:cs="Arial" w:eastAsia="Arial" w:hAnsi="Arial"/>
                <w:sz w:val="16"/>
                <w:szCs w:val="16"/>
                <w:color w:val="auto"/>
                <w:w w:val="97"/>
              </w:rPr>
              <w:t>means Know How that the Company Controls as at the Start Date or during the Term that relates to the Agent or any Agent</w:t>
            </w:r>
          </w:p>
        </w:tc>
      </w:tr>
      <w:tr>
        <w:trPr>
          <w:trHeight w:val="207"/>
        </w:trPr>
        <w:tc>
          <w:tcPr>
            <w:tcW w:w="228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Material (or constituents thereof), and includes:</w:t>
            </w:r>
          </w:p>
        </w:tc>
      </w:tr>
      <w:tr>
        <w:trPr>
          <w:trHeight w:val="391"/>
        </w:trPr>
        <w:tc>
          <w:tcPr>
            <w:tcW w:w="2280" w:type="dxa"/>
            <w:vAlign w:val="bottom"/>
          </w:tcPr>
          <w:p>
            <w:pPr>
              <w:spacing w:after="0"/>
              <w:rPr>
                <w:sz w:val="24"/>
                <w:szCs w:val="24"/>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a)  the Know How identified in the Cover Sheet as ‘</w:t>
            </w:r>
            <w:r>
              <w:rPr>
                <w:rFonts w:ascii="Arial" w:cs="Arial" w:eastAsia="Arial" w:hAnsi="Arial"/>
                <w:sz w:val="16"/>
                <w:szCs w:val="16"/>
                <w:b w:val="1"/>
                <w:bCs w:val="1"/>
                <w:color w:val="auto"/>
              </w:rPr>
              <w:t>Agent Know How</w:t>
            </w:r>
            <w:r>
              <w:rPr>
                <w:rFonts w:ascii="Arial" w:cs="Arial" w:eastAsia="Arial" w:hAnsi="Arial"/>
                <w:sz w:val="16"/>
                <w:szCs w:val="16"/>
                <w:color w:val="auto"/>
              </w:rPr>
              <w:t>’;</w:t>
            </w:r>
          </w:p>
        </w:tc>
      </w:tr>
      <w:tr>
        <w:trPr>
          <w:trHeight w:val="380"/>
        </w:trPr>
        <w:tc>
          <w:tcPr>
            <w:tcW w:w="2280" w:type="dxa"/>
            <w:vAlign w:val="bottom"/>
          </w:tcPr>
          <w:p>
            <w:pPr>
              <w:spacing w:after="0"/>
              <w:rPr>
                <w:sz w:val="24"/>
                <w:szCs w:val="24"/>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w w:val="95"/>
              </w:rPr>
              <w:t>b)  Know How related to safety, toxicology and efficacy of the Agent or Agent Product or that is otherwise relevant to the safe</w:t>
            </w:r>
          </w:p>
        </w:tc>
      </w:tr>
      <w:tr>
        <w:trPr>
          <w:trHeight w:val="196"/>
        </w:trPr>
        <w:tc>
          <w:tcPr>
            <w:tcW w:w="2280" w:type="dxa"/>
            <w:vAlign w:val="bottom"/>
          </w:tcPr>
          <w:p>
            <w:pPr>
              <w:spacing w:after="0"/>
              <w:rPr>
                <w:sz w:val="17"/>
                <w:szCs w:val="17"/>
                <w:color w:val="auto"/>
              </w:rPr>
            </w:pPr>
          </w:p>
        </w:tc>
        <w:tc>
          <w:tcPr>
            <w:tcW w:w="9180" w:type="dxa"/>
            <w:vAlign w:val="bottom"/>
          </w:tcPr>
          <w:p>
            <w:pPr>
              <w:ind w:left="1000"/>
              <w:spacing w:after="0"/>
              <w:rPr>
                <w:sz w:val="20"/>
                <w:szCs w:val="20"/>
                <w:color w:val="auto"/>
              </w:rPr>
            </w:pPr>
            <w:r>
              <w:rPr>
                <w:rFonts w:ascii="Arial" w:cs="Arial" w:eastAsia="Arial" w:hAnsi="Arial"/>
                <w:sz w:val="16"/>
                <w:szCs w:val="16"/>
                <w:color w:val="auto"/>
              </w:rPr>
              <w:t>and efficient conduct of the Clinical Trial or other activities to be performed by or on behalf of the Charity under the</w:t>
            </w:r>
          </w:p>
        </w:tc>
      </w:tr>
      <w:tr>
        <w:trPr>
          <w:trHeight w:val="207"/>
        </w:trPr>
        <w:tc>
          <w:tcPr>
            <w:tcW w:w="2280" w:type="dxa"/>
            <w:vAlign w:val="bottom"/>
          </w:tcPr>
          <w:p>
            <w:pPr>
              <w:spacing w:after="0"/>
              <w:rPr>
                <w:sz w:val="18"/>
                <w:szCs w:val="18"/>
                <w:color w:val="auto"/>
              </w:rPr>
            </w:pPr>
          </w:p>
        </w:tc>
        <w:tc>
          <w:tcPr>
            <w:tcW w:w="9180" w:type="dxa"/>
            <w:vAlign w:val="bottom"/>
          </w:tcPr>
          <w:p>
            <w:pPr>
              <w:ind w:left="1000"/>
              <w:spacing w:after="0"/>
              <w:rPr>
                <w:sz w:val="20"/>
                <w:szCs w:val="20"/>
                <w:color w:val="auto"/>
              </w:rPr>
            </w:pPr>
            <w:r>
              <w:rPr>
                <w:rFonts w:ascii="Arial" w:cs="Arial" w:eastAsia="Arial" w:hAnsi="Arial"/>
                <w:sz w:val="16"/>
                <w:szCs w:val="16"/>
                <w:color w:val="auto"/>
              </w:rPr>
              <w:t>Agreement;</w:t>
            </w:r>
          </w:p>
        </w:tc>
      </w:tr>
      <w:tr>
        <w:trPr>
          <w:trHeight w:val="380"/>
        </w:trPr>
        <w:tc>
          <w:tcPr>
            <w:tcW w:w="2280" w:type="dxa"/>
            <w:vAlign w:val="bottom"/>
          </w:tcPr>
          <w:p>
            <w:pPr>
              <w:spacing w:after="0"/>
              <w:rPr>
                <w:sz w:val="24"/>
                <w:szCs w:val="24"/>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w w:val="95"/>
              </w:rPr>
              <w:t>c)  Know How related to the manufacturing, production or expression, quality, safe and proper handling, storage or use of the</w:t>
            </w:r>
          </w:p>
        </w:tc>
      </w:tr>
      <w:tr>
        <w:trPr>
          <w:trHeight w:val="207"/>
        </w:trPr>
        <w:tc>
          <w:tcPr>
            <w:tcW w:w="2280" w:type="dxa"/>
            <w:vAlign w:val="bottom"/>
          </w:tcPr>
          <w:p>
            <w:pPr>
              <w:spacing w:after="0"/>
              <w:rPr>
                <w:sz w:val="18"/>
                <w:szCs w:val="18"/>
                <w:color w:val="auto"/>
              </w:rPr>
            </w:pPr>
          </w:p>
        </w:tc>
        <w:tc>
          <w:tcPr>
            <w:tcW w:w="9180" w:type="dxa"/>
            <w:vAlign w:val="bottom"/>
          </w:tcPr>
          <w:p>
            <w:pPr>
              <w:ind w:left="1000"/>
              <w:spacing w:after="0"/>
              <w:rPr>
                <w:sz w:val="20"/>
                <w:szCs w:val="20"/>
                <w:color w:val="auto"/>
              </w:rPr>
            </w:pPr>
            <w:r>
              <w:rPr>
                <w:rFonts w:ascii="Arial" w:cs="Arial" w:eastAsia="Arial" w:hAnsi="Arial"/>
                <w:sz w:val="16"/>
                <w:szCs w:val="16"/>
                <w:color w:val="auto"/>
              </w:rPr>
              <w:t>Agent or Agent Product; and</w:t>
            </w:r>
          </w:p>
        </w:tc>
      </w:tr>
      <w:tr>
        <w:trPr>
          <w:trHeight w:val="391"/>
        </w:trPr>
        <w:tc>
          <w:tcPr>
            <w:tcW w:w="2280" w:type="dxa"/>
            <w:vAlign w:val="bottom"/>
          </w:tcPr>
          <w:p>
            <w:pPr>
              <w:spacing w:after="0"/>
              <w:rPr>
                <w:sz w:val="24"/>
                <w:szCs w:val="24"/>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d)  Know How the Company is obliged to disclose under the Technical Agreement;</w:t>
            </w:r>
          </w:p>
        </w:tc>
      </w:tr>
      <w:tr>
        <w:trPr>
          <w:trHeight w:val="391"/>
        </w:trPr>
        <w:tc>
          <w:tcPr>
            <w:tcW w:w="2280" w:type="dxa"/>
            <w:vAlign w:val="bottom"/>
          </w:tcPr>
          <w:p>
            <w:pPr>
              <w:spacing w:after="0"/>
              <w:rPr>
                <w:sz w:val="20"/>
                <w:szCs w:val="20"/>
                <w:color w:val="auto"/>
              </w:rPr>
            </w:pPr>
            <w:r>
              <w:rPr>
                <w:rFonts w:ascii="Arial" w:cs="Arial" w:eastAsia="Arial" w:hAnsi="Arial"/>
                <w:sz w:val="16"/>
                <w:szCs w:val="16"/>
                <w:b w:val="1"/>
                <w:bCs w:val="1"/>
                <w:color w:val="auto"/>
              </w:rPr>
              <w:t>“Agent Materials”</w:t>
            </w:r>
          </w:p>
        </w:tc>
        <w:tc>
          <w:tcPr>
            <w:tcW w:w="9180" w:type="dxa"/>
            <w:vAlign w:val="bottom"/>
          </w:tcPr>
          <w:p>
            <w:pPr>
              <w:ind w:left="700"/>
              <w:spacing w:after="0"/>
              <w:rPr>
                <w:sz w:val="20"/>
                <w:szCs w:val="20"/>
                <w:color w:val="auto"/>
              </w:rPr>
            </w:pPr>
            <w:r>
              <w:rPr>
                <w:rFonts w:ascii="Arial" w:cs="Arial" w:eastAsia="Arial" w:hAnsi="Arial"/>
                <w:sz w:val="16"/>
                <w:szCs w:val="16"/>
                <w:color w:val="auto"/>
              </w:rPr>
              <w:t>means the Materials identified in the Cover Sheet as ‘Agent</w:t>
            </w:r>
          </w:p>
        </w:tc>
      </w:tr>
      <w:tr>
        <w:trPr>
          <w:trHeight w:val="315"/>
        </w:trPr>
        <w:tc>
          <w:tcPr>
            <w:tcW w:w="2280" w:type="dxa"/>
            <w:vAlign w:val="bottom"/>
            <w:tcBorders>
              <w:bottom w:val="single" w:sz="8" w:color="808080"/>
            </w:tcBorders>
          </w:tcPr>
          <w:p>
            <w:pPr>
              <w:spacing w:after="0"/>
              <w:rPr>
                <w:sz w:val="24"/>
                <w:szCs w:val="24"/>
                <w:color w:val="auto"/>
              </w:rPr>
            </w:pPr>
          </w:p>
        </w:tc>
        <w:tc>
          <w:tcPr>
            <w:tcW w:w="9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601" w:name="page602"/>
    <w:bookmarkEnd w:id="601"/>
    <w:p>
      <w:pPr>
        <w:ind w:left="2" w:right="240" w:hanging="2"/>
        <w:spacing w:after="0" w:line="270" w:lineRule="auto"/>
        <w:tabs>
          <w:tab w:leader="none" w:pos="396" w:val="left"/>
        </w:tabs>
        <w:numPr>
          <w:ilvl w:val="0"/>
          <w:numId w:val="617"/>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2440" w:type="dxa"/>
            <w:vAlign w:val="bottom"/>
          </w:tcPr>
          <w:p>
            <w:pPr>
              <w:spacing w:after="0"/>
              <w:rPr>
                <w:sz w:val="18"/>
                <w:szCs w:val="18"/>
                <w:color w:val="auto"/>
              </w:rPr>
            </w:pPr>
          </w:p>
        </w:tc>
        <w:tc>
          <w:tcPr>
            <w:tcW w:w="9020" w:type="dxa"/>
            <w:vAlign w:val="bottom"/>
          </w:tcPr>
          <w:p>
            <w:pPr>
              <w:ind w:left="540"/>
              <w:spacing w:after="0"/>
              <w:rPr>
                <w:sz w:val="20"/>
                <w:szCs w:val="20"/>
                <w:color w:val="auto"/>
              </w:rPr>
            </w:pPr>
            <w:r>
              <w:rPr>
                <w:rFonts w:ascii="Arial" w:cs="Arial" w:eastAsia="Arial" w:hAnsi="Arial"/>
                <w:sz w:val="16"/>
                <w:szCs w:val="16"/>
                <w:b w:val="1"/>
                <w:bCs w:val="1"/>
                <w:color w:val="auto"/>
              </w:rPr>
              <w:t>Materials</w:t>
            </w:r>
            <w:r>
              <w:rPr>
                <w:rFonts w:ascii="Arial" w:cs="Arial" w:eastAsia="Arial" w:hAnsi="Arial"/>
                <w:sz w:val="16"/>
                <w:szCs w:val="16"/>
                <w:color w:val="auto"/>
              </w:rPr>
              <w:t>’;</w:t>
            </w:r>
          </w:p>
        </w:tc>
      </w:tr>
      <w:tr>
        <w:trPr>
          <w:trHeight w:val="391"/>
        </w:trPr>
        <w:tc>
          <w:tcPr>
            <w:tcW w:w="2440" w:type="dxa"/>
            <w:vAlign w:val="bottom"/>
          </w:tcPr>
          <w:p>
            <w:pPr>
              <w:spacing w:after="0"/>
              <w:rPr>
                <w:sz w:val="20"/>
                <w:szCs w:val="20"/>
                <w:color w:val="auto"/>
              </w:rPr>
            </w:pPr>
            <w:r>
              <w:rPr>
                <w:rFonts w:ascii="Arial" w:cs="Arial" w:eastAsia="Arial" w:hAnsi="Arial"/>
                <w:sz w:val="16"/>
                <w:szCs w:val="16"/>
                <w:b w:val="1"/>
                <w:bCs w:val="1"/>
                <w:color w:val="auto"/>
              </w:rPr>
              <w:t>“Agent Patents”</w:t>
            </w:r>
          </w:p>
        </w:tc>
        <w:tc>
          <w:tcPr>
            <w:tcW w:w="9020" w:type="dxa"/>
            <w:vAlign w:val="bottom"/>
          </w:tcPr>
          <w:p>
            <w:pPr>
              <w:ind w:left="540"/>
              <w:spacing w:after="0"/>
              <w:rPr>
                <w:sz w:val="20"/>
                <w:szCs w:val="20"/>
                <w:color w:val="auto"/>
              </w:rPr>
            </w:pPr>
            <w:r>
              <w:rPr>
                <w:rFonts w:ascii="Arial" w:cs="Arial" w:eastAsia="Arial" w:hAnsi="Arial"/>
                <w:sz w:val="16"/>
                <w:szCs w:val="16"/>
                <w:color w:val="auto"/>
              </w:rPr>
              <w:t>means:</w:t>
            </w:r>
          </w:p>
        </w:tc>
      </w:tr>
      <w:tr>
        <w:trPr>
          <w:trHeight w:val="391"/>
        </w:trPr>
        <w:tc>
          <w:tcPr>
            <w:tcW w:w="2440" w:type="dxa"/>
            <w:vAlign w:val="bottom"/>
          </w:tcPr>
          <w:p>
            <w:pPr>
              <w:spacing w:after="0"/>
              <w:rPr>
                <w:sz w:val="24"/>
                <w:szCs w:val="24"/>
                <w:color w:val="auto"/>
              </w:rPr>
            </w:pPr>
          </w:p>
        </w:tc>
        <w:tc>
          <w:tcPr>
            <w:tcW w:w="9020" w:type="dxa"/>
            <w:vAlign w:val="bottom"/>
          </w:tcPr>
          <w:p>
            <w:pPr>
              <w:ind w:left="540"/>
              <w:spacing w:after="0"/>
              <w:rPr>
                <w:sz w:val="20"/>
                <w:szCs w:val="20"/>
                <w:color w:val="auto"/>
              </w:rPr>
            </w:pPr>
            <w:r>
              <w:rPr>
                <w:rFonts w:ascii="Arial" w:cs="Arial" w:eastAsia="Arial" w:hAnsi="Arial"/>
                <w:sz w:val="16"/>
                <w:szCs w:val="16"/>
                <w:color w:val="auto"/>
              </w:rPr>
              <w:t>a)  the Patents identified in the Cover Sheet as ‘Agent Patents’;</w:t>
            </w:r>
          </w:p>
        </w:tc>
      </w:tr>
      <w:tr>
        <w:trPr>
          <w:trHeight w:val="391"/>
        </w:trPr>
        <w:tc>
          <w:tcPr>
            <w:tcW w:w="2440" w:type="dxa"/>
            <w:vAlign w:val="bottom"/>
          </w:tcPr>
          <w:p>
            <w:pPr>
              <w:spacing w:after="0"/>
              <w:rPr>
                <w:sz w:val="24"/>
                <w:szCs w:val="24"/>
                <w:color w:val="auto"/>
              </w:rPr>
            </w:pPr>
          </w:p>
        </w:tc>
        <w:tc>
          <w:tcPr>
            <w:tcW w:w="9020" w:type="dxa"/>
            <w:vAlign w:val="bottom"/>
          </w:tcPr>
          <w:p>
            <w:pPr>
              <w:ind w:left="540"/>
              <w:spacing w:after="0"/>
              <w:rPr>
                <w:sz w:val="20"/>
                <w:szCs w:val="20"/>
                <w:color w:val="auto"/>
              </w:rPr>
            </w:pPr>
            <w:r>
              <w:rPr>
                <w:rFonts w:ascii="Arial" w:cs="Arial" w:eastAsia="Arial" w:hAnsi="Arial"/>
                <w:sz w:val="16"/>
                <w:szCs w:val="16"/>
                <w:color w:val="auto"/>
              </w:rPr>
              <w:t>b)  any Patent Controlled by the Company at any time during the Term that Covers any Agent Product; and</w:t>
            </w:r>
          </w:p>
        </w:tc>
      </w:tr>
      <w:tr>
        <w:trPr>
          <w:trHeight w:val="391"/>
        </w:trPr>
        <w:tc>
          <w:tcPr>
            <w:tcW w:w="2440" w:type="dxa"/>
            <w:vAlign w:val="bottom"/>
          </w:tcPr>
          <w:p>
            <w:pPr>
              <w:spacing w:after="0"/>
              <w:rPr>
                <w:sz w:val="24"/>
                <w:szCs w:val="24"/>
                <w:color w:val="auto"/>
              </w:rPr>
            </w:pPr>
          </w:p>
        </w:tc>
        <w:tc>
          <w:tcPr>
            <w:tcW w:w="9020" w:type="dxa"/>
            <w:vAlign w:val="bottom"/>
          </w:tcPr>
          <w:p>
            <w:pPr>
              <w:ind w:left="540"/>
              <w:spacing w:after="0"/>
              <w:rPr>
                <w:sz w:val="20"/>
                <w:szCs w:val="20"/>
                <w:color w:val="auto"/>
              </w:rPr>
            </w:pPr>
            <w:r>
              <w:rPr>
                <w:rFonts w:ascii="Arial" w:cs="Arial" w:eastAsia="Arial" w:hAnsi="Arial"/>
                <w:sz w:val="16"/>
                <w:szCs w:val="16"/>
                <w:color w:val="auto"/>
              </w:rPr>
              <w:t>c)  all Patents that derive priority from the Patents identified in (a) or (b);</w:t>
            </w:r>
          </w:p>
        </w:tc>
      </w:tr>
      <w:tr>
        <w:trPr>
          <w:trHeight w:val="391"/>
        </w:trPr>
        <w:tc>
          <w:tcPr>
            <w:tcW w:w="2440" w:type="dxa"/>
            <w:vAlign w:val="bottom"/>
          </w:tcPr>
          <w:p>
            <w:pPr>
              <w:spacing w:after="0"/>
              <w:rPr>
                <w:sz w:val="20"/>
                <w:szCs w:val="20"/>
                <w:color w:val="auto"/>
              </w:rPr>
            </w:pPr>
            <w:r>
              <w:rPr>
                <w:rFonts w:ascii="Arial" w:cs="Arial" w:eastAsia="Arial" w:hAnsi="Arial"/>
                <w:sz w:val="16"/>
                <w:szCs w:val="16"/>
                <w:b w:val="1"/>
                <w:bCs w:val="1"/>
                <w:color w:val="auto"/>
              </w:rPr>
              <w:t>“Agent Product”</w:t>
            </w:r>
          </w:p>
        </w:tc>
        <w:tc>
          <w:tcPr>
            <w:tcW w:w="9020" w:type="dxa"/>
            <w:vAlign w:val="bottom"/>
          </w:tcPr>
          <w:p>
            <w:pPr>
              <w:ind w:left="540"/>
              <w:spacing w:after="0"/>
              <w:rPr>
                <w:sz w:val="20"/>
                <w:szCs w:val="20"/>
                <w:color w:val="auto"/>
              </w:rPr>
            </w:pPr>
            <w:r>
              <w:rPr>
                <w:rFonts w:ascii="Arial" w:cs="Arial" w:eastAsia="Arial" w:hAnsi="Arial"/>
                <w:sz w:val="16"/>
                <w:szCs w:val="16"/>
                <w:color w:val="auto"/>
              </w:rPr>
              <w:t>means any product that contains [***];</w:t>
            </w:r>
          </w:p>
        </w:tc>
      </w:tr>
      <w:tr>
        <w:trPr>
          <w:trHeight w:val="391"/>
        </w:trPr>
        <w:tc>
          <w:tcPr>
            <w:tcW w:w="2440" w:type="dxa"/>
            <w:vAlign w:val="bottom"/>
          </w:tcPr>
          <w:p>
            <w:pPr>
              <w:spacing w:after="0"/>
              <w:rPr>
                <w:sz w:val="20"/>
                <w:szCs w:val="20"/>
                <w:color w:val="auto"/>
              </w:rPr>
            </w:pPr>
            <w:r>
              <w:rPr>
                <w:rFonts w:ascii="Arial" w:cs="Arial" w:eastAsia="Arial" w:hAnsi="Arial"/>
                <w:sz w:val="16"/>
                <w:szCs w:val="16"/>
                <w:b w:val="1"/>
                <w:bCs w:val="1"/>
                <w:color w:val="auto"/>
              </w:rPr>
              <w:t>“Agreement”</w:t>
            </w:r>
          </w:p>
        </w:tc>
        <w:tc>
          <w:tcPr>
            <w:tcW w:w="9020" w:type="dxa"/>
            <w:vAlign w:val="bottom"/>
          </w:tcPr>
          <w:p>
            <w:pPr>
              <w:ind w:left="540"/>
              <w:spacing w:after="0"/>
              <w:rPr>
                <w:sz w:val="20"/>
                <w:szCs w:val="20"/>
                <w:color w:val="auto"/>
              </w:rPr>
            </w:pPr>
            <w:r>
              <w:rPr>
                <w:rFonts w:ascii="Arial" w:cs="Arial" w:eastAsia="Arial" w:hAnsi="Arial"/>
                <w:sz w:val="16"/>
                <w:szCs w:val="16"/>
                <w:color w:val="auto"/>
              </w:rPr>
              <w:t>means this agreement, including the Cover Sheet, all the Schedules to the this agreement and Glossary;</w:t>
            </w:r>
          </w:p>
        </w:tc>
      </w:tr>
      <w:tr>
        <w:trPr>
          <w:trHeight w:val="380"/>
        </w:trPr>
        <w:tc>
          <w:tcPr>
            <w:tcW w:w="2440" w:type="dxa"/>
            <w:vAlign w:val="bottom"/>
          </w:tcPr>
          <w:p>
            <w:pPr>
              <w:spacing w:after="0"/>
              <w:rPr>
                <w:sz w:val="20"/>
                <w:szCs w:val="20"/>
                <w:color w:val="auto"/>
              </w:rPr>
            </w:pPr>
            <w:r>
              <w:rPr>
                <w:rFonts w:ascii="Arial" w:cs="Arial" w:eastAsia="Arial" w:hAnsi="Arial"/>
                <w:sz w:val="16"/>
                <w:szCs w:val="16"/>
                <w:b w:val="1"/>
                <w:bCs w:val="1"/>
                <w:color w:val="auto"/>
              </w:rPr>
              <w:t>“Available On The NHS”</w:t>
            </w:r>
          </w:p>
        </w:tc>
        <w:tc>
          <w:tcPr>
            <w:tcW w:w="9020" w:type="dxa"/>
            <w:vAlign w:val="bottom"/>
          </w:tcPr>
          <w:p>
            <w:pPr>
              <w:ind w:left="540"/>
              <w:spacing w:after="0"/>
              <w:rPr>
                <w:sz w:val="20"/>
                <w:szCs w:val="20"/>
                <w:color w:val="auto"/>
              </w:rPr>
            </w:pPr>
            <w:r>
              <w:rPr>
                <w:rFonts w:ascii="Arial" w:cs="Arial" w:eastAsia="Arial" w:hAnsi="Arial"/>
                <w:sz w:val="16"/>
                <w:szCs w:val="16"/>
                <w:color w:val="auto"/>
              </w:rPr>
              <w:t>means in relation to any Agent Product or Collaboration Product:</w:t>
            </w:r>
          </w:p>
        </w:tc>
      </w:tr>
      <w:tr>
        <w:trPr>
          <w:trHeight w:val="207"/>
        </w:trPr>
        <w:tc>
          <w:tcPr>
            <w:tcW w:w="2440" w:type="dxa"/>
            <w:vAlign w:val="bottom"/>
          </w:tcPr>
          <w:p>
            <w:pPr>
              <w:spacing w:after="0"/>
              <w:rPr>
                <w:sz w:val="18"/>
                <w:szCs w:val="18"/>
                <w:color w:val="auto"/>
              </w:rPr>
            </w:pPr>
          </w:p>
        </w:tc>
        <w:tc>
          <w:tcPr>
            <w:tcW w:w="902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391"/>
        </w:trPr>
        <w:tc>
          <w:tcPr>
            <w:tcW w:w="2440" w:type="dxa"/>
            <w:vAlign w:val="bottom"/>
          </w:tcPr>
          <w:p>
            <w:pPr>
              <w:spacing w:after="0"/>
              <w:rPr>
                <w:sz w:val="24"/>
                <w:szCs w:val="24"/>
                <w:color w:val="auto"/>
              </w:rPr>
            </w:pPr>
          </w:p>
        </w:tc>
        <w:tc>
          <w:tcPr>
            <w:tcW w:w="902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391"/>
        </w:trPr>
        <w:tc>
          <w:tcPr>
            <w:tcW w:w="2440" w:type="dxa"/>
            <w:vAlign w:val="bottom"/>
          </w:tcPr>
          <w:p>
            <w:pPr>
              <w:spacing w:after="0"/>
              <w:rPr>
                <w:sz w:val="20"/>
                <w:szCs w:val="20"/>
                <w:color w:val="auto"/>
              </w:rPr>
            </w:pPr>
            <w:r>
              <w:rPr>
                <w:rFonts w:ascii="Arial" w:cs="Arial" w:eastAsia="Arial" w:hAnsi="Arial"/>
                <w:sz w:val="16"/>
                <w:szCs w:val="16"/>
                <w:b w:val="1"/>
                <w:bCs w:val="1"/>
                <w:color w:val="auto"/>
              </w:rPr>
              <w:t>“Box”</w:t>
            </w:r>
          </w:p>
        </w:tc>
        <w:tc>
          <w:tcPr>
            <w:tcW w:w="9020" w:type="dxa"/>
            <w:vAlign w:val="bottom"/>
          </w:tcPr>
          <w:p>
            <w:pPr>
              <w:ind w:left="540"/>
              <w:spacing w:after="0"/>
              <w:rPr>
                <w:sz w:val="20"/>
                <w:szCs w:val="20"/>
                <w:color w:val="auto"/>
              </w:rPr>
            </w:pPr>
            <w:r>
              <w:rPr>
                <w:rFonts w:ascii="Arial" w:cs="Arial" w:eastAsia="Arial" w:hAnsi="Arial"/>
                <w:sz w:val="16"/>
                <w:szCs w:val="16"/>
                <w:color w:val="auto"/>
              </w:rPr>
              <w:t>means the corresponding box in the Payments section of the Cover Sheet;</w:t>
            </w:r>
          </w:p>
        </w:tc>
      </w:tr>
      <w:tr>
        <w:trPr>
          <w:trHeight w:val="587"/>
        </w:trPr>
        <w:tc>
          <w:tcPr>
            <w:tcW w:w="2440" w:type="dxa"/>
            <w:vAlign w:val="bottom"/>
          </w:tcPr>
          <w:p>
            <w:pPr>
              <w:spacing w:after="0"/>
              <w:rPr>
                <w:sz w:val="20"/>
                <w:szCs w:val="20"/>
                <w:color w:val="auto"/>
              </w:rPr>
            </w:pPr>
            <w:r>
              <w:rPr>
                <w:rFonts w:ascii="Arial" w:cs="Arial" w:eastAsia="Arial" w:hAnsi="Arial"/>
                <w:sz w:val="16"/>
                <w:szCs w:val="16"/>
                <w:b w:val="1"/>
                <w:bCs w:val="1"/>
                <w:color w:val="auto"/>
              </w:rPr>
              <w:t>“Charity Indemnitees”</w:t>
            </w:r>
          </w:p>
        </w:tc>
        <w:tc>
          <w:tcPr>
            <w:tcW w:w="9020" w:type="dxa"/>
            <w:vAlign w:val="bottom"/>
          </w:tcPr>
          <w:p>
            <w:pPr>
              <w:ind w:left="540"/>
              <w:spacing w:after="0"/>
              <w:rPr>
                <w:sz w:val="20"/>
                <w:szCs w:val="20"/>
                <w:color w:val="auto"/>
              </w:rPr>
            </w:pPr>
            <w:r>
              <w:rPr>
                <w:rFonts w:ascii="Arial" w:cs="Arial" w:eastAsia="Arial" w:hAnsi="Arial"/>
                <w:sz w:val="16"/>
                <w:szCs w:val="16"/>
                <w:color w:val="auto"/>
              </w:rPr>
              <w:t>has the meaning given in clause 14.3 of the Agreement;</w:t>
            </w:r>
          </w:p>
        </w:tc>
      </w:tr>
      <w:tr>
        <w:trPr>
          <w:trHeight w:val="391"/>
        </w:trPr>
        <w:tc>
          <w:tcPr>
            <w:tcW w:w="2440" w:type="dxa"/>
            <w:vAlign w:val="bottom"/>
          </w:tcPr>
          <w:p>
            <w:pPr>
              <w:spacing w:after="0"/>
              <w:rPr>
                <w:sz w:val="20"/>
                <w:szCs w:val="20"/>
                <w:color w:val="auto"/>
              </w:rPr>
            </w:pPr>
            <w:r>
              <w:rPr>
                <w:rFonts w:ascii="Arial" w:cs="Arial" w:eastAsia="Arial" w:hAnsi="Arial"/>
                <w:sz w:val="16"/>
                <w:szCs w:val="16"/>
                <w:b w:val="1"/>
                <w:bCs w:val="1"/>
                <w:color w:val="auto"/>
              </w:rPr>
              <w:t>“Claim”</w:t>
            </w:r>
          </w:p>
        </w:tc>
        <w:tc>
          <w:tcPr>
            <w:tcW w:w="9020" w:type="dxa"/>
            <w:vAlign w:val="bottom"/>
          </w:tcPr>
          <w:p>
            <w:pPr>
              <w:ind w:left="540"/>
              <w:spacing w:after="0"/>
              <w:rPr>
                <w:sz w:val="20"/>
                <w:szCs w:val="20"/>
                <w:color w:val="auto"/>
              </w:rPr>
            </w:pPr>
            <w:r>
              <w:rPr>
                <w:rFonts w:ascii="Arial" w:cs="Arial" w:eastAsia="Arial" w:hAnsi="Arial"/>
                <w:sz w:val="16"/>
                <w:szCs w:val="16"/>
                <w:color w:val="auto"/>
              </w:rPr>
              <w:t>has the meaning given in clause 14.4.1 of the Agreement;</w:t>
            </w:r>
          </w:p>
        </w:tc>
      </w:tr>
      <w:tr>
        <w:trPr>
          <w:trHeight w:val="391"/>
        </w:trPr>
        <w:tc>
          <w:tcPr>
            <w:tcW w:w="2440" w:type="dxa"/>
            <w:vAlign w:val="bottom"/>
          </w:tcPr>
          <w:p>
            <w:pPr>
              <w:spacing w:after="0"/>
              <w:rPr>
                <w:sz w:val="20"/>
                <w:szCs w:val="20"/>
                <w:color w:val="auto"/>
              </w:rPr>
            </w:pPr>
            <w:r>
              <w:rPr>
                <w:rFonts w:ascii="Arial" w:cs="Arial" w:eastAsia="Arial" w:hAnsi="Arial"/>
                <w:sz w:val="16"/>
                <w:szCs w:val="16"/>
                <w:b w:val="1"/>
                <w:bCs w:val="1"/>
                <w:color w:val="auto"/>
              </w:rPr>
              <w:t>“Clinical Trial”</w:t>
            </w:r>
          </w:p>
        </w:tc>
        <w:tc>
          <w:tcPr>
            <w:tcW w:w="9020" w:type="dxa"/>
            <w:vAlign w:val="bottom"/>
          </w:tcPr>
          <w:p>
            <w:pPr>
              <w:ind w:left="540"/>
              <w:spacing w:after="0"/>
              <w:rPr>
                <w:sz w:val="20"/>
                <w:szCs w:val="20"/>
                <w:color w:val="auto"/>
              </w:rPr>
            </w:pPr>
            <w:r>
              <w:rPr>
                <w:rFonts w:ascii="Arial" w:cs="Arial" w:eastAsia="Arial" w:hAnsi="Arial"/>
                <w:sz w:val="16"/>
                <w:szCs w:val="16"/>
                <w:color w:val="auto"/>
              </w:rPr>
              <w:t>has the meaning given in clause 1.1 of the Agreement;</w:t>
            </w:r>
          </w:p>
        </w:tc>
      </w:tr>
      <w:tr>
        <w:trPr>
          <w:trHeight w:val="380"/>
        </w:trPr>
        <w:tc>
          <w:tcPr>
            <w:tcW w:w="2440" w:type="dxa"/>
            <w:vAlign w:val="bottom"/>
          </w:tcPr>
          <w:p>
            <w:pPr>
              <w:spacing w:after="0"/>
              <w:rPr>
                <w:sz w:val="20"/>
                <w:szCs w:val="20"/>
                <w:color w:val="auto"/>
              </w:rPr>
            </w:pPr>
            <w:r>
              <w:rPr>
                <w:rFonts w:ascii="Arial" w:cs="Arial" w:eastAsia="Arial" w:hAnsi="Arial"/>
                <w:sz w:val="16"/>
                <w:szCs w:val="16"/>
                <w:b w:val="1"/>
                <w:bCs w:val="1"/>
                <w:color w:val="auto"/>
              </w:rPr>
              <w:t>“Clinical Trial Legislation”</w:t>
            </w:r>
          </w:p>
        </w:tc>
        <w:tc>
          <w:tcPr>
            <w:tcW w:w="9020" w:type="dxa"/>
            <w:vAlign w:val="bottom"/>
          </w:tcPr>
          <w:p>
            <w:pPr>
              <w:ind w:left="540"/>
              <w:spacing w:after="0"/>
              <w:rPr>
                <w:sz w:val="20"/>
                <w:szCs w:val="20"/>
                <w:color w:val="auto"/>
              </w:rPr>
            </w:pPr>
            <w:r>
              <w:rPr>
                <w:rFonts w:ascii="Arial" w:cs="Arial" w:eastAsia="Arial" w:hAnsi="Arial"/>
                <w:sz w:val="16"/>
                <w:szCs w:val="16"/>
                <w:color w:val="auto"/>
                <w:w w:val="94"/>
              </w:rPr>
              <w:t>means the European Community Directives 2001/20/EC, 2003/94/EC and 2005/28/EC, Regulation (EU) 536/2014 (if and to the</w:t>
            </w:r>
          </w:p>
        </w:tc>
      </w:tr>
      <w:tr>
        <w:trPr>
          <w:trHeight w:val="196"/>
        </w:trPr>
        <w:tc>
          <w:tcPr>
            <w:tcW w:w="2440" w:type="dxa"/>
            <w:vAlign w:val="bottom"/>
          </w:tcPr>
          <w:p>
            <w:pPr>
              <w:spacing w:after="0"/>
              <w:rPr>
                <w:sz w:val="17"/>
                <w:szCs w:val="17"/>
                <w:color w:val="auto"/>
              </w:rPr>
            </w:pPr>
          </w:p>
        </w:tc>
        <w:tc>
          <w:tcPr>
            <w:tcW w:w="9020" w:type="dxa"/>
            <w:vAlign w:val="bottom"/>
          </w:tcPr>
          <w:p>
            <w:pPr>
              <w:ind w:left="540"/>
              <w:spacing w:after="0"/>
              <w:rPr>
                <w:sz w:val="20"/>
                <w:szCs w:val="20"/>
                <w:color w:val="auto"/>
              </w:rPr>
            </w:pPr>
            <w:r>
              <w:rPr>
                <w:rFonts w:ascii="Arial" w:cs="Arial" w:eastAsia="Arial" w:hAnsi="Arial"/>
                <w:sz w:val="16"/>
                <w:szCs w:val="16"/>
                <w:color w:val="auto"/>
                <w:w w:val="95"/>
              </w:rPr>
              <w:t>extent applicable), any national legislation that implements them or is otherwise applicable, and any relevant guidance to that</w:t>
            </w:r>
          </w:p>
        </w:tc>
      </w:tr>
      <w:tr>
        <w:trPr>
          <w:trHeight w:val="207"/>
        </w:trPr>
        <w:tc>
          <w:tcPr>
            <w:tcW w:w="2440" w:type="dxa"/>
            <w:vAlign w:val="bottom"/>
          </w:tcPr>
          <w:p>
            <w:pPr>
              <w:spacing w:after="0"/>
              <w:rPr>
                <w:sz w:val="18"/>
                <w:szCs w:val="18"/>
                <w:color w:val="auto"/>
              </w:rPr>
            </w:pPr>
          </w:p>
        </w:tc>
        <w:tc>
          <w:tcPr>
            <w:tcW w:w="9020" w:type="dxa"/>
            <w:vAlign w:val="bottom"/>
          </w:tcPr>
          <w:p>
            <w:pPr>
              <w:ind w:left="540"/>
              <w:spacing w:after="0"/>
              <w:rPr>
                <w:sz w:val="20"/>
                <w:szCs w:val="20"/>
                <w:color w:val="auto"/>
              </w:rPr>
            </w:pPr>
            <w:r>
              <w:rPr>
                <w:rFonts w:ascii="Arial" w:cs="Arial" w:eastAsia="Arial" w:hAnsi="Arial"/>
                <w:sz w:val="16"/>
                <w:szCs w:val="16"/>
                <w:color w:val="auto"/>
              </w:rPr>
              <w:t>legislation;</w:t>
            </w:r>
          </w:p>
        </w:tc>
      </w:tr>
      <w:tr>
        <w:trPr>
          <w:trHeight w:val="391"/>
        </w:trPr>
        <w:tc>
          <w:tcPr>
            <w:tcW w:w="2440" w:type="dxa"/>
            <w:vAlign w:val="bottom"/>
          </w:tcPr>
          <w:p>
            <w:pPr>
              <w:spacing w:after="0"/>
              <w:rPr>
                <w:sz w:val="20"/>
                <w:szCs w:val="20"/>
                <w:color w:val="auto"/>
              </w:rPr>
            </w:pPr>
            <w:r>
              <w:rPr>
                <w:rFonts w:ascii="Arial" w:cs="Arial" w:eastAsia="Arial" w:hAnsi="Arial"/>
                <w:sz w:val="16"/>
                <w:szCs w:val="16"/>
                <w:b w:val="1"/>
                <w:bCs w:val="1"/>
                <w:color w:val="auto"/>
              </w:rPr>
              <w:t>“Clinical Trial Subject”</w:t>
            </w:r>
          </w:p>
        </w:tc>
        <w:tc>
          <w:tcPr>
            <w:tcW w:w="9020" w:type="dxa"/>
            <w:vAlign w:val="bottom"/>
          </w:tcPr>
          <w:p>
            <w:pPr>
              <w:ind w:left="540"/>
              <w:spacing w:after="0"/>
              <w:rPr>
                <w:sz w:val="20"/>
                <w:szCs w:val="20"/>
                <w:color w:val="auto"/>
              </w:rPr>
            </w:pPr>
            <w:r>
              <w:rPr>
                <w:rFonts w:ascii="Arial" w:cs="Arial" w:eastAsia="Arial" w:hAnsi="Arial"/>
                <w:sz w:val="16"/>
                <w:szCs w:val="16"/>
                <w:color w:val="auto"/>
              </w:rPr>
              <w:t>means a subject, whether healthy volunteer or patient, in the Clinical Trial;</w:t>
            </w:r>
          </w:p>
        </w:tc>
      </w:tr>
      <w:tr>
        <w:trPr>
          <w:trHeight w:val="391"/>
        </w:trPr>
        <w:tc>
          <w:tcPr>
            <w:tcW w:w="2440" w:type="dxa"/>
            <w:vAlign w:val="bottom"/>
          </w:tcPr>
          <w:p>
            <w:pPr>
              <w:spacing w:after="0"/>
              <w:rPr>
                <w:sz w:val="24"/>
                <w:szCs w:val="24"/>
                <w:color w:val="auto"/>
              </w:rPr>
            </w:pPr>
          </w:p>
        </w:tc>
        <w:tc>
          <w:tcPr>
            <w:tcW w:w="9020" w:type="dxa"/>
            <w:vAlign w:val="bottom"/>
          </w:tcPr>
          <w:p>
            <w:pPr>
              <w:ind w:left="3240"/>
              <w:spacing w:after="0"/>
              <w:rPr>
                <w:sz w:val="20"/>
                <w:szCs w:val="20"/>
                <w:color w:val="auto"/>
              </w:rPr>
            </w:pPr>
            <w:r>
              <w:rPr>
                <w:rFonts w:ascii="Arial" w:cs="Arial" w:eastAsia="Arial" w:hAnsi="Arial"/>
                <w:sz w:val="16"/>
                <w:szCs w:val="16"/>
                <w:color w:val="auto"/>
              </w:rPr>
              <w:t>2</w:t>
            </w:r>
          </w:p>
        </w:tc>
      </w:tr>
      <w:tr>
        <w:trPr>
          <w:trHeight w:val="119"/>
        </w:trPr>
        <w:tc>
          <w:tcPr>
            <w:tcW w:w="2440" w:type="dxa"/>
            <w:vAlign w:val="bottom"/>
            <w:tcBorders>
              <w:bottom w:val="single" w:sz="8" w:color="808080"/>
            </w:tcBorders>
          </w:tcPr>
          <w:p>
            <w:pPr>
              <w:spacing w:after="0"/>
              <w:rPr>
                <w:sz w:val="10"/>
                <w:szCs w:val="10"/>
                <w:color w:val="auto"/>
              </w:rPr>
            </w:pPr>
          </w:p>
        </w:tc>
        <w:tc>
          <w:tcPr>
            <w:tcW w:w="9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602" w:name="page603"/>
    <w:bookmarkEnd w:id="602"/>
    <w:p>
      <w:pPr>
        <w:ind w:left="2" w:right="240" w:hanging="2"/>
        <w:spacing w:after="0" w:line="270" w:lineRule="auto"/>
        <w:tabs>
          <w:tab w:leader="none" w:pos="396" w:val="left"/>
        </w:tabs>
        <w:numPr>
          <w:ilvl w:val="0"/>
          <w:numId w:val="618"/>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2760" w:type="dxa"/>
            <w:vAlign w:val="bottom"/>
          </w:tcPr>
          <w:p>
            <w:pPr>
              <w:spacing w:after="0"/>
              <w:rPr>
                <w:sz w:val="20"/>
                <w:szCs w:val="20"/>
                <w:color w:val="auto"/>
              </w:rPr>
            </w:pPr>
            <w:r>
              <w:rPr>
                <w:rFonts w:ascii="Arial" w:cs="Arial" w:eastAsia="Arial" w:hAnsi="Arial"/>
                <w:sz w:val="16"/>
                <w:szCs w:val="16"/>
                <w:b w:val="1"/>
                <w:bCs w:val="1"/>
                <w:color w:val="auto"/>
              </w:rPr>
              <w:t>“Collaboration Product”</w:t>
            </w:r>
          </w:p>
        </w:tc>
        <w:tc>
          <w:tcPr>
            <w:tcW w:w="8700" w:type="dxa"/>
            <w:vAlign w:val="bottom"/>
          </w:tcPr>
          <w:p>
            <w:pPr>
              <w:ind w:left="220"/>
              <w:spacing w:after="0"/>
              <w:rPr>
                <w:sz w:val="20"/>
                <w:szCs w:val="20"/>
                <w:color w:val="auto"/>
              </w:rPr>
            </w:pPr>
            <w:r>
              <w:rPr>
                <w:rFonts w:ascii="Arial" w:cs="Arial" w:eastAsia="Arial" w:hAnsi="Arial"/>
                <w:sz w:val="16"/>
                <w:szCs w:val="16"/>
                <w:color w:val="auto"/>
              </w:rPr>
              <w:t>means any product, other than an Agent Product, [***];</w:t>
            </w:r>
          </w:p>
        </w:tc>
      </w:tr>
      <w:tr>
        <w:trPr>
          <w:trHeight w:val="391"/>
        </w:trPr>
        <w:tc>
          <w:tcPr>
            <w:tcW w:w="2760" w:type="dxa"/>
            <w:vAlign w:val="bottom"/>
          </w:tcPr>
          <w:p>
            <w:pPr>
              <w:spacing w:after="0"/>
              <w:rPr>
                <w:sz w:val="20"/>
                <w:szCs w:val="20"/>
                <w:color w:val="auto"/>
              </w:rPr>
            </w:pPr>
            <w:r>
              <w:rPr>
                <w:rFonts w:ascii="Arial" w:cs="Arial" w:eastAsia="Arial" w:hAnsi="Arial"/>
                <w:sz w:val="16"/>
                <w:szCs w:val="16"/>
                <w:b w:val="1"/>
                <w:bCs w:val="1"/>
                <w:color w:val="auto"/>
              </w:rPr>
              <w:t>“Collaboration Product IP”</w:t>
            </w:r>
          </w:p>
        </w:tc>
        <w:tc>
          <w:tcPr>
            <w:tcW w:w="8700" w:type="dxa"/>
            <w:vAlign w:val="bottom"/>
          </w:tcPr>
          <w:p>
            <w:pPr>
              <w:ind w:left="220"/>
              <w:spacing w:after="0"/>
              <w:rPr>
                <w:sz w:val="20"/>
                <w:szCs w:val="20"/>
                <w:color w:val="auto"/>
              </w:rPr>
            </w:pPr>
            <w:r>
              <w:rPr>
                <w:rFonts w:ascii="Arial" w:cs="Arial" w:eastAsia="Arial" w:hAnsi="Arial"/>
                <w:sz w:val="16"/>
                <w:szCs w:val="16"/>
                <w:color w:val="auto"/>
              </w:rPr>
              <w:t>means:</w:t>
            </w:r>
          </w:p>
        </w:tc>
      </w:tr>
      <w:tr>
        <w:trPr>
          <w:trHeight w:val="391"/>
        </w:trPr>
        <w:tc>
          <w:tcPr>
            <w:tcW w:w="2760" w:type="dxa"/>
            <w:vAlign w:val="bottom"/>
          </w:tcPr>
          <w:p>
            <w:pPr>
              <w:spacing w:after="0"/>
              <w:rPr>
                <w:sz w:val="24"/>
                <w:szCs w:val="24"/>
                <w:color w:val="auto"/>
              </w:rPr>
            </w:pPr>
          </w:p>
        </w:tc>
        <w:tc>
          <w:tcPr>
            <w:tcW w:w="8700" w:type="dxa"/>
            <w:vAlign w:val="bottom"/>
          </w:tcPr>
          <w:p>
            <w:pPr>
              <w:ind w:left="220"/>
              <w:spacing w:after="0"/>
              <w:rPr>
                <w:sz w:val="20"/>
                <w:szCs w:val="20"/>
                <w:color w:val="auto"/>
              </w:rPr>
            </w:pPr>
            <w:r>
              <w:rPr>
                <w:rFonts w:ascii="Arial" w:cs="Arial" w:eastAsia="Arial" w:hAnsi="Arial"/>
                <w:sz w:val="16"/>
                <w:szCs w:val="16"/>
                <w:color w:val="auto"/>
              </w:rPr>
              <w:t>a)  the Collaboration Product Know How;</w:t>
            </w:r>
          </w:p>
        </w:tc>
      </w:tr>
      <w:tr>
        <w:trPr>
          <w:trHeight w:val="391"/>
        </w:trPr>
        <w:tc>
          <w:tcPr>
            <w:tcW w:w="2760" w:type="dxa"/>
            <w:vAlign w:val="bottom"/>
          </w:tcPr>
          <w:p>
            <w:pPr>
              <w:spacing w:after="0"/>
              <w:rPr>
                <w:sz w:val="24"/>
                <w:szCs w:val="24"/>
                <w:color w:val="auto"/>
              </w:rPr>
            </w:pPr>
          </w:p>
        </w:tc>
        <w:tc>
          <w:tcPr>
            <w:tcW w:w="8700" w:type="dxa"/>
            <w:vAlign w:val="bottom"/>
          </w:tcPr>
          <w:p>
            <w:pPr>
              <w:ind w:left="220"/>
              <w:spacing w:after="0"/>
              <w:rPr>
                <w:sz w:val="20"/>
                <w:szCs w:val="20"/>
                <w:color w:val="auto"/>
              </w:rPr>
            </w:pPr>
            <w:r>
              <w:rPr>
                <w:rFonts w:ascii="Arial" w:cs="Arial" w:eastAsia="Arial" w:hAnsi="Arial"/>
                <w:sz w:val="16"/>
                <w:szCs w:val="16"/>
                <w:color w:val="auto"/>
              </w:rPr>
              <w:t>b)  the Collaboration Product Patents; and</w:t>
            </w:r>
          </w:p>
        </w:tc>
      </w:tr>
      <w:tr>
        <w:trPr>
          <w:trHeight w:val="391"/>
        </w:trPr>
        <w:tc>
          <w:tcPr>
            <w:tcW w:w="2760" w:type="dxa"/>
            <w:vAlign w:val="bottom"/>
          </w:tcPr>
          <w:p>
            <w:pPr>
              <w:spacing w:after="0"/>
              <w:rPr>
                <w:sz w:val="24"/>
                <w:szCs w:val="24"/>
                <w:color w:val="auto"/>
              </w:rPr>
            </w:pPr>
          </w:p>
        </w:tc>
        <w:tc>
          <w:tcPr>
            <w:tcW w:w="8700" w:type="dxa"/>
            <w:vAlign w:val="bottom"/>
          </w:tcPr>
          <w:p>
            <w:pPr>
              <w:ind w:left="220"/>
              <w:spacing w:after="0"/>
              <w:rPr>
                <w:sz w:val="20"/>
                <w:szCs w:val="20"/>
                <w:color w:val="auto"/>
              </w:rPr>
            </w:pPr>
            <w:r>
              <w:rPr>
                <w:rFonts w:ascii="Arial" w:cs="Arial" w:eastAsia="Arial" w:hAnsi="Arial"/>
                <w:sz w:val="16"/>
                <w:szCs w:val="16"/>
                <w:color w:val="auto"/>
              </w:rPr>
              <w:t>c)  the Collaboration Product Materials.</w:t>
            </w:r>
          </w:p>
        </w:tc>
      </w:tr>
      <w:tr>
        <w:trPr>
          <w:trHeight w:val="380"/>
        </w:trPr>
        <w:tc>
          <w:tcPr>
            <w:tcW w:w="2760" w:type="dxa"/>
            <w:vAlign w:val="bottom"/>
          </w:tcPr>
          <w:p>
            <w:pPr>
              <w:spacing w:after="0"/>
              <w:rPr>
                <w:sz w:val="20"/>
                <w:szCs w:val="20"/>
                <w:color w:val="auto"/>
              </w:rPr>
            </w:pPr>
            <w:r>
              <w:rPr>
                <w:rFonts w:ascii="Arial" w:cs="Arial" w:eastAsia="Arial" w:hAnsi="Arial"/>
                <w:sz w:val="16"/>
                <w:szCs w:val="16"/>
                <w:b w:val="1"/>
                <w:bCs w:val="1"/>
                <w:color w:val="auto"/>
              </w:rPr>
              <w:t>“Collaboration Product Know How”</w:t>
            </w:r>
          </w:p>
        </w:tc>
        <w:tc>
          <w:tcPr>
            <w:tcW w:w="8700" w:type="dxa"/>
            <w:vAlign w:val="bottom"/>
          </w:tcPr>
          <w:p>
            <w:pPr>
              <w:ind w:left="220"/>
              <w:spacing w:after="0"/>
              <w:rPr>
                <w:sz w:val="20"/>
                <w:szCs w:val="20"/>
                <w:color w:val="auto"/>
              </w:rPr>
            </w:pPr>
            <w:r>
              <w:rPr>
                <w:rFonts w:ascii="Arial" w:cs="Arial" w:eastAsia="Arial" w:hAnsi="Arial"/>
                <w:sz w:val="16"/>
                <w:szCs w:val="16"/>
                <w:color w:val="auto"/>
                <w:w w:val="94"/>
              </w:rPr>
              <w:t>means Know How that the Company Controls as at the Step-In Date or during the term of the Step-In Agreement that relates to</w:t>
            </w:r>
          </w:p>
        </w:tc>
      </w:tr>
      <w:tr>
        <w:trPr>
          <w:trHeight w:val="207"/>
        </w:trPr>
        <w:tc>
          <w:tcPr>
            <w:tcW w:w="2760" w:type="dxa"/>
            <w:vAlign w:val="bottom"/>
          </w:tcPr>
          <w:p>
            <w:pPr>
              <w:spacing w:after="0"/>
              <w:rPr>
                <w:sz w:val="18"/>
                <w:szCs w:val="18"/>
                <w:color w:val="auto"/>
              </w:rPr>
            </w:pPr>
          </w:p>
        </w:tc>
        <w:tc>
          <w:tcPr>
            <w:tcW w:w="8700" w:type="dxa"/>
            <w:vAlign w:val="bottom"/>
          </w:tcPr>
          <w:p>
            <w:pPr>
              <w:ind w:left="220"/>
              <w:spacing w:after="0"/>
              <w:rPr>
                <w:sz w:val="20"/>
                <w:szCs w:val="20"/>
                <w:color w:val="auto"/>
              </w:rPr>
            </w:pPr>
            <w:r>
              <w:rPr>
                <w:rFonts w:ascii="Arial" w:cs="Arial" w:eastAsia="Arial" w:hAnsi="Arial"/>
                <w:sz w:val="16"/>
                <w:szCs w:val="16"/>
                <w:color w:val="auto"/>
              </w:rPr>
              <w:t>any Collaboration Product for which a GLP Toxicology Study has been initiated, and includes:</w:t>
            </w:r>
          </w:p>
        </w:tc>
      </w:tr>
      <w:tr>
        <w:trPr>
          <w:trHeight w:val="380"/>
        </w:trPr>
        <w:tc>
          <w:tcPr>
            <w:tcW w:w="2760" w:type="dxa"/>
            <w:vAlign w:val="bottom"/>
          </w:tcPr>
          <w:p>
            <w:pPr>
              <w:spacing w:after="0"/>
              <w:rPr>
                <w:sz w:val="24"/>
                <w:szCs w:val="24"/>
                <w:color w:val="auto"/>
              </w:rPr>
            </w:pPr>
          </w:p>
        </w:tc>
        <w:tc>
          <w:tcPr>
            <w:tcW w:w="8700" w:type="dxa"/>
            <w:vAlign w:val="bottom"/>
          </w:tcPr>
          <w:p>
            <w:pPr>
              <w:ind w:left="220"/>
              <w:spacing w:after="0"/>
              <w:rPr>
                <w:sz w:val="20"/>
                <w:szCs w:val="20"/>
                <w:color w:val="auto"/>
              </w:rPr>
            </w:pPr>
            <w:r>
              <w:rPr>
                <w:rFonts w:ascii="Arial" w:cs="Arial" w:eastAsia="Arial" w:hAnsi="Arial"/>
                <w:sz w:val="16"/>
                <w:szCs w:val="16"/>
                <w:color w:val="auto"/>
                <w:w w:val="96"/>
              </w:rPr>
              <w:t>a)  Know How related to safety, toxicology and efficacy or that is otherwise relevant to the activities to be performed by or on</w:t>
            </w:r>
          </w:p>
        </w:tc>
      </w:tr>
      <w:tr>
        <w:trPr>
          <w:trHeight w:val="207"/>
        </w:trPr>
        <w:tc>
          <w:tcPr>
            <w:tcW w:w="2760" w:type="dxa"/>
            <w:vAlign w:val="bottom"/>
          </w:tcPr>
          <w:p>
            <w:pPr>
              <w:spacing w:after="0"/>
              <w:rPr>
                <w:sz w:val="18"/>
                <w:szCs w:val="18"/>
                <w:color w:val="auto"/>
              </w:rPr>
            </w:pPr>
          </w:p>
        </w:tc>
        <w:tc>
          <w:tcPr>
            <w:tcW w:w="8700" w:type="dxa"/>
            <w:vAlign w:val="bottom"/>
          </w:tcPr>
          <w:p>
            <w:pPr>
              <w:ind w:left="520"/>
              <w:spacing w:after="0"/>
              <w:rPr>
                <w:sz w:val="20"/>
                <w:szCs w:val="20"/>
                <w:color w:val="auto"/>
              </w:rPr>
            </w:pPr>
            <w:r>
              <w:rPr>
                <w:rFonts w:ascii="Arial" w:cs="Arial" w:eastAsia="Arial" w:hAnsi="Arial"/>
                <w:sz w:val="16"/>
                <w:szCs w:val="16"/>
                <w:color w:val="auto"/>
              </w:rPr>
              <w:t>behalf of CRT under the Step-in Agreement; and</w:t>
            </w:r>
          </w:p>
        </w:tc>
      </w:tr>
      <w:tr>
        <w:trPr>
          <w:trHeight w:val="380"/>
        </w:trPr>
        <w:tc>
          <w:tcPr>
            <w:tcW w:w="2760" w:type="dxa"/>
            <w:vAlign w:val="bottom"/>
          </w:tcPr>
          <w:p>
            <w:pPr>
              <w:spacing w:after="0"/>
              <w:rPr>
                <w:sz w:val="24"/>
                <w:szCs w:val="24"/>
                <w:color w:val="auto"/>
              </w:rPr>
            </w:pPr>
          </w:p>
        </w:tc>
        <w:tc>
          <w:tcPr>
            <w:tcW w:w="8700" w:type="dxa"/>
            <w:vAlign w:val="bottom"/>
          </w:tcPr>
          <w:p>
            <w:pPr>
              <w:ind w:left="220"/>
              <w:spacing w:after="0"/>
              <w:rPr>
                <w:sz w:val="20"/>
                <w:szCs w:val="20"/>
                <w:color w:val="auto"/>
              </w:rPr>
            </w:pPr>
            <w:r>
              <w:rPr>
                <w:rFonts w:ascii="Arial" w:cs="Arial" w:eastAsia="Arial" w:hAnsi="Arial"/>
                <w:sz w:val="16"/>
                <w:szCs w:val="16"/>
                <w:color w:val="auto"/>
                <w:w w:val="95"/>
              </w:rPr>
              <w:t>b)  Know How related to the manufacturing, production or expression, quality, safe and proper handling, storage or use of the</w:t>
            </w:r>
          </w:p>
        </w:tc>
      </w:tr>
      <w:tr>
        <w:trPr>
          <w:trHeight w:val="207"/>
        </w:trPr>
        <w:tc>
          <w:tcPr>
            <w:tcW w:w="2760" w:type="dxa"/>
            <w:vAlign w:val="bottom"/>
          </w:tcPr>
          <w:p>
            <w:pPr>
              <w:spacing w:after="0"/>
              <w:rPr>
                <w:sz w:val="18"/>
                <w:szCs w:val="18"/>
                <w:color w:val="auto"/>
              </w:rPr>
            </w:pPr>
          </w:p>
        </w:tc>
        <w:tc>
          <w:tcPr>
            <w:tcW w:w="8700" w:type="dxa"/>
            <w:vAlign w:val="bottom"/>
          </w:tcPr>
          <w:p>
            <w:pPr>
              <w:ind w:left="520"/>
              <w:spacing w:after="0"/>
              <w:rPr>
                <w:sz w:val="20"/>
                <w:szCs w:val="20"/>
                <w:color w:val="auto"/>
              </w:rPr>
            </w:pPr>
            <w:r>
              <w:rPr>
                <w:rFonts w:ascii="Arial" w:cs="Arial" w:eastAsia="Arial" w:hAnsi="Arial"/>
                <w:sz w:val="16"/>
                <w:szCs w:val="16"/>
                <w:color w:val="auto"/>
              </w:rPr>
              <w:t>Collaboration Products;</w:t>
            </w:r>
          </w:p>
        </w:tc>
      </w:tr>
      <w:tr>
        <w:trPr>
          <w:trHeight w:val="380"/>
        </w:trPr>
        <w:tc>
          <w:tcPr>
            <w:tcW w:w="2760" w:type="dxa"/>
            <w:vAlign w:val="bottom"/>
          </w:tcPr>
          <w:p>
            <w:pPr>
              <w:spacing w:after="0"/>
              <w:rPr>
                <w:sz w:val="20"/>
                <w:szCs w:val="20"/>
                <w:color w:val="auto"/>
              </w:rPr>
            </w:pPr>
            <w:r>
              <w:rPr>
                <w:rFonts w:ascii="Arial" w:cs="Arial" w:eastAsia="Arial" w:hAnsi="Arial"/>
                <w:sz w:val="16"/>
                <w:szCs w:val="16"/>
                <w:b w:val="1"/>
                <w:bCs w:val="1"/>
                <w:color w:val="auto"/>
              </w:rPr>
              <w:t>“Collaboration Product Materials”</w:t>
            </w:r>
          </w:p>
        </w:tc>
        <w:tc>
          <w:tcPr>
            <w:tcW w:w="8700" w:type="dxa"/>
            <w:vAlign w:val="bottom"/>
          </w:tcPr>
          <w:p>
            <w:pPr>
              <w:ind w:left="220"/>
              <w:spacing w:after="0"/>
              <w:rPr>
                <w:sz w:val="20"/>
                <w:szCs w:val="20"/>
                <w:color w:val="auto"/>
              </w:rPr>
            </w:pPr>
            <w:r>
              <w:rPr>
                <w:rFonts w:ascii="Arial" w:cs="Arial" w:eastAsia="Arial" w:hAnsi="Arial"/>
                <w:sz w:val="16"/>
                <w:szCs w:val="16"/>
                <w:color w:val="auto"/>
              </w:rPr>
              <w:t>means the Materials that the Company Controls comprised in any part of a Collaboration Product and for which a GLP</w:t>
            </w:r>
          </w:p>
        </w:tc>
      </w:tr>
      <w:tr>
        <w:trPr>
          <w:trHeight w:val="207"/>
        </w:trPr>
        <w:tc>
          <w:tcPr>
            <w:tcW w:w="2760" w:type="dxa"/>
            <w:vAlign w:val="bottom"/>
          </w:tcPr>
          <w:p>
            <w:pPr>
              <w:spacing w:after="0"/>
              <w:rPr>
                <w:sz w:val="18"/>
                <w:szCs w:val="18"/>
                <w:color w:val="auto"/>
              </w:rPr>
            </w:pPr>
          </w:p>
        </w:tc>
        <w:tc>
          <w:tcPr>
            <w:tcW w:w="8700" w:type="dxa"/>
            <w:vAlign w:val="bottom"/>
          </w:tcPr>
          <w:p>
            <w:pPr>
              <w:ind w:left="220"/>
              <w:spacing w:after="0"/>
              <w:rPr>
                <w:sz w:val="20"/>
                <w:szCs w:val="20"/>
                <w:color w:val="auto"/>
              </w:rPr>
            </w:pPr>
            <w:r>
              <w:rPr>
                <w:rFonts w:ascii="Arial" w:cs="Arial" w:eastAsia="Arial" w:hAnsi="Arial"/>
                <w:sz w:val="16"/>
                <w:szCs w:val="16"/>
                <w:color w:val="auto"/>
              </w:rPr>
              <w:t>Toxicology Study has been initiated;</w:t>
            </w:r>
          </w:p>
        </w:tc>
      </w:tr>
      <w:tr>
        <w:trPr>
          <w:trHeight w:val="391"/>
        </w:trPr>
        <w:tc>
          <w:tcPr>
            <w:tcW w:w="2760" w:type="dxa"/>
            <w:vAlign w:val="bottom"/>
          </w:tcPr>
          <w:p>
            <w:pPr>
              <w:spacing w:after="0"/>
              <w:rPr>
                <w:sz w:val="20"/>
                <w:szCs w:val="20"/>
                <w:color w:val="auto"/>
              </w:rPr>
            </w:pPr>
            <w:r>
              <w:rPr>
                <w:rFonts w:ascii="Arial" w:cs="Arial" w:eastAsia="Arial" w:hAnsi="Arial"/>
                <w:sz w:val="16"/>
                <w:szCs w:val="16"/>
                <w:b w:val="1"/>
                <w:bCs w:val="1"/>
                <w:color w:val="auto"/>
              </w:rPr>
              <w:t>“Collaboration Product</w:t>
            </w:r>
          </w:p>
        </w:tc>
        <w:tc>
          <w:tcPr>
            <w:tcW w:w="8700" w:type="dxa"/>
            <w:vAlign w:val="bottom"/>
          </w:tcPr>
          <w:p>
            <w:pPr>
              <w:ind w:left="220"/>
              <w:spacing w:after="0"/>
              <w:rPr>
                <w:sz w:val="20"/>
                <w:szCs w:val="20"/>
                <w:color w:val="auto"/>
              </w:rPr>
            </w:pPr>
            <w:r>
              <w:rPr>
                <w:rFonts w:ascii="Arial" w:cs="Arial" w:eastAsia="Arial" w:hAnsi="Arial"/>
                <w:sz w:val="16"/>
                <w:szCs w:val="16"/>
                <w:color w:val="auto"/>
              </w:rPr>
              <w:t>means:</w:t>
            </w:r>
          </w:p>
        </w:tc>
      </w:tr>
      <w:tr>
        <w:trPr>
          <w:trHeight w:val="391"/>
        </w:trPr>
        <w:tc>
          <w:tcPr>
            <w:tcW w:w="2760" w:type="dxa"/>
            <w:vAlign w:val="bottom"/>
          </w:tcPr>
          <w:p>
            <w:pPr>
              <w:spacing w:after="0"/>
              <w:rPr>
                <w:sz w:val="24"/>
                <w:szCs w:val="24"/>
                <w:color w:val="auto"/>
              </w:rPr>
            </w:pPr>
          </w:p>
        </w:tc>
        <w:tc>
          <w:tcPr>
            <w:tcW w:w="8700" w:type="dxa"/>
            <w:vAlign w:val="bottom"/>
          </w:tcPr>
          <w:p>
            <w:pPr>
              <w:ind w:left="2920"/>
              <w:spacing w:after="0"/>
              <w:rPr>
                <w:sz w:val="20"/>
                <w:szCs w:val="20"/>
                <w:color w:val="auto"/>
              </w:rPr>
            </w:pPr>
            <w:r>
              <w:rPr>
                <w:rFonts w:ascii="Arial" w:cs="Arial" w:eastAsia="Arial" w:hAnsi="Arial"/>
                <w:sz w:val="16"/>
                <w:szCs w:val="16"/>
                <w:color w:val="auto"/>
              </w:rPr>
              <w:t>3</w:t>
            </w:r>
          </w:p>
        </w:tc>
      </w:tr>
      <w:tr>
        <w:trPr>
          <w:trHeight w:val="119"/>
        </w:trPr>
        <w:tc>
          <w:tcPr>
            <w:tcW w:w="2760" w:type="dxa"/>
            <w:vAlign w:val="bottom"/>
            <w:tcBorders>
              <w:bottom w:val="single" w:sz="8" w:color="808080"/>
            </w:tcBorders>
          </w:tcPr>
          <w:p>
            <w:pPr>
              <w:spacing w:after="0"/>
              <w:rPr>
                <w:sz w:val="10"/>
                <w:szCs w:val="10"/>
                <w:color w:val="auto"/>
              </w:rPr>
            </w:pPr>
          </w:p>
        </w:tc>
        <w:tc>
          <w:tcPr>
            <w:tcW w:w="8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603" w:name="page604"/>
    <w:bookmarkEnd w:id="603"/>
    <w:p>
      <w:pPr>
        <w:ind w:left="2" w:right="240" w:hanging="2"/>
        <w:spacing w:after="0" w:line="270" w:lineRule="auto"/>
        <w:tabs>
          <w:tab w:leader="none" w:pos="396" w:val="left"/>
        </w:tabs>
        <w:numPr>
          <w:ilvl w:val="0"/>
          <w:numId w:val="619"/>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2740" w:type="dxa"/>
            <w:vAlign w:val="bottom"/>
          </w:tcPr>
          <w:p>
            <w:pPr>
              <w:spacing w:after="0"/>
              <w:rPr>
                <w:sz w:val="20"/>
                <w:szCs w:val="20"/>
                <w:color w:val="auto"/>
              </w:rPr>
            </w:pPr>
            <w:r>
              <w:rPr>
                <w:rFonts w:ascii="Arial" w:cs="Arial" w:eastAsia="Arial" w:hAnsi="Arial"/>
                <w:sz w:val="16"/>
                <w:szCs w:val="16"/>
                <w:b w:val="1"/>
                <w:bCs w:val="1"/>
                <w:color w:val="auto"/>
              </w:rPr>
              <w:t>Patents”</w:t>
            </w:r>
          </w:p>
        </w:tc>
        <w:tc>
          <w:tcPr>
            <w:tcW w:w="8720" w:type="dxa"/>
            <w:vAlign w:val="bottom"/>
          </w:tcPr>
          <w:p>
            <w:pPr>
              <w:spacing w:after="0"/>
              <w:rPr>
                <w:sz w:val="18"/>
                <w:szCs w:val="18"/>
                <w:color w:val="auto"/>
              </w:rPr>
            </w:pPr>
          </w:p>
        </w:tc>
      </w:tr>
      <w:tr>
        <w:trPr>
          <w:trHeight w:val="380"/>
        </w:trPr>
        <w:tc>
          <w:tcPr>
            <w:tcW w:w="274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6"/>
                <w:szCs w:val="16"/>
                <w:color w:val="auto"/>
                <w:w w:val="99"/>
              </w:rPr>
              <w:t>a)  the Patents that are Controlled by the Company that Cover the Collaboration Products or any individual Collaboration</w:t>
            </w:r>
          </w:p>
        </w:tc>
      </w:tr>
      <w:tr>
        <w:trPr>
          <w:trHeight w:val="207"/>
        </w:trPr>
        <w:tc>
          <w:tcPr>
            <w:tcW w:w="274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6"/>
                <w:szCs w:val="16"/>
                <w:color w:val="auto"/>
              </w:rPr>
              <w:t>Product; and</w:t>
            </w:r>
          </w:p>
        </w:tc>
      </w:tr>
      <w:tr>
        <w:trPr>
          <w:trHeight w:val="391"/>
        </w:trPr>
        <w:tc>
          <w:tcPr>
            <w:tcW w:w="274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6"/>
                <w:szCs w:val="16"/>
                <w:color w:val="auto"/>
              </w:rPr>
              <w:t>b)  all Patents that derive priority from the Patents identified in (a);</w:t>
            </w:r>
          </w:p>
        </w:tc>
      </w:tr>
      <w:tr>
        <w:trPr>
          <w:trHeight w:val="380"/>
        </w:trPr>
        <w:tc>
          <w:tcPr>
            <w:tcW w:w="2740" w:type="dxa"/>
            <w:vAlign w:val="bottom"/>
          </w:tcPr>
          <w:p>
            <w:pPr>
              <w:spacing w:after="0"/>
              <w:rPr>
                <w:sz w:val="20"/>
                <w:szCs w:val="20"/>
                <w:color w:val="auto"/>
              </w:rPr>
            </w:pPr>
            <w:r>
              <w:rPr>
                <w:rFonts w:ascii="Arial" w:cs="Arial" w:eastAsia="Arial" w:hAnsi="Arial"/>
                <w:sz w:val="16"/>
                <w:szCs w:val="16"/>
                <w:b w:val="1"/>
                <w:bCs w:val="1"/>
                <w:color w:val="auto"/>
              </w:rPr>
              <w:t>“Commercially Reasonable Efforts”</w:t>
            </w:r>
          </w:p>
        </w:tc>
        <w:tc>
          <w:tcPr>
            <w:tcW w:w="8720" w:type="dxa"/>
            <w:vAlign w:val="bottom"/>
          </w:tcPr>
          <w:p>
            <w:pPr>
              <w:ind w:left="240"/>
              <w:spacing w:after="0"/>
              <w:rPr>
                <w:sz w:val="20"/>
                <w:szCs w:val="20"/>
                <w:color w:val="auto"/>
              </w:rPr>
            </w:pPr>
            <w:r>
              <w:rPr>
                <w:rFonts w:ascii="Arial" w:cs="Arial" w:eastAsia="Arial" w:hAnsi="Arial"/>
                <w:sz w:val="16"/>
                <w:szCs w:val="16"/>
                <w:color w:val="auto"/>
                <w:w w:val="94"/>
              </w:rPr>
              <w:t>means, in respect of the Company or a Sub-Licensee, the efforts and resources commonly used by a company of a similar size</w:t>
            </w:r>
          </w:p>
        </w:tc>
      </w:tr>
      <w:tr>
        <w:trPr>
          <w:trHeight w:val="196"/>
        </w:trPr>
        <w:tc>
          <w:tcPr>
            <w:tcW w:w="2740" w:type="dxa"/>
            <w:vAlign w:val="bottom"/>
          </w:tcPr>
          <w:p>
            <w:pPr>
              <w:spacing w:after="0"/>
              <w:rPr>
                <w:sz w:val="17"/>
                <w:szCs w:val="17"/>
                <w:color w:val="auto"/>
              </w:rPr>
            </w:pPr>
          </w:p>
        </w:tc>
        <w:tc>
          <w:tcPr>
            <w:tcW w:w="8720" w:type="dxa"/>
            <w:vAlign w:val="bottom"/>
          </w:tcPr>
          <w:p>
            <w:pPr>
              <w:ind w:left="240"/>
              <w:spacing w:after="0"/>
              <w:rPr>
                <w:sz w:val="20"/>
                <w:szCs w:val="20"/>
                <w:color w:val="auto"/>
              </w:rPr>
            </w:pPr>
            <w:r>
              <w:rPr>
                <w:rFonts w:ascii="Arial" w:cs="Arial" w:eastAsia="Arial" w:hAnsi="Arial"/>
                <w:sz w:val="16"/>
                <w:szCs w:val="16"/>
                <w:color w:val="auto"/>
                <w:w w:val="97"/>
              </w:rPr>
              <w:t>and with similar resources for a product at a similar stage in its life cycle, with the aim of developing or commercialising that</w:t>
            </w:r>
          </w:p>
        </w:tc>
      </w:tr>
      <w:tr>
        <w:trPr>
          <w:trHeight w:val="196"/>
        </w:trPr>
        <w:tc>
          <w:tcPr>
            <w:tcW w:w="2740" w:type="dxa"/>
            <w:vAlign w:val="bottom"/>
          </w:tcPr>
          <w:p>
            <w:pPr>
              <w:spacing w:after="0"/>
              <w:rPr>
                <w:sz w:val="17"/>
                <w:szCs w:val="17"/>
                <w:color w:val="auto"/>
              </w:rPr>
            </w:pPr>
          </w:p>
        </w:tc>
        <w:tc>
          <w:tcPr>
            <w:tcW w:w="8720" w:type="dxa"/>
            <w:vAlign w:val="bottom"/>
          </w:tcPr>
          <w:p>
            <w:pPr>
              <w:ind w:left="240"/>
              <w:spacing w:after="0"/>
              <w:rPr>
                <w:sz w:val="20"/>
                <w:szCs w:val="20"/>
                <w:color w:val="auto"/>
              </w:rPr>
            </w:pPr>
            <w:r>
              <w:rPr>
                <w:rFonts w:ascii="Arial" w:cs="Arial" w:eastAsia="Arial" w:hAnsi="Arial"/>
                <w:sz w:val="16"/>
                <w:szCs w:val="16"/>
                <w:color w:val="auto"/>
                <w:w w:val="95"/>
              </w:rPr>
              <w:t>product in a diligent and timely manner, taking into account safety, efficacy and patent or other proprietary positions, provided</w:t>
            </w:r>
          </w:p>
        </w:tc>
      </w:tr>
      <w:tr>
        <w:trPr>
          <w:trHeight w:val="196"/>
        </w:trPr>
        <w:tc>
          <w:tcPr>
            <w:tcW w:w="2740" w:type="dxa"/>
            <w:vAlign w:val="bottom"/>
          </w:tcPr>
          <w:p>
            <w:pPr>
              <w:spacing w:after="0"/>
              <w:rPr>
                <w:sz w:val="17"/>
                <w:szCs w:val="17"/>
                <w:color w:val="auto"/>
              </w:rPr>
            </w:pPr>
          </w:p>
        </w:tc>
        <w:tc>
          <w:tcPr>
            <w:tcW w:w="8720" w:type="dxa"/>
            <w:vAlign w:val="bottom"/>
          </w:tcPr>
          <w:p>
            <w:pPr>
              <w:ind w:left="240"/>
              <w:spacing w:after="0"/>
              <w:rPr>
                <w:sz w:val="20"/>
                <w:szCs w:val="20"/>
                <w:color w:val="auto"/>
              </w:rPr>
            </w:pPr>
            <w:r>
              <w:rPr>
                <w:rFonts w:ascii="Arial" w:cs="Arial" w:eastAsia="Arial" w:hAnsi="Arial"/>
                <w:sz w:val="16"/>
                <w:szCs w:val="16"/>
                <w:color w:val="auto"/>
                <w:w w:val="98"/>
              </w:rPr>
              <w:t>that, with respect to a Sub-Licensee, “Commercially Reasonable Efforts” will not require efforts or resources beyond those</w:t>
            </w:r>
          </w:p>
        </w:tc>
      </w:tr>
      <w:tr>
        <w:trPr>
          <w:trHeight w:val="207"/>
        </w:trPr>
        <w:tc>
          <w:tcPr>
            <w:tcW w:w="274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6"/>
                <w:szCs w:val="16"/>
                <w:color w:val="auto"/>
              </w:rPr>
              <w:t>negotiated diligently and in good faith by the Company in its agreement with the Sub-Licensee;</w:t>
            </w:r>
          </w:p>
        </w:tc>
      </w:tr>
      <w:tr>
        <w:trPr>
          <w:trHeight w:val="391"/>
        </w:trPr>
        <w:tc>
          <w:tcPr>
            <w:tcW w:w="274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8720" w:type="dxa"/>
            <w:vAlign w:val="bottom"/>
          </w:tcPr>
          <w:p>
            <w:pPr>
              <w:ind w:left="240"/>
              <w:spacing w:after="0"/>
              <w:rPr>
                <w:sz w:val="20"/>
                <w:szCs w:val="20"/>
                <w:color w:val="auto"/>
              </w:rPr>
            </w:pPr>
            <w:r>
              <w:rPr>
                <w:rFonts w:ascii="Arial" w:cs="Arial" w:eastAsia="Arial" w:hAnsi="Arial"/>
                <w:sz w:val="16"/>
                <w:szCs w:val="16"/>
                <w:color w:val="auto"/>
              </w:rPr>
              <w:t>means the entity identified in the Cover Sheet as the ‘</w:t>
            </w:r>
            <w:r>
              <w:rPr>
                <w:rFonts w:ascii="Arial" w:cs="Arial" w:eastAsia="Arial" w:hAnsi="Arial"/>
                <w:sz w:val="16"/>
                <w:szCs w:val="16"/>
                <w:b w:val="1"/>
                <w:bCs w:val="1"/>
                <w:color w:val="auto"/>
              </w:rPr>
              <w:t>Company</w:t>
            </w:r>
            <w:r>
              <w:rPr>
                <w:rFonts w:ascii="Arial" w:cs="Arial" w:eastAsia="Arial" w:hAnsi="Arial"/>
                <w:sz w:val="16"/>
                <w:szCs w:val="16"/>
                <w:color w:val="auto"/>
              </w:rPr>
              <w:t>’;</w:t>
            </w:r>
          </w:p>
        </w:tc>
      </w:tr>
      <w:tr>
        <w:trPr>
          <w:trHeight w:val="391"/>
        </w:trPr>
        <w:tc>
          <w:tcPr>
            <w:tcW w:w="2740" w:type="dxa"/>
            <w:vAlign w:val="bottom"/>
          </w:tcPr>
          <w:p>
            <w:pPr>
              <w:spacing w:after="0"/>
              <w:rPr>
                <w:sz w:val="20"/>
                <w:szCs w:val="20"/>
                <w:color w:val="auto"/>
              </w:rPr>
            </w:pPr>
            <w:r>
              <w:rPr>
                <w:rFonts w:ascii="Arial" w:cs="Arial" w:eastAsia="Arial" w:hAnsi="Arial"/>
                <w:sz w:val="16"/>
                <w:szCs w:val="16"/>
                <w:b w:val="1"/>
                <w:bCs w:val="1"/>
                <w:color w:val="auto"/>
              </w:rPr>
              <w:t>“Company Indemnitees”</w:t>
            </w:r>
          </w:p>
        </w:tc>
        <w:tc>
          <w:tcPr>
            <w:tcW w:w="8720" w:type="dxa"/>
            <w:vAlign w:val="bottom"/>
          </w:tcPr>
          <w:p>
            <w:pPr>
              <w:ind w:left="240"/>
              <w:spacing w:after="0"/>
              <w:rPr>
                <w:sz w:val="20"/>
                <w:szCs w:val="20"/>
                <w:color w:val="auto"/>
              </w:rPr>
            </w:pPr>
            <w:r>
              <w:rPr>
                <w:rFonts w:ascii="Arial" w:cs="Arial" w:eastAsia="Arial" w:hAnsi="Arial"/>
                <w:sz w:val="16"/>
                <w:szCs w:val="16"/>
                <w:color w:val="auto"/>
              </w:rPr>
              <w:t>has the meaning given in clause 14.1 of the Agreement;</w:t>
            </w:r>
          </w:p>
        </w:tc>
      </w:tr>
      <w:tr>
        <w:trPr>
          <w:trHeight w:val="391"/>
        </w:trPr>
        <w:tc>
          <w:tcPr>
            <w:tcW w:w="2740" w:type="dxa"/>
            <w:vAlign w:val="bottom"/>
          </w:tcPr>
          <w:p>
            <w:pPr>
              <w:spacing w:after="0"/>
              <w:rPr>
                <w:sz w:val="20"/>
                <w:szCs w:val="20"/>
                <w:color w:val="auto"/>
              </w:rPr>
            </w:pPr>
            <w:r>
              <w:rPr>
                <w:rFonts w:ascii="Arial" w:cs="Arial" w:eastAsia="Arial" w:hAnsi="Arial"/>
                <w:sz w:val="16"/>
                <w:szCs w:val="16"/>
                <w:b w:val="1"/>
                <w:bCs w:val="1"/>
                <w:color w:val="auto"/>
              </w:rPr>
              <w:t>“Competing Programme”</w:t>
            </w:r>
          </w:p>
        </w:tc>
        <w:tc>
          <w:tcPr>
            <w:tcW w:w="8720" w:type="dxa"/>
            <w:vAlign w:val="bottom"/>
          </w:tcPr>
          <w:p>
            <w:pPr>
              <w:ind w:left="240"/>
              <w:spacing w:after="0"/>
              <w:rPr>
                <w:sz w:val="20"/>
                <w:szCs w:val="20"/>
                <w:color w:val="auto"/>
              </w:rPr>
            </w:pPr>
            <w:r>
              <w:rPr>
                <w:rFonts w:ascii="Arial" w:cs="Arial" w:eastAsia="Arial" w:hAnsi="Arial"/>
                <w:sz w:val="16"/>
                <w:szCs w:val="16"/>
                <w:color w:val="auto"/>
              </w:rPr>
              <w:t>means a research and development programme under which [***];</w:t>
            </w:r>
          </w:p>
        </w:tc>
      </w:tr>
      <w:tr>
        <w:trPr>
          <w:trHeight w:val="380"/>
        </w:trPr>
        <w:tc>
          <w:tcPr>
            <w:tcW w:w="2740" w:type="dxa"/>
            <w:vAlign w:val="bottom"/>
          </w:tcPr>
          <w:p>
            <w:pPr>
              <w:spacing w:after="0"/>
              <w:rPr>
                <w:sz w:val="20"/>
                <w:szCs w:val="20"/>
                <w:color w:val="auto"/>
              </w:rPr>
            </w:pPr>
            <w:r>
              <w:rPr>
                <w:rFonts w:ascii="Arial" w:cs="Arial" w:eastAsia="Arial" w:hAnsi="Arial"/>
                <w:sz w:val="16"/>
                <w:szCs w:val="16"/>
                <w:b w:val="1"/>
                <w:bCs w:val="1"/>
                <w:color w:val="auto"/>
              </w:rPr>
              <w:t>“Confidential Information”</w:t>
            </w:r>
          </w:p>
        </w:tc>
        <w:tc>
          <w:tcPr>
            <w:tcW w:w="8720" w:type="dxa"/>
            <w:vAlign w:val="bottom"/>
          </w:tcPr>
          <w:p>
            <w:pPr>
              <w:ind w:left="240"/>
              <w:spacing w:after="0"/>
              <w:rPr>
                <w:sz w:val="20"/>
                <w:szCs w:val="20"/>
                <w:color w:val="auto"/>
              </w:rPr>
            </w:pPr>
            <w:r>
              <w:rPr>
                <w:rFonts w:ascii="Arial" w:cs="Arial" w:eastAsia="Arial" w:hAnsi="Arial"/>
                <w:sz w:val="16"/>
                <w:szCs w:val="16"/>
                <w:color w:val="auto"/>
                <w:w w:val="98"/>
              </w:rPr>
              <w:t>means all information designated as confidential by any Party in writing together with all other information of a proprietary</w:t>
            </w:r>
          </w:p>
        </w:tc>
      </w:tr>
      <w:tr>
        <w:trPr>
          <w:trHeight w:val="196"/>
        </w:trPr>
        <w:tc>
          <w:tcPr>
            <w:tcW w:w="2740" w:type="dxa"/>
            <w:vAlign w:val="bottom"/>
          </w:tcPr>
          <w:p>
            <w:pPr>
              <w:spacing w:after="0"/>
              <w:rPr>
                <w:sz w:val="17"/>
                <w:szCs w:val="17"/>
                <w:color w:val="auto"/>
              </w:rPr>
            </w:pPr>
          </w:p>
        </w:tc>
        <w:tc>
          <w:tcPr>
            <w:tcW w:w="8720" w:type="dxa"/>
            <w:vAlign w:val="bottom"/>
          </w:tcPr>
          <w:p>
            <w:pPr>
              <w:ind w:left="240"/>
              <w:spacing w:after="0"/>
              <w:rPr>
                <w:sz w:val="20"/>
                <w:szCs w:val="20"/>
                <w:color w:val="auto"/>
              </w:rPr>
            </w:pPr>
            <w:r>
              <w:rPr>
                <w:rFonts w:ascii="Arial" w:cs="Arial" w:eastAsia="Arial" w:hAnsi="Arial"/>
                <w:sz w:val="16"/>
                <w:szCs w:val="16"/>
                <w:color w:val="auto"/>
                <w:w w:val="95"/>
              </w:rPr>
              <w:t>nature relating to the business, affairs, technology, products, developments, trade secrets, Know-How, personnel, customers,</w:t>
            </w:r>
          </w:p>
        </w:tc>
      </w:tr>
      <w:tr>
        <w:trPr>
          <w:trHeight w:val="196"/>
        </w:trPr>
        <w:tc>
          <w:tcPr>
            <w:tcW w:w="2740" w:type="dxa"/>
            <w:vAlign w:val="bottom"/>
          </w:tcPr>
          <w:p>
            <w:pPr>
              <w:spacing w:after="0"/>
              <w:rPr>
                <w:sz w:val="17"/>
                <w:szCs w:val="17"/>
                <w:color w:val="auto"/>
              </w:rPr>
            </w:pPr>
          </w:p>
        </w:tc>
        <w:tc>
          <w:tcPr>
            <w:tcW w:w="8720" w:type="dxa"/>
            <w:vAlign w:val="bottom"/>
          </w:tcPr>
          <w:p>
            <w:pPr>
              <w:ind w:left="240"/>
              <w:spacing w:after="0"/>
              <w:rPr>
                <w:sz w:val="20"/>
                <w:szCs w:val="20"/>
                <w:color w:val="auto"/>
              </w:rPr>
            </w:pPr>
            <w:r>
              <w:rPr>
                <w:rFonts w:ascii="Arial" w:cs="Arial" w:eastAsia="Arial" w:hAnsi="Arial"/>
                <w:sz w:val="16"/>
                <w:szCs w:val="16"/>
                <w:color w:val="auto"/>
                <w:w w:val="93"/>
              </w:rPr>
              <w:t>agents, distributors and suppliers of a Party disclosed by the Disclosing Party, that is not in the public domain and is acquired by</w:t>
            </w:r>
          </w:p>
        </w:tc>
      </w:tr>
      <w:tr>
        <w:trPr>
          <w:trHeight w:val="196"/>
        </w:trPr>
        <w:tc>
          <w:tcPr>
            <w:tcW w:w="2740" w:type="dxa"/>
            <w:vAlign w:val="bottom"/>
          </w:tcPr>
          <w:p>
            <w:pPr>
              <w:spacing w:after="0"/>
              <w:rPr>
                <w:sz w:val="17"/>
                <w:szCs w:val="17"/>
                <w:color w:val="auto"/>
              </w:rPr>
            </w:pPr>
          </w:p>
        </w:tc>
        <w:tc>
          <w:tcPr>
            <w:tcW w:w="8720" w:type="dxa"/>
            <w:vAlign w:val="bottom"/>
          </w:tcPr>
          <w:p>
            <w:pPr>
              <w:ind w:left="240"/>
              <w:spacing w:after="0"/>
              <w:rPr>
                <w:sz w:val="20"/>
                <w:szCs w:val="20"/>
                <w:color w:val="auto"/>
              </w:rPr>
            </w:pPr>
            <w:r>
              <w:rPr>
                <w:rFonts w:ascii="Arial" w:cs="Arial" w:eastAsia="Arial" w:hAnsi="Arial"/>
                <w:sz w:val="16"/>
                <w:szCs w:val="16"/>
                <w:color w:val="auto"/>
                <w:w w:val="98"/>
              </w:rPr>
              <w:t>another Party under the Agreement. Results are the Confidential Information of the Charity and CRT until the grant of the</w:t>
            </w:r>
          </w:p>
        </w:tc>
      </w:tr>
      <w:tr>
        <w:trPr>
          <w:trHeight w:val="207"/>
        </w:trPr>
        <w:tc>
          <w:tcPr>
            <w:tcW w:w="274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6"/>
                <w:szCs w:val="16"/>
                <w:color w:val="auto"/>
              </w:rPr>
              <w:t>Licence to the Company, whereupon they will become Confidential Information of the Company;</w:t>
            </w:r>
          </w:p>
        </w:tc>
      </w:tr>
      <w:tr>
        <w:trPr>
          <w:trHeight w:val="391"/>
        </w:trPr>
        <w:tc>
          <w:tcPr>
            <w:tcW w:w="2740" w:type="dxa"/>
            <w:vAlign w:val="bottom"/>
          </w:tcPr>
          <w:p>
            <w:pPr>
              <w:spacing w:after="0"/>
              <w:rPr>
                <w:sz w:val="20"/>
                <w:szCs w:val="20"/>
                <w:color w:val="auto"/>
              </w:rPr>
            </w:pPr>
            <w:r>
              <w:rPr>
                <w:rFonts w:ascii="Arial" w:cs="Arial" w:eastAsia="Arial" w:hAnsi="Arial"/>
                <w:sz w:val="16"/>
                <w:szCs w:val="16"/>
                <w:b w:val="1"/>
                <w:bCs w:val="1"/>
                <w:color w:val="auto"/>
              </w:rPr>
              <w:t>“Contributors”</w:t>
            </w:r>
          </w:p>
        </w:tc>
        <w:tc>
          <w:tcPr>
            <w:tcW w:w="8720" w:type="dxa"/>
            <w:vAlign w:val="bottom"/>
          </w:tcPr>
          <w:p>
            <w:pPr>
              <w:ind w:left="240"/>
              <w:spacing w:after="0"/>
              <w:rPr>
                <w:sz w:val="20"/>
                <w:szCs w:val="20"/>
                <w:color w:val="auto"/>
              </w:rPr>
            </w:pPr>
            <w:r>
              <w:rPr>
                <w:rFonts w:ascii="Arial" w:cs="Arial" w:eastAsia="Arial" w:hAnsi="Arial"/>
                <w:sz w:val="16"/>
                <w:szCs w:val="16"/>
                <w:color w:val="auto"/>
              </w:rPr>
              <w:t>means third parties that perform activities under, in support of or for the Clinical Trial, and include, among others:</w:t>
            </w:r>
          </w:p>
        </w:tc>
      </w:tr>
      <w:tr>
        <w:trPr>
          <w:trHeight w:val="391"/>
        </w:trPr>
        <w:tc>
          <w:tcPr>
            <w:tcW w:w="274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6"/>
                <w:szCs w:val="16"/>
                <w:color w:val="auto"/>
              </w:rPr>
              <w:t>a)  the chief and principal investigators that manage or supervise the Clinical Trial and all other investigators;</w:t>
            </w:r>
          </w:p>
        </w:tc>
      </w:tr>
      <w:tr>
        <w:trPr>
          <w:trHeight w:val="380"/>
        </w:trPr>
        <w:tc>
          <w:tcPr>
            <w:tcW w:w="274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6"/>
                <w:szCs w:val="16"/>
                <w:color w:val="auto"/>
                <w:w w:val="96"/>
              </w:rPr>
              <w:t>b)  experts (including members of the Charity’s expert committees or any other person not an employee of the Charity whom</w:t>
            </w:r>
          </w:p>
        </w:tc>
      </w:tr>
      <w:tr>
        <w:trPr>
          <w:trHeight w:val="207"/>
        </w:trPr>
        <w:tc>
          <w:tcPr>
            <w:tcW w:w="2740" w:type="dxa"/>
            <w:vAlign w:val="bottom"/>
          </w:tcPr>
          <w:p>
            <w:pPr>
              <w:spacing w:after="0"/>
              <w:rPr>
                <w:sz w:val="18"/>
                <w:szCs w:val="18"/>
                <w:color w:val="auto"/>
              </w:rPr>
            </w:pPr>
          </w:p>
        </w:tc>
        <w:tc>
          <w:tcPr>
            <w:tcW w:w="8720" w:type="dxa"/>
            <w:vAlign w:val="bottom"/>
          </w:tcPr>
          <w:p>
            <w:pPr>
              <w:ind w:left="540"/>
              <w:spacing w:after="0"/>
              <w:rPr>
                <w:sz w:val="20"/>
                <w:szCs w:val="20"/>
                <w:color w:val="auto"/>
              </w:rPr>
            </w:pPr>
            <w:r>
              <w:rPr>
                <w:rFonts w:ascii="Arial" w:cs="Arial" w:eastAsia="Arial" w:hAnsi="Arial"/>
                <w:sz w:val="16"/>
                <w:szCs w:val="16"/>
                <w:color w:val="auto"/>
              </w:rPr>
              <w:t>the Charity engages to advise the Charity on the Clinical Trial);</w:t>
            </w:r>
          </w:p>
        </w:tc>
      </w:tr>
      <w:tr>
        <w:trPr>
          <w:trHeight w:val="391"/>
        </w:trPr>
        <w:tc>
          <w:tcPr>
            <w:tcW w:w="2740" w:type="dxa"/>
            <w:vAlign w:val="bottom"/>
          </w:tcPr>
          <w:p>
            <w:pPr>
              <w:spacing w:after="0"/>
              <w:rPr>
                <w:sz w:val="24"/>
                <w:szCs w:val="24"/>
                <w:color w:val="auto"/>
              </w:rPr>
            </w:pPr>
          </w:p>
        </w:tc>
        <w:tc>
          <w:tcPr>
            <w:tcW w:w="8720" w:type="dxa"/>
            <w:vAlign w:val="bottom"/>
          </w:tcPr>
          <w:p>
            <w:pPr>
              <w:ind w:left="2940"/>
              <w:spacing w:after="0"/>
              <w:rPr>
                <w:sz w:val="20"/>
                <w:szCs w:val="20"/>
                <w:color w:val="auto"/>
              </w:rPr>
            </w:pPr>
            <w:r>
              <w:rPr>
                <w:rFonts w:ascii="Arial" w:cs="Arial" w:eastAsia="Arial" w:hAnsi="Arial"/>
                <w:sz w:val="16"/>
                <w:szCs w:val="16"/>
                <w:color w:val="auto"/>
              </w:rPr>
              <w:t>4</w:t>
            </w:r>
          </w:p>
        </w:tc>
      </w:tr>
      <w:tr>
        <w:trPr>
          <w:trHeight w:val="119"/>
        </w:trPr>
        <w:tc>
          <w:tcPr>
            <w:tcW w:w="2740" w:type="dxa"/>
            <w:vAlign w:val="bottom"/>
            <w:tcBorders>
              <w:bottom w:val="single" w:sz="8" w:color="808080"/>
            </w:tcBorders>
          </w:tcPr>
          <w:p>
            <w:pPr>
              <w:spacing w:after="0"/>
              <w:rPr>
                <w:sz w:val="10"/>
                <w:szCs w:val="10"/>
                <w:color w:val="auto"/>
              </w:rPr>
            </w:pPr>
          </w:p>
        </w:tc>
        <w:tc>
          <w:tcPr>
            <w:tcW w:w="8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604" w:name="page605"/>
    <w:bookmarkEnd w:id="604"/>
    <w:p>
      <w:pPr>
        <w:ind w:left="2" w:right="240" w:hanging="2"/>
        <w:spacing w:after="0" w:line="270" w:lineRule="auto"/>
        <w:tabs>
          <w:tab w:leader="none" w:pos="396" w:val="left"/>
        </w:tabs>
        <w:numPr>
          <w:ilvl w:val="0"/>
          <w:numId w:val="620"/>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rFonts w:ascii="Arial" w:cs="Arial" w:eastAsia="Arial" w:hAnsi="Arial"/>
          <w:sz w:val="16"/>
          <w:szCs w:val="16"/>
          <w:color w:val="auto"/>
        </w:rPr>
      </w:pPr>
    </w:p>
    <w:p>
      <w:pPr>
        <w:ind w:left="3282" w:hanging="299"/>
        <w:spacing w:after="0"/>
        <w:tabs>
          <w:tab w:leader="none" w:pos="3282" w:val="left"/>
        </w:tabs>
        <w:numPr>
          <w:ilvl w:val="1"/>
          <w:numId w:val="620"/>
        </w:numPr>
        <w:rPr>
          <w:rFonts w:ascii="Arial" w:cs="Arial" w:eastAsia="Arial" w:hAnsi="Arial"/>
          <w:sz w:val="16"/>
          <w:szCs w:val="16"/>
          <w:color w:val="auto"/>
        </w:rPr>
      </w:pPr>
      <w:r>
        <w:rPr>
          <w:rFonts w:ascii="Arial" w:cs="Arial" w:eastAsia="Arial" w:hAnsi="Arial"/>
          <w:sz w:val="16"/>
          <w:szCs w:val="16"/>
          <w:color w:val="auto"/>
        </w:rPr>
        <w:t>NHS Trusts; and</w:t>
      </w:r>
    </w:p>
    <w:p>
      <w:pPr>
        <w:spacing w:after="0" w:line="207" w:lineRule="exact"/>
        <w:rPr>
          <w:rFonts w:ascii="Arial" w:cs="Arial" w:eastAsia="Arial" w:hAnsi="Arial"/>
          <w:sz w:val="16"/>
          <w:szCs w:val="16"/>
          <w:color w:val="auto"/>
        </w:rPr>
      </w:pPr>
    </w:p>
    <w:p>
      <w:pPr>
        <w:ind w:left="3282" w:hanging="299"/>
        <w:spacing w:after="0"/>
        <w:tabs>
          <w:tab w:leader="none" w:pos="3282" w:val="left"/>
        </w:tabs>
        <w:numPr>
          <w:ilvl w:val="1"/>
          <w:numId w:val="620"/>
        </w:numPr>
        <w:rPr>
          <w:rFonts w:ascii="Arial" w:cs="Arial" w:eastAsia="Arial" w:hAnsi="Arial"/>
          <w:sz w:val="16"/>
          <w:szCs w:val="16"/>
          <w:color w:val="auto"/>
        </w:rPr>
      </w:pPr>
      <w:r>
        <w:rPr>
          <w:rFonts w:ascii="Arial" w:cs="Arial" w:eastAsia="Arial" w:hAnsi="Arial"/>
          <w:sz w:val="16"/>
          <w:szCs w:val="16"/>
          <w:color w:val="auto"/>
        </w:rPr>
        <w:t>sub-contractors;</w:t>
      </w:r>
    </w:p>
    <w:p>
      <w:pPr>
        <w:spacing w:after="0" w:line="203"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2780" w:type="dxa"/>
            <w:vAlign w:val="bottom"/>
          </w:tcPr>
          <w:p>
            <w:pPr>
              <w:spacing w:after="0"/>
              <w:rPr>
                <w:sz w:val="20"/>
                <w:szCs w:val="20"/>
                <w:color w:val="auto"/>
              </w:rPr>
            </w:pPr>
            <w:r>
              <w:rPr>
                <w:rFonts w:ascii="Arial" w:cs="Arial" w:eastAsia="Arial" w:hAnsi="Arial"/>
                <w:sz w:val="16"/>
                <w:szCs w:val="16"/>
                <w:b w:val="1"/>
                <w:bCs w:val="1"/>
                <w:color w:val="auto"/>
              </w:rPr>
              <w:t>“Control”</w:t>
            </w:r>
          </w:p>
        </w:tc>
        <w:tc>
          <w:tcPr>
            <w:tcW w:w="8680" w:type="dxa"/>
            <w:vAlign w:val="bottom"/>
          </w:tcPr>
          <w:p>
            <w:pPr>
              <w:ind w:left="200"/>
              <w:spacing w:after="0"/>
              <w:rPr>
                <w:sz w:val="20"/>
                <w:szCs w:val="20"/>
                <w:color w:val="auto"/>
              </w:rPr>
            </w:pPr>
            <w:r>
              <w:rPr>
                <w:rFonts w:ascii="Arial" w:cs="Arial" w:eastAsia="Arial" w:hAnsi="Arial"/>
                <w:sz w:val="16"/>
                <w:szCs w:val="16"/>
                <w:color w:val="auto"/>
                <w:w w:val="95"/>
              </w:rPr>
              <w:t>means, with respect to any Material or IP, the possession (whether by ownership, licence or other right, other than pursuant to</w:t>
            </w:r>
          </w:p>
        </w:tc>
      </w:tr>
      <w:tr>
        <w:trPr>
          <w:trHeight w:val="196"/>
        </w:trPr>
        <w:tc>
          <w:tcPr>
            <w:tcW w:w="2780" w:type="dxa"/>
            <w:vAlign w:val="bottom"/>
          </w:tcPr>
          <w:p>
            <w:pPr>
              <w:spacing w:after="0"/>
              <w:rPr>
                <w:sz w:val="17"/>
                <w:szCs w:val="17"/>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w w:val="94"/>
              </w:rPr>
              <w:t>this Agreement) by a Party of the ability to grant to another Party access or a licence (or sub-licence) as provided herein under</w:t>
            </w:r>
          </w:p>
        </w:tc>
      </w:tr>
      <w:tr>
        <w:trPr>
          <w:trHeight w:val="196"/>
        </w:trPr>
        <w:tc>
          <w:tcPr>
            <w:tcW w:w="2780" w:type="dxa"/>
            <w:vAlign w:val="bottom"/>
          </w:tcPr>
          <w:p>
            <w:pPr>
              <w:spacing w:after="0"/>
              <w:rPr>
                <w:sz w:val="17"/>
                <w:szCs w:val="17"/>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w w:val="94"/>
              </w:rPr>
              <w:t>such item or right without violating the terms of an agreement or other arrangement with any third party or (except as concerns</w:t>
            </w:r>
          </w:p>
        </w:tc>
      </w:tr>
      <w:tr>
        <w:trPr>
          <w:trHeight w:val="196"/>
        </w:trPr>
        <w:tc>
          <w:tcPr>
            <w:tcW w:w="2780" w:type="dxa"/>
            <w:vAlign w:val="bottom"/>
          </w:tcPr>
          <w:p>
            <w:pPr>
              <w:spacing w:after="0"/>
              <w:rPr>
                <w:sz w:val="17"/>
                <w:szCs w:val="17"/>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w w:val="93"/>
              </w:rPr>
              <w:t>the Control of rights to IP granted to the Charity by the Company in connection with the Clinical Trial) increasing the costs borne</w:t>
            </w:r>
          </w:p>
        </w:tc>
      </w:tr>
      <w:tr>
        <w:trPr>
          <w:trHeight w:val="192"/>
        </w:trPr>
        <w:tc>
          <w:tcPr>
            <w:tcW w:w="2780" w:type="dxa"/>
            <w:vAlign w:val="bottom"/>
          </w:tcPr>
          <w:p>
            <w:pPr>
              <w:spacing w:after="0"/>
              <w:rPr>
                <w:sz w:val="16"/>
                <w:szCs w:val="16"/>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w w:val="92"/>
              </w:rPr>
              <w:t>by the Party granting such access or licence by reason of the grant of such access or licence. When used in respect of Material or</w:t>
            </w:r>
          </w:p>
        </w:tc>
      </w:tr>
      <w:tr>
        <w:trPr>
          <w:trHeight w:val="211"/>
        </w:trPr>
        <w:tc>
          <w:tcPr>
            <w:tcW w:w="278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rPr>
              <w:t>IP, “</w:t>
            </w:r>
            <w:r>
              <w:rPr>
                <w:rFonts w:ascii="Arial" w:cs="Arial" w:eastAsia="Arial" w:hAnsi="Arial"/>
                <w:sz w:val="16"/>
                <w:szCs w:val="16"/>
                <w:b w:val="1"/>
                <w:bCs w:val="1"/>
                <w:color w:val="auto"/>
              </w:rPr>
              <w:t>Control</w:t>
            </w:r>
            <w:r>
              <w:rPr>
                <w:rFonts w:ascii="Arial" w:cs="Arial" w:eastAsia="Arial" w:hAnsi="Arial"/>
                <w:sz w:val="16"/>
                <w:szCs w:val="16"/>
                <w:color w:val="auto"/>
              </w:rPr>
              <w:t>”and “</w:t>
            </w:r>
            <w:r>
              <w:rPr>
                <w:rFonts w:ascii="Arial" w:cs="Arial" w:eastAsia="Arial" w:hAnsi="Arial"/>
                <w:sz w:val="16"/>
                <w:szCs w:val="16"/>
                <w:b w:val="1"/>
                <w:bCs w:val="1"/>
                <w:color w:val="auto"/>
              </w:rPr>
              <w:t>Controlled by</w:t>
            </w:r>
            <w:r>
              <w:rPr>
                <w:rFonts w:ascii="Arial" w:cs="Arial" w:eastAsia="Arial" w:hAnsi="Arial"/>
                <w:sz w:val="16"/>
                <w:szCs w:val="16"/>
                <w:color w:val="auto"/>
              </w:rPr>
              <w:t>” have a corresponding meaning;</w:t>
            </w:r>
          </w:p>
        </w:tc>
      </w:tr>
      <w:tr>
        <w:trPr>
          <w:trHeight w:val="380"/>
        </w:trPr>
        <w:tc>
          <w:tcPr>
            <w:tcW w:w="2780" w:type="dxa"/>
            <w:vAlign w:val="bottom"/>
          </w:tcPr>
          <w:p>
            <w:pPr>
              <w:spacing w:after="0"/>
              <w:rPr>
                <w:sz w:val="20"/>
                <w:szCs w:val="20"/>
                <w:color w:val="auto"/>
              </w:rPr>
            </w:pPr>
            <w:r>
              <w:rPr>
                <w:rFonts w:ascii="Arial" w:cs="Arial" w:eastAsia="Arial" w:hAnsi="Arial"/>
                <w:sz w:val="16"/>
                <w:szCs w:val="16"/>
                <w:b w:val="1"/>
                <w:bCs w:val="1"/>
                <w:color w:val="auto"/>
              </w:rPr>
              <w:t>“Cover”</w:t>
            </w:r>
          </w:p>
        </w:tc>
        <w:tc>
          <w:tcPr>
            <w:tcW w:w="8680" w:type="dxa"/>
            <w:vAlign w:val="bottom"/>
          </w:tcPr>
          <w:p>
            <w:pPr>
              <w:ind w:left="200"/>
              <w:spacing w:after="0"/>
              <w:rPr>
                <w:sz w:val="20"/>
                <w:szCs w:val="20"/>
                <w:color w:val="auto"/>
              </w:rPr>
            </w:pPr>
            <w:r>
              <w:rPr>
                <w:rFonts w:ascii="Arial" w:cs="Arial" w:eastAsia="Arial" w:hAnsi="Arial"/>
                <w:sz w:val="16"/>
                <w:szCs w:val="16"/>
                <w:color w:val="auto"/>
                <w:w w:val="97"/>
              </w:rPr>
              <w:t>means, with respect to a Patent, that the making, having made, using, selling, offering for sale or importing of a material or</w:t>
            </w:r>
          </w:p>
        </w:tc>
      </w:tr>
      <w:tr>
        <w:trPr>
          <w:trHeight w:val="192"/>
        </w:trPr>
        <w:tc>
          <w:tcPr>
            <w:tcW w:w="2780" w:type="dxa"/>
            <w:vAlign w:val="bottom"/>
          </w:tcPr>
          <w:p>
            <w:pPr>
              <w:spacing w:after="0"/>
              <w:rPr>
                <w:sz w:val="16"/>
                <w:szCs w:val="16"/>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w w:val="94"/>
              </w:rPr>
              <w:t>practice of a claimed method would infringe a claim (or, if not yet issued, would infringe if the claim were to issue) of that Patent</w:t>
            </w:r>
          </w:p>
        </w:tc>
      </w:tr>
      <w:tr>
        <w:trPr>
          <w:trHeight w:val="211"/>
        </w:trPr>
        <w:tc>
          <w:tcPr>
            <w:tcW w:w="278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rPr>
              <w:t>in the country in which the activity occurs, and “</w:t>
            </w:r>
            <w:r>
              <w:rPr>
                <w:rFonts w:ascii="Arial" w:cs="Arial" w:eastAsia="Arial" w:hAnsi="Arial"/>
                <w:sz w:val="16"/>
                <w:szCs w:val="16"/>
                <w:b w:val="1"/>
                <w:bCs w:val="1"/>
                <w:color w:val="auto"/>
              </w:rPr>
              <w:t>Covered</w:t>
            </w:r>
            <w:r>
              <w:rPr>
                <w:rFonts w:ascii="Arial" w:cs="Arial" w:eastAsia="Arial" w:hAnsi="Arial"/>
                <w:sz w:val="16"/>
                <w:szCs w:val="16"/>
                <w:color w:val="auto"/>
              </w:rPr>
              <w:t>” has a corresponding meaning;</w:t>
            </w:r>
          </w:p>
        </w:tc>
      </w:tr>
      <w:tr>
        <w:trPr>
          <w:trHeight w:val="587"/>
        </w:trPr>
        <w:tc>
          <w:tcPr>
            <w:tcW w:w="2780" w:type="dxa"/>
            <w:vAlign w:val="bottom"/>
          </w:tcPr>
          <w:p>
            <w:pPr>
              <w:spacing w:after="0"/>
              <w:rPr>
                <w:sz w:val="20"/>
                <w:szCs w:val="20"/>
                <w:color w:val="auto"/>
              </w:rPr>
            </w:pPr>
            <w:r>
              <w:rPr>
                <w:rFonts w:ascii="Arial" w:cs="Arial" w:eastAsia="Arial" w:hAnsi="Arial"/>
                <w:sz w:val="16"/>
                <w:szCs w:val="16"/>
                <w:b w:val="1"/>
                <w:bCs w:val="1"/>
                <w:color w:val="auto"/>
              </w:rPr>
              <w:t>“Cover Sheet”</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cover sheet to this Agreement;</w:t>
            </w:r>
          </w:p>
        </w:tc>
      </w:tr>
      <w:tr>
        <w:trPr>
          <w:trHeight w:val="380"/>
        </w:trPr>
        <w:tc>
          <w:tcPr>
            <w:tcW w:w="2780" w:type="dxa"/>
            <w:vAlign w:val="bottom"/>
          </w:tcPr>
          <w:p>
            <w:pPr>
              <w:spacing w:after="0"/>
              <w:rPr>
                <w:sz w:val="20"/>
                <w:szCs w:val="20"/>
                <w:color w:val="auto"/>
              </w:rPr>
            </w:pPr>
            <w:r>
              <w:rPr>
                <w:rFonts w:ascii="Arial" w:cs="Arial" w:eastAsia="Arial" w:hAnsi="Arial"/>
                <w:sz w:val="16"/>
                <w:szCs w:val="16"/>
                <w:b w:val="1"/>
                <w:bCs w:val="1"/>
                <w:color w:val="auto"/>
              </w:rPr>
              <w:t>“Data Exclusivity Period”</w:t>
            </w:r>
          </w:p>
        </w:tc>
        <w:tc>
          <w:tcPr>
            <w:tcW w:w="8680" w:type="dxa"/>
            <w:vAlign w:val="bottom"/>
          </w:tcPr>
          <w:p>
            <w:pPr>
              <w:ind w:left="200"/>
              <w:spacing w:after="0"/>
              <w:rPr>
                <w:sz w:val="20"/>
                <w:szCs w:val="20"/>
                <w:color w:val="auto"/>
              </w:rPr>
            </w:pPr>
            <w:r>
              <w:rPr>
                <w:rFonts w:ascii="Arial" w:cs="Arial" w:eastAsia="Arial" w:hAnsi="Arial"/>
                <w:sz w:val="16"/>
                <w:szCs w:val="16"/>
                <w:color w:val="auto"/>
                <w:w w:val="97"/>
              </w:rPr>
              <w:t>means any period of clinical trial data or other regulatory exclusivity, or other periods under national implementations in the</w:t>
            </w:r>
          </w:p>
        </w:tc>
      </w:tr>
      <w:tr>
        <w:trPr>
          <w:trHeight w:val="207"/>
        </w:trPr>
        <w:tc>
          <w:tcPr>
            <w:tcW w:w="278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rPr>
              <w:t>European Union of Article 10.1 of the European Directive 2001/EC/83 and all equivalents elsewhere in the Territory;</w:t>
            </w:r>
          </w:p>
        </w:tc>
      </w:tr>
      <w:tr>
        <w:trPr>
          <w:trHeight w:val="391"/>
        </w:trPr>
        <w:tc>
          <w:tcPr>
            <w:tcW w:w="2780" w:type="dxa"/>
            <w:vAlign w:val="bottom"/>
          </w:tcPr>
          <w:p>
            <w:pPr>
              <w:spacing w:after="0"/>
              <w:rPr>
                <w:sz w:val="20"/>
                <w:szCs w:val="20"/>
                <w:color w:val="auto"/>
              </w:rPr>
            </w:pPr>
            <w:r>
              <w:rPr>
                <w:rFonts w:ascii="Arial" w:cs="Arial" w:eastAsia="Arial" w:hAnsi="Arial"/>
                <w:sz w:val="16"/>
                <w:szCs w:val="16"/>
                <w:b w:val="1"/>
                <w:bCs w:val="1"/>
                <w:color w:val="auto"/>
              </w:rPr>
              <w:t>“Data Package”</w:t>
            </w:r>
          </w:p>
        </w:tc>
        <w:tc>
          <w:tcPr>
            <w:tcW w:w="8680" w:type="dxa"/>
            <w:vAlign w:val="bottom"/>
          </w:tcPr>
          <w:p>
            <w:pPr>
              <w:ind w:left="220"/>
              <w:spacing w:after="0"/>
              <w:rPr>
                <w:sz w:val="20"/>
                <w:szCs w:val="20"/>
                <w:color w:val="auto"/>
              </w:rPr>
            </w:pPr>
            <w:r>
              <w:rPr>
                <w:rFonts w:ascii="Arial" w:cs="Arial" w:eastAsia="Arial" w:hAnsi="Arial"/>
                <w:sz w:val="16"/>
                <w:szCs w:val="16"/>
                <w:color w:val="auto"/>
              </w:rPr>
              <w:t>has the meaning given in clause 11.7 of the Agreement;</w:t>
            </w:r>
          </w:p>
        </w:tc>
      </w:tr>
      <w:tr>
        <w:trPr>
          <w:trHeight w:val="391"/>
        </w:trPr>
        <w:tc>
          <w:tcPr>
            <w:tcW w:w="2780" w:type="dxa"/>
            <w:vAlign w:val="bottom"/>
          </w:tcPr>
          <w:p>
            <w:pPr>
              <w:spacing w:after="0"/>
              <w:rPr>
                <w:sz w:val="20"/>
                <w:szCs w:val="20"/>
                <w:color w:val="auto"/>
              </w:rPr>
            </w:pPr>
            <w:r>
              <w:rPr>
                <w:rFonts w:ascii="Arial" w:cs="Arial" w:eastAsia="Arial" w:hAnsi="Arial"/>
                <w:sz w:val="16"/>
                <w:szCs w:val="16"/>
                <w:b w:val="1"/>
                <w:bCs w:val="1"/>
                <w:color w:val="auto"/>
              </w:rPr>
              <w:t>“Data Protection Requirements”</w:t>
            </w:r>
          </w:p>
        </w:tc>
        <w:tc>
          <w:tcPr>
            <w:tcW w:w="8680" w:type="dxa"/>
            <w:vAlign w:val="bottom"/>
          </w:tcPr>
          <w:p>
            <w:pPr>
              <w:ind w:left="200"/>
              <w:spacing w:after="0"/>
              <w:rPr>
                <w:sz w:val="20"/>
                <w:szCs w:val="20"/>
                <w:color w:val="auto"/>
              </w:rPr>
            </w:pPr>
            <w:r>
              <w:rPr>
                <w:rFonts w:ascii="Arial" w:cs="Arial" w:eastAsia="Arial" w:hAnsi="Arial"/>
                <w:sz w:val="16"/>
                <w:szCs w:val="16"/>
                <w:color w:val="auto"/>
              </w:rPr>
              <w:t>has the meaning given in clause 11.6 of the Agreement;</w:t>
            </w:r>
          </w:p>
        </w:tc>
      </w:tr>
      <w:tr>
        <w:trPr>
          <w:trHeight w:val="380"/>
        </w:trPr>
        <w:tc>
          <w:tcPr>
            <w:tcW w:w="2780" w:type="dxa"/>
            <w:vAlign w:val="bottom"/>
          </w:tcPr>
          <w:p>
            <w:pPr>
              <w:spacing w:after="0"/>
              <w:rPr>
                <w:sz w:val="20"/>
                <w:szCs w:val="20"/>
                <w:color w:val="auto"/>
              </w:rPr>
            </w:pPr>
            <w:r>
              <w:rPr>
                <w:rFonts w:ascii="Arial" w:cs="Arial" w:eastAsia="Arial" w:hAnsi="Arial"/>
                <w:sz w:val="16"/>
                <w:szCs w:val="16"/>
                <w:b w:val="1"/>
                <w:bCs w:val="1"/>
                <w:color w:val="auto"/>
              </w:rPr>
              <w:t>“Development Plan”</w:t>
            </w:r>
          </w:p>
        </w:tc>
        <w:tc>
          <w:tcPr>
            <w:tcW w:w="8680" w:type="dxa"/>
            <w:vAlign w:val="bottom"/>
          </w:tcPr>
          <w:p>
            <w:pPr>
              <w:ind w:left="200"/>
              <w:spacing w:after="0"/>
              <w:rPr>
                <w:sz w:val="20"/>
                <w:szCs w:val="20"/>
                <w:color w:val="auto"/>
              </w:rPr>
            </w:pPr>
            <w:r>
              <w:rPr>
                <w:rFonts w:ascii="Arial" w:cs="Arial" w:eastAsia="Arial" w:hAnsi="Arial"/>
                <w:sz w:val="16"/>
                <w:szCs w:val="16"/>
                <w:color w:val="auto"/>
                <w:w w:val="94"/>
              </w:rPr>
              <w:t>means a development plan that describes the steps to be taken to develop the Agent, any Agent Products or any Collaboration</w:t>
            </w:r>
          </w:p>
        </w:tc>
      </w:tr>
      <w:tr>
        <w:trPr>
          <w:trHeight w:val="196"/>
        </w:trPr>
        <w:tc>
          <w:tcPr>
            <w:tcW w:w="2780" w:type="dxa"/>
            <w:vAlign w:val="bottom"/>
          </w:tcPr>
          <w:p>
            <w:pPr>
              <w:spacing w:after="0"/>
              <w:rPr>
                <w:sz w:val="17"/>
                <w:szCs w:val="17"/>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w w:val="95"/>
              </w:rPr>
              <w:t>Products in the Field and the Territory and provides an indication as to the relevant timescales within which such steps will be</w:t>
            </w:r>
          </w:p>
        </w:tc>
      </w:tr>
      <w:tr>
        <w:trPr>
          <w:trHeight w:val="207"/>
        </w:trPr>
        <w:tc>
          <w:tcPr>
            <w:tcW w:w="278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rPr>
              <w:t>taken.;</w:t>
            </w:r>
          </w:p>
        </w:tc>
      </w:tr>
      <w:tr>
        <w:trPr>
          <w:trHeight w:val="379"/>
        </w:trPr>
        <w:tc>
          <w:tcPr>
            <w:tcW w:w="2780" w:type="dxa"/>
            <w:vAlign w:val="bottom"/>
          </w:tcPr>
          <w:p>
            <w:pPr>
              <w:spacing w:after="0"/>
              <w:rPr>
                <w:sz w:val="20"/>
                <w:szCs w:val="20"/>
                <w:color w:val="auto"/>
              </w:rPr>
            </w:pPr>
            <w:r>
              <w:rPr>
                <w:rFonts w:ascii="Arial" w:cs="Arial" w:eastAsia="Arial" w:hAnsi="Arial"/>
                <w:sz w:val="16"/>
                <w:szCs w:val="16"/>
                <w:color w:val="auto"/>
                <w:w w:val="96"/>
              </w:rPr>
              <w:t>“</w:t>
            </w:r>
            <w:r>
              <w:rPr>
                <w:rFonts w:ascii="Arial" w:cs="Arial" w:eastAsia="Arial" w:hAnsi="Arial"/>
                <w:sz w:val="16"/>
                <w:szCs w:val="16"/>
                <w:b w:val="1"/>
                <w:bCs w:val="1"/>
                <w:color w:val="auto"/>
                <w:w w:val="96"/>
              </w:rPr>
              <w:t>Early Access to Medicines Schemes</w:t>
            </w:r>
            <w:r>
              <w:rPr>
                <w:rFonts w:ascii="Arial" w:cs="Arial" w:eastAsia="Arial" w:hAnsi="Arial"/>
                <w:sz w:val="16"/>
                <w:szCs w:val="16"/>
                <w:color w:val="auto"/>
                <w:w w:val="96"/>
              </w:rPr>
              <w:t>”</w:t>
            </w:r>
          </w:p>
        </w:tc>
        <w:tc>
          <w:tcPr>
            <w:tcW w:w="8680" w:type="dxa"/>
            <w:vAlign w:val="bottom"/>
          </w:tcPr>
          <w:p>
            <w:pPr>
              <w:ind w:left="200"/>
              <w:spacing w:after="0"/>
              <w:rPr>
                <w:sz w:val="20"/>
                <w:szCs w:val="20"/>
                <w:color w:val="auto"/>
              </w:rPr>
            </w:pPr>
            <w:r>
              <w:rPr>
                <w:rFonts w:ascii="Arial" w:cs="Arial" w:eastAsia="Arial" w:hAnsi="Arial"/>
                <w:sz w:val="16"/>
                <w:szCs w:val="16"/>
                <w:color w:val="auto"/>
                <w:w w:val="93"/>
              </w:rPr>
              <w:t>means schemes (whether statutory or not) offered by Regulatory Authorities directed towards making available, on an expedited</w:t>
            </w:r>
          </w:p>
        </w:tc>
      </w:tr>
      <w:tr>
        <w:trPr>
          <w:trHeight w:val="196"/>
        </w:trPr>
        <w:tc>
          <w:tcPr>
            <w:tcW w:w="2780" w:type="dxa"/>
            <w:vAlign w:val="bottom"/>
          </w:tcPr>
          <w:p>
            <w:pPr>
              <w:spacing w:after="0"/>
              <w:rPr>
                <w:sz w:val="20"/>
                <w:szCs w:val="20"/>
                <w:color w:val="auto"/>
              </w:rPr>
            </w:pPr>
            <w:r>
              <w:rPr>
                <w:rFonts w:ascii="Arial" w:cs="Arial" w:eastAsia="Arial" w:hAnsi="Arial"/>
                <w:sz w:val="16"/>
                <w:szCs w:val="16"/>
                <w:color w:val="auto"/>
              </w:rPr>
              <w:t>(or “</w:t>
            </w:r>
            <w:r>
              <w:rPr>
                <w:rFonts w:ascii="Arial" w:cs="Arial" w:eastAsia="Arial" w:hAnsi="Arial"/>
                <w:sz w:val="16"/>
                <w:szCs w:val="16"/>
                <w:b w:val="1"/>
                <w:bCs w:val="1"/>
                <w:color w:val="auto"/>
              </w:rPr>
              <w:t>EAMS</w:t>
            </w:r>
            <w:r>
              <w:rPr>
                <w:rFonts w:ascii="Arial" w:cs="Arial" w:eastAsia="Arial" w:hAnsi="Arial"/>
                <w:sz w:val="16"/>
                <w:szCs w:val="16"/>
                <w:color w:val="auto"/>
              </w:rPr>
              <w:t>”)</w:t>
            </w:r>
          </w:p>
        </w:tc>
        <w:tc>
          <w:tcPr>
            <w:tcW w:w="8680" w:type="dxa"/>
            <w:vAlign w:val="bottom"/>
          </w:tcPr>
          <w:p>
            <w:pPr>
              <w:ind w:left="200"/>
              <w:spacing w:after="0"/>
              <w:rPr>
                <w:sz w:val="20"/>
                <w:szCs w:val="20"/>
                <w:color w:val="auto"/>
              </w:rPr>
            </w:pPr>
            <w:r>
              <w:rPr>
                <w:rFonts w:ascii="Arial" w:cs="Arial" w:eastAsia="Arial" w:hAnsi="Arial"/>
                <w:sz w:val="16"/>
                <w:szCs w:val="16"/>
                <w:color w:val="auto"/>
                <w:w w:val="94"/>
              </w:rPr>
              <w:t>basis, medicines that offer potential benefit to patients with no treatment options or a major therapeutic advantage over existing</w:t>
            </w:r>
          </w:p>
        </w:tc>
      </w:tr>
      <w:tr>
        <w:trPr>
          <w:trHeight w:val="192"/>
        </w:trPr>
        <w:tc>
          <w:tcPr>
            <w:tcW w:w="2780" w:type="dxa"/>
            <w:vAlign w:val="bottom"/>
          </w:tcPr>
          <w:p>
            <w:pPr>
              <w:spacing w:after="0"/>
              <w:rPr>
                <w:sz w:val="16"/>
                <w:szCs w:val="16"/>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w w:val="98"/>
              </w:rPr>
              <w:t>treatments. EAMs include Medicines and Healthcare Products Regulatory Agency’s “Promising Innovative Medicines” (or</w:t>
            </w:r>
          </w:p>
        </w:tc>
      </w:tr>
      <w:tr>
        <w:trPr>
          <w:trHeight w:val="211"/>
        </w:trPr>
        <w:tc>
          <w:tcPr>
            <w:tcW w:w="278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PIM</w:t>
            </w:r>
            <w:r>
              <w:rPr>
                <w:rFonts w:ascii="Arial" w:cs="Arial" w:eastAsia="Arial" w:hAnsi="Arial"/>
                <w:sz w:val="16"/>
                <w:szCs w:val="16"/>
                <w:color w:val="auto"/>
              </w:rPr>
              <w:t>”) designations and EMA’s proposed “PRIME” (Priority Medicines)</w:t>
            </w:r>
          </w:p>
        </w:tc>
      </w:tr>
      <w:tr>
        <w:trPr>
          <w:trHeight w:val="391"/>
        </w:trPr>
        <w:tc>
          <w:tcPr>
            <w:tcW w:w="2780" w:type="dxa"/>
            <w:vAlign w:val="bottom"/>
          </w:tcPr>
          <w:p>
            <w:pPr>
              <w:spacing w:after="0"/>
              <w:rPr>
                <w:sz w:val="24"/>
                <w:szCs w:val="24"/>
                <w:color w:val="auto"/>
              </w:rPr>
            </w:pPr>
          </w:p>
        </w:tc>
        <w:tc>
          <w:tcPr>
            <w:tcW w:w="8680" w:type="dxa"/>
            <w:vAlign w:val="bottom"/>
          </w:tcPr>
          <w:p>
            <w:pPr>
              <w:ind w:left="2900"/>
              <w:spacing w:after="0"/>
              <w:rPr>
                <w:sz w:val="20"/>
                <w:szCs w:val="20"/>
                <w:color w:val="auto"/>
              </w:rPr>
            </w:pPr>
            <w:r>
              <w:rPr>
                <w:rFonts w:ascii="Arial" w:cs="Arial" w:eastAsia="Arial" w:hAnsi="Arial"/>
                <w:sz w:val="16"/>
                <w:szCs w:val="16"/>
                <w:color w:val="auto"/>
              </w:rPr>
              <w:t>5</w:t>
            </w:r>
          </w:p>
        </w:tc>
      </w:tr>
      <w:tr>
        <w:trPr>
          <w:trHeight w:val="119"/>
        </w:trPr>
        <w:tc>
          <w:tcPr>
            <w:tcW w:w="278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605" w:name="page606"/>
    <w:bookmarkEnd w:id="605"/>
    <w:p>
      <w:pPr>
        <w:ind w:left="2" w:right="240" w:hanging="2"/>
        <w:spacing w:after="0" w:line="270" w:lineRule="auto"/>
        <w:tabs>
          <w:tab w:leader="none" w:pos="396" w:val="left"/>
        </w:tabs>
        <w:numPr>
          <w:ilvl w:val="0"/>
          <w:numId w:val="621"/>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9160" w:type="dxa"/>
            <w:vAlign w:val="bottom"/>
          </w:tcPr>
          <w:p>
            <w:pPr>
              <w:ind w:left="680"/>
              <w:spacing w:after="0"/>
              <w:rPr>
                <w:sz w:val="20"/>
                <w:szCs w:val="20"/>
                <w:color w:val="auto"/>
              </w:rPr>
            </w:pPr>
            <w:r>
              <w:rPr>
                <w:rFonts w:ascii="Arial" w:cs="Arial" w:eastAsia="Arial" w:hAnsi="Arial"/>
                <w:sz w:val="16"/>
                <w:szCs w:val="16"/>
                <w:color w:val="auto"/>
              </w:rPr>
              <w:t>scheme, and successor or similar schemes;</w:t>
            </w:r>
          </w:p>
        </w:tc>
      </w:tr>
      <w:tr>
        <w:trPr>
          <w:trHeight w:val="391"/>
        </w:trPr>
        <w:tc>
          <w:tcPr>
            <w:tcW w:w="2300" w:type="dxa"/>
            <w:vAlign w:val="bottom"/>
          </w:tcPr>
          <w:p>
            <w:pPr>
              <w:spacing w:after="0"/>
              <w:rPr>
                <w:sz w:val="20"/>
                <w:szCs w:val="20"/>
                <w:color w:val="auto"/>
              </w:rPr>
            </w:pPr>
            <w:r>
              <w:rPr>
                <w:rFonts w:ascii="Arial" w:cs="Arial" w:eastAsia="Arial" w:hAnsi="Arial"/>
                <w:sz w:val="16"/>
                <w:szCs w:val="16"/>
                <w:b w:val="1"/>
                <w:bCs w:val="1"/>
                <w:color w:val="auto"/>
              </w:rPr>
              <w:t>“Election Period”</w:t>
            </w:r>
          </w:p>
        </w:tc>
        <w:tc>
          <w:tcPr>
            <w:tcW w:w="9160" w:type="dxa"/>
            <w:vAlign w:val="bottom"/>
          </w:tcPr>
          <w:p>
            <w:pPr>
              <w:ind w:left="700"/>
              <w:spacing w:after="0"/>
              <w:rPr>
                <w:sz w:val="20"/>
                <w:szCs w:val="20"/>
                <w:color w:val="auto"/>
              </w:rPr>
            </w:pPr>
            <w:r>
              <w:rPr>
                <w:rFonts w:ascii="Arial" w:cs="Arial" w:eastAsia="Arial" w:hAnsi="Arial"/>
                <w:sz w:val="16"/>
                <w:szCs w:val="16"/>
                <w:color w:val="auto"/>
              </w:rPr>
              <w:t>has the meaning given in clause 14.4.1 of the Agreement;</w:t>
            </w:r>
          </w:p>
        </w:tc>
      </w:tr>
      <w:tr>
        <w:trPr>
          <w:trHeight w:val="391"/>
        </w:trPr>
        <w:tc>
          <w:tcPr>
            <w:tcW w:w="2300" w:type="dxa"/>
            <w:vAlign w:val="bottom"/>
          </w:tcPr>
          <w:p>
            <w:pPr>
              <w:spacing w:after="0"/>
              <w:rPr>
                <w:sz w:val="20"/>
                <w:szCs w:val="20"/>
                <w:color w:val="auto"/>
              </w:rPr>
            </w:pPr>
            <w:r>
              <w:rPr>
                <w:rFonts w:ascii="Arial" w:cs="Arial" w:eastAsia="Arial" w:hAnsi="Arial"/>
                <w:sz w:val="16"/>
                <w:szCs w:val="16"/>
                <w:b w:val="1"/>
                <w:bCs w:val="1"/>
                <w:color w:val="auto"/>
              </w:rPr>
              <w:t>“Exclusive Results”</w:t>
            </w:r>
          </w:p>
        </w:tc>
        <w:tc>
          <w:tcPr>
            <w:tcW w:w="9160" w:type="dxa"/>
            <w:vAlign w:val="bottom"/>
          </w:tcPr>
          <w:p>
            <w:pPr>
              <w:ind w:left="680"/>
              <w:spacing w:after="0"/>
              <w:rPr>
                <w:sz w:val="20"/>
                <w:szCs w:val="20"/>
                <w:color w:val="auto"/>
              </w:rPr>
            </w:pPr>
            <w:r>
              <w:rPr>
                <w:rFonts w:ascii="Arial" w:cs="Arial" w:eastAsia="Arial" w:hAnsi="Arial"/>
                <w:sz w:val="16"/>
                <w:szCs w:val="16"/>
                <w:color w:val="auto"/>
              </w:rPr>
              <w:t>has the meaning given in clause 7.1 of the Agreement;</w:t>
            </w:r>
          </w:p>
        </w:tc>
      </w:tr>
      <w:tr>
        <w:trPr>
          <w:trHeight w:val="380"/>
        </w:trPr>
        <w:tc>
          <w:tcPr>
            <w:tcW w:w="2300" w:type="dxa"/>
            <w:vAlign w:val="bottom"/>
          </w:tcPr>
          <w:p>
            <w:pPr>
              <w:spacing w:after="0"/>
              <w:rPr>
                <w:sz w:val="20"/>
                <w:szCs w:val="20"/>
                <w:color w:val="auto"/>
              </w:rPr>
            </w:pPr>
            <w:r>
              <w:rPr>
                <w:rFonts w:ascii="Arial" w:cs="Arial" w:eastAsia="Arial" w:hAnsi="Arial"/>
                <w:sz w:val="16"/>
                <w:szCs w:val="16"/>
                <w:b w:val="1"/>
                <w:bCs w:val="1"/>
                <w:color w:val="auto"/>
              </w:rPr>
              <w:t>“Executive Officers”</w:t>
            </w:r>
          </w:p>
        </w:tc>
        <w:tc>
          <w:tcPr>
            <w:tcW w:w="9160" w:type="dxa"/>
            <w:vAlign w:val="bottom"/>
          </w:tcPr>
          <w:p>
            <w:pPr>
              <w:ind w:left="700"/>
              <w:spacing w:after="0"/>
              <w:rPr>
                <w:sz w:val="20"/>
                <w:szCs w:val="20"/>
                <w:color w:val="auto"/>
              </w:rPr>
            </w:pPr>
            <w:r>
              <w:rPr>
                <w:rFonts w:ascii="Arial" w:cs="Arial" w:eastAsia="Arial" w:hAnsi="Arial"/>
                <w:sz w:val="16"/>
                <w:szCs w:val="16"/>
                <w:color w:val="auto"/>
                <w:w w:val="94"/>
              </w:rPr>
              <w:t>means: Chief Executive Officer of the Company, the Chief Executive Officer of CRT and the Director of the Charity’s Centre for</w:t>
            </w:r>
          </w:p>
        </w:tc>
      </w:tr>
      <w:tr>
        <w:trPr>
          <w:trHeight w:val="207"/>
        </w:trPr>
        <w:tc>
          <w:tcPr>
            <w:tcW w:w="230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6"/>
                <w:szCs w:val="16"/>
                <w:color w:val="auto"/>
              </w:rPr>
              <w:t>Drug Development;</w:t>
            </w:r>
          </w:p>
        </w:tc>
      </w:tr>
      <w:tr>
        <w:trPr>
          <w:trHeight w:val="391"/>
        </w:trPr>
        <w:tc>
          <w:tcPr>
            <w:tcW w:w="2300" w:type="dxa"/>
            <w:vAlign w:val="bottom"/>
          </w:tcPr>
          <w:p>
            <w:pPr>
              <w:spacing w:after="0"/>
              <w:rPr>
                <w:sz w:val="20"/>
                <w:szCs w:val="20"/>
                <w:color w:val="auto"/>
              </w:rPr>
            </w:pPr>
            <w:r>
              <w:rPr>
                <w:rFonts w:ascii="Arial" w:cs="Arial" w:eastAsia="Arial" w:hAnsi="Arial"/>
                <w:sz w:val="16"/>
                <w:szCs w:val="16"/>
                <w:b w:val="1"/>
                <w:bCs w:val="1"/>
                <w:color w:val="auto"/>
              </w:rPr>
              <w:t>“Field”</w:t>
            </w:r>
          </w:p>
        </w:tc>
        <w:tc>
          <w:tcPr>
            <w:tcW w:w="9160" w:type="dxa"/>
            <w:vAlign w:val="bottom"/>
          </w:tcPr>
          <w:p>
            <w:pPr>
              <w:ind w:left="680"/>
              <w:spacing w:after="0"/>
              <w:rPr>
                <w:sz w:val="20"/>
                <w:szCs w:val="20"/>
                <w:color w:val="auto"/>
              </w:rPr>
            </w:pPr>
            <w:r>
              <w:rPr>
                <w:rFonts w:ascii="Arial" w:cs="Arial" w:eastAsia="Arial" w:hAnsi="Arial"/>
                <w:sz w:val="16"/>
                <w:szCs w:val="16"/>
                <w:color w:val="auto"/>
              </w:rPr>
              <w:t>means [***];</w:t>
            </w:r>
          </w:p>
        </w:tc>
      </w:tr>
      <w:tr>
        <w:trPr>
          <w:trHeight w:val="391"/>
        </w:trPr>
        <w:tc>
          <w:tcPr>
            <w:tcW w:w="2300" w:type="dxa"/>
            <w:vAlign w:val="bottom"/>
          </w:tcPr>
          <w:p>
            <w:pPr>
              <w:spacing w:after="0"/>
              <w:rPr>
                <w:sz w:val="20"/>
                <w:szCs w:val="20"/>
                <w:color w:val="auto"/>
              </w:rPr>
            </w:pPr>
            <w:r>
              <w:rPr>
                <w:rFonts w:ascii="Arial" w:cs="Arial" w:eastAsia="Arial" w:hAnsi="Arial"/>
                <w:sz w:val="16"/>
                <w:szCs w:val="16"/>
                <w:b w:val="1"/>
                <w:bCs w:val="1"/>
                <w:color w:val="auto"/>
              </w:rPr>
              <w:t>“[***]”</w:t>
            </w:r>
          </w:p>
        </w:tc>
        <w:tc>
          <w:tcPr>
            <w:tcW w:w="9160" w:type="dxa"/>
            <w:vAlign w:val="bottom"/>
          </w:tcPr>
          <w:p>
            <w:pPr>
              <w:ind w:left="680"/>
              <w:spacing w:after="0"/>
              <w:rPr>
                <w:sz w:val="20"/>
                <w:szCs w:val="20"/>
                <w:color w:val="auto"/>
              </w:rPr>
            </w:pPr>
            <w:r>
              <w:rPr>
                <w:rFonts w:ascii="Arial" w:cs="Arial" w:eastAsia="Arial" w:hAnsi="Arial"/>
                <w:sz w:val="16"/>
                <w:szCs w:val="16"/>
                <w:color w:val="auto"/>
              </w:rPr>
              <w:t>means, [***];</w:t>
            </w:r>
          </w:p>
        </w:tc>
      </w:tr>
      <w:tr>
        <w:trPr>
          <w:trHeight w:val="391"/>
        </w:trPr>
        <w:tc>
          <w:tcPr>
            <w:tcW w:w="2300" w:type="dxa"/>
            <w:vAlign w:val="bottom"/>
          </w:tcPr>
          <w:p>
            <w:pPr>
              <w:spacing w:after="0"/>
              <w:rPr>
                <w:sz w:val="20"/>
                <w:szCs w:val="20"/>
                <w:color w:val="auto"/>
              </w:rPr>
            </w:pPr>
            <w:r>
              <w:rPr>
                <w:rFonts w:ascii="Arial" w:cs="Arial" w:eastAsia="Arial" w:hAnsi="Arial"/>
                <w:sz w:val="16"/>
                <w:szCs w:val="16"/>
                <w:b w:val="1"/>
                <w:bCs w:val="1"/>
                <w:color w:val="auto"/>
              </w:rPr>
              <w:t>“Force Majeure”</w:t>
            </w:r>
          </w:p>
        </w:tc>
        <w:tc>
          <w:tcPr>
            <w:tcW w:w="9160" w:type="dxa"/>
            <w:vAlign w:val="bottom"/>
          </w:tcPr>
          <w:p>
            <w:pPr>
              <w:ind w:left="680"/>
              <w:spacing w:after="0"/>
              <w:rPr>
                <w:sz w:val="20"/>
                <w:szCs w:val="20"/>
                <w:color w:val="auto"/>
              </w:rPr>
            </w:pPr>
            <w:r>
              <w:rPr>
                <w:rFonts w:ascii="Arial" w:cs="Arial" w:eastAsia="Arial" w:hAnsi="Arial"/>
                <w:sz w:val="16"/>
                <w:szCs w:val="16"/>
                <w:color w:val="auto"/>
              </w:rPr>
              <w:t>has the meaning given in clause 17.17.1 of the Agreement;</w:t>
            </w:r>
          </w:p>
        </w:tc>
      </w:tr>
      <w:tr>
        <w:trPr>
          <w:trHeight w:val="380"/>
        </w:trPr>
        <w:tc>
          <w:tcPr>
            <w:tcW w:w="2300" w:type="dxa"/>
            <w:vAlign w:val="bottom"/>
          </w:tcPr>
          <w:p>
            <w:pPr>
              <w:spacing w:after="0"/>
              <w:rPr>
                <w:sz w:val="20"/>
                <w:szCs w:val="20"/>
                <w:color w:val="auto"/>
              </w:rPr>
            </w:pPr>
            <w:r>
              <w:rPr>
                <w:rFonts w:ascii="Arial" w:cs="Arial" w:eastAsia="Arial" w:hAnsi="Arial"/>
                <w:sz w:val="16"/>
                <w:szCs w:val="16"/>
                <w:b w:val="1"/>
                <w:bCs w:val="1"/>
                <w:color w:val="auto"/>
              </w:rPr>
              <w:t>“FTO Costs”</w:t>
            </w:r>
          </w:p>
        </w:tc>
        <w:tc>
          <w:tcPr>
            <w:tcW w:w="9160" w:type="dxa"/>
            <w:vAlign w:val="bottom"/>
          </w:tcPr>
          <w:p>
            <w:pPr>
              <w:ind w:left="680"/>
              <w:spacing w:after="0"/>
              <w:rPr>
                <w:sz w:val="20"/>
                <w:szCs w:val="20"/>
                <w:color w:val="auto"/>
              </w:rPr>
            </w:pPr>
            <w:r>
              <w:rPr>
                <w:rFonts w:ascii="Arial" w:cs="Arial" w:eastAsia="Arial" w:hAnsi="Arial"/>
                <w:sz w:val="16"/>
                <w:szCs w:val="16"/>
                <w:color w:val="auto"/>
                <w:w w:val="96"/>
              </w:rPr>
              <w:t>means any royalties on the sale of an Agent Product or a Collaboration Product payable by the Company or a Sub-Licensee</w:t>
            </w:r>
          </w:p>
        </w:tc>
      </w:tr>
      <w:tr>
        <w:trPr>
          <w:trHeight w:val="196"/>
        </w:trPr>
        <w:tc>
          <w:tcPr>
            <w:tcW w:w="2300" w:type="dxa"/>
            <w:vAlign w:val="bottom"/>
          </w:tcPr>
          <w:p>
            <w:pPr>
              <w:spacing w:after="0"/>
              <w:rPr>
                <w:sz w:val="17"/>
                <w:szCs w:val="17"/>
                <w:color w:val="auto"/>
              </w:rPr>
            </w:pPr>
          </w:p>
        </w:tc>
        <w:tc>
          <w:tcPr>
            <w:tcW w:w="9160" w:type="dxa"/>
            <w:vAlign w:val="bottom"/>
          </w:tcPr>
          <w:p>
            <w:pPr>
              <w:ind w:left="680"/>
              <w:spacing w:after="0"/>
              <w:rPr>
                <w:sz w:val="20"/>
                <w:szCs w:val="20"/>
                <w:color w:val="auto"/>
              </w:rPr>
            </w:pPr>
            <w:r>
              <w:rPr>
                <w:rFonts w:ascii="Arial" w:cs="Arial" w:eastAsia="Arial" w:hAnsi="Arial"/>
                <w:sz w:val="16"/>
                <w:szCs w:val="16"/>
                <w:color w:val="auto"/>
                <w:w w:val="93"/>
              </w:rPr>
              <w:t>under a licence agreement entered into by the Company or such Sub-Licensee with a third party after the Start Date, and only to</w:t>
            </w:r>
          </w:p>
        </w:tc>
      </w:tr>
      <w:tr>
        <w:trPr>
          <w:trHeight w:val="196"/>
        </w:trPr>
        <w:tc>
          <w:tcPr>
            <w:tcW w:w="2300" w:type="dxa"/>
            <w:vAlign w:val="bottom"/>
          </w:tcPr>
          <w:p>
            <w:pPr>
              <w:spacing w:after="0"/>
              <w:rPr>
                <w:sz w:val="17"/>
                <w:szCs w:val="17"/>
                <w:color w:val="auto"/>
              </w:rPr>
            </w:pPr>
          </w:p>
        </w:tc>
        <w:tc>
          <w:tcPr>
            <w:tcW w:w="9160" w:type="dxa"/>
            <w:vAlign w:val="bottom"/>
          </w:tcPr>
          <w:p>
            <w:pPr>
              <w:ind w:left="680"/>
              <w:spacing w:after="0"/>
              <w:rPr>
                <w:sz w:val="20"/>
                <w:szCs w:val="20"/>
                <w:color w:val="auto"/>
              </w:rPr>
            </w:pPr>
            <w:r>
              <w:rPr>
                <w:rFonts w:ascii="Arial" w:cs="Arial" w:eastAsia="Arial" w:hAnsi="Arial"/>
                <w:sz w:val="16"/>
                <w:szCs w:val="16"/>
                <w:color w:val="auto"/>
              </w:rPr>
              <w:t>the extent that: (i) such licence is necessary in order to avoid infringing such third party’s patent rights in the course of</w:t>
            </w:r>
          </w:p>
        </w:tc>
      </w:tr>
      <w:tr>
        <w:trPr>
          <w:trHeight w:val="196"/>
        </w:trPr>
        <w:tc>
          <w:tcPr>
            <w:tcW w:w="2300" w:type="dxa"/>
            <w:vAlign w:val="bottom"/>
          </w:tcPr>
          <w:p>
            <w:pPr>
              <w:spacing w:after="0"/>
              <w:rPr>
                <w:sz w:val="17"/>
                <w:szCs w:val="17"/>
                <w:color w:val="auto"/>
              </w:rPr>
            </w:pPr>
          </w:p>
        </w:tc>
        <w:tc>
          <w:tcPr>
            <w:tcW w:w="9160" w:type="dxa"/>
            <w:vAlign w:val="bottom"/>
          </w:tcPr>
          <w:p>
            <w:pPr>
              <w:ind w:left="680"/>
              <w:spacing w:after="0"/>
              <w:rPr>
                <w:sz w:val="20"/>
                <w:szCs w:val="20"/>
                <w:color w:val="auto"/>
              </w:rPr>
            </w:pPr>
            <w:r>
              <w:rPr>
                <w:rFonts w:ascii="Arial" w:cs="Arial" w:eastAsia="Arial" w:hAnsi="Arial"/>
                <w:sz w:val="16"/>
                <w:szCs w:val="16"/>
                <w:color w:val="auto"/>
              </w:rPr>
              <w:t>researching, developing, making, having made, marketing, using, importing and selling Agent Products or Collaboration</w:t>
            </w:r>
          </w:p>
        </w:tc>
      </w:tr>
      <w:tr>
        <w:trPr>
          <w:trHeight w:val="196"/>
        </w:trPr>
        <w:tc>
          <w:tcPr>
            <w:tcW w:w="2300" w:type="dxa"/>
            <w:vAlign w:val="bottom"/>
          </w:tcPr>
          <w:p>
            <w:pPr>
              <w:spacing w:after="0"/>
              <w:rPr>
                <w:sz w:val="17"/>
                <w:szCs w:val="17"/>
                <w:color w:val="auto"/>
              </w:rPr>
            </w:pPr>
          </w:p>
        </w:tc>
        <w:tc>
          <w:tcPr>
            <w:tcW w:w="9160" w:type="dxa"/>
            <w:vAlign w:val="bottom"/>
          </w:tcPr>
          <w:p>
            <w:pPr>
              <w:ind w:left="680"/>
              <w:spacing w:after="0"/>
              <w:rPr>
                <w:sz w:val="20"/>
                <w:szCs w:val="20"/>
                <w:color w:val="auto"/>
              </w:rPr>
            </w:pPr>
            <w:r>
              <w:rPr>
                <w:rFonts w:ascii="Arial" w:cs="Arial" w:eastAsia="Arial" w:hAnsi="Arial"/>
                <w:sz w:val="16"/>
                <w:szCs w:val="16"/>
                <w:color w:val="auto"/>
                <w:w w:val="94"/>
              </w:rPr>
              <w:t>Products as developed by the Company; and (ii) the royalty payable is reasonably attributable to the grant of rights specified in</w:t>
            </w:r>
          </w:p>
        </w:tc>
      </w:tr>
      <w:tr>
        <w:trPr>
          <w:trHeight w:val="207"/>
        </w:trPr>
        <w:tc>
          <w:tcPr>
            <w:tcW w:w="2300" w:type="dxa"/>
            <w:vAlign w:val="bottom"/>
          </w:tcPr>
          <w:p>
            <w:pPr>
              <w:spacing w:after="0"/>
              <w:rPr>
                <w:sz w:val="18"/>
                <w:szCs w:val="18"/>
                <w:color w:val="auto"/>
              </w:rPr>
            </w:pPr>
          </w:p>
        </w:tc>
        <w:tc>
          <w:tcPr>
            <w:tcW w:w="9160" w:type="dxa"/>
            <w:vAlign w:val="bottom"/>
          </w:tcPr>
          <w:p>
            <w:pPr>
              <w:ind w:left="680"/>
              <w:spacing w:after="0"/>
              <w:rPr>
                <w:sz w:val="20"/>
                <w:szCs w:val="20"/>
                <w:color w:val="auto"/>
              </w:rPr>
            </w:pPr>
            <w:r>
              <w:rPr>
                <w:rFonts w:ascii="Arial" w:cs="Arial" w:eastAsia="Arial" w:hAnsi="Arial"/>
                <w:sz w:val="16"/>
                <w:szCs w:val="16"/>
                <w:color w:val="auto"/>
                <w:w w:val="97"/>
              </w:rPr>
              <w:t>(i) and not to any other rights also granted pursuant to the same licence agreement and/or by the same third party licensor.</w:t>
            </w:r>
          </w:p>
        </w:tc>
      </w:tr>
      <w:tr>
        <w:trPr>
          <w:trHeight w:val="391"/>
        </w:trPr>
        <w:tc>
          <w:tcPr>
            <w:tcW w:w="2300" w:type="dxa"/>
            <w:vAlign w:val="bottom"/>
          </w:tcPr>
          <w:p>
            <w:pPr>
              <w:spacing w:after="0"/>
              <w:rPr>
                <w:sz w:val="20"/>
                <w:szCs w:val="20"/>
                <w:color w:val="auto"/>
              </w:rPr>
            </w:pPr>
            <w:r>
              <w:rPr>
                <w:rFonts w:ascii="Arial" w:cs="Arial" w:eastAsia="Arial" w:hAnsi="Arial"/>
                <w:sz w:val="16"/>
                <w:szCs w:val="16"/>
                <w:b w:val="1"/>
                <w:bCs w:val="1"/>
                <w:color w:val="auto"/>
              </w:rPr>
              <w:t>“Generic Competition”</w:t>
            </w:r>
          </w:p>
        </w:tc>
        <w:tc>
          <w:tcPr>
            <w:tcW w:w="9160" w:type="dxa"/>
            <w:vAlign w:val="bottom"/>
          </w:tcPr>
          <w:p>
            <w:pPr>
              <w:ind w:left="680"/>
              <w:spacing w:after="0"/>
              <w:rPr>
                <w:sz w:val="20"/>
                <w:szCs w:val="20"/>
                <w:color w:val="auto"/>
              </w:rPr>
            </w:pPr>
            <w:r>
              <w:rPr>
                <w:rFonts w:ascii="Arial" w:cs="Arial" w:eastAsia="Arial" w:hAnsi="Arial"/>
                <w:sz w:val="16"/>
                <w:szCs w:val="16"/>
                <w:color w:val="auto"/>
              </w:rPr>
              <w:t>means a product that in a particular country and Quarter:</w:t>
            </w:r>
          </w:p>
        </w:tc>
      </w:tr>
      <w:tr>
        <w:trPr>
          <w:trHeight w:val="391"/>
        </w:trPr>
        <w:tc>
          <w:tcPr>
            <w:tcW w:w="2300" w:type="dxa"/>
            <w:vAlign w:val="bottom"/>
          </w:tcPr>
          <w:p>
            <w:pPr>
              <w:spacing w:after="0"/>
              <w:rPr>
                <w:sz w:val="24"/>
                <w:szCs w:val="24"/>
                <w:color w:val="auto"/>
              </w:rPr>
            </w:pPr>
          </w:p>
        </w:tc>
        <w:tc>
          <w:tcPr>
            <w:tcW w:w="9160" w:type="dxa"/>
            <w:vAlign w:val="bottom"/>
          </w:tcPr>
          <w:p>
            <w:pPr>
              <w:ind w:left="680"/>
              <w:spacing w:after="0"/>
              <w:rPr>
                <w:sz w:val="20"/>
                <w:szCs w:val="20"/>
                <w:color w:val="auto"/>
              </w:rPr>
            </w:pPr>
            <w:r>
              <w:rPr>
                <w:rFonts w:ascii="Arial" w:cs="Arial" w:eastAsia="Arial" w:hAnsi="Arial"/>
                <w:sz w:val="16"/>
                <w:szCs w:val="16"/>
                <w:color w:val="auto"/>
              </w:rPr>
              <w:t>a)  is not an Agent Product or a Collaboration Product marketed or sold by the Company or a Sub-Licensee;</w:t>
            </w:r>
          </w:p>
        </w:tc>
      </w:tr>
      <w:tr>
        <w:trPr>
          <w:trHeight w:val="391"/>
        </w:trPr>
        <w:tc>
          <w:tcPr>
            <w:tcW w:w="2300" w:type="dxa"/>
            <w:vAlign w:val="bottom"/>
          </w:tcPr>
          <w:p>
            <w:pPr>
              <w:spacing w:after="0"/>
              <w:rPr>
                <w:sz w:val="24"/>
                <w:szCs w:val="24"/>
                <w:color w:val="auto"/>
              </w:rPr>
            </w:pPr>
          </w:p>
        </w:tc>
        <w:tc>
          <w:tcPr>
            <w:tcW w:w="9160" w:type="dxa"/>
            <w:vAlign w:val="bottom"/>
          </w:tcPr>
          <w:p>
            <w:pPr>
              <w:ind w:left="680"/>
              <w:spacing w:after="0"/>
              <w:rPr>
                <w:sz w:val="20"/>
                <w:szCs w:val="20"/>
                <w:color w:val="auto"/>
              </w:rPr>
            </w:pPr>
            <w:r>
              <w:rPr>
                <w:rFonts w:ascii="Arial" w:cs="Arial" w:eastAsia="Arial" w:hAnsi="Arial"/>
                <w:sz w:val="16"/>
                <w:szCs w:val="16"/>
                <w:color w:val="auto"/>
              </w:rPr>
              <w:t>b)  is sold in that country by a third party under a Regulatory Authorisation;</w:t>
            </w:r>
          </w:p>
        </w:tc>
      </w:tr>
      <w:tr>
        <w:trPr>
          <w:trHeight w:val="391"/>
        </w:trPr>
        <w:tc>
          <w:tcPr>
            <w:tcW w:w="2300" w:type="dxa"/>
            <w:vAlign w:val="bottom"/>
          </w:tcPr>
          <w:p>
            <w:pPr>
              <w:spacing w:after="0"/>
              <w:rPr>
                <w:sz w:val="24"/>
                <w:szCs w:val="24"/>
                <w:color w:val="auto"/>
              </w:rPr>
            </w:pPr>
          </w:p>
        </w:tc>
        <w:tc>
          <w:tcPr>
            <w:tcW w:w="9160" w:type="dxa"/>
            <w:vAlign w:val="bottom"/>
          </w:tcPr>
          <w:p>
            <w:pPr>
              <w:ind w:left="680"/>
              <w:spacing w:after="0"/>
              <w:rPr>
                <w:sz w:val="20"/>
                <w:szCs w:val="20"/>
                <w:color w:val="auto"/>
              </w:rPr>
            </w:pPr>
            <w:r>
              <w:rPr>
                <w:rFonts w:ascii="Arial" w:cs="Arial" w:eastAsia="Arial" w:hAnsi="Arial"/>
                <w:sz w:val="16"/>
                <w:szCs w:val="16"/>
                <w:color w:val="auto"/>
              </w:rPr>
              <w:t>c)  contains the same active ingredient as an Agent Product or a Collaboration Product;</w:t>
            </w:r>
          </w:p>
        </w:tc>
      </w:tr>
      <w:tr>
        <w:trPr>
          <w:trHeight w:val="391"/>
        </w:trPr>
        <w:tc>
          <w:tcPr>
            <w:tcW w:w="2300" w:type="dxa"/>
            <w:vAlign w:val="bottom"/>
          </w:tcPr>
          <w:p>
            <w:pPr>
              <w:spacing w:after="0"/>
              <w:rPr>
                <w:sz w:val="24"/>
                <w:szCs w:val="24"/>
                <w:color w:val="auto"/>
              </w:rPr>
            </w:pPr>
          </w:p>
        </w:tc>
        <w:tc>
          <w:tcPr>
            <w:tcW w:w="9160" w:type="dxa"/>
            <w:vAlign w:val="bottom"/>
          </w:tcPr>
          <w:p>
            <w:pPr>
              <w:ind w:left="3380"/>
              <w:spacing w:after="0"/>
              <w:rPr>
                <w:sz w:val="20"/>
                <w:szCs w:val="20"/>
                <w:color w:val="auto"/>
              </w:rPr>
            </w:pPr>
            <w:r>
              <w:rPr>
                <w:rFonts w:ascii="Arial" w:cs="Arial" w:eastAsia="Arial" w:hAnsi="Arial"/>
                <w:sz w:val="16"/>
                <w:szCs w:val="16"/>
                <w:color w:val="auto"/>
              </w:rPr>
              <w:t>6</w:t>
            </w:r>
          </w:p>
        </w:tc>
      </w:tr>
      <w:tr>
        <w:trPr>
          <w:trHeight w:val="119"/>
        </w:trPr>
        <w:tc>
          <w:tcPr>
            <w:tcW w:w="2300" w:type="dxa"/>
            <w:vAlign w:val="bottom"/>
            <w:tcBorders>
              <w:bottom w:val="single" w:sz="8" w:color="808080"/>
            </w:tcBorders>
          </w:tcPr>
          <w:p>
            <w:pPr>
              <w:spacing w:after="0"/>
              <w:rPr>
                <w:sz w:val="10"/>
                <w:szCs w:val="10"/>
                <w:color w:val="auto"/>
              </w:rPr>
            </w:pPr>
          </w:p>
        </w:tc>
        <w:tc>
          <w:tcPr>
            <w:tcW w:w="9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606" w:name="page607"/>
    <w:bookmarkEnd w:id="606"/>
    <w:p>
      <w:pPr>
        <w:ind w:left="2" w:right="240" w:hanging="2"/>
        <w:spacing w:after="0" w:line="270" w:lineRule="auto"/>
        <w:tabs>
          <w:tab w:leader="none" w:pos="396" w:val="left"/>
        </w:tabs>
        <w:numPr>
          <w:ilvl w:val="0"/>
          <w:numId w:val="622"/>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rFonts w:ascii="Arial" w:cs="Arial" w:eastAsia="Arial" w:hAnsi="Arial"/>
          <w:sz w:val="16"/>
          <w:szCs w:val="16"/>
          <w:color w:val="auto"/>
        </w:rPr>
      </w:pPr>
    </w:p>
    <w:p>
      <w:pPr>
        <w:ind w:left="3282" w:right="520" w:hanging="299"/>
        <w:spacing w:after="0" w:line="285" w:lineRule="auto"/>
        <w:tabs>
          <w:tab w:leader="none" w:pos="3283" w:val="left"/>
        </w:tabs>
        <w:numPr>
          <w:ilvl w:val="1"/>
          <w:numId w:val="622"/>
        </w:numPr>
        <w:rPr>
          <w:rFonts w:ascii="Arial" w:cs="Arial" w:eastAsia="Arial" w:hAnsi="Arial"/>
          <w:sz w:val="16"/>
          <w:szCs w:val="16"/>
          <w:color w:val="auto"/>
        </w:rPr>
      </w:pPr>
      <w:r>
        <w:rPr>
          <w:rFonts w:ascii="Arial" w:cs="Arial" w:eastAsia="Arial" w:hAnsi="Arial"/>
          <w:sz w:val="16"/>
          <w:szCs w:val="16"/>
          <w:color w:val="auto"/>
        </w:rPr>
        <w:t>has obtained in that country Regulatory Authorisation for use in the same Indication for which such Agent Product or Collaboration Product has obtained Regulatory Authorisation; and</w:t>
      </w:r>
    </w:p>
    <w:p>
      <w:pPr>
        <w:spacing w:after="0" w:line="149" w:lineRule="exact"/>
        <w:rPr>
          <w:rFonts w:ascii="Arial" w:cs="Arial" w:eastAsia="Arial" w:hAnsi="Arial"/>
          <w:sz w:val="16"/>
          <w:szCs w:val="16"/>
          <w:color w:val="auto"/>
        </w:rPr>
      </w:pPr>
    </w:p>
    <w:p>
      <w:pPr>
        <w:ind w:left="3282" w:right="180" w:hanging="299"/>
        <w:spacing w:after="0" w:line="288" w:lineRule="auto"/>
        <w:tabs>
          <w:tab w:leader="none" w:pos="3286" w:val="left"/>
        </w:tabs>
        <w:numPr>
          <w:ilvl w:val="1"/>
          <w:numId w:val="622"/>
        </w:numPr>
        <w:rPr>
          <w:rFonts w:ascii="Arial" w:cs="Arial" w:eastAsia="Arial" w:hAnsi="Arial"/>
          <w:sz w:val="15"/>
          <w:szCs w:val="15"/>
          <w:color w:val="auto"/>
        </w:rPr>
      </w:pPr>
      <w:r>
        <w:rPr>
          <w:rFonts w:ascii="Arial" w:cs="Arial" w:eastAsia="Arial" w:hAnsi="Arial"/>
          <w:sz w:val="15"/>
          <w:szCs w:val="15"/>
          <w:color w:val="auto"/>
        </w:rPr>
        <w:t>has achieved sales (in units sold) in that country in that Quarter which are equal or greater to [***] percent ([***]%) of the total aggregate sales (in units sold) of that product combined with sales of the Licenced Product in that country in that Quarter (based on commercially available market research data such as IMS Health) or, for sales by a Sub-Licensee, such lower percentage as may be required under the sub-licence with such Sub-Licensee.</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2780" w:type="dxa"/>
            <w:vAlign w:val="bottom"/>
          </w:tcPr>
          <w:p>
            <w:pPr>
              <w:spacing w:after="0"/>
              <w:rPr>
                <w:sz w:val="20"/>
                <w:szCs w:val="20"/>
                <w:color w:val="auto"/>
              </w:rPr>
            </w:pPr>
            <w:r>
              <w:rPr>
                <w:rFonts w:ascii="Arial" w:cs="Arial" w:eastAsia="Arial" w:hAnsi="Arial"/>
                <w:sz w:val="16"/>
                <w:szCs w:val="16"/>
                <w:b w:val="1"/>
                <w:bCs w:val="1"/>
                <w:color w:val="auto"/>
              </w:rPr>
              <w:t>“Good Laboratory Practice or GLP”</w:t>
            </w:r>
          </w:p>
        </w:tc>
        <w:tc>
          <w:tcPr>
            <w:tcW w:w="8680" w:type="dxa"/>
            <w:vAlign w:val="bottom"/>
          </w:tcPr>
          <w:p>
            <w:pPr>
              <w:ind w:left="200"/>
              <w:spacing w:after="0"/>
              <w:rPr>
                <w:sz w:val="20"/>
                <w:szCs w:val="20"/>
                <w:color w:val="auto"/>
              </w:rPr>
            </w:pPr>
            <w:r>
              <w:rPr>
                <w:rFonts w:ascii="Arial" w:cs="Arial" w:eastAsia="Arial" w:hAnsi="Arial"/>
                <w:sz w:val="16"/>
                <w:szCs w:val="16"/>
                <w:color w:val="auto"/>
                <w:w w:val="98"/>
              </w:rPr>
              <w:t>means a quality system concerned with the organisational process and the conditions under which non-clinical health and</w:t>
            </w:r>
          </w:p>
        </w:tc>
      </w:tr>
      <w:tr>
        <w:trPr>
          <w:trHeight w:val="207"/>
        </w:trPr>
        <w:tc>
          <w:tcPr>
            <w:tcW w:w="278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rPr>
              <w:t>environmental studies are planned, performed, monitored, recorded, archived and reported.</w:t>
            </w:r>
          </w:p>
        </w:tc>
      </w:tr>
      <w:tr>
        <w:trPr>
          <w:trHeight w:val="391"/>
        </w:trPr>
        <w:tc>
          <w:tcPr>
            <w:tcW w:w="2780" w:type="dxa"/>
            <w:vAlign w:val="bottom"/>
          </w:tcPr>
          <w:p>
            <w:pPr>
              <w:spacing w:after="0"/>
              <w:rPr>
                <w:sz w:val="20"/>
                <w:szCs w:val="20"/>
                <w:color w:val="auto"/>
              </w:rPr>
            </w:pPr>
            <w:r>
              <w:rPr>
                <w:rFonts w:ascii="Arial" w:cs="Arial" w:eastAsia="Arial" w:hAnsi="Arial"/>
                <w:sz w:val="16"/>
                <w:szCs w:val="16"/>
                <w:b w:val="1"/>
                <w:bCs w:val="1"/>
                <w:color w:val="auto"/>
              </w:rPr>
              <w:t>“GLP Toxicology Study”</w:t>
            </w:r>
          </w:p>
        </w:tc>
        <w:tc>
          <w:tcPr>
            <w:tcW w:w="8680" w:type="dxa"/>
            <w:vAlign w:val="bottom"/>
          </w:tcPr>
          <w:p>
            <w:pPr>
              <w:ind w:left="200"/>
              <w:spacing w:after="0"/>
              <w:rPr>
                <w:sz w:val="20"/>
                <w:szCs w:val="20"/>
                <w:color w:val="auto"/>
              </w:rPr>
            </w:pPr>
            <w:r>
              <w:rPr>
                <w:rFonts w:ascii="Arial" w:cs="Arial" w:eastAsia="Arial" w:hAnsi="Arial"/>
                <w:sz w:val="16"/>
                <w:szCs w:val="16"/>
                <w:color w:val="auto"/>
              </w:rPr>
              <w:t>means a GLP toxicology study of a duration of not less than four (4) weeks;</w:t>
            </w:r>
          </w:p>
        </w:tc>
      </w:tr>
      <w:tr>
        <w:trPr>
          <w:trHeight w:val="380"/>
        </w:trPr>
        <w:tc>
          <w:tcPr>
            <w:tcW w:w="2780" w:type="dxa"/>
            <w:vAlign w:val="bottom"/>
          </w:tcPr>
          <w:p>
            <w:pPr>
              <w:spacing w:after="0"/>
              <w:rPr>
                <w:sz w:val="20"/>
                <w:szCs w:val="20"/>
                <w:color w:val="auto"/>
              </w:rPr>
            </w:pPr>
            <w:r>
              <w:rPr>
                <w:rFonts w:ascii="Arial" w:cs="Arial" w:eastAsia="Arial" w:hAnsi="Arial"/>
                <w:sz w:val="16"/>
                <w:szCs w:val="16"/>
                <w:b w:val="1"/>
                <w:bCs w:val="1"/>
                <w:color w:val="auto"/>
              </w:rPr>
              <w:t>“GMP”</w:t>
            </w:r>
          </w:p>
        </w:tc>
        <w:tc>
          <w:tcPr>
            <w:tcW w:w="8680" w:type="dxa"/>
            <w:vAlign w:val="bottom"/>
          </w:tcPr>
          <w:p>
            <w:pPr>
              <w:ind w:left="200"/>
              <w:spacing w:after="0"/>
              <w:rPr>
                <w:sz w:val="20"/>
                <w:szCs w:val="20"/>
                <w:color w:val="auto"/>
              </w:rPr>
            </w:pPr>
            <w:r>
              <w:rPr>
                <w:rFonts w:ascii="Arial" w:cs="Arial" w:eastAsia="Arial" w:hAnsi="Arial"/>
                <w:sz w:val="16"/>
                <w:szCs w:val="16"/>
                <w:color w:val="auto"/>
              </w:rPr>
              <w:t>means the principles of good manufacturing practice in respect of medicinal products for human use and investigational</w:t>
            </w:r>
          </w:p>
        </w:tc>
      </w:tr>
      <w:tr>
        <w:trPr>
          <w:trHeight w:val="196"/>
        </w:trPr>
        <w:tc>
          <w:tcPr>
            <w:tcW w:w="2780" w:type="dxa"/>
            <w:vAlign w:val="bottom"/>
          </w:tcPr>
          <w:p>
            <w:pPr>
              <w:spacing w:after="0"/>
              <w:rPr>
                <w:sz w:val="17"/>
                <w:szCs w:val="17"/>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w w:val="97"/>
              </w:rPr>
              <w:t>medicinal products for human use required by the laws of the European Union, including Clinical Trial Legislation, Eudralex</w:t>
            </w:r>
          </w:p>
        </w:tc>
      </w:tr>
      <w:tr>
        <w:trPr>
          <w:trHeight w:val="196"/>
        </w:trPr>
        <w:tc>
          <w:tcPr>
            <w:tcW w:w="2780" w:type="dxa"/>
            <w:vAlign w:val="bottom"/>
          </w:tcPr>
          <w:p>
            <w:pPr>
              <w:spacing w:after="0"/>
              <w:rPr>
                <w:sz w:val="17"/>
                <w:szCs w:val="17"/>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w w:val="98"/>
              </w:rPr>
              <w:t>Volume 4, ICHQ7a Good Manufacturing Practice Guidance and ‘EU Guidelines to Good Manufacturing Practice Medicinal</w:t>
            </w:r>
          </w:p>
        </w:tc>
      </w:tr>
      <w:tr>
        <w:trPr>
          <w:trHeight w:val="207"/>
        </w:trPr>
        <w:tc>
          <w:tcPr>
            <w:tcW w:w="278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6"/>
                <w:szCs w:val="16"/>
                <w:color w:val="auto"/>
              </w:rPr>
              <w:t>Agents for Human and Veterinary Use, Annex 13: Investigational Medicinal Agents’;</w:t>
            </w:r>
          </w:p>
        </w:tc>
      </w:tr>
      <w:tr>
        <w:trPr>
          <w:trHeight w:val="391"/>
        </w:trPr>
        <w:tc>
          <w:tcPr>
            <w:tcW w:w="2780" w:type="dxa"/>
            <w:vAlign w:val="bottom"/>
          </w:tcPr>
          <w:p>
            <w:pPr>
              <w:spacing w:after="0"/>
              <w:rPr>
                <w:sz w:val="20"/>
                <w:szCs w:val="20"/>
                <w:color w:val="auto"/>
              </w:rPr>
            </w:pPr>
            <w:r>
              <w:rPr>
                <w:rFonts w:ascii="Arial" w:cs="Arial" w:eastAsia="Arial" w:hAnsi="Arial"/>
                <w:sz w:val="16"/>
                <w:szCs w:val="16"/>
                <w:b w:val="1"/>
                <w:bCs w:val="1"/>
                <w:color w:val="auto"/>
              </w:rPr>
              <w:t>“GMP Agent Materials</w:t>
            </w:r>
          </w:p>
        </w:tc>
        <w:tc>
          <w:tcPr>
            <w:tcW w:w="8680" w:type="dxa"/>
            <w:vAlign w:val="bottom"/>
          </w:tcPr>
          <w:p>
            <w:pPr>
              <w:ind w:left="200"/>
              <w:spacing w:after="0"/>
              <w:rPr>
                <w:sz w:val="20"/>
                <w:szCs w:val="20"/>
                <w:color w:val="auto"/>
              </w:rPr>
            </w:pPr>
            <w:r>
              <w:rPr>
                <w:rFonts w:ascii="Arial" w:cs="Arial" w:eastAsia="Arial" w:hAnsi="Arial"/>
                <w:sz w:val="16"/>
                <w:szCs w:val="16"/>
                <w:color w:val="auto"/>
              </w:rPr>
              <w:t>means Agent Materials identified in the Cover Sheet that will comply with GMP;</w:t>
            </w:r>
          </w:p>
        </w:tc>
      </w:tr>
      <w:tr>
        <w:trPr>
          <w:trHeight w:val="391"/>
        </w:trPr>
        <w:tc>
          <w:tcPr>
            <w:tcW w:w="2780" w:type="dxa"/>
            <w:vAlign w:val="bottom"/>
          </w:tcPr>
          <w:p>
            <w:pPr>
              <w:spacing w:after="0"/>
              <w:rPr>
                <w:sz w:val="20"/>
                <w:szCs w:val="20"/>
                <w:color w:val="auto"/>
              </w:rPr>
            </w:pPr>
            <w:r>
              <w:rPr>
                <w:rFonts w:ascii="Arial" w:cs="Arial" w:eastAsia="Arial" w:hAnsi="Arial"/>
                <w:sz w:val="16"/>
                <w:szCs w:val="16"/>
                <w:b w:val="1"/>
                <w:bCs w:val="1"/>
                <w:color w:val="auto"/>
              </w:rPr>
              <w:t>“IB”</w:t>
            </w:r>
          </w:p>
        </w:tc>
        <w:tc>
          <w:tcPr>
            <w:tcW w:w="8680" w:type="dxa"/>
            <w:vAlign w:val="bottom"/>
          </w:tcPr>
          <w:p>
            <w:pPr>
              <w:ind w:left="200"/>
              <w:spacing w:after="0"/>
              <w:rPr>
                <w:sz w:val="20"/>
                <w:szCs w:val="20"/>
                <w:color w:val="auto"/>
              </w:rPr>
            </w:pPr>
            <w:r>
              <w:rPr>
                <w:rFonts w:ascii="Arial" w:cs="Arial" w:eastAsia="Arial" w:hAnsi="Arial"/>
                <w:sz w:val="16"/>
                <w:szCs w:val="16"/>
                <w:color w:val="auto"/>
              </w:rPr>
              <w:t>has the meaning given in clause 2.4 of the Agreement;</w:t>
            </w:r>
          </w:p>
        </w:tc>
      </w:tr>
      <w:tr>
        <w:trPr>
          <w:trHeight w:val="391"/>
        </w:trPr>
        <w:tc>
          <w:tcPr>
            <w:tcW w:w="2780" w:type="dxa"/>
            <w:vAlign w:val="bottom"/>
          </w:tcPr>
          <w:p>
            <w:pPr>
              <w:spacing w:after="0"/>
              <w:rPr>
                <w:sz w:val="20"/>
                <w:szCs w:val="20"/>
                <w:color w:val="auto"/>
              </w:rPr>
            </w:pPr>
            <w:r>
              <w:rPr>
                <w:rFonts w:ascii="Arial" w:cs="Arial" w:eastAsia="Arial" w:hAnsi="Arial"/>
                <w:sz w:val="16"/>
                <w:szCs w:val="16"/>
                <w:b w:val="1"/>
                <w:bCs w:val="1"/>
                <w:color w:val="auto"/>
              </w:rPr>
              <w:t>“IMP”</w:t>
            </w:r>
          </w:p>
        </w:tc>
        <w:tc>
          <w:tcPr>
            <w:tcW w:w="8680" w:type="dxa"/>
            <w:vAlign w:val="bottom"/>
          </w:tcPr>
          <w:p>
            <w:pPr>
              <w:ind w:left="200"/>
              <w:spacing w:after="0"/>
              <w:rPr>
                <w:sz w:val="20"/>
                <w:szCs w:val="20"/>
                <w:color w:val="auto"/>
              </w:rPr>
            </w:pPr>
            <w:r>
              <w:rPr>
                <w:rFonts w:ascii="Arial" w:cs="Arial" w:eastAsia="Arial" w:hAnsi="Arial"/>
                <w:sz w:val="16"/>
                <w:szCs w:val="16"/>
                <w:color w:val="auto"/>
              </w:rPr>
              <w:t>means the preparation of the Agent that is the subject of the Clinical Trial;</w:t>
            </w:r>
          </w:p>
        </w:tc>
      </w:tr>
      <w:tr>
        <w:trPr>
          <w:trHeight w:val="391"/>
        </w:trPr>
        <w:tc>
          <w:tcPr>
            <w:tcW w:w="2780" w:type="dxa"/>
            <w:vAlign w:val="bottom"/>
          </w:tcPr>
          <w:p>
            <w:pPr>
              <w:spacing w:after="0"/>
              <w:rPr>
                <w:sz w:val="20"/>
                <w:szCs w:val="20"/>
                <w:color w:val="auto"/>
              </w:rPr>
            </w:pPr>
            <w:r>
              <w:rPr>
                <w:rFonts w:ascii="Arial" w:cs="Arial" w:eastAsia="Arial" w:hAnsi="Arial"/>
                <w:sz w:val="16"/>
                <w:szCs w:val="16"/>
                <w:b w:val="1"/>
                <w:bCs w:val="1"/>
                <w:color w:val="auto"/>
              </w:rPr>
              <w:t>“IMPD”</w:t>
            </w:r>
          </w:p>
        </w:tc>
        <w:tc>
          <w:tcPr>
            <w:tcW w:w="8680" w:type="dxa"/>
            <w:vAlign w:val="bottom"/>
          </w:tcPr>
          <w:p>
            <w:pPr>
              <w:ind w:left="200"/>
              <w:spacing w:after="0"/>
              <w:rPr>
                <w:sz w:val="20"/>
                <w:szCs w:val="20"/>
                <w:color w:val="auto"/>
              </w:rPr>
            </w:pPr>
            <w:r>
              <w:rPr>
                <w:rFonts w:ascii="Arial" w:cs="Arial" w:eastAsia="Arial" w:hAnsi="Arial"/>
                <w:sz w:val="16"/>
                <w:szCs w:val="16"/>
                <w:color w:val="auto"/>
              </w:rPr>
              <w:t>has the meaning given in clause 2.4 of the Agreement;</w:t>
            </w:r>
          </w:p>
        </w:tc>
      </w:tr>
      <w:tr>
        <w:trPr>
          <w:trHeight w:val="587"/>
        </w:trPr>
        <w:tc>
          <w:tcPr>
            <w:tcW w:w="2780" w:type="dxa"/>
            <w:vAlign w:val="bottom"/>
          </w:tcPr>
          <w:p>
            <w:pPr>
              <w:spacing w:after="0"/>
              <w:rPr>
                <w:sz w:val="20"/>
                <w:szCs w:val="20"/>
                <w:color w:val="auto"/>
              </w:rPr>
            </w:pPr>
            <w:r>
              <w:rPr>
                <w:rFonts w:ascii="Arial" w:cs="Arial" w:eastAsia="Arial" w:hAnsi="Arial"/>
                <w:sz w:val="16"/>
                <w:szCs w:val="16"/>
                <w:b w:val="1"/>
                <w:bCs w:val="1"/>
                <w:color w:val="auto"/>
              </w:rPr>
              <w:t>“Indemnified Person”</w:t>
            </w:r>
          </w:p>
        </w:tc>
        <w:tc>
          <w:tcPr>
            <w:tcW w:w="8680" w:type="dxa"/>
            <w:vAlign w:val="bottom"/>
          </w:tcPr>
          <w:p>
            <w:pPr>
              <w:ind w:left="200"/>
              <w:spacing w:after="0"/>
              <w:rPr>
                <w:sz w:val="20"/>
                <w:szCs w:val="20"/>
                <w:color w:val="auto"/>
              </w:rPr>
            </w:pPr>
            <w:r>
              <w:rPr>
                <w:rFonts w:ascii="Arial" w:cs="Arial" w:eastAsia="Arial" w:hAnsi="Arial"/>
                <w:sz w:val="16"/>
                <w:szCs w:val="16"/>
                <w:color w:val="auto"/>
              </w:rPr>
              <w:t>has the meaning given in clause 14.4.1 of the Agreement;</w:t>
            </w:r>
          </w:p>
        </w:tc>
      </w:tr>
      <w:tr>
        <w:trPr>
          <w:trHeight w:val="391"/>
        </w:trPr>
        <w:tc>
          <w:tcPr>
            <w:tcW w:w="2780" w:type="dxa"/>
            <w:vAlign w:val="bottom"/>
          </w:tcPr>
          <w:p>
            <w:pPr>
              <w:spacing w:after="0"/>
              <w:rPr>
                <w:sz w:val="20"/>
                <w:szCs w:val="20"/>
                <w:color w:val="auto"/>
              </w:rPr>
            </w:pPr>
            <w:r>
              <w:rPr>
                <w:rFonts w:ascii="Arial" w:cs="Arial" w:eastAsia="Arial" w:hAnsi="Arial"/>
                <w:sz w:val="16"/>
                <w:szCs w:val="16"/>
                <w:b w:val="1"/>
                <w:bCs w:val="1"/>
                <w:color w:val="auto"/>
              </w:rPr>
              <w:t>“Indication”</w:t>
            </w:r>
          </w:p>
        </w:tc>
        <w:tc>
          <w:tcPr>
            <w:tcW w:w="8680" w:type="dxa"/>
            <w:vAlign w:val="bottom"/>
          </w:tcPr>
          <w:p>
            <w:pPr>
              <w:ind w:left="200"/>
              <w:spacing w:after="0"/>
              <w:rPr>
                <w:sz w:val="20"/>
                <w:szCs w:val="20"/>
                <w:color w:val="auto"/>
              </w:rPr>
            </w:pPr>
            <w:r>
              <w:rPr>
                <w:rFonts w:ascii="Arial" w:cs="Arial" w:eastAsia="Arial" w:hAnsi="Arial"/>
                <w:sz w:val="16"/>
                <w:szCs w:val="16"/>
                <w:color w:val="auto"/>
              </w:rPr>
              <w:t>means [***];</w:t>
            </w:r>
          </w:p>
        </w:tc>
      </w:tr>
      <w:tr>
        <w:trPr>
          <w:trHeight w:val="391"/>
        </w:trPr>
        <w:tc>
          <w:tcPr>
            <w:tcW w:w="2780" w:type="dxa"/>
            <w:vAlign w:val="bottom"/>
          </w:tcPr>
          <w:p>
            <w:pPr>
              <w:spacing w:after="0"/>
              <w:rPr>
                <w:sz w:val="24"/>
                <w:szCs w:val="24"/>
                <w:color w:val="auto"/>
              </w:rPr>
            </w:pPr>
          </w:p>
        </w:tc>
        <w:tc>
          <w:tcPr>
            <w:tcW w:w="8680" w:type="dxa"/>
            <w:vAlign w:val="bottom"/>
          </w:tcPr>
          <w:p>
            <w:pPr>
              <w:ind w:left="2900"/>
              <w:spacing w:after="0"/>
              <w:rPr>
                <w:sz w:val="20"/>
                <w:szCs w:val="20"/>
                <w:color w:val="auto"/>
              </w:rPr>
            </w:pPr>
            <w:r>
              <w:rPr>
                <w:rFonts w:ascii="Arial" w:cs="Arial" w:eastAsia="Arial" w:hAnsi="Arial"/>
                <w:sz w:val="16"/>
                <w:szCs w:val="16"/>
                <w:color w:val="auto"/>
              </w:rPr>
              <w:t>7</w:t>
            </w:r>
          </w:p>
        </w:tc>
      </w:tr>
      <w:tr>
        <w:trPr>
          <w:trHeight w:val="119"/>
        </w:trPr>
        <w:tc>
          <w:tcPr>
            <w:tcW w:w="278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607" w:name="page608"/>
    <w:bookmarkEnd w:id="607"/>
    <w:p>
      <w:pPr>
        <w:ind w:left="2" w:right="240" w:hanging="2"/>
        <w:spacing w:after="0" w:line="270" w:lineRule="auto"/>
        <w:tabs>
          <w:tab w:leader="none" w:pos="396" w:val="left"/>
        </w:tabs>
        <w:numPr>
          <w:ilvl w:val="0"/>
          <w:numId w:val="623"/>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2380" w:type="dxa"/>
            <w:vAlign w:val="bottom"/>
          </w:tcPr>
          <w:p>
            <w:pPr>
              <w:spacing w:after="0"/>
              <w:rPr>
                <w:sz w:val="18"/>
                <w:szCs w:val="18"/>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391"/>
        </w:trPr>
        <w:tc>
          <w:tcPr>
            <w:tcW w:w="2380" w:type="dxa"/>
            <w:vAlign w:val="bottom"/>
          </w:tcPr>
          <w:p>
            <w:pPr>
              <w:spacing w:after="0"/>
              <w:rPr>
                <w:sz w:val="20"/>
                <w:szCs w:val="20"/>
                <w:color w:val="auto"/>
              </w:rPr>
            </w:pPr>
            <w:r>
              <w:rPr>
                <w:rFonts w:ascii="Arial" w:cs="Arial" w:eastAsia="Arial" w:hAnsi="Arial"/>
                <w:sz w:val="16"/>
                <w:szCs w:val="16"/>
                <w:b w:val="1"/>
                <w:bCs w:val="1"/>
                <w:color w:val="auto"/>
              </w:rPr>
              <w:t>“Insolvency Event”</w:t>
            </w:r>
          </w:p>
        </w:tc>
        <w:tc>
          <w:tcPr>
            <w:tcW w:w="9080" w:type="dxa"/>
            <w:vAlign w:val="bottom"/>
          </w:tcPr>
          <w:p>
            <w:pPr>
              <w:ind w:left="640"/>
              <w:spacing w:after="0"/>
              <w:rPr>
                <w:sz w:val="20"/>
                <w:szCs w:val="20"/>
                <w:color w:val="auto"/>
              </w:rPr>
            </w:pPr>
            <w:r>
              <w:rPr>
                <w:rFonts w:ascii="Arial" w:cs="Arial" w:eastAsia="Arial" w:hAnsi="Arial"/>
                <w:sz w:val="16"/>
                <w:szCs w:val="16"/>
                <w:color w:val="auto"/>
              </w:rPr>
              <w:t>means any of the following occurring in respect of a Party:</w:t>
            </w:r>
          </w:p>
        </w:tc>
      </w:tr>
      <w:tr>
        <w:trPr>
          <w:trHeight w:val="391"/>
        </w:trPr>
        <w:tc>
          <w:tcPr>
            <w:tcW w:w="2380" w:type="dxa"/>
            <w:vAlign w:val="bottom"/>
          </w:tcPr>
          <w:p>
            <w:pPr>
              <w:spacing w:after="0"/>
              <w:rPr>
                <w:sz w:val="24"/>
                <w:szCs w:val="24"/>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rPr>
              <w:t>a)  a voluntary arrangement is proposed or approved or administration order made;</w:t>
            </w:r>
          </w:p>
        </w:tc>
      </w:tr>
      <w:tr>
        <w:trPr>
          <w:trHeight w:val="391"/>
        </w:trPr>
        <w:tc>
          <w:tcPr>
            <w:tcW w:w="2380" w:type="dxa"/>
            <w:vAlign w:val="bottom"/>
          </w:tcPr>
          <w:p>
            <w:pPr>
              <w:spacing w:after="0"/>
              <w:rPr>
                <w:sz w:val="24"/>
                <w:szCs w:val="24"/>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rPr>
              <w:t>b)  a receiver or administrative receiver is appointed over any of that Party’s assets;</w:t>
            </w:r>
          </w:p>
        </w:tc>
      </w:tr>
      <w:tr>
        <w:trPr>
          <w:trHeight w:val="380"/>
        </w:trPr>
        <w:tc>
          <w:tcPr>
            <w:tcW w:w="2380" w:type="dxa"/>
            <w:vAlign w:val="bottom"/>
          </w:tcPr>
          <w:p>
            <w:pPr>
              <w:spacing w:after="0"/>
              <w:rPr>
                <w:sz w:val="24"/>
                <w:szCs w:val="24"/>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w w:val="97"/>
              </w:rPr>
              <w:t>c)  if circumstances arise that entitle the Court or a creditor to appoint a receiver, administrator or administrative receiver or</w:t>
            </w:r>
          </w:p>
        </w:tc>
      </w:tr>
      <w:tr>
        <w:trPr>
          <w:trHeight w:val="207"/>
        </w:trPr>
        <w:tc>
          <w:tcPr>
            <w:tcW w:w="2380" w:type="dxa"/>
            <w:vAlign w:val="bottom"/>
          </w:tcPr>
          <w:p>
            <w:pPr>
              <w:spacing w:after="0"/>
              <w:rPr>
                <w:sz w:val="18"/>
                <w:szCs w:val="18"/>
                <w:color w:val="auto"/>
              </w:rPr>
            </w:pPr>
          </w:p>
        </w:tc>
        <w:tc>
          <w:tcPr>
            <w:tcW w:w="9080" w:type="dxa"/>
            <w:vAlign w:val="bottom"/>
          </w:tcPr>
          <w:p>
            <w:pPr>
              <w:ind w:left="940"/>
              <w:spacing w:after="0"/>
              <w:rPr>
                <w:sz w:val="20"/>
                <w:szCs w:val="20"/>
                <w:color w:val="auto"/>
              </w:rPr>
            </w:pPr>
            <w:r>
              <w:rPr>
                <w:rFonts w:ascii="Arial" w:cs="Arial" w:eastAsia="Arial" w:hAnsi="Arial"/>
                <w:sz w:val="16"/>
                <w:szCs w:val="16"/>
                <w:color w:val="auto"/>
              </w:rPr>
              <w:t>make a winding-up order or similar;</w:t>
            </w:r>
          </w:p>
        </w:tc>
      </w:tr>
      <w:tr>
        <w:trPr>
          <w:trHeight w:val="380"/>
        </w:trPr>
        <w:tc>
          <w:tcPr>
            <w:tcW w:w="2380" w:type="dxa"/>
            <w:vAlign w:val="bottom"/>
          </w:tcPr>
          <w:p>
            <w:pPr>
              <w:spacing w:after="0"/>
              <w:rPr>
                <w:sz w:val="24"/>
                <w:szCs w:val="24"/>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w w:val="96"/>
              </w:rPr>
              <w:t>d)  undertakings or a winding-up resolution or petition is passed (otherwise than for the purpose of solvent reconstruction or</w:t>
            </w:r>
          </w:p>
        </w:tc>
      </w:tr>
      <w:tr>
        <w:trPr>
          <w:trHeight w:val="207"/>
        </w:trPr>
        <w:tc>
          <w:tcPr>
            <w:tcW w:w="2380" w:type="dxa"/>
            <w:vAlign w:val="bottom"/>
          </w:tcPr>
          <w:p>
            <w:pPr>
              <w:spacing w:after="0"/>
              <w:rPr>
                <w:sz w:val="18"/>
                <w:szCs w:val="18"/>
                <w:color w:val="auto"/>
              </w:rPr>
            </w:pPr>
          </w:p>
        </w:tc>
        <w:tc>
          <w:tcPr>
            <w:tcW w:w="9080" w:type="dxa"/>
            <w:vAlign w:val="bottom"/>
          </w:tcPr>
          <w:p>
            <w:pPr>
              <w:ind w:left="940"/>
              <w:spacing w:after="0"/>
              <w:rPr>
                <w:sz w:val="20"/>
                <w:szCs w:val="20"/>
                <w:color w:val="auto"/>
              </w:rPr>
            </w:pPr>
            <w:r>
              <w:rPr>
                <w:rFonts w:ascii="Arial" w:cs="Arial" w:eastAsia="Arial" w:hAnsi="Arial"/>
                <w:sz w:val="16"/>
                <w:szCs w:val="16"/>
                <w:color w:val="auto"/>
              </w:rPr>
              <w:t>amalgamation); or</w:t>
            </w:r>
          </w:p>
        </w:tc>
      </w:tr>
      <w:tr>
        <w:trPr>
          <w:trHeight w:val="391"/>
        </w:trPr>
        <w:tc>
          <w:tcPr>
            <w:tcW w:w="2380" w:type="dxa"/>
            <w:vAlign w:val="bottom"/>
          </w:tcPr>
          <w:p>
            <w:pPr>
              <w:spacing w:after="0"/>
              <w:rPr>
                <w:sz w:val="24"/>
                <w:szCs w:val="24"/>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rPr>
              <w:t>e)  equivalent action is taken against or by the applicable Party due to its insolvency or in consequence of debt;</w:t>
            </w:r>
          </w:p>
        </w:tc>
      </w:tr>
      <w:tr>
        <w:trPr>
          <w:trHeight w:val="380"/>
        </w:trPr>
        <w:tc>
          <w:tcPr>
            <w:tcW w:w="2380" w:type="dxa"/>
            <w:vAlign w:val="bottom"/>
          </w:tcPr>
          <w:p>
            <w:pPr>
              <w:spacing w:after="0"/>
              <w:rPr>
                <w:sz w:val="20"/>
                <w:szCs w:val="20"/>
                <w:color w:val="auto"/>
              </w:rPr>
            </w:pPr>
            <w:r>
              <w:rPr>
                <w:rFonts w:ascii="Arial" w:cs="Arial" w:eastAsia="Arial" w:hAnsi="Arial"/>
                <w:sz w:val="16"/>
                <w:szCs w:val="16"/>
                <w:b w:val="1"/>
                <w:bCs w:val="1"/>
                <w:color w:val="auto"/>
              </w:rPr>
              <w:t>“IP”</w:t>
            </w:r>
          </w:p>
        </w:tc>
        <w:tc>
          <w:tcPr>
            <w:tcW w:w="9080" w:type="dxa"/>
            <w:vAlign w:val="bottom"/>
          </w:tcPr>
          <w:p>
            <w:pPr>
              <w:ind w:left="640"/>
              <w:spacing w:after="0"/>
              <w:rPr>
                <w:sz w:val="20"/>
                <w:szCs w:val="20"/>
                <w:color w:val="auto"/>
              </w:rPr>
            </w:pPr>
            <w:r>
              <w:rPr>
                <w:rFonts w:ascii="Arial" w:cs="Arial" w:eastAsia="Arial" w:hAnsi="Arial"/>
                <w:sz w:val="16"/>
                <w:szCs w:val="16"/>
                <w:color w:val="auto"/>
                <w:w w:val="97"/>
              </w:rPr>
              <w:t>means all Patents, Know How, copyright, database rights, design rights, rights in trade names, logos and trade and service</w:t>
            </w:r>
          </w:p>
        </w:tc>
      </w:tr>
      <w:tr>
        <w:trPr>
          <w:trHeight w:val="196"/>
        </w:trPr>
        <w:tc>
          <w:tcPr>
            <w:tcW w:w="2380" w:type="dxa"/>
            <w:vAlign w:val="bottom"/>
          </w:tcPr>
          <w:p>
            <w:pPr>
              <w:spacing w:after="0"/>
              <w:rPr>
                <w:sz w:val="17"/>
                <w:szCs w:val="17"/>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w w:val="94"/>
              </w:rPr>
              <w:t>marks, domain names, rights in Materials and all rights or forms of protection of a similar nature or having equivalent or similar</w:t>
            </w:r>
          </w:p>
        </w:tc>
      </w:tr>
      <w:tr>
        <w:trPr>
          <w:trHeight w:val="196"/>
        </w:trPr>
        <w:tc>
          <w:tcPr>
            <w:tcW w:w="2380" w:type="dxa"/>
            <w:vAlign w:val="bottom"/>
          </w:tcPr>
          <w:p>
            <w:pPr>
              <w:spacing w:after="0"/>
              <w:rPr>
                <w:sz w:val="17"/>
                <w:szCs w:val="17"/>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w w:val="99"/>
              </w:rPr>
              <w:t>effect to any of them which may subsist anywhere in the world, whether or not any of them are registered, including any</w:t>
            </w:r>
          </w:p>
        </w:tc>
      </w:tr>
      <w:tr>
        <w:trPr>
          <w:trHeight w:val="207"/>
        </w:trPr>
        <w:tc>
          <w:tcPr>
            <w:tcW w:w="2380" w:type="dxa"/>
            <w:vAlign w:val="bottom"/>
          </w:tcPr>
          <w:p>
            <w:pPr>
              <w:spacing w:after="0"/>
              <w:rPr>
                <w:sz w:val="18"/>
                <w:szCs w:val="18"/>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rPr>
              <w:t>application for registration of any of them;</w:t>
            </w:r>
          </w:p>
        </w:tc>
      </w:tr>
      <w:tr>
        <w:trPr>
          <w:trHeight w:val="391"/>
        </w:trPr>
        <w:tc>
          <w:tcPr>
            <w:tcW w:w="2380" w:type="dxa"/>
            <w:vAlign w:val="bottom"/>
          </w:tcPr>
          <w:p>
            <w:pPr>
              <w:spacing w:after="0"/>
              <w:rPr>
                <w:sz w:val="20"/>
                <w:szCs w:val="20"/>
                <w:color w:val="auto"/>
              </w:rPr>
            </w:pPr>
            <w:r>
              <w:rPr>
                <w:rFonts w:ascii="Arial" w:cs="Arial" w:eastAsia="Arial" w:hAnsi="Arial"/>
                <w:sz w:val="16"/>
                <w:szCs w:val="16"/>
                <w:b w:val="1"/>
                <w:bCs w:val="1"/>
                <w:color w:val="auto"/>
              </w:rPr>
              <w:t>“JPT”</w:t>
            </w:r>
          </w:p>
        </w:tc>
        <w:tc>
          <w:tcPr>
            <w:tcW w:w="9080" w:type="dxa"/>
            <w:vAlign w:val="bottom"/>
          </w:tcPr>
          <w:p>
            <w:pPr>
              <w:ind w:left="640"/>
              <w:spacing w:after="0"/>
              <w:rPr>
                <w:sz w:val="20"/>
                <w:szCs w:val="20"/>
                <w:color w:val="auto"/>
              </w:rPr>
            </w:pPr>
            <w:r>
              <w:rPr>
                <w:rFonts w:ascii="Arial" w:cs="Arial" w:eastAsia="Arial" w:hAnsi="Arial"/>
                <w:sz w:val="16"/>
                <w:szCs w:val="16"/>
                <w:color w:val="auto"/>
              </w:rPr>
              <w:t>means the joint project team established pursuant to clause 4.1 of the Agreement;</w:t>
            </w:r>
          </w:p>
        </w:tc>
      </w:tr>
      <w:tr>
        <w:trPr>
          <w:trHeight w:val="391"/>
        </w:trPr>
        <w:tc>
          <w:tcPr>
            <w:tcW w:w="2380" w:type="dxa"/>
            <w:vAlign w:val="bottom"/>
          </w:tcPr>
          <w:p>
            <w:pPr>
              <w:spacing w:after="0"/>
              <w:rPr>
                <w:sz w:val="20"/>
                <w:szCs w:val="20"/>
                <w:color w:val="auto"/>
              </w:rPr>
            </w:pPr>
            <w:r>
              <w:rPr>
                <w:rFonts w:ascii="Arial" w:cs="Arial" w:eastAsia="Arial" w:hAnsi="Arial"/>
                <w:sz w:val="16"/>
                <w:szCs w:val="16"/>
                <w:b w:val="1"/>
                <w:bCs w:val="1"/>
                <w:color w:val="auto"/>
              </w:rPr>
              <w:t>“JPT Members”</w:t>
            </w:r>
          </w:p>
        </w:tc>
        <w:tc>
          <w:tcPr>
            <w:tcW w:w="9080" w:type="dxa"/>
            <w:vAlign w:val="bottom"/>
          </w:tcPr>
          <w:p>
            <w:pPr>
              <w:ind w:left="640"/>
              <w:spacing w:after="0"/>
              <w:rPr>
                <w:sz w:val="20"/>
                <w:szCs w:val="20"/>
                <w:color w:val="auto"/>
              </w:rPr>
            </w:pPr>
            <w:r>
              <w:rPr>
                <w:rFonts w:ascii="Arial" w:cs="Arial" w:eastAsia="Arial" w:hAnsi="Arial"/>
                <w:sz w:val="16"/>
                <w:szCs w:val="16"/>
                <w:color w:val="auto"/>
              </w:rPr>
              <w:t>has the meaning given in clause 4.2 of the Agreement;</w:t>
            </w:r>
          </w:p>
        </w:tc>
      </w:tr>
      <w:tr>
        <w:trPr>
          <w:trHeight w:val="380"/>
        </w:trPr>
        <w:tc>
          <w:tcPr>
            <w:tcW w:w="2380" w:type="dxa"/>
            <w:vAlign w:val="bottom"/>
          </w:tcPr>
          <w:p>
            <w:pPr>
              <w:spacing w:after="0"/>
              <w:rPr>
                <w:sz w:val="20"/>
                <w:szCs w:val="20"/>
                <w:color w:val="auto"/>
              </w:rPr>
            </w:pPr>
            <w:r>
              <w:rPr>
                <w:rFonts w:ascii="Arial" w:cs="Arial" w:eastAsia="Arial" w:hAnsi="Arial"/>
                <w:sz w:val="16"/>
                <w:szCs w:val="16"/>
                <w:b w:val="1"/>
                <w:bCs w:val="1"/>
                <w:color w:val="auto"/>
              </w:rPr>
              <w:t>“Know How”</w:t>
            </w:r>
          </w:p>
        </w:tc>
        <w:tc>
          <w:tcPr>
            <w:tcW w:w="9080" w:type="dxa"/>
            <w:vAlign w:val="bottom"/>
          </w:tcPr>
          <w:p>
            <w:pPr>
              <w:ind w:left="640"/>
              <w:spacing w:after="0"/>
              <w:rPr>
                <w:sz w:val="20"/>
                <w:szCs w:val="20"/>
                <w:color w:val="auto"/>
              </w:rPr>
            </w:pPr>
            <w:r>
              <w:rPr>
                <w:rFonts w:ascii="Arial" w:cs="Arial" w:eastAsia="Arial" w:hAnsi="Arial"/>
                <w:sz w:val="16"/>
                <w:szCs w:val="16"/>
                <w:color w:val="auto"/>
                <w:w w:val="96"/>
              </w:rPr>
              <w:t>means all technical and other information not in the public domain, including information comprising or relating to concepts,</w:t>
            </w:r>
          </w:p>
        </w:tc>
      </w:tr>
      <w:tr>
        <w:trPr>
          <w:trHeight w:val="196"/>
        </w:trPr>
        <w:tc>
          <w:tcPr>
            <w:tcW w:w="2380" w:type="dxa"/>
            <w:vAlign w:val="bottom"/>
          </w:tcPr>
          <w:p>
            <w:pPr>
              <w:spacing w:after="0"/>
              <w:rPr>
                <w:sz w:val="17"/>
                <w:szCs w:val="17"/>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w w:val="97"/>
              </w:rPr>
              <w:t>discoveries, data, designs, formulae, ideas, inventions, methods, models, designs for and results of experiments and tests,</w:t>
            </w:r>
          </w:p>
        </w:tc>
      </w:tr>
      <w:tr>
        <w:trPr>
          <w:trHeight w:val="196"/>
        </w:trPr>
        <w:tc>
          <w:tcPr>
            <w:tcW w:w="2380" w:type="dxa"/>
            <w:vAlign w:val="bottom"/>
          </w:tcPr>
          <w:p>
            <w:pPr>
              <w:spacing w:after="0"/>
              <w:rPr>
                <w:sz w:val="17"/>
                <w:szCs w:val="17"/>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w w:val="98"/>
              </w:rPr>
              <w:t>processes, specifications and techniques, laboratory records, clinical data, reports, manufacturing data and information in</w:t>
            </w:r>
          </w:p>
        </w:tc>
      </w:tr>
      <w:tr>
        <w:trPr>
          <w:trHeight w:val="207"/>
        </w:trPr>
        <w:tc>
          <w:tcPr>
            <w:tcW w:w="2380" w:type="dxa"/>
            <w:vAlign w:val="bottom"/>
          </w:tcPr>
          <w:p>
            <w:pPr>
              <w:spacing w:after="0"/>
              <w:rPr>
                <w:sz w:val="18"/>
                <w:szCs w:val="18"/>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rPr>
              <w:t>submissions to Regulatory Authorities;</w:t>
            </w:r>
          </w:p>
        </w:tc>
      </w:tr>
      <w:tr>
        <w:trPr>
          <w:trHeight w:val="391"/>
        </w:trPr>
        <w:tc>
          <w:tcPr>
            <w:tcW w:w="2380" w:type="dxa"/>
            <w:vAlign w:val="bottom"/>
          </w:tcPr>
          <w:p>
            <w:pPr>
              <w:spacing w:after="0"/>
              <w:rPr>
                <w:sz w:val="20"/>
                <w:szCs w:val="20"/>
                <w:color w:val="auto"/>
              </w:rPr>
            </w:pPr>
            <w:r>
              <w:rPr>
                <w:rFonts w:ascii="Arial" w:cs="Arial" w:eastAsia="Arial" w:hAnsi="Arial"/>
                <w:sz w:val="16"/>
                <w:szCs w:val="16"/>
                <w:b w:val="1"/>
                <w:bCs w:val="1"/>
                <w:color w:val="auto"/>
              </w:rPr>
              <w:t>“Last Patient, Last Visit”</w:t>
            </w:r>
          </w:p>
        </w:tc>
        <w:tc>
          <w:tcPr>
            <w:tcW w:w="9080" w:type="dxa"/>
            <w:vAlign w:val="bottom"/>
          </w:tcPr>
          <w:p>
            <w:pPr>
              <w:ind w:left="640"/>
              <w:spacing w:after="0"/>
              <w:rPr>
                <w:sz w:val="20"/>
                <w:szCs w:val="20"/>
                <w:color w:val="auto"/>
              </w:rPr>
            </w:pPr>
            <w:r>
              <w:rPr>
                <w:rFonts w:ascii="Arial" w:cs="Arial" w:eastAsia="Arial" w:hAnsi="Arial"/>
                <w:sz w:val="16"/>
                <w:szCs w:val="16"/>
                <w:color w:val="auto"/>
              </w:rPr>
              <w:t>means the date the last Clinical Trial Subject completes the Clinical Trial;</w:t>
            </w:r>
          </w:p>
        </w:tc>
      </w:tr>
      <w:tr>
        <w:trPr>
          <w:trHeight w:val="391"/>
        </w:trPr>
        <w:tc>
          <w:tcPr>
            <w:tcW w:w="2380" w:type="dxa"/>
            <w:vAlign w:val="bottom"/>
          </w:tcPr>
          <w:p>
            <w:pPr>
              <w:spacing w:after="0"/>
              <w:rPr>
                <w:sz w:val="20"/>
                <w:szCs w:val="20"/>
                <w:color w:val="auto"/>
              </w:rPr>
            </w:pPr>
            <w:r>
              <w:rPr>
                <w:rFonts w:ascii="Arial" w:cs="Arial" w:eastAsia="Arial" w:hAnsi="Arial"/>
                <w:sz w:val="16"/>
                <w:szCs w:val="16"/>
                <w:b w:val="1"/>
                <w:bCs w:val="1"/>
                <w:color w:val="auto"/>
              </w:rPr>
              <w:t>“Licence”</w:t>
            </w:r>
          </w:p>
        </w:tc>
        <w:tc>
          <w:tcPr>
            <w:tcW w:w="9080" w:type="dxa"/>
            <w:vAlign w:val="bottom"/>
          </w:tcPr>
          <w:p>
            <w:pPr>
              <w:ind w:left="640"/>
              <w:spacing w:after="0"/>
              <w:rPr>
                <w:sz w:val="20"/>
                <w:szCs w:val="20"/>
                <w:color w:val="auto"/>
              </w:rPr>
            </w:pPr>
            <w:r>
              <w:rPr>
                <w:rFonts w:ascii="Arial" w:cs="Arial" w:eastAsia="Arial" w:hAnsi="Arial"/>
                <w:sz w:val="16"/>
                <w:szCs w:val="16"/>
                <w:color w:val="auto"/>
              </w:rPr>
              <w:t>has the meaning given in clause 8.1 of the Agreement;</w:t>
            </w:r>
          </w:p>
        </w:tc>
      </w:tr>
      <w:tr>
        <w:trPr>
          <w:trHeight w:val="391"/>
        </w:trPr>
        <w:tc>
          <w:tcPr>
            <w:tcW w:w="2380" w:type="dxa"/>
            <w:vAlign w:val="bottom"/>
          </w:tcPr>
          <w:p>
            <w:pPr>
              <w:spacing w:after="0"/>
              <w:rPr>
                <w:sz w:val="20"/>
                <w:szCs w:val="20"/>
                <w:color w:val="auto"/>
              </w:rPr>
            </w:pPr>
            <w:r>
              <w:rPr>
                <w:rFonts w:ascii="Arial" w:cs="Arial" w:eastAsia="Arial" w:hAnsi="Arial"/>
                <w:sz w:val="16"/>
                <w:szCs w:val="16"/>
                <w:b w:val="1"/>
                <w:bCs w:val="1"/>
                <w:color w:val="auto"/>
              </w:rPr>
              <w:t>“Licence Grant Date”</w:t>
            </w:r>
          </w:p>
        </w:tc>
        <w:tc>
          <w:tcPr>
            <w:tcW w:w="9080" w:type="dxa"/>
            <w:vAlign w:val="bottom"/>
          </w:tcPr>
          <w:p>
            <w:pPr>
              <w:ind w:left="640"/>
              <w:spacing w:after="0"/>
              <w:rPr>
                <w:sz w:val="20"/>
                <w:szCs w:val="20"/>
                <w:color w:val="auto"/>
              </w:rPr>
            </w:pPr>
            <w:r>
              <w:rPr>
                <w:rFonts w:ascii="Arial" w:cs="Arial" w:eastAsia="Arial" w:hAnsi="Arial"/>
                <w:sz w:val="16"/>
                <w:szCs w:val="16"/>
                <w:color w:val="auto"/>
              </w:rPr>
              <w:t>has the meaning given in section 1 of the Licence Terms;</w:t>
            </w:r>
          </w:p>
        </w:tc>
      </w:tr>
      <w:tr>
        <w:trPr>
          <w:trHeight w:val="380"/>
        </w:trPr>
        <w:tc>
          <w:tcPr>
            <w:tcW w:w="2380" w:type="dxa"/>
            <w:vAlign w:val="bottom"/>
          </w:tcPr>
          <w:p>
            <w:pPr>
              <w:spacing w:after="0"/>
              <w:rPr>
                <w:sz w:val="20"/>
                <w:szCs w:val="20"/>
                <w:color w:val="auto"/>
              </w:rPr>
            </w:pPr>
            <w:r>
              <w:rPr>
                <w:rFonts w:ascii="Arial" w:cs="Arial" w:eastAsia="Arial" w:hAnsi="Arial"/>
                <w:sz w:val="16"/>
                <w:szCs w:val="16"/>
                <w:b w:val="1"/>
                <w:bCs w:val="1"/>
                <w:color w:val="auto"/>
              </w:rPr>
              <w:t>“Licence Terms”</w:t>
            </w:r>
          </w:p>
        </w:tc>
        <w:tc>
          <w:tcPr>
            <w:tcW w:w="9080" w:type="dxa"/>
            <w:vAlign w:val="bottom"/>
          </w:tcPr>
          <w:p>
            <w:pPr>
              <w:ind w:left="640"/>
              <w:spacing w:after="0"/>
              <w:rPr>
                <w:sz w:val="20"/>
                <w:szCs w:val="20"/>
                <w:color w:val="auto"/>
              </w:rPr>
            </w:pPr>
            <w:r>
              <w:rPr>
                <w:rFonts w:ascii="Arial" w:cs="Arial" w:eastAsia="Arial" w:hAnsi="Arial"/>
                <w:sz w:val="16"/>
                <w:szCs w:val="16"/>
                <w:color w:val="auto"/>
                <w:w w:val="98"/>
              </w:rPr>
              <w:t>means the terms and conditions set out in Schedule 1, which come into effect in accordance with clauses 8.1 - 8.2 of the</w:t>
            </w:r>
          </w:p>
        </w:tc>
      </w:tr>
      <w:tr>
        <w:trPr>
          <w:trHeight w:val="207"/>
        </w:trPr>
        <w:tc>
          <w:tcPr>
            <w:tcW w:w="2380" w:type="dxa"/>
            <w:vAlign w:val="bottom"/>
          </w:tcPr>
          <w:p>
            <w:pPr>
              <w:spacing w:after="0"/>
              <w:rPr>
                <w:sz w:val="18"/>
                <w:szCs w:val="18"/>
                <w:color w:val="auto"/>
              </w:rPr>
            </w:pPr>
          </w:p>
        </w:tc>
        <w:tc>
          <w:tcPr>
            <w:tcW w:w="9080" w:type="dxa"/>
            <w:vAlign w:val="bottom"/>
          </w:tcPr>
          <w:p>
            <w:pPr>
              <w:ind w:left="640"/>
              <w:spacing w:after="0"/>
              <w:rPr>
                <w:sz w:val="20"/>
                <w:szCs w:val="20"/>
                <w:color w:val="auto"/>
              </w:rPr>
            </w:pPr>
            <w:r>
              <w:rPr>
                <w:rFonts w:ascii="Arial" w:cs="Arial" w:eastAsia="Arial" w:hAnsi="Arial"/>
                <w:sz w:val="16"/>
                <w:szCs w:val="16"/>
                <w:color w:val="auto"/>
              </w:rPr>
              <w:t>Agreement;</w:t>
            </w:r>
          </w:p>
        </w:tc>
      </w:tr>
      <w:tr>
        <w:trPr>
          <w:trHeight w:val="391"/>
        </w:trPr>
        <w:tc>
          <w:tcPr>
            <w:tcW w:w="2380" w:type="dxa"/>
            <w:vAlign w:val="bottom"/>
          </w:tcPr>
          <w:p>
            <w:pPr>
              <w:spacing w:after="0"/>
              <w:rPr>
                <w:sz w:val="24"/>
                <w:szCs w:val="24"/>
                <w:color w:val="auto"/>
              </w:rPr>
            </w:pPr>
          </w:p>
        </w:tc>
        <w:tc>
          <w:tcPr>
            <w:tcW w:w="9080" w:type="dxa"/>
            <w:vAlign w:val="bottom"/>
          </w:tcPr>
          <w:p>
            <w:pPr>
              <w:ind w:left="3300"/>
              <w:spacing w:after="0"/>
              <w:rPr>
                <w:sz w:val="20"/>
                <w:szCs w:val="20"/>
                <w:color w:val="auto"/>
              </w:rPr>
            </w:pPr>
            <w:r>
              <w:rPr>
                <w:rFonts w:ascii="Arial" w:cs="Arial" w:eastAsia="Arial" w:hAnsi="Arial"/>
                <w:sz w:val="16"/>
                <w:szCs w:val="16"/>
                <w:color w:val="auto"/>
              </w:rPr>
              <w:t>8</w:t>
            </w:r>
          </w:p>
        </w:tc>
      </w:tr>
      <w:tr>
        <w:trPr>
          <w:trHeight w:val="119"/>
        </w:trPr>
        <w:tc>
          <w:tcPr>
            <w:tcW w:w="2380" w:type="dxa"/>
            <w:vAlign w:val="bottom"/>
            <w:tcBorders>
              <w:bottom w:val="single" w:sz="8" w:color="808080"/>
            </w:tcBorders>
          </w:tcPr>
          <w:p>
            <w:pPr>
              <w:spacing w:after="0"/>
              <w:rPr>
                <w:sz w:val="10"/>
                <w:szCs w:val="10"/>
                <w:color w:val="auto"/>
              </w:rPr>
            </w:pPr>
          </w:p>
        </w:tc>
        <w:tc>
          <w:tcPr>
            <w:tcW w:w="90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pacing w:after="0" w:line="257" w:lineRule="exact"/>
        <w:rPr>
          <w:sz w:val="20"/>
          <w:szCs w:val="20"/>
          <w:color w:val="auto"/>
        </w:rPr>
      </w:pPr>
    </w:p>
    <w:p>
      <w:pPr>
        <w:ind w:left="2" w:right="240" w:hanging="2"/>
        <w:spacing w:after="0" w:line="270" w:lineRule="auto"/>
        <w:tabs>
          <w:tab w:leader="none" w:pos="396" w:val="left"/>
        </w:tabs>
        <w:numPr>
          <w:ilvl w:val="0"/>
          <w:numId w:val="624"/>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2280" w:type="dxa"/>
            <w:vAlign w:val="bottom"/>
          </w:tcPr>
          <w:p>
            <w:pPr>
              <w:spacing w:after="0"/>
              <w:rPr>
                <w:sz w:val="20"/>
                <w:szCs w:val="20"/>
                <w:color w:val="auto"/>
              </w:rPr>
            </w:pPr>
            <w:r>
              <w:rPr>
                <w:rFonts w:ascii="Arial" w:cs="Arial" w:eastAsia="Arial" w:hAnsi="Arial"/>
                <w:sz w:val="16"/>
                <w:szCs w:val="16"/>
                <w:b w:val="1"/>
                <w:bCs w:val="1"/>
                <w:color w:val="auto"/>
              </w:rPr>
              <w:t>“Losses”</w:t>
            </w:r>
          </w:p>
        </w:tc>
        <w:tc>
          <w:tcPr>
            <w:tcW w:w="9180" w:type="dxa"/>
            <w:vAlign w:val="bottom"/>
          </w:tcPr>
          <w:p>
            <w:pPr>
              <w:ind w:left="700"/>
              <w:spacing w:after="0"/>
              <w:rPr>
                <w:sz w:val="20"/>
                <w:szCs w:val="20"/>
                <w:color w:val="auto"/>
              </w:rPr>
            </w:pPr>
            <w:r>
              <w:rPr>
                <w:rFonts w:ascii="Arial" w:cs="Arial" w:eastAsia="Arial" w:hAnsi="Arial"/>
                <w:sz w:val="16"/>
                <w:szCs w:val="16"/>
                <w:color w:val="auto"/>
              </w:rPr>
              <w:t>means losses, damages, costs and expenses (including legal costs and expenses);</w:t>
            </w:r>
          </w:p>
        </w:tc>
      </w:tr>
      <w:tr>
        <w:trPr>
          <w:trHeight w:val="391"/>
        </w:trPr>
        <w:tc>
          <w:tcPr>
            <w:tcW w:w="2280" w:type="dxa"/>
            <w:vAlign w:val="bottom"/>
          </w:tcPr>
          <w:p>
            <w:pPr>
              <w:spacing w:after="0"/>
              <w:rPr>
                <w:sz w:val="20"/>
                <w:szCs w:val="20"/>
                <w:color w:val="auto"/>
              </w:rPr>
            </w:pPr>
            <w:r>
              <w:rPr>
                <w:rFonts w:ascii="Arial" w:cs="Arial" w:eastAsia="Arial" w:hAnsi="Arial"/>
                <w:sz w:val="16"/>
                <w:szCs w:val="16"/>
                <w:b w:val="1"/>
                <w:bCs w:val="1"/>
                <w:color w:val="auto"/>
              </w:rPr>
              <w:t>“Major Markets”</w:t>
            </w:r>
          </w:p>
        </w:tc>
        <w:tc>
          <w:tcPr>
            <w:tcW w:w="9180" w:type="dxa"/>
            <w:vAlign w:val="bottom"/>
          </w:tcPr>
          <w:p>
            <w:pPr>
              <w:ind w:left="700"/>
              <w:spacing w:after="0"/>
              <w:rPr>
                <w:sz w:val="20"/>
                <w:szCs w:val="20"/>
                <w:color w:val="auto"/>
              </w:rPr>
            </w:pPr>
            <w:r>
              <w:rPr>
                <w:rFonts w:ascii="Arial" w:cs="Arial" w:eastAsia="Arial" w:hAnsi="Arial"/>
                <w:sz w:val="16"/>
                <w:szCs w:val="16"/>
                <w:color w:val="auto"/>
              </w:rPr>
              <w:t>means [***]</w:t>
            </w:r>
          </w:p>
        </w:tc>
      </w:tr>
      <w:tr>
        <w:trPr>
          <w:trHeight w:val="380"/>
        </w:trPr>
        <w:tc>
          <w:tcPr>
            <w:tcW w:w="2280" w:type="dxa"/>
            <w:vAlign w:val="bottom"/>
          </w:tcPr>
          <w:p>
            <w:pPr>
              <w:spacing w:after="0"/>
              <w:rPr>
                <w:sz w:val="20"/>
                <w:szCs w:val="20"/>
                <w:color w:val="auto"/>
              </w:rPr>
            </w:pPr>
            <w:r>
              <w:rPr>
                <w:rFonts w:ascii="Arial" w:cs="Arial" w:eastAsia="Arial" w:hAnsi="Arial"/>
                <w:sz w:val="16"/>
                <w:szCs w:val="16"/>
                <w:b w:val="1"/>
                <w:bCs w:val="1"/>
                <w:color w:val="auto"/>
              </w:rPr>
              <w:t>“Materials”</w:t>
            </w:r>
          </w:p>
        </w:tc>
        <w:tc>
          <w:tcPr>
            <w:tcW w:w="9180" w:type="dxa"/>
            <w:vAlign w:val="bottom"/>
          </w:tcPr>
          <w:p>
            <w:pPr>
              <w:ind w:left="700"/>
              <w:spacing w:after="0"/>
              <w:rPr>
                <w:sz w:val="20"/>
                <w:szCs w:val="20"/>
                <w:color w:val="auto"/>
              </w:rPr>
            </w:pPr>
            <w:r>
              <w:rPr>
                <w:rFonts w:ascii="Arial" w:cs="Arial" w:eastAsia="Arial" w:hAnsi="Arial"/>
                <w:sz w:val="16"/>
                <w:szCs w:val="16"/>
                <w:color w:val="auto"/>
              </w:rPr>
              <w:t>means any chemical or biological substance that is included in, or used in connection with research, development or</w:t>
            </w:r>
          </w:p>
        </w:tc>
      </w:tr>
      <w:tr>
        <w:trPr>
          <w:trHeight w:val="207"/>
        </w:trPr>
        <w:tc>
          <w:tcPr>
            <w:tcW w:w="228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manufacturing of, the Agent;</w:t>
            </w:r>
          </w:p>
        </w:tc>
      </w:tr>
      <w:tr>
        <w:trPr>
          <w:trHeight w:val="391"/>
        </w:trPr>
        <w:tc>
          <w:tcPr>
            <w:tcW w:w="2280" w:type="dxa"/>
            <w:vAlign w:val="bottom"/>
          </w:tcPr>
          <w:p>
            <w:pPr>
              <w:spacing w:after="0"/>
              <w:rPr>
                <w:sz w:val="20"/>
                <w:szCs w:val="20"/>
                <w:color w:val="auto"/>
              </w:rPr>
            </w:pPr>
            <w:r>
              <w:rPr>
                <w:rFonts w:ascii="Arial" w:cs="Arial" w:eastAsia="Arial" w:hAnsi="Arial"/>
                <w:sz w:val="16"/>
                <w:szCs w:val="16"/>
                <w:b w:val="1"/>
                <w:bCs w:val="1"/>
                <w:color w:val="auto"/>
              </w:rPr>
              <w:t>“Milestone Event”</w:t>
            </w:r>
          </w:p>
        </w:tc>
        <w:tc>
          <w:tcPr>
            <w:tcW w:w="9180" w:type="dxa"/>
            <w:vAlign w:val="bottom"/>
          </w:tcPr>
          <w:p>
            <w:pPr>
              <w:ind w:left="700"/>
              <w:spacing w:after="0"/>
              <w:rPr>
                <w:sz w:val="20"/>
                <w:szCs w:val="20"/>
                <w:color w:val="auto"/>
              </w:rPr>
            </w:pPr>
            <w:r>
              <w:rPr>
                <w:rFonts w:ascii="Arial" w:cs="Arial" w:eastAsia="Arial" w:hAnsi="Arial"/>
                <w:sz w:val="16"/>
                <w:szCs w:val="16"/>
                <w:color w:val="auto"/>
              </w:rPr>
              <w:t>means the milestones described in the Cover Sheet as “</w:t>
            </w:r>
            <w:r>
              <w:rPr>
                <w:rFonts w:ascii="Arial" w:cs="Arial" w:eastAsia="Arial" w:hAnsi="Arial"/>
                <w:sz w:val="16"/>
                <w:szCs w:val="16"/>
                <w:b w:val="1"/>
                <w:bCs w:val="1"/>
                <w:color w:val="auto"/>
              </w:rPr>
              <w:t>Milestone Events</w:t>
            </w:r>
            <w:r>
              <w:rPr>
                <w:rFonts w:ascii="Arial" w:cs="Arial" w:eastAsia="Arial" w:hAnsi="Arial"/>
                <w:sz w:val="16"/>
                <w:szCs w:val="16"/>
                <w:color w:val="auto"/>
              </w:rPr>
              <w:t>”</w:t>
            </w:r>
            <w:r>
              <w:rPr>
                <w:rFonts w:ascii="Arial" w:cs="Arial" w:eastAsia="Arial" w:hAnsi="Arial"/>
                <w:sz w:val="16"/>
                <w:szCs w:val="16"/>
                <w:b w:val="1"/>
                <w:bCs w:val="1"/>
                <w:color w:val="auto"/>
              </w:rPr>
              <w:t>;</w:t>
            </w:r>
          </w:p>
        </w:tc>
      </w:tr>
      <w:tr>
        <w:trPr>
          <w:trHeight w:val="391"/>
        </w:trPr>
        <w:tc>
          <w:tcPr>
            <w:tcW w:w="2280" w:type="dxa"/>
            <w:vAlign w:val="bottom"/>
          </w:tcPr>
          <w:p>
            <w:pPr>
              <w:spacing w:after="0"/>
              <w:rPr>
                <w:sz w:val="20"/>
                <w:szCs w:val="20"/>
                <w:color w:val="auto"/>
              </w:rPr>
            </w:pPr>
            <w:r>
              <w:rPr>
                <w:rFonts w:ascii="Arial" w:cs="Arial" w:eastAsia="Arial" w:hAnsi="Arial"/>
                <w:sz w:val="16"/>
                <w:szCs w:val="16"/>
                <w:b w:val="1"/>
                <w:bCs w:val="1"/>
                <w:color w:val="auto"/>
              </w:rPr>
              <w:t>“Milestone Payments”</w:t>
            </w:r>
          </w:p>
        </w:tc>
        <w:tc>
          <w:tcPr>
            <w:tcW w:w="9180" w:type="dxa"/>
            <w:vAlign w:val="bottom"/>
          </w:tcPr>
          <w:p>
            <w:pPr>
              <w:ind w:left="700"/>
              <w:spacing w:after="0"/>
              <w:rPr>
                <w:sz w:val="20"/>
                <w:szCs w:val="20"/>
                <w:color w:val="auto"/>
              </w:rPr>
            </w:pPr>
            <w:r>
              <w:rPr>
                <w:rFonts w:ascii="Arial" w:cs="Arial" w:eastAsia="Arial" w:hAnsi="Arial"/>
                <w:sz w:val="16"/>
                <w:szCs w:val="16"/>
                <w:color w:val="auto"/>
              </w:rPr>
              <w:t>has the meaning given in section 5.2 of the Licence Terms;</w:t>
            </w:r>
          </w:p>
        </w:tc>
      </w:tr>
      <w:tr>
        <w:trPr>
          <w:trHeight w:val="380"/>
        </w:trPr>
        <w:tc>
          <w:tcPr>
            <w:tcW w:w="2280" w:type="dxa"/>
            <w:vAlign w:val="bottom"/>
          </w:tcPr>
          <w:p>
            <w:pPr>
              <w:spacing w:after="0"/>
              <w:rPr>
                <w:sz w:val="20"/>
                <w:szCs w:val="20"/>
                <w:color w:val="auto"/>
              </w:rPr>
            </w:pPr>
            <w:r>
              <w:rPr>
                <w:rFonts w:ascii="Arial" w:cs="Arial" w:eastAsia="Arial" w:hAnsi="Arial"/>
                <w:sz w:val="16"/>
                <w:szCs w:val="16"/>
                <w:b w:val="1"/>
                <w:bCs w:val="1"/>
                <w:color w:val="auto"/>
              </w:rPr>
              <w:t>“NDA”</w:t>
            </w:r>
          </w:p>
        </w:tc>
        <w:tc>
          <w:tcPr>
            <w:tcW w:w="9180" w:type="dxa"/>
            <w:vAlign w:val="bottom"/>
          </w:tcPr>
          <w:p>
            <w:pPr>
              <w:ind w:left="700"/>
              <w:spacing w:after="0"/>
              <w:rPr>
                <w:sz w:val="20"/>
                <w:szCs w:val="20"/>
                <w:color w:val="auto"/>
              </w:rPr>
            </w:pPr>
            <w:r>
              <w:rPr>
                <w:rFonts w:ascii="Arial" w:cs="Arial" w:eastAsia="Arial" w:hAnsi="Arial"/>
                <w:sz w:val="16"/>
                <w:szCs w:val="16"/>
                <w:color w:val="auto"/>
              </w:rPr>
              <w:t>means, in relation to any Agent Product or Collaboration Product, a biologies licence application, new drug application,</w:t>
            </w:r>
          </w:p>
        </w:tc>
      </w:tr>
      <w:tr>
        <w:trPr>
          <w:trHeight w:val="192"/>
        </w:trPr>
        <w:tc>
          <w:tcPr>
            <w:tcW w:w="2280" w:type="dxa"/>
            <w:vAlign w:val="bottom"/>
          </w:tcPr>
          <w:p>
            <w:pPr>
              <w:spacing w:after="0"/>
              <w:rPr>
                <w:sz w:val="16"/>
                <w:szCs w:val="16"/>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w w:val="95"/>
              </w:rPr>
              <w:t>supplementary new drug application, abbreviated new drug application or any of their equivalents filed with the United States</w:t>
            </w:r>
          </w:p>
        </w:tc>
      </w:tr>
      <w:tr>
        <w:trPr>
          <w:trHeight w:val="196"/>
        </w:trPr>
        <w:tc>
          <w:tcPr>
            <w:tcW w:w="2280" w:type="dxa"/>
            <w:vAlign w:val="bottom"/>
          </w:tcPr>
          <w:p>
            <w:pPr>
              <w:spacing w:after="0"/>
              <w:rPr>
                <w:sz w:val="17"/>
                <w:szCs w:val="17"/>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w w:val="95"/>
              </w:rPr>
              <w:t>Food and Drugs Administration (“</w:t>
            </w:r>
            <w:r>
              <w:rPr>
                <w:rFonts w:ascii="Arial" w:cs="Arial" w:eastAsia="Arial" w:hAnsi="Arial"/>
                <w:sz w:val="16"/>
                <w:szCs w:val="16"/>
                <w:b w:val="1"/>
                <w:bCs w:val="1"/>
                <w:color w:val="auto"/>
                <w:w w:val="95"/>
              </w:rPr>
              <w:t>FDA</w:t>
            </w:r>
            <w:r>
              <w:rPr>
                <w:rFonts w:ascii="Arial" w:cs="Arial" w:eastAsia="Arial" w:hAnsi="Arial"/>
                <w:sz w:val="16"/>
                <w:szCs w:val="16"/>
                <w:color w:val="auto"/>
                <w:w w:val="95"/>
              </w:rPr>
              <w:t>”) or any successor to it, a marketing authorisation application or its equivalent filed with</w:t>
            </w:r>
          </w:p>
        </w:tc>
      </w:tr>
      <w:tr>
        <w:trPr>
          <w:trHeight w:val="200"/>
        </w:trPr>
        <w:tc>
          <w:tcPr>
            <w:tcW w:w="2280" w:type="dxa"/>
            <w:vAlign w:val="bottom"/>
          </w:tcPr>
          <w:p>
            <w:pPr>
              <w:spacing w:after="0"/>
              <w:rPr>
                <w:sz w:val="17"/>
                <w:szCs w:val="17"/>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w w:val="95"/>
              </w:rPr>
              <w:t>the European Medicines Agency (“</w:t>
            </w:r>
            <w:r>
              <w:rPr>
                <w:rFonts w:ascii="Arial" w:cs="Arial" w:eastAsia="Arial" w:hAnsi="Arial"/>
                <w:sz w:val="16"/>
                <w:szCs w:val="16"/>
                <w:b w:val="1"/>
                <w:bCs w:val="1"/>
                <w:color w:val="auto"/>
                <w:w w:val="95"/>
              </w:rPr>
              <w:t>EMEA</w:t>
            </w:r>
            <w:r>
              <w:rPr>
                <w:rFonts w:ascii="Arial" w:cs="Arial" w:eastAsia="Arial" w:hAnsi="Arial"/>
                <w:sz w:val="16"/>
                <w:szCs w:val="16"/>
                <w:color w:val="auto"/>
                <w:w w:val="95"/>
              </w:rPr>
              <w:t>”) or any successor to it, or a marketing authorisation application or a product licence</w:t>
            </w:r>
          </w:p>
        </w:tc>
      </w:tr>
      <w:tr>
        <w:trPr>
          <w:trHeight w:val="207"/>
        </w:trPr>
        <w:tc>
          <w:tcPr>
            <w:tcW w:w="228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application or equivalent filed with the relevant Regulatory Authority in any country or region in the Territory;</w:t>
            </w:r>
          </w:p>
        </w:tc>
      </w:tr>
      <w:tr>
        <w:trPr>
          <w:trHeight w:val="380"/>
        </w:trPr>
        <w:tc>
          <w:tcPr>
            <w:tcW w:w="228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9180" w:type="dxa"/>
            <w:vAlign w:val="bottom"/>
          </w:tcPr>
          <w:p>
            <w:pPr>
              <w:ind w:left="700"/>
              <w:spacing w:after="0"/>
              <w:rPr>
                <w:sz w:val="20"/>
                <w:szCs w:val="20"/>
                <w:color w:val="auto"/>
              </w:rPr>
            </w:pPr>
            <w:r>
              <w:rPr>
                <w:rFonts w:ascii="Arial" w:cs="Arial" w:eastAsia="Arial" w:hAnsi="Arial"/>
                <w:sz w:val="16"/>
                <w:szCs w:val="16"/>
                <w:color w:val="auto"/>
                <w:w w:val="95"/>
              </w:rPr>
              <w:t>means, in relation to an Agent Product or a Collaboration Product where the Agent Product or Collaboration Product is sold or</w:t>
            </w:r>
          </w:p>
        </w:tc>
      </w:tr>
      <w:tr>
        <w:trPr>
          <w:trHeight w:val="207"/>
        </w:trPr>
        <w:tc>
          <w:tcPr>
            <w:tcW w:w="228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disposed of:</w:t>
            </w:r>
          </w:p>
        </w:tc>
      </w:tr>
      <w:tr>
        <w:trPr>
          <w:trHeight w:val="391"/>
        </w:trPr>
        <w:tc>
          <w:tcPr>
            <w:tcW w:w="2280" w:type="dxa"/>
            <w:vAlign w:val="bottom"/>
          </w:tcPr>
          <w:p>
            <w:pPr>
              <w:spacing w:after="0"/>
              <w:rPr>
                <w:sz w:val="24"/>
                <w:szCs w:val="24"/>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w:t>
            </w:r>
          </w:p>
        </w:tc>
      </w:tr>
      <w:tr>
        <w:trPr>
          <w:trHeight w:val="391"/>
        </w:trPr>
        <w:tc>
          <w:tcPr>
            <w:tcW w:w="2280" w:type="dxa"/>
            <w:vAlign w:val="bottom"/>
          </w:tcPr>
          <w:p>
            <w:pPr>
              <w:spacing w:after="0"/>
              <w:rPr>
                <w:sz w:val="24"/>
                <w:szCs w:val="24"/>
                <w:color w:val="auto"/>
              </w:rPr>
            </w:pPr>
          </w:p>
        </w:tc>
        <w:tc>
          <w:tcPr>
            <w:tcW w:w="9180" w:type="dxa"/>
            <w:vAlign w:val="bottom"/>
          </w:tcPr>
          <w:p>
            <w:pPr>
              <w:ind w:left="700"/>
              <w:spacing w:after="0"/>
              <w:rPr>
                <w:sz w:val="20"/>
                <w:szCs w:val="20"/>
                <w:color w:val="auto"/>
              </w:rPr>
            </w:pPr>
            <w:r>
              <w:rPr>
                <w:rFonts w:ascii="Arial" w:cs="Arial" w:eastAsia="Arial" w:hAnsi="Arial"/>
                <w:sz w:val="16"/>
                <w:szCs w:val="16"/>
                <w:color w:val="auto"/>
              </w:rPr>
              <w:t>[***]</w:t>
            </w:r>
          </w:p>
        </w:tc>
      </w:tr>
      <w:tr>
        <w:trPr>
          <w:trHeight w:val="391"/>
        </w:trPr>
        <w:tc>
          <w:tcPr>
            <w:tcW w:w="2280" w:type="dxa"/>
            <w:vAlign w:val="bottom"/>
          </w:tcPr>
          <w:p>
            <w:pPr>
              <w:spacing w:after="0"/>
              <w:rPr>
                <w:sz w:val="24"/>
                <w:szCs w:val="24"/>
                <w:color w:val="auto"/>
              </w:rPr>
            </w:pPr>
          </w:p>
        </w:tc>
        <w:tc>
          <w:tcPr>
            <w:tcW w:w="9180" w:type="dxa"/>
            <w:vAlign w:val="bottom"/>
          </w:tcPr>
          <w:p>
            <w:pPr>
              <w:ind w:left="3400"/>
              <w:spacing w:after="0"/>
              <w:rPr>
                <w:sz w:val="20"/>
                <w:szCs w:val="20"/>
                <w:color w:val="auto"/>
              </w:rPr>
            </w:pPr>
            <w:r>
              <w:rPr>
                <w:rFonts w:ascii="Arial" w:cs="Arial" w:eastAsia="Arial" w:hAnsi="Arial"/>
                <w:sz w:val="16"/>
                <w:szCs w:val="16"/>
                <w:color w:val="auto"/>
              </w:rPr>
              <w:t>9</w:t>
            </w:r>
          </w:p>
        </w:tc>
      </w:tr>
      <w:tr>
        <w:trPr>
          <w:trHeight w:val="119"/>
        </w:trPr>
        <w:tc>
          <w:tcPr>
            <w:tcW w:w="2280" w:type="dxa"/>
            <w:vAlign w:val="bottom"/>
            <w:tcBorders>
              <w:bottom w:val="single" w:sz="8" w:color="808080"/>
            </w:tcBorders>
          </w:tcPr>
          <w:p>
            <w:pPr>
              <w:spacing w:after="0"/>
              <w:rPr>
                <w:sz w:val="10"/>
                <w:szCs w:val="10"/>
                <w:color w:val="auto"/>
              </w:rPr>
            </w:pPr>
          </w:p>
        </w:tc>
        <w:tc>
          <w:tcPr>
            <w:tcW w:w="9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3" w:right="199" w:bottom="699" w:gutter="0" w:footer="0" w:header="0"/>
        </w:sectPr>
      </w:pPr>
    </w:p>
    <w:bookmarkStart w:id="608" w:name="page609"/>
    <w:bookmarkEnd w:id="608"/>
    <w:p>
      <w:pPr>
        <w:ind w:left="2" w:right="240" w:hanging="2"/>
        <w:spacing w:after="0" w:line="270" w:lineRule="auto"/>
        <w:tabs>
          <w:tab w:leader="none" w:pos="396" w:val="left"/>
        </w:tabs>
        <w:numPr>
          <w:ilvl w:val="0"/>
          <w:numId w:val="625"/>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258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rPr>
              <w:t>[***]</w:t>
            </w:r>
          </w:p>
        </w:tc>
      </w:tr>
      <w:tr>
        <w:trPr>
          <w:trHeight w:val="391"/>
        </w:trPr>
        <w:tc>
          <w:tcPr>
            <w:tcW w:w="2580" w:type="dxa"/>
            <w:vAlign w:val="bottom"/>
          </w:tcPr>
          <w:p>
            <w:pPr>
              <w:spacing w:after="0"/>
              <w:rPr>
                <w:sz w:val="24"/>
                <w:szCs w:val="24"/>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rPr>
              <w:t>[***]</w:t>
            </w:r>
          </w:p>
        </w:tc>
      </w:tr>
      <w:tr>
        <w:trPr>
          <w:trHeight w:val="391"/>
        </w:trPr>
        <w:tc>
          <w:tcPr>
            <w:tcW w:w="2580" w:type="dxa"/>
            <w:vAlign w:val="bottom"/>
          </w:tcPr>
          <w:p>
            <w:pPr>
              <w:spacing w:after="0"/>
              <w:rPr>
                <w:sz w:val="20"/>
                <w:szCs w:val="20"/>
                <w:color w:val="auto"/>
              </w:rPr>
            </w:pPr>
            <w:r>
              <w:rPr>
                <w:rFonts w:ascii="Arial" w:cs="Arial" w:eastAsia="Arial" w:hAnsi="Arial"/>
                <w:sz w:val="16"/>
                <w:szCs w:val="16"/>
                <w:b w:val="1"/>
                <w:bCs w:val="1"/>
                <w:color w:val="auto"/>
              </w:rPr>
              <w:t>“Non-Exclusive Results”</w:t>
            </w:r>
          </w:p>
        </w:tc>
        <w:tc>
          <w:tcPr>
            <w:tcW w:w="8880" w:type="dxa"/>
            <w:vAlign w:val="bottom"/>
          </w:tcPr>
          <w:p>
            <w:pPr>
              <w:ind w:left="400"/>
              <w:spacing w:after="0"/>
              <w:rPr>
                <w:sz w:val="20"/>
                <w:szCs w:val="20"/>
                <w:color w:val="auto"/>
              </w:rPr>
            </w:pPr>
            <w:r>
              <w:rPr>
                <w:rFonts w:ascii="Arial" w:cs="Arial" w:eastAsia="Arial" w:hAnsi="Arial"/>
                <w:sz w:val="16"/>
                <w:szCs w:val="16"/>
                <w:color w:val="auto"/>
              </w:rPr>
              <w:t>has the meaning given in clause 7.1 of the Agreement;</w:t>
            </w:r>
          </w:p>
        </w:tc>
      </w:tr>
      <w:tr>
        <w:trPr>
          <w:trHeight w:val="391"/>
        </w:trPr>
        <w:tc>
          <w:tcPr>
            <w:tcW w:w="2580" w:type="dxa"/>
            <w:vAlign w:val="bottom"/>
          </w:tcPr>
          <w:p>
            <w:pPr>
              <w:spacing w:after="0"/>
              <w:rPr>
                <w:sz w:val="20"/>
                <w:szCs w:val="20"/>
                <w:color w:val="auto"/>
              </w:rPr>
            </w:pPr>
            <w:r>
              <w:rPr>
                <w:rFonts w:ascii="Arial" w:cs="Arial" w:eastAsia="Arial" w:hAnsi="Arial"/>
                <w:sz w:val="16"/>
                <w:szCs w:val="16"/>
                <w:b w:val="1"/>
                <w:bCs w:val="1"/>
                <w:color w:val="auto"/>
              </w:rPr>
              <w:t>“Oncology Indication”</w:t>
            </w:r>
          </w:p>
        </w:tc>
        <w:tc>
          <w:tcPr>
            <w:tcW w:w="8880" w:type="dxa"/>
            <w:vAlign w:val="bottom"/>
          </w:tcPr>
          <w:p>
            <w:pPr>
              <w:ind w:left="400"/>
              <w:spacing w:after="0"/>
              <w:rPr>
                <w:sz w:val="20"/>
                <w:szCs w:val="20"/>
                <w:color w:val="auto"/>
              </w:rPr>
            </w:pPr>
            <w:r>
              <w:rPr>
                <w:rFonts w:ascii="Arial" w:cs="Arial" w:eastAsia="Arial" w:hAnsi="Arial"/>
                <w:sz w:val="16"/>
                <w:szCs w:val="16"/>
                <w:color w:val="auto"/>
              </w:rPr>
              <w:t>means an Indication [***];</w:t>
            </w:r>
          </w:p>
        </w:tc>
      </w:tr>
      <w:tr>
        <w:trPr>
          <w:trHeight w:val="380"/>
        </w:trPr>
        <w:tc>
          <w:tcPr>
            <w:tcW w:w="2580" w:type="dxa"/>
            <w:vAlign w:val="bottom"/>
          </w:tcPr>
          <w:p>
            <w:pPr>
              <w:spacing w:after="0"/>
              <w:rPr>
                <w:sz w:val="20"/>
                <w:szCs w:val="20"/>
                <w:color w:val="auto"/>
              </w:rPr>
            </w:pPr>
            <w:r>
              <w:rPr>
                <w:rFonts w:ascii="Arial" w:cs="Arial" w:eastAsia="Arial" w:hAnsi="Arial"/>
                <w:sz w:val="16"/>
                <w:szCs w:val="16"/>
                <w:b w:val="1"/>
                <w:bCs w:val="1"/>
                <w:color w:val="auto"/>
              </w:rPr>
              <w:t>“Patent”</w:t>
            </w:r>
          </w:p>
        </w:tc>
        <w:tc>
          <w:tcPr>
            <w:tcW w:w="8880" w:type="dxa"/>
            <w:vAlign w:val="bottom"/>
          </w:tcPr>
          <w:p>
            <w:pPr>
              <w:ind w:left="400"/>
              <w:spacing w:after="0"/>
              <w:rPr>
                <w:sz w:val="20"/>
                <w:szCs w:val="20"/>
                <w:color w:val="auto"/>
              </w:rPr>
            </w:pPr>
            <w:r>
              <w:rPr>
                <w:rFonts w:ascii="Arial" w:cs="Arial" w:eastAsia="Arial" w:hAnsi="Arial"/>
                <w:sz w:val="16"/>
                <w:szCs w:val="16"/>
                <w:color w:val="auto"/>
                <w:w w:val="98"/>
              </w:rPr>
              <w:t>means any patent application (if pending for less than seven (7) years) or granted patent (whether or not it was previously</w:t>
            </w:r>
          </w:p>
        </w:tc>
      </w:tr>
      <w:tr>
        <w:trPr>
          <w:trHeight w:val="196"/>
        </w:trPr>
        <w:tc>
          <w:tcPr>
            <w:tcW w:w="2580" w:type="dxa"/>
            <w:vAlign w:val="bottom"/>
          </w:tcPr>
          <w:p>
            <w:pPr>
              <w:spacing w:after="0"/>
              <w:rPr>
                <w:sz w:val="17"/>
                <w:szCs w:val="17"/>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w w:val="93"/>
              </w:rPr>
              <w:t>pending as a patent application for less or more than seven (7) years) or similar or equivalent form of protection anywhere in the</w:t>
            </w:r>
          </w:p>
        </w:tc>
      </w:tr>
      <w:tr>
        <w:trPr>
          <w:trHeight w:val="196"/>
        </w:trPr>
        <w:tc>
          <w:tcPr>
            <w:tcW w:w="2580" w:type="dxa"/>
            <w:vAlign w:val="bottom"/>
          </w:tcPr>
          <w:p>
            <w:pPr>
              <w:spacing w:after="0"/>
              <w:rPr>
                <w:sz w:val="17"/>
                <w:szCs w:val="17"/>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w w:val="95"/>
              </w:rPr>
              <w:t>world, including utility model and design patents and certificates of invention and all divisional, continuations, continuations-in-</w:t>
            </w:r>
          </w:p>
        </w:tc>
      </w:tr>
      <w:tr>
        <w:trPr>
          <w:trHeight w:val="207"/>
        </w:trPr>
        <w:tc>
          <w:tcPr>
            <w:tcW w:w="258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rPr>
              <w:t>part, reissues, renewals, extensions, additions, supplementary protection certificates;</w:t>
            </w:r>
          </w:p>
        </w:tc>
      </w:tr>
      <w:tr>
        <w:trPr>
          <w:trHeight w:val="380"/>
        </w:trPr>
        <w:tc>
          <w:tcPr>
            <w:tcW w:w="2580" w:type="dxa"/>
            <w:vAlign w:val="bottom"/>
          </w:tcPr>
          <w:p>
            <w:pPr>
              <w:spacing w:after="0"/>
              <w:rPr>
                <w:sz w:val="20"/>
                <w:szCs w:val="20"/>
                <w:color w:val="auto"/>
              </w:rPr>
            </w:pPr>
            <w:r>
              <w:rPr>
                <w:rFonts w:ascii="Arial" w:cs="Arial" w:eastAsia="Arial" w:hAnsi="Arial"/>
                <w:sz w:val="16"/>
                <w:szCs w:val="16"/>
                <w:b w:val="1"/>
                <w:bCs w:val="1"/>
                <w:color w:val="auto"/>
              </w:rPr>
              <w:t>“Payment Period”</w:t>
            </w:r>
          </w:p>
        </w:tc>
        <w:tc>
          <w:tcPr>
            <w:tcW w:w="8880" w:type="dxa"/>
            <w:vAlign w:val="bottom"/>
          </w:tcPr>
          <w:p>
            <w:pPr>
              <w:ind w:left="400"/>
              <w:spacing w:after="0"/>
              <w:rPr>
                <w:sz w:val="20"/>
                <w:szCs w:val="20"/>
                <w:color w:val="auto"/>
              </w:rPr>
            </w:pPr>
            <w:r>
              <w:rPr>
                <w:rFonts w:ascii="Arial" w:cs="Arial" w:eastAsia="Arial" w:hAnsi="Arial"/>
                <w:sz w:val="16"/>
                <w:szCs w:val="16"/>
                <w:color w:val="auto"/>
                <w:w w:val="95"/>
              </w:rPr>
              <w:t>means [***] after the Company has received the corresponding Milestone Payment (if applicable) from the Sub-Licensee (the</w:t>
            </w:r>
          </w:p>
        </w:tc>
      </w:tr>
      <w:tr>
        <w:trPr>
          <w:trHeight w:val="207"/>
        </w:trPr>
        <w:tc>
          <w:tcPr>
            <w:tcW w:w="258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rPr>
              <w:t>Company will give notice to CRT of receipt of the corresponding Milestone Payment);</w:t>
            </w:r>
          </w:p>
        </w:tc>
      </w:tr>
      <w:tr>
        <w:trPr>
          <w:trHeight w:val="391"/>
        </w:trPr>
        <w:tc>
          <w:tcPr>
            <w:tcW w:w="2580" w:type="dxa"/>
            <w:vAlign w:val="bottom"/>
          </w:tcPr>
          <w:p>
            <w:pPr>
              <w:spacing w:after="0"/>
              <w:rPr>
                <w:sz w:val="20"/>
                <w:szCs w:val="20"/>
                <w:color w:val="auto"/>
              </w:rPr>
            </w:pPr>
            <w:r>
              <w:rPr>
                <w:rFonts w:ascii="Arial" w:cs="Arial" w:eastAsia="Arial" w:hAnsi="Arial"/>
                <w:sz w:val="16"/>
                <w:szCs w:val="16"/>
                <w:b w:val="1"/>
                <w:bCs w:val="1"/>
                <w:color w:val="auto"/>
              </w:rPr>
              <w:t>“Phase I and IIa Clinical Trial”</w:t>
            </w:r>
          </w:p>
        </w:tc>
        <w:tc>
          <w:tcPr>
            <w:tcW w:w="8880" w:type="dxa"/>
            <w:vAlign w:val="bottom"/>
          </w:tcPr>
          <w:p>
            <w:pPr>
              <w:ind w:left="400"/>
              <w:spacing w:after="0"/>
              <w:rPr>
                <w:sz w:val="20"/>
                <w:szCs w:val="20"/>
                <w:color w:val="auto"/>
              </w:rPr>
            </w:pPr>
            <w:r>
              <w:rPr>
                <w:rFonts w:ascii="Arial" w:cs="Arial" w:eastAsia="Arial" w:hAnsi="Arial"/>
                <w:sz w:val="16"/>
                <w:szCs w:val="16"/>
                <w:color w:val="auto"/>
              </w:rPr>
              <w:t>means [***];</w:t>
            </w:r>
          </w:p>
        </w:tc>
      </w:tr>
      <w:tr>
        <w:trPr>
          <w:trHeight w:val="391"/>
        </w:trPr>
        <w:tc>
          <w:tcPr>
            <w:tcW w:w="2580" w:type="dxa"/>
            <w:vAlign w:val="bottom"/>
          </w:tcPr>
          <w:p>
            <w:pPr>
              <w:spacing w:after="0"/>
              <w:rPr>
                <w:sz w:val="20"/>
                <w:szCs w:val="20"/>
                <w:color w:val="auto"/>
              </w:rPr>
            </w:pPr>
            <w:r>
              <w:rPr>
                <w:rFonts w:ascii="Arial" w:cs="Arial" w:eastAsia="Arial" w:hAnsi="Arial"/>
                <w:sz w:val="16"/>
                <w:szCs w:val="16"/>
                <w:b w:val="1"/>
                <w:bCs w:val="1"/>
                <w:color w:val="auto"/>
              </w:rPr>
              <w:t>“Phase I Termination”</w:t>
            </w:r>
          </w:p>
        </w:tc>
        <w:tc>
          <w:tcPr>
            <w:tcW w:w="8880" w:type="dxa"/>
            <w:vAlign w:val="bottom"/>
          </w:tcPr>
          <w:p>
            <w:pPr>
              <w:ind w:left="400"/>
              <w:spacing w:after="0"/>
              <w:rPr>
                <w:sz w:val="20"/>
                <w:szCs w:val="20"/>
                <w:color w:val="auto"/>
              </w:rPr>
            </w:pPr>
            <w:r>
              <w:rPr>
                <w:rFonts w:ascii="Arial" w:cs="Arial" w:eastAsia="Arial" w:hAnsi="Arial"/>
                <w:sz w:val="16"/>
                <w:szCs w:val="16"/>
                <w:color w:val="auto"/>
              </w:rPr>
              <w:t>has the meaning given in clause 16.2 of the Agreement;</w:t>
            </w:r>
          </w:p>
        </w:tc>
      </w:tr>
      <w:tr>
        <w:trPr>
          <w:trHeight w:val="391"/>
        </w:trPr>
        <w:tc>
          <w:tcPr>
            <w:tcW w:w="2580" w:type="dxa"/>
            <w:vAlign w:val="bottom"/>
          </w:tcPr>
          <w:p>
            <w:pPr>
              <w:spacing w:after="0"/>
              <w:rPr>
                <w:sz w:val="20"/>
                <w:szCs w:val="20"/>
                <w:color w:val="auto"/>
              </w:rPr>
            </w:pPr>
            <w:r>
              <w:rPr>
                <w:rFonts w:ascii="Arial" w:cs="Arial" w:eastAsia="Arial" w:hAnsi="Arial"/>
                <w:sz w:val="16"/>
                <w:szCs w:val="16"/>
                <w:b w:val="1"/>
                <w:bCs w:val="1"/>
                <w:color w:val="auto"/>
              </w:rPr>
              <w:t>“Phase IIa Termination”</w:t>
            </w:r>
          </w:p>
        </w:tc>
        <w:tc>
          <w:tcPr>
            <w:tcW w:w="8880" w:type="dxa"/>
            <w:vAlign w:val="bottom"/>
          </w:tcPr>
          <w:p>
            <w:pPr>
              <w:ind w:left="400"/>
              <w:spacing w:after="0"/>
              <w:rPr>
                <w:sz w:val="20"/>
                <w:szCs w:val="20"/>
                <w:color w:val="auto"/>
              </w:rPr>
            </w:pPr>
            <w:r>
              <w:rPr>
                <w:rFonts w:ascii="Arial" w:cs="Arial" w:eastAsia="Arial" w:hAnsi="Arial"/>
                <w:sz w:val="16"/>
                <w:szCs w:val="16"/>
                <w:color w:val="auto"/>
              </w:rPr>
              <w:t>has the meaning given in clause 16.6 of the Agreement;</w:t>
            </w:r>
          </w:p>
        </w:tc>
      </w:tr>
      <w:tr>
        <w:trPr>
          <w:trHeight w:val="391"/>
        </w:trPr>
        <w:tc>
          <w:tcPr>
            <w:tcW w:w="2580" w:type="dxa"/>
            <w:vAlign w:val="bottom"/>
          </w:tcPr>
          <w:p>
            <w:pPr>
              <w:spacing w:after="0"/>
              <w:rPr>
                <w:sz w:val="20"/>
                <w:szCs w:val="20"/>
                <w:color w:val="auto"/>
              </w:rPr>
            </w:pPr>
            <w:r>
              <w:rPr>
                <w:rFonts w:ascii="Arial" w:cs="Arial" w:eastAsia="Arial" w:hAnsi="Arial"/>
                <w:sz w:val="16"/>
                <w:szCs w:val="16"/>
                <w:b w:val="1"/>
                <w:bCs w:val="1"/>
                <w:color w:val="auto"/>
              </w:rPr>
              <w:t>“[***]”</w:t>
            </w:r>
          </w:p>
        </w:tc>
        <w:tc>
          <w:tcPr>
            <w:tcW w:w="8880" w:type="dxa"/>
            <w:vAlign w:val="bottom"/>
          </w:tcPr>
          <w:p>
            <w:pPr>
              <w:ind w:left="400"/>
              <w:spacing w:after="0"/>
              <w:rPr>
                <w:sz w:val="20"/>
                <w:szCs w:val="20"/>
                <w:color w:val="auto"/>
              </w:rPr>
            </w:pPr>
            <w:r>
              <w:rPr>
                <w:rFonts w:ascii="Arial" w:cs="Arial" w:eastAsia="Arial" w:hAnsi="Arial"/>
                <w:sz w:val="16"/>
                <w:szCs w:val="16"/>
                <w:color w:val="auto"/>
              </w:rPr>
              <w:t>means [***];</w:t>
            </w:r>
          </w:p>
        </w:tc>
      </w:tr>
      <w:tr>
        <w:trPr>
          <w:trHeight w:val="391"/>
        </w:trPr>
        <w:tc>
          <w:tcPr>
            <w:tcW w:w="2580" w:type="dxa"/>
            <w:vAlign w:val="bottom"/>
          </w:tcPr>
          <w:p>
            <w:pPr>
              <w:spacing w:after="0"/>
              <w:rPr>
                <w:sz w:val="20"/>
                <w:szCs w:val="20"/>
                <w:color w:val="auto"/>
              </w:rPr>
            </w:pPr>
            <w:r>
              <w:rPr>
                <w:rFonts w:ascii="Arial" w:cs="Arial" w:eastAsia="Arial" w:hAnsi="Arial"/>
                <w:sz w:val="16"/>
                <w:szCs w:val="16"/>
                <w:b w:val="1"/>
                <w:bCs w:val="1"/>
                <w:color w:val="auto"/>
              </w:rPr>
              <w:t>“[***]</w:t>
            </w:r>
          </w:p>
        </w:tc>
        <w:tc>
          <w:tcPr>
            <w:tcW w:w="8880" w:type="dxa"/>
            <w:vAlign w:val="bottom"/>
          </w:tcPr>
          <w:p>
            <w:pPr>
              <w:ind w:left="400"/>
              <w:spacing w:after="0"/>
              <w:rPr>
                <w:sz w:val="20"/>
                <w:szCs w:val="20"/>
                <w:color w:val="auto"/>
              </w:rPr>
            </w:pPr>
            <w:r>
              <w:rPr>
                <w:rFonts w:ascii="Arial" w:cs="Arial" w:eastAsia="Arial" w:hAnsi="Arial"/>
                <w:sz w:val="16"/>
                <w:szCs w:val="16"/>
                <w:color w:val="auto"/>
              </w:rPr>
              <w:t>means [***];</w:t>
            </w:r>
          </w:p>
        </w:tc>
      </w:tr>
      <w:tr>
        <w:trPr>
          <w:trHeight w:val="391"/>
        </w:trPr>
        <w:tc>
          <w:tcPr>
            <w:tcW w:w="2580" w:type="dxa"/>
            <w:vAlign w:val="bottom"/>
          </w:tcPr>
          <w:p>
            <w:pPr>
              <w:spacing w:after="0"/>
              <w:rPr>
                <w:sz w:val="24"/>
                <w:szCs w:val="24"/>
                <w:color w:val="auto"/>
              </w:rPr>
            </w:pPr>
          </w:p>
        </w:tc>
        <w:tc>
          <w:tcPr>
            <w:tcW w:w="8880" w:type="dxa"/>
            <w:vAlign w:val="bottom"/>
          </w:tcPr>
          <w:p>
            <w:pPr>
              <w:ind w:left="3060"/>
              <w:spacing w:after="0"/>
              <w:rPr>
                <w:sz w:val="20"/>
                <w:szCs w:val="20"/>
                <w:color w:val="auto"/>
              </w:rPr>
            </w:pPr>
            <w:r>
              <w:rPr>
                <w:rFonts w:ascii="Arial" w:cs="Arial" w:eastAsia="Arial" w:hAnsi="Arial"/>
                <w:sz w:val="16"/>
                <w:szCs w:val="16"/>
                <w:color w:val="auto"/>
              </w:rPr>
              <w:t>10</w:t>
            </w:r>
          </w:p>
        </w:tc>
      </w:tr>
      <w:tr>
        <w:trPr>
          <w:trHeight w:val="119"/>
        </w:trPr>
        <w:tc>
          <w:tcPr>
            <w:tcW w:w="2580" w:type="dxa"/>
            <w:vAlign w:val="bottom"/>
            <w:tcBorders>
              <w:bottom w:val="single" w:sz="8" w:color="808080"/>
            </w:tcBorders>
          </w:tcPr>
          <w:p>
            <w:pPr>
              <w:spacing w:after="0"/>
              <w:rPr>
                <w:sz w:val="10"/>
                <w:szCs w:val="10"/>
                <w:color w:val="auto"/>
              </w:rPr>
            </w:pPr>
          </w:p>
        </w:tc>
        <w:tc>
          <w:tcPr>
            <w:tcW w:w="8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4" w:right="199" w:bottom="1440" w:gutter="0" w:footer="0" w:header="0"/>
        </w:sectPr>
      </w:pPr>
    </w:p>
    <w:bookmarkStart w:id="609" w:name="page610"/>
    <w:bookmarkEnd w:id="609"/>
    <w:p>
      <w:pPr>
        <w:ind w:left="2" w:right="240" w:hanging="2"/>
        <w:spacing w:after="0" w:line="270" w:lineRule="auto"/>
        <w:tabs>
          <w:tab w:leader="none" w:pos="396" w:val="left"/>
        </w:tabs>
        <w:numPr>
          <w:ilvl w:val="0"/>
          <w:numId w:val="626"/>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2580" w:type="dxa"/>
            <w:vAlign w:val="bottom"/>
          </w:tcPr>
          <w:p>
            <w:pPr>
              <w:spacing w:after="0"/>
              <w:rPr>
                <w:sz w:val="20"/>
                <w:szCs w:val="20"/>
                <w:color w:val="auto"/>
              </w:rPr>
            </w:pPr>
            <w:r>
              <w:rPr>
                <w:rFonts w:ascii="Arial" w:cs="Arial" w:eastAsia="Arial" w:hAnsi="Arial"/>
                <w:sz w:val="16"/>
                <w:szCs w:val="16"/>
                <w:b w:val="1"/>
                <w:bCs w:val="1"/>
                <w:color w:val="auto"/>
              </w:rPr>
              <w:t>[***]”</w:t>
            </w:r>
          </w:p>
        </w:tc>
        <w:tc>
          <w:tcPr>
            <w:tcW w:w="8880" w:type="dxa"/>
            <w:vAlign w:val="bottom"/>
          </w:tcPr>
          <w:p>
            <w:pPr>
              <w:ind w:left="400"/>
              <w:spacing w:after="0"/>
              <w:rPr>
                <w:sz w:val="20"/>
                <w:szCs w:val="20"/>
                <w:color w:val="auto"/>
              </w:rPr>
            </w:pPr>
            <w:r>
              <w:rPr>
                <w:rFonts w:ascii="Arial" w:cs="Arial" w:eastAsia="Arial" w:hAnsi="Arial"/>
                <w:sz w:val="16"/>
                <w:szCs w:val="16"/>
                <w:color w:val="auto"/>
              </w:rPr>
              <w:t>[***]</w:t>
            </w:r>
          </w:p>
        </w:tc>
      </w:tr>
      <w:tr>
        <w:trPr>
          <w:trHeight w:val="391"/>
        </w:trPr>
        <w:tc>
          <w:tcPr>
            <w:tcW w:w="2580" w:type="dxa"/>
            <w:vAlign w:val="bottom"/>
          </w:tcPr>
          <w:p>
            <w:pPr>
              <w:spacing w:after="0"/>
              <w:rPr>
                <w:sz w:val="20"/>
                <w:szCs w:val="20"/>
                <w:color w:val="auto"/>
              </w:rPr>
            </w:pPr>
            <w:r>
              <w:rPr>
                <w:rFonts w:ascii="Arial" w:cs="Arial" w:eastAsia="Arial" w:hAnsi="Arial"/>
                <w:sz w:val="16"/>
                <w:szCs w:val="16"/>
                <w:b w:val="1"/>
                <w:bCs w:val="1"/>
                <w:color w:val="auto"/>
              </w:rPr>
              <w:t>“pound” and “£”</w:t>
            </w:r>
          </w:p>
        </w:tc>
        <w:tc>
          <w:tcPr>
            <w:tcW w:w="8880" w:type="dxa"/>
            <w:vAlign w:val="bottom"/>
          </w:tcPr>
          <w:p>
            <w:pPr>
              <w:ind w:left="400"/>
              <w:spacing w:after="0"/>
              <w:rPr>
                <w:sz w:val="20"/>
                <w:szCs w:val="20"/>
                <w:color w:val="auto"/>
              </w:rPr>
            </w:pPr>
            <w:r>
              <w:rPr>
                <w:rFonts w:ascii="Arial" w:cs="Arial" w:eastAsia="Arial" w:hAnsi="Arial"/>
                <w:sz w:val="16"/>
                <w:szCs w:val="16"/>
                <w:color w:val="auto"/>
              </w:rPr>
              <w:t>means British pound sterling;</w:t>
            </w:r>
          </w:p>
        </w:tc>
      </w:tr>
      <w:tr>
        <w:trPr>
          <w:trHeight w:val="380"/>
        </w:trPr>
        <w:tc>
          <w:tcPr>
            <w:tcW w:w="2580" w:type="dxa"/>
            <w:vAlign w:val="bottom"/>
          </w:tcPr>
          <w:p>
            <w:pPr>
              <w:spacing w:after="0"/>
              <w:rPr>
                <w:sz w:val="20"/>
                <w:szCs w:val="20"/>
                <w:color w:val="auto"/>
              </w:rPr>
            </w:pPr>
            <w:r>
              <w:rPr>
                <w:rFonts w:ascii="Arial" w:cs="Arial" w:eastAsia="Arial" w:hAnsi="Arial"/>
                <w:sz w:val="16"/>
                <w:szCs w:val="16"/>
                <w:b w:val="1"/>
                <w:bCs w:val="1"/>
                <w:color w:val="auto"/>
              </w:rPr>
              <w:t>“Price Approval”</w:t>
            </w:r>
          </w:p>
        </w:tc>
        <w:tc>
          <w:tcPr>
            <w:tcW w:w="8880" w:type="dxa"/>
            <w:vAlign w:val="bottom"/>
          </w:tcPr>
          <w:p>
            <w:pPr>
              <w:ind w:left="400"/>
              <w:spacing w:after="0"/>
              <w:rPr>
                <w:sz w:val="20"/>
                <w:szCs w:val="20"/>
                <w:color w:val="auto"/>
              </w:rPr>
            </w:pPr>
            <w:r>
              <w:rPr>
                <w:rFonts w:ascii="Arial" w:cs="Arial" w:eastAsia="Arial" w:hAnsi="Arial"/>
                <w:sz w:val="16"/>
                <w:szCs w:val="16"/>
                <w:color w:val="auto"/>
                <w:w w:val="95"/>
              </w:rPr>
              <w:t>means any approval or determination of pricing or pricing reimbursement in those countries in the Territory where Regulatory</w:t>
            </w:r>
          </w:p>
        </w:tc>
      </w:tr>
      <w:tr>
        <w:trPr>
          <w:trHeight w:val="207"/>
        </w:trPr>
        <w:tc>
          <w:tcPr>
            <w:tcW w:w="258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rPr>
              <w:t>Authorities approve or determine pricing or pricing reimbursement for pharmaceutical products;</w:t>
            </w:r>
          </w:p>
        </w:tc>
      </w:tr>
      <w:tr>
        <w:trPr>
          <w:trHeight w:val="391"/>
        </w:trPr>
        <w:tc>
          <w:tcPr>
            <w:tcW w:w="2580" w:type="dxa"/>
            <w:vAlign w:val="bottom"/>
          </w:tcPr>
          <w:p>
            <w:pPr>
              <w:spacing w:after="0"/>
              <w:rPr>
                <w:sz w:val="20"/>
                <w:szCs w:val="20"/>
                <w:color w:val="auto"/>
              </w:rPr>
            </w:pPr>
            <w:r>
              <w:rPr>
                <w:rFonts w:ascii="Arial" w:cs="Arial" w:eastAsia="Arial" w:hAnsi="Arial"/>
                <w:sz w:val="16"/>
                <w:szCs w:val="16"/>
                <w:b w:val="1"/>
                <w:bCs w:val="1"/>
                <w:color w:val="auto"/>
              </w:rPr>
              <w:t>“Progress Report”</w:t>
            </w:r>
          </w:p>
        </w:tc>
        <w:tc>
          <w:tcPr>
            <w:tcW w:w="8880" w:type="dxa"/>
            <w:vAlign w:val="bottom"/>
          </w:tcPr>
          <w:p>
            <w:pPr>
              <w:ind w:left="400"/>
              <w:spacing w:after="0"/>
              <w:rPr>
                <w:sz w:val="20"/>
                <w:szCs w:val="20"/>
                <w:color w:val="auto"/>
              </w:rPr>
            </w:pPr>
            <w:r>
              <w:rPr>
                <w:rFonts w:ascii="Arial" w:cs="Arial" w:eastAsia="Arial" w:hAnsi="Arial"/>
                <w:sz w:val="16"/>
                <w:szCs w:val="16"/>
                <w:color w:val="auto"/>
              </w:rPr>
              <w:t>has the meaning given in clause 2.2.1 of the Agreement;</w:t>
            </w:r>
          </w:p>
        </w:tc>
      </w:tr>
      <w:tr>
        <w:trPr>
          <w:trHeight w:val="380"/>
        </w:trPr>
        <w:tc>
          <w:tcPr>
            <w:tcW w:w="2580" w:type="dxa"/>
            <w:vAlign w:val="bottom"/>
          </w:tcPr>
          <w:p>
            <w:pPr>
              <w:spacing w:after="0"/>
              <w:rPr>
                <w:sz w:val="20"/>
                <w:szCs w:val="20"/>
                <w:color w:val="auto"/>
              </w:rPr>
            </w:pPr>
            <w:r>
              <w:rPr>
                <w:rFonts w:ascii="Arial" w:cs="Arial" w:eastAsia="Arial" w:hAnsi="Arial"/>
                <w:sz w:val="16"/>
                <w:szCs w:val="16"/>
                <w:b w:val="1"/>
                <w:bCs w:val="1"/>
                <w:color w:val="auto"/>
              </w:rPr>
              <w:t>“Project Leader”</w:t>
            </w:r>
          </w:p>
        </w:tc>
        <w:tc>
          <w:tcPr>
            <w:tcW w:w="8880" w:type="dxa"/>
            <w:vAlign w:val="bottom"/>
          </w:tcPr>
          <w:p>
            <w:pPr>
              <w:ind w:left="400"/>
              <w:spacing w:after="0"/>
              <w:rPr>
                <w:sz w:val="20"/>
                <w:szCs w:val="20"/>
                <w:color w:val="auto"/>
              </w:rPr>
            </w:pPr>
            <w:r>
              <w:rPr>
                <w:rFonts w:ascii="Arial" w:cs="Arial" w:eastAsia="Arial" w:hAnsi="Arial"/>
                <w:sz w:val="16"/>
                <w:szCs w:val="16"/>
                <w:color w:val="auto"/>
                <w:w w:val="93"/>
              </w:rPr>
              <w:t xml:space="preserve">means the individual identified in the Cover Sheet by each Party as its </w:t>
            </w:r>
            <w:r>
              <w:rPr>
                <w:rFonts w:ascii="Arial" w:cs="Arial" w:eastAsia="Arial" w:hAnsi="Arial"/>
                <w:sz w:val="16"/>
                <w:szCs w:val="16"/>
                <w:b w:val="1"/>
                <w:bCs w:val="1"/>
                <w:color w:val="auto"/>
                <w:w w:val="93"/>
              </w:rPr>
              <w:t>‘Project Leader’,</w:t>
            </w:r>
            <w:r>
              <w:rPr>
                <w:rFonts w:ascii="Arial" w:cs="Arial" w:eastAsia="Arial" w:hAnsi="Arial"/>
                <w:sz w:val="16"/>
                <w:szCs w:val="16"/>
                <w:color w:val="auto"/>
                <w:w w:val="93"/>
              </w:rPr>
              <w:t xml:space="preserve"> or any replacement notified to the other</w:t>
            </w:r>
          </w:p>
        </w:tc>
      </w:tr>
      <w:tr>
        <w:trPr>
          <w:trHeight w:val="207"/>
        </w:trPr>
        <w:tc>
          <w:tcPr>
            <w:tcW w:w="258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rPr>
              <w:t>Parties;</w:t>
            </w:r>
          </w:p>
        </w:tc>
      </w:tr>
      <w:tr>
        <w:trPr>
          <w:trHeight w:val="391"/>
        </w:trPr>
        <w:tc>
          <w:tcPr>
            <w:tcW w:w="2580" w:type="dxa"/>
            <w:vAlign w:val="bottom"/>
          </w:tcPr>
          <w:p>
            <w:pPr>
              <w:spacing w:after="0"/>
              <w:rPr>
                <w:sz w:val="20"/>
                <w:szCs w:val="20"/>
                <w:color w:val="auto"/>
              </w:rPr>
            </w:pPr>
            <w:r>
              <w:rPr>
                <w:rFonts w:ascii="Arial" w:cs="Arial" w:eastAsia="Arial" w:hAnsi="Arial"/>
                <w:sz w:val="16"/>
                <w:szCs w:val="16"/>
                <w:b w:val="1"/>
                <w:bCs w:val="1"/>
                <w:color w:val="auto"/>
              </w:rPr>
              <w:t>“Proportionate Consideration”</w:t>
            </w:r>
          </w:p>
        </w:tc>
        <w:tc>
          <w:tcPr>
            <w:tcW w:w="8880" w:type="dxa"/>
            <w:vAlign w:val="bottom"/>
          </w:tcPr>
          <w:p>
            <w:pPr>
              <w:ind w:left="400"/>
              <w:spacing w:after="0"/>
              <w:rPr>
                <w:sz w:val="20"/>
                <w:szCs w:val="20"/>
                <w:color w:val="auto"/>
              </w:rPr>
            </w:pPr>
            <w:r>
              <w:rPr>
                <w:rFonts w:ascii="Arial" w:cs="Arial" w:eastAsia="Arial" w:hAnsi="Arial"/>
                <w:sz w:val="16"/>
                <w:szCs w:val="16"/>
                <w:color w:val="auto"/>
              </w:rPr>
              <w:t>means [***]</w:t>
            </w:r>
            <w:r>
              <w:rPr>
                <w:rFonts w:ascii="Arial" w:cs="Arial" w:eastAsia="Arial" w:hAnsi="Arial"/>
                <w:sz w:val="16"/>
                <w:szCs w:val="16"/>
                <w:b w:val="1"/>
                <w:bCs w:val="1"/>
                <w:color w:val="auto"/>
              </w:rPr>
              <w:t>;</w:t>
            </w:r>
          </w:p>
        </w:tc>
      </w:tr>
      <w:tr>
        <w:trPr>
          <w:trHeight w:val="380"/>
        </w:trPr>
        <w:tc>
          <w:tcPr>
            <w:tcW w:w="2580" w:type="dxa"/>
            <w:vAlign w:val="bottom"/>
          </w:tcPr>
          <w:p>
            <w:pPr>
              <w:spacing w:after="0"/>
              <w:rPr>
                <w:sz w:val="20"/>
                <w:szCs w:val="20"/>
                <w:color w:val="auto"/>
              </w:rPr>
            </w:pPr>
            <w:r>
              <w:rPr>
                <w:rFonts w:ascii="Arial" w:cs="Arial" w:eastAsia="Arial" w:hAnsi="Arial"/>
                <w:sz w:val="16"/>
                <w:szCs w:val="16"/>
                <w:b w:val="1"/>
                <w:bCs w:val="1"/>
                <w:color w:val="auto"/>
              </w:rPr>
              <w:t>“Qualified Person” or QP”</w:t>
            </w:r>
          </w:p>
        </w:tc>
        <w:tc>
          <w:tcPr>
            <w:tcW w:w="8880" w:type="dxa"/>
            <w:vAlign w:val="bottom"/>
          </w:tcPr>
          <w:p>
            <w:pPr>
              <w:ind w:left="400"/>
              <w:spacing w:after="0"/>
              <w:rPr>
                <w:sz w:val="20"/>
                <w:szCs w:val="20"/>
                <w:color w:val="auto"/>
              </w:rPr>
            </w:pPr>
            <w:r>
              <w:rPr>
                <w:rFonts w:ascii="Arial" w:cs="Arial" w:eastAsia="Arial" w:hAnsi="Arial"/>
                <w:sz w:val="16"/>
                <w:szCs w:val="16"/>
                <w:color w:val="auto"/>
              </w:rPr>
              <w:t>means the person referred to in Article 48 of European Community Directive 2001/83/EC, Article 13 (2) of European</w:t>
            </w:r>
          </w:p>
        </w:tc>
      </w:tr>
      <w:tr>
        <w:trPr>
          <w:trHeight w:val="196"/>
        </w:trPr>
        <w:tc>
          <w:tcPr>
            <w:tcW w:w="2580" w:type="dxa"/>
            <w:vAlign w:val="bottom"/>
          </w:tcPr>
          <w:p>
            <w:pPr>
              <w:spacing w:after="0"/>
              <w:rPr>
                <w:sz w:val="17"/>
                <w:szCs w:val="17"/>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w w:val="96"/>
              </w:rPr>
              <w:t>Community Directive 2001/20/EC, Article 61(2) of Regulation (EU) 536/2014 (if and as applicable), or any national legislation</w:t>
            </w:r>
          </w:p>
        </w:tc>
      </w:tr>
      <w:tr>
        <w:trPr>
          <w:trHeight w:val="196"/>
        </w:trPr>
        <w:tc>
          <w:tcPr>
            <w:tcW w:w="2580" w:type="dxa"/>
            <w:vAlign w:val="bottom"/>
          </w:tcPr>
          <w:p>
            <w:pPr>
              <w:spacing w:after="0"/>
              <w:rPr>
                <w:sz w:val="17"/>
                <w:szCs w:val="17"/>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w w:val="92"/>
              </w:rPr>
              <w:t>that implements such Directives or Regulation or is otherwise applicable, and any relevant guidance thereto, all as the same may</w:t>
            </w:r>
          </w:p>
        </w:tc>
      </w:tr>
      <w:tr>
        <w:trPr>
          <w:trHeight w:val="207"/>
        </w:trPr>
        <w:tc>
          <w:tcPr>
            <w:tcW w:w="258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rPr>
              <w:t>be amended from time to time;</w:t>
            </w:r>
          </w:p>
        </w:tc>
      </w:tr>
      <w:tr>
        <w:trPr>
          <w:trHeight w:val="376"/>
        </w:trPr>
        <w:tc>
          <w:tcPr>
            <w:tcW w:w="2580" w:type="dxa"/>
            <w:vAlign w:val="bottom"/>
          </w:tcPr>
          <w:p>
            <w:pPr>
              <w:spacing w:after="0"/>
              <w:rPr>
                <w:sz w:val="20"/>
                <w:szCs w:val="20"/>
                <w:color w:val="auto"/>
              </w:rPr>
            </w:pPr>
            <w:r>
              <w:rPr>
                <w:rFonts w:ascii="Arial" w:cs="Arial" w:eastAsia="Arial" w:hAnsi="Arial"/>
                <w:sz w:val="16"/>
                <w:szCs w:val="16"/>
                <w:b w:val="1"/>
                <w:bCs w:val="1"/>
                <w:color w:val="auto"/>
              </w:rPr>
              <w:t>“Quarter”</w:t>
            </w:r>
          </w:p>
        </w:tc>
        <w:tc>
          <w:tcPr>
            <w:tcW w:w="8880" w:type="dxa"/>
            <w:vAlign w:val="bottom"/>
          </w:tcPr>
          <w:p>
            <w:pPr>
              <w:ind w:left="400"/>
              <w:spacing w:after="0"/>
              <w:rPr>
                <w:sz w:val="20"/>
                <w:szCs w:val="20"/>
                <w:color w:val="auto"/>
              </w:rPr>
            </w:pPr>
            <w:r>
              <w:rPr>
                <w:rFonts w:ascii="Arial" w:cs="Arial" w:eastAsia="Arial" w:hAnsi="Arial"/>
                <w:sz w:val="16"/>
                <w:szCs w:val="16"/>
                <w:color w:val="auto"/>
                <w:w w:val="95"/>
              </w:rPr>
              <w:t>means any of the three-monthly periods beginning on the first day of any of January, April, July, and October in any year and</w:t>
            </w:r>
          </w:p>
        </w:tc>
      </w:tr>
      <w:tr>
        <w:trPr>
          <w:trHeight w:val="211"/>
        </w:trPr>
        <w:tc>
          <w:tcPr>
            <w:tcW w:w="258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6"/>
                <w:szCs w:val="16"/>
                <w:b w:val="1"/>
                <w:bCs w:val="1"/>
                <w:color w:val="auto"/>
              </w:rPr>
              <w:t xml:space="preserve">“Quarterly” </w:t>
            </w:r>
            <w:r>
              <w:rPr>
                <w:rFonts w:ascii="Arial" w:cs="Arial" w:eastAsia="Arial" w:hAnsi="Arial"/>
                <w:sz w:val="16"/>
                <w:szCs w:val="16"/>
                <w:color w:val="auto"/>
              </w:rPr>
              <w:t>has a corresponding meaning;</w:t>
            </w:r>
          </w:p>
        </w:tc>
      </w:tr>
      <w:tr>
        <w:trPr>
          <w:trHeight w:val="380"/>
        </w:trPr>
        <w:tc>
          <w:tcPr>
            <w:tcW w:w="2580" w:type="dxa"/>
            <w:vAlign w:val="bottom"/>
          </w:tcPr>
          <w:p>
            <w:pPr>
              <w:spacing w:after="0"/>
              <w:rPr>
                <w:sz w:val="20"/>
                <w:szCs w:val="20"/>
                <w:color w:val="auto"/>
              </w:rPr>
            </w:pPr>
            <w:r>
              <w:rPr>
                <w:rFonts w:ascii="Arial" w:cs="Arial" w:eastAsia="Arial" w:hAnsi="Arial"/>
                <w:sz w:val="16"/>
                <w:szCs w:val="16"/>
                <w:b w:val="1"/>
                <w:bCs w:val="1"/>
                <w:color w:val="auto"/>
              </w:rPr>
              <w:t>“Regulatory Authorisations”</w:t>
            </w:r>
          </w:p>
        </w:tc>
        <w:tc>
          <w:tcPr>
            <w:tcW w:w="8880" w:type="dxa"/>
            <w:vAlign w:val="bottom"/>
          </w:tcPr>
          <w:p>
            <w:pPr>
              <w:ind w:left="400"/>
              <w:spacing w:after="0"/>
              <w:rPr>
                <w:sz w:val="20"/>
                <w:szCs w:val="20"/>
                <w:color w:val="auto"/>
              </w:rPr>
            </w:pPr>
            <w:r>
              <w:rPr>
                <w:rFonts w:ascii="Arial" w:cs="Arial" w:eastAsia="Arial" w:hAnsi="Arial"/>
                <w:sz w:val="16"/>
                <w:szCs w:val="16"/>
                <w:color w:val="auto"/>
                <w:w w:val="92"/>
              </w:rPr>
              <w:t>means all authorisations, approvals and clearances that may be required by a Regulatory Authority in any country or region in the</w:t>
            </w:r>
          </w:p>
        </w:tc>
      </w:tr>
      <w:tr>
        <w:trPr>
          <w:trHeight w:val="196"/>
        </w:trPr>
        <w:tc>
          <w:tcPr>
            <w:tcW w:w="2580" w:type="dxa"/>
            <w:vAlign w:val="bottom"/>
          </w:tcPr>
          <w:p>
            <w:pPr>
              <w:spacing w:after="0"/>
              <w:rPr>
                <w:sz w:val="17"/>
                <w:szCs w:val="17"/>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w w:val="95"/>
              </w:rPr>
              <w:t>Territory before (as the context may require) Phase II Clinical Trial Commencement or Phase III Clinical Trial Commencement</w:t>
            </w:r>
          </w:p>
        </w:tc>
      </w:tr>
      <w:tr>
        <w:trPr>
          <w:trHeight w:val="207"/>
        </w:trPr>
        <w:tc>
          <w:tcPr>
            <w:tcW w:w="2580" w:type="dxa"/>
            <w:vAlign w:val="bottom"/>
          </w:tcPr>
          <w:p>
            <w:pPr>
              <w:spacing w:after="0"/>
              <w:rPr>
                <w:sz w:val="18"/>
                <w:szCs w:val="18"/>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w w:val="98"/>
              </w:rPr>
              <w:t>or commercial sale of the Agent Product or the Collaboration Product. Price Approvals are not Regulatory Authorisations;</w:t>
            </w:r>
          </w:p>
        </w:tc>
      </w:tr>
      <w:tr>
        <w:trPr>
          <w:trHeight w:val="391"/>
        </w:trPr>
        <w:tc>
          <w:tcPr>
            <w:tcW w:w="2580" w:type="dxa"/>
            <w:vAlign w:val="bottom"/>
          </w:tcPr>
          <w:p>
            <w:pPr>
              <w:spacing w:after="0"/>
              <w:rPr>
                <w:sz w:val="24"/>
                <w:szCs w:val="24"/>
                <w:color w:val="auto"/>
              </w:rPr>
            </w:pPr>
          </w:p>
        </w:tc>
        <w:tc>
          <w:tcPr>
            <w:tcW w:w="8880" w:type="dxa"/>
            <w:vAlign w:val="bottom"/>
          </w:tcPr>
          <w:p>
            <w:pPr>
              <w:ind w:left="3060"/>
              <w:spacing w:after="0"/>
              <w:rPr>
                <w:sz w:val="20"/>
                <w:szCs w:val="20"/>
                <w:color w:val="auto"/>
              </w:rPr>
            </w:pPr>
            <w:r>
              <w:rPr>
                <w:rFonts w:ascii="Arial" w:cs="Arial" w:eastAsia="Arial" w:hAnsi="Arial"/>
                <w:sz w:val="16"/>
                <w:szCs w:val="16"/>
                <w:color w:val="auto"/>
              </w:rPr>
              <w:t>11</w:t>
            </w:r>
          </w:p>
        </w:tc>
      </w:tr>
      <w:tr>
        <w:trPr>
          <w:trHeight w:val="119"/>
        </w:trPr>
        <w:tc>
          <w:tcPr>
            <w:tcW w:w="2580" w:type="dxa"/>
            <w:vAlign w:val="bottom"/>
            <w:tcBorders>
              <w:bottom w:val="single" w:sz="8" w:color="808080"/>
            </w:tcBorders>
          </w:tcPr>
          <w:p>
            <w:pPr>
              <w:spacing w:after="0"/>
              <w:rPr>
                <w:sz w:val="10"/>
                <w:szCs w:val="10"/>
                <w:color w:val="auto"/>
              </w:rPr>
            </w:pPr>
          </w:p>
        </w:tc>
        <w:tc>
          <w:tcPr>
            <w:tcW w:w="8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3" w:right="199" w:bottom="1440" w:gutter="0" w:footer="0" w:header="0"/>
        </w:sectPr>
      </w:pPr>
    </w:p>
    <w:bookmarkStart w:id="610" w:name="page611"/>
    <w:bookmarkEnd w:id="610"/>
    <w:p>
      <w:pPr>
        <w:ind w:left="2" w:right="240" w:hanging="2"/>
        <w:spacing w:after="0" w:line="270" w:lineRule="auto"/>
        <w:tabs>
          <w:tab w:leader="none" w:pos="396" w:val="left"/>
        </w:tabs>
        <w:numPr>
          <w:ilvl w:val="0"/>
          <w:numId w:val="627"/>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2600" w:type="dxa"/>
            <w:vAlign w:val="bottom"/>
          </w:tcPr>
          <w:p>
            <w:pPr>
              <w:spacing w:after="0"/>
              <w:rPr>
                <w:sz w:val="20"/>
                <w:szCs w:val="20"/>
                <w:color w:val="auto"/>
              </w:rPr>
            </w:pPr>
            <w:r>
              <w:rPr>
                <w:rFonts w:ascii="Arial" w:cs="Arial" w:eastAsia="Arial" w:hAnsi="Arial"/>
                <w:sz w:val="16"/>
                <w:szCs w:val="16"/>
                <w:b w:val="1"/>
                <w:bCs w:val="1"/>
                <w:color w:val="auto"/>
              </w:rPr>
              <w:t>“Regulatory Authority”</w:t>
            </w:r>
          </w:p>
        </w:tc>
        <w:tc>
          <w:tcPr>
            <w:tcW w:w="8860" w:type="dxa"/>
            <w:vAlign w:val="bottom"/>
          </w:tcPr>
          <w:p>
            <w:pPr>
              <w:ind w:left="380"/>
              <w:spacing w:after="0"/>
              <w:rPr>
                <w:sz w:val="20"/>
                <w:szCs w:val="20"/>
                <w:color w:val="auto"/>
              </w:rPr>
            </w:pPr>
            <w:r>
              <w:rPr>
                <w:rFonts w:ascii="Arial" w:cs="Arial" w:eastAsia="Arial" w:hAnsi="Arial"/>
                <w:sz w:val="16"/>
                <w:szCs w:val="16"/>
                <w:color w:val="auto"/>
                <w:w w:val="96"/>
              </w:rPr>
              <w:t>means any local or national agency, court, authority, department, inspectorate, minister, ministry official or public or statutory</w:t>
            </w:r>
          </w:p>
        </w:tc>
      </w:tr>
      <w:tr>
        <w:trPr>
          <w:trHeight w:val="207"/>
        </w:trPr>
        <w:tc>
          <w:tcPr>
            <w:tcW w:w="2600" w:type="dxa"/>
            <w:vAlign w:val="bottom"/>
          </w:tcPr>
          <w:p>
            <w:pPr>
              <w:spacing w:after="0"/>
              <w:rPr>
                <w:sz w:val="18"/>
                <w:szCs w:val="18"/>
                <w:color w:val="auto"/>
              </w:rPr>
            </w:pPr>
          </w:p>
        </w:tc>
        <w:tc>
          <w:tcPr>
            <w:tcW w:w="8860" w:type="dxa"/>
            <w:vAlign w:val="bottom"/>
          </w:tcPr>
          <w:p>
            <w:pPr>
              <w:ind w:left="380"/>
              <w:spacing w:after="0"/>
              <w:rPr>
                <w:sz w:val="20"/>
                <w:szCs w:val="20"/>
                <w:color w:val="auto"/>
              </w:rPr>
            </w:pPr>
            <w:r>
              <w:rPr>
                <w:rFonts w:ascii="Arial" w:cs="Arial" w:eastAsia="Arial" w:hAnsi="Arial"/>
                <w:sz w:val="16"/>
                <w:szCs w:val="16"/>
                <w:color w:val="auto"/>
              </w:rPr>
              <w:t>person with jurisdiction over this Agreement or the Parties or the development or marketing of medicinal products;</w:t>
            </w:r>
          </w:p>
        </w:tc>
      </w:tr>
      <w:tr>
        <w:trPr>
          <w:trHeight w:val="391"/>
        </w:trPr>
        <w:tc>
          <w:tcPr>
            <w:tcW w:w="2600" w:type="dxa"/>
            <w:vAlign w:val="bottom"/>
          </w:tcPr>
          <w:p>
            <w:pPr>
              <w:spacing w:after="0"/>
              <w:rPr>
                <w:sz w:val="20"/>
                <w:szCs w:val="20"/>
                <w:color w:val="auto"/>
              </w:rPr>
            </w:pPr>
            <w:r>
              <w:rPr>
                <w:rFonts w:ascii="Arial" w:cs="Arial" w:eastAsia="Arial" w:hAnsi="Arial"/>
                <w:sz w:val="16"/>
                <w:szCs w:val="16"/>
                <w:b w:val="1"/>
                <w:bCs w:val="1"/>
                <w:color w:val="auto"/>
              </w:rPr>
              <w:t>“Replacement Product”</w:t>
            </w:r>
          </w:p>
        </w:tc>
        <w:tc>
          <w:tcPr>
            <w:tcW w:w="8860" w:type="dxa"/>
            <w:vAlign w:val="bottom"/>
          </w:tcPr>
          <w:p>
            <w:pPr>
              <w:ind w:left="380"/>
              <w:spacing w:after="0"/>
              <w:rPr>
                <w:sz w:val="20"/>
                <w:szCs w:val="20"/>
                <w:color w:val="auto"/>
              </w:rPr>
            </w:pPr>
            <w:r>
              <w:rPr>
                <w:rFonts w:ascii="Arial" w:cs="Arial" w:eastAsia="Arial" w:hAnsi="Arial"/>
                <w:sz w:val="16"/>
                <w:szCs w:val="16"/>
                <w:color w:val="auto"/>
              </w:rPr>
              <w:t>has the meaning given in section 5.5.1 of the Licence Terms;</w:t>
            </w:r>
          </w:p>
        </w:tc>
      </w:tr>
      <w:tr>
        <w:trPr>
          <w:trHeight w:val="391"/>
        </w:trPr>
        <w:tc>
          <w:tcPr>
            <w:tcW w:w="2600" w:type="dxa"/>
            <w:vAlign w:val="bottom"/>
          </w:tcPr>
          <w:p>
            <w:pPr>
              <w:spacing w:after="0"/>
              <w:rPr>
                <w:sz w:val="20"/>
                <w:szCs w:val="20"/>
                <w:color w:val="auto"/>
              </w:rPr>
            </w:pPr>
            <w:r>
              <w:rPr>
                <w:rFonts w:ascii="Arial" w:cs="Arial" w:eastAsia="Arial" w:hAnsi="Arial"/>
                <w:sz w:val="16"/>
                <w:szCs w:val="16"/>
                <w:b w:val="1"/>
                <w:bCs w:val="1"/>
                <w:color w:val="auto"/>
              </w:rPr>
              <w:t>“Results”</w:t>
            </w:r>
          </w:p>
        </w:tc>
        <w:tc>
          <w:tcPr>
            <w:tcW w:w="8860" w:type="dxa"/>
            <w:vAlign w:val="bottom"/>
          </w:tcPr>
          <w:p>
            <w:pPr>
              <w:ind w:left="380"/>
              <w:spacing w:after="0"/>
              <w:rPr>
                <w:sz w:val="20"/>
                <w:szCs w:val="20"/>
                <w:color w:val="auto"/>
              </w:rPr>
            </w:pPr>
            <w:r>
              <w:rPr>
                <w:rFonts w:ascii="Arial" w:cs="Arial" w:eastAsia="Arial" w:hAnsi="Arial"/>
                <w:sz w:val="16"/>
                <w:szCs w:val="16"/>
                <w:color w:val="auto"/>
              </w:rPr>
              <w:t>has the meaning given in clause 7.1 of the Agreement;</w:t>
            </w:r>
          </w:p>
        </w:tc>
      </w:tr>
      <w:tr>
        <w:trPr>
          <w:trHeight w:val="391"/>
        </w:trPr>
        <w:tc>
          <w:tcPr>
            <w:tcW w:w="2600" w:type="dxa"/>
            <w:vAlign w:val="bottom"/>
          </w:tcPr>
          <w:p>
            <w:pPr>
              <w:spacing w:after="0"/>
              <w:rPr>
                <w:sz w:val="20"/>
                <w:szCs w:val="20"/>
                <w:color w:val="auto"/>
              </w:rPr>
            </w:pPr>
            <w:r>
              <w:rPr>
                <w:rFonts w:ascii="Arial" w:cs="Arial" w:eastAsia="Arial" w:hAnsi="Arial"/>
                <w:sz w:val="16"/>
                <w:szCs w:val="16"/>
                <w:b w:val="1"/>
                <w:bCs w:val="1"/>
                <w:color w:val="auto"/>
              </w:rPr>
              <w:t>“Start Date”</w:t>
            </w:r>
          </w:p>
        </w:tc>
        <w:tc>
          <w:tcPr>
            <w:tcW w:w="8860" w:type="dxa"/>
            <w:vAlign w:val="bottom"/>
          </w:tcPr>
          <w:p>
            <w:pPr>
              <w:ind w:left="380"/>
              <w:spacing w:after="0"/>
              <w:rPr>
                <w:sz w:val="20"/>
                <w:szCs w:val="20"/>
                <w:color w:val="auto"/>
              </w:rPr>
            </w:pPr>
            <w:r>
              <w:rPr>
                <w:rFonts w:ascii="Arial" w:cs="Arial" w:eastAsia="Arial" w:hAnsi="Arial"/>
                <w:sz w:val="16"/>
                <w:szCs w:val="16"/>
                <w:color w:val="auto"/>
              </w:rPr>
              <w:t>means the date identified in the Cover Sheet as the “</w:t>
            </w:r>
            <w:r>
              <w:rPr>
                <w:rFonts w:ascii="Arial" w:cs="Arial" w:eastAsia="Arial" w:hAnsi="Arial"/>
                <w:sz w:val="16"/>
                <w:szCs w:val="16"/>
                <w:b w:val="1"/>
                <w:bCs w:val="1"/>
                <w:color w:val="auto"/>
              </w:rPr>
              <w:t>Start Date</w:t>
            </w:r>
            <w:r>
              <w:rPr>
                <w:rFonts w:ascii="Arial" w:cs="Arial" w:eastAsia="Arial" w:hAnsi="Arial"/>
                <w:sz w:val="16"/>
                <w:szCs w:val="16"/>
                <w:color w:val="auto"/>
              </w:rPr>
              <w:t>”</w:t>
            </w:r>
            <w:r>
              <w:rPr>
                <w:rFonts w:ascii="Arial" w:cs="Arial" w:eastAsia="Arial" w:hAnsi="Arial"/>
                <w:sz w:val="16"/>
                <w:szCs w:val="16"/>
                <w:b w:val="1"/>
                <w:bCs w:val="1"/>
                <w:color w:val="auto"/>
              </w:rPr>
              <w:t>;</w:t>
            </w:r>
          </w:p>
        </w:tc>
      </w:tr>
      <w:tr>
        <w:trPr>
          <w:trHeight w:val="391"/>
        </w:trPr>
        <w:tc>
          <w:tcPr>
            <w:tcW w:w="2600" w:type="dxa"/>
            <w:vAlign w:val="bottom"/>
          </w:tcPr>
          <w:p>
            <w:pPr>
              <w:spacing w:after="0"/>
              <w:rPr>
                <w:sz w:val="20"/>
                <w:szCs w:val="20"/>
                <w:color w:val="auto"/>
              </w:rPr>
            </w:pPr>
            <w:r>
              <w:rPr>
                <w:rFonts w:ascii="Arial" w:cs="Arial" w:eastAsia="Arial" w:hAnsi="Arial"/>
                <w:sz w:val="16"/>
                <w:szCs w:val="16"/>
                <w:b w:val="1"/>
                <w:bCs w:val="1"/>
                <w:color w:val="auto"/>
              </w:rPr>
              <w:t>“Step-In Agreement”</w:t>
            </w:r>
          </w:p>
        </w:tc>
        <w:tc>
          <w:tcPr>
            <w:tcW w:w="8860" w:type="dxa"/>
            <w:vAlign w:val="bottom"/>
          </w:tcPr>
          <w:p>
            <w:pPr>
              <w:ind w:left="380"/>
              <w:spacing w:after="0"/>
              <w:rPr>
                <w:sz w:val="20"/>
                <w:szCs w:val="20"/>
                <w:color w:val="auto"/>
              </w:rPr>
            </w:pPr>
            <w:r>
              <w:rPr>
                <w:rFonts w:ascii="Arial" w:cs="Arial" w:eastAsia="Arial" w:hAnsi="Arial"/>
                <w:sz w:val="16"/>
                <w:szCs w:val="16"/>
                <w:color w:val="auto"/>
              </w:rPr>
              <w:t>means an agreement in the form set out in Schedule 2;</w:t>
            </w:r>
          </w:p>
        </w:tc>
      </w:tr>
      <w:tr>
        <w:trPr>
          <w:trHeight w:val="391"/>
        </w:trPr>
        <w:tc>
          <w:tcPr>
            <w:tcW w:w="2600" w:type="dxa"/>
            <w:vAlign w:val="bottom"/>
          </w:tcPr>
          <w:p>
            <w:pPr>
              <w:spacing w:after="0"/>
              <w:rPr>
                <w:sz w:val="20"/>
                <w:szCs w:val="20"/>
                <w:color w:val="auto"/>
              </w:rPr>
            </w:pPr>
            <w:r>
              <w:rPr>
                <w:rFonts w:ascii="Arial" w:cs="Arial" w:eastAsia="Arial" w:hAnsi="Arial"/>
                <w:sz w:val="16"/>
                <w:szCs w:val="16"/>
                <w:b w:val="1"/>
                <w:bCs w:val="1"/>
                <w:color w:val="auto"/>
              </w:rPr>
              <w:t>“Sub-Licensee”</w:t>
            </w:r>
          </w:p>
        </w:tc>
        <w:tc>
          <w:tcPr>
            <w:tcW w:w="8860" w:type="dxa"/>
            <w:vAlign w:val="bottom"/>
          </w:tcPr>
          <w:p>
            <w:pPr>
              <w:ind w:left="380"/>
              <w:spacing w:after="0"/>
              <w:rPr>
                <w:sz w:val="20"/>
                <w:szCs w:val="20"/>
                <w:color w:val="auto"/>
              </w:rPr>
            </w:pPr>
            <w:r>
              <w:rPr>
                <w:rFonts w:ascii="Arial" w:cs="Arial" w:eastAsia="Arial" w:hAnsi="Arial"/>
                <w:sz w:val="16"/>
                <w:szCs w:val="16"/>
                <w:color w:val="auto"/>
              </w:rPr>
              <w:t>means any person who is granted:</w:t>
            </w:r>
          </w:p>
        </w:tc>
      </w:tr>
      <w:tr>
        <w:trPr>
          <w:trHeight w:val="380"/>
        </w:trPr>
        <w:tc>
          <w:tcPr>
            <w:tcW w:w="260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16"/>
                <w:szCs w:val="16"/>
                <w:color w:val="auto"/>
                <w:w w:val="98"/>
              </w:rPr>
              <w:t>a)  a sub-licence in accordance with section 2.5 of the Licence Terms and any further tiers of sub-licence granted under it</w:t>
            </w:r>
          </w:p>
        </w:tc>
      </w:tr>
      <w:tr>
        <w:trPr>
          <w:trHeight w:val="207"/>
        </w:trPr>
        <w:tc>
          <w:tcPr>
            <w:tcW w:w="2600" w:type="dxa"/>
            <w:vAlign w:val="bottom"/>
          </w:tcPr>
          <w:p>
            <w:pPr>
              <w:spacing w:after="0"/>
              <w:rPr>
                <w:sz w:val="18"/>
                <w:szCs w:val="18"/>
                <w:color w:val="auto"/>
              </w:rPr>
            </w:pPr>
          </w:p>
        </w:tc>
        <w:tc>
          <w:tcPr>
            <w:tcW w:w="8860" w:type="dxa"/>
            <w:vAlign w:val="bottom"/>
          </w:tcPr>
          <w:p>
            <w:pPr>
              <w:ind w:left="680"/>
              <w:spacing w:after="0"/>
              <w:rPr>
                <w:sz w:val="20"/>
                <w:szCs w:val="20"/>
                <w:color w:val="auto"/>
              </w:rPr>
            </w:pPr>
            <w:r>
              <w:rPr>
                <w:rFonts w:ascii="Arial" w:cs="Arial" w:eastAsia="Arial" w:hAnsi="Arial"/>
                <w:sz w:val="16"/>
                <w:szCs w:val="16"/>
                <w:color w:val="auto"/>
              </w:rPr>
              <w:t>(including Third Party Service Providers); or</w:t>
            </w:r>
          </w:p>
        </w:tc>
      </w:tr>
      <w:tr>
        <w:trPr>
          <w:trHeight w:val="380"/>
        </w:trPr>
        <w:tc>
          <w:tcPr>
            <w:tcW w:w="260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16"/>
                <w:szCs w:val="16"/>
                <w:color w:val="auto"/>
              </w:rPr>
              <w:t>b)  a licence by the Company under the Agent IP or Collaboration Product IP or to sell Agent Products or Collaboration</w:t>
            </w:r>
          </w:p>
        </w:tc>
      </w:tr>
      <w:tr>
        <w:trPr>
          <w:trHeight w:val="207"/>
        </w:trPr>
        <w:tc>
          <w:tcPr>
            <w:tcW w:w="2600" w:type="dxa"/>
            <w:vAlign w:val="bottom"/>
          </w:tcPr>
          <w:p>
            <w:pPr>
              <w:spacing w:after="0"/>
              <w:rPr>
                <w:sz w:val="18"/>
                <w:szCs w:val="18"/>
                <w:color w:val="auto"/>
              </w:rPr>
            </w:pPr>
          </w:p>
        </w:tc>
        <w:tc>
          <w:tcPr>
            <w:tcW w:w="8860" w:type="dxa"/>
            <w:vAlign w:val="bottom"/>
          </w:tcPr>
          <w:p>
            <w:pPr>
              <w:ind w:left="680"/>
              <w:spacing w:after="0"/>
              <w:rPr>
                <w:sz w:val="20"/>
                <w:szCs w:val="20"/>
                <w:color w:val="auto"/>
              </w:rPr>
            </w:pPr>
            <w:r>
              <w:rPr>
                <w:rFonts w:ascii="Arial" w:cs="Arial" w:eastAsia="Arial" w:hAnsi="Arial"/>
                <w:sz w:val="16"/>
                <w:szCs w:val="16"/>
                <w:color w:val="auto"/>
              </w:rPr>
              <w:t>Products anywhere in the Territory;</w:t>
            </w:r>
          </w:p>
        </w:tc>
      </w:tr>
      <w:tr>
        <w:trPr>
          <w:trHeight w:val="391"/>
        </w:trPr>
        <w:tc>
          <w:tcPr>
            <w:tcW w:w="2600" w:type="dxa"/>
            <w:vAlign w:val="bottom"/>
          </w:tcPr>
          <w:p>
            <w:pPr>
              <w:spacing w:after="0"/>
              <w:rPr>
                <w:sz w:val="20"/>
                <w:szCs w:val="20"/>
                <w:color w:val="auto"/>
              </w:rPr>
            </w:pPr>
            <w:r>
              <w:rPr>
                <w:rFonts w:ascii="Arial" w:cs="Arial" w:eastAsia="Arial" w:hAnsi="Arial"/>
                <w:sz w:val="16"/>
                <w:szCs w:val="16"/>
                <w:b w:val="1"/>
                <w:bCs w:val="1"/>
                <w:color w:val="auto"/>
              </w:rPr>
              <w:t>“Technical Agreement”</w:t>
            </w:r>
          </w:p>
        </w:tc>
        <w:tc>
          <w:tcPr>
            <w:tcW w:w="8860" w:type="dxa"/>
            <w:vAlign w:val="bottom"/>
          </w:tcPr>
          <w:p>
            <w:pPr>
              <w:ind w:left="380"/>
              <w:spacing w:after="0"/>
              <w:rPr>
                <w:sz w:val="20"/>
                <w:szCs w:val="20"/>
                <w:color w:val="auto"/>
              </w:rPr>
            </w:pPr>
            <w:r>
              <w:rPr>
                <w:rFonts w:ascii="Arial" w:cs="Arial" w:eastAsia="Arial" w:hAnsi="Arial"/>
                <w:sz w:val="16"/>
                <w:szCs w:val="16"/>
                <w:color w:val="auto"/>
              </w:rPr>
              <w:t>has the meaning given in clause 5.2 of the Agreement;</w:t>
            </w:r>
          </w:p>
        </w:tc>
      </w:tr>
      <w:tr>
        <w:trPr>
          <w:trHeight w:val="391"/>
        </w:trPr>
        <w:tc>
          <w:tcPr>
            <w:tcW w:w="2600" w:type="dxa"/>
            <w:vAlign w:val="bottom"/>
          </w:tcPr>
          <w:p>
            <w:pPr>
              <w:spacing w:after="0"/>
              <w:rPr>
                <w:sz w:val="20"/>
                <w:szCs w:val="20"/>
                <w:color w:val="auto"/>
              </w:rPr>
            </w:pPr>
            <w:r>
              <w:rPr>
                <w:rFonts w:ascii="Arial" w:cs="Arial" w:eastAsia="Arial" w:hAnsi="Arial"/>
                <w:sz w:val="16"/>
                <w:szCs w:val="16"/>
                <w:b w:val="1"/>
                <w:bCs w:val="1"/>
                <w:color w:val="auto"/>
              </w:rPr>
              <w:t>“Term”</w:t>
            </w:r>
          </w:p>
        </w:tc>
        <w:tc>
          <w:tcPr>
            <w:tcW w:w="8860" w:type="dxa"/>
            <w:vAlign w:val="bottom"/>
          </w:tcPr>
          <w:p>
            <w:pPr>
              <w:ind w:left="380"/>
              <w:spacing w:after="0"/>
              <w:rPr>
                <w:sz w:val="20"/>
                <w:szCs w:val="20"/>
                <w:color w:val="auto"/>
              </w:rPr>
            </w:pPr>
            <w:r>
              <w:rPr>
                <w:rFonts w:ascii="Arial" w:cs="Arial" w:eastAsia="Arial" w:hAnsi="Arial"/>
                <w:sz w:val="16"/>
                <w:szCs w:val="16"/>
                <w:color w:val="auto"/>
              </w:rPr>
              <w:t>means the term of the Agreement as determined under clause 15 of the Agreement;</w:t>
            </w:r>
          </w:p>
        </w:tc>
      </w:tr>
      <w:tr>
        <w:trPr>
          <w:trHeight w:val="391"/>
        </w:trPr>
        <w:tc>
          <w:tcPr>
            <w:tcW w:w="2600" w:type="dxa"/>
            <w:vAlign w:val="bottom"/>
          </w:tcPr>
          <w:p>
            <w:pPr>
              <w:spacing w:after="0"/>
              <w:rPr>
                <w:sz w:val="20"/>
                <w:szCs w:val="20"/>
                <w:color w:val="auto"/>
              </w:rPr>
            </w:pPr>
            <w:r>
              <w:rPr>
                <w:rFonts w:ascii="Arial" w:cs="Arial" w:eastAsia="Arial" w:hAnsi="Arial"/>
                <w:sz w:val="16"/>
                <w:szCs w:val="16"/>
                <w:b w:val="1"/>
                <w:bCs w:val="1"/>
                <w:color w:val="auto"/>
              </w:rPr>
              <w:t>“Territory”</w:t>
            </w:r>
          </w:p>
        </w:tc>
        <w:tc>
          <w:tcPr>
            <w:tcW w:w="8860" w:type="dxa"/>
            <w:vAlign w:val="bottom"/>
          </w:tcPr>
          <w:p>
            <w:pPr>
              <w:ind w:left="380"/>
              <w:spacing w:after="0"/>
              <w:rPr>
                <w:sz w:val="20"/>
                <w:szCs w:val="20"/>
                <w:color w:val="auto"/>
              </w:rPr>
            </w:pPr>
            <w:r>
              <w:rPr>
                <w:rFonts w:ascii="Arial" w:cs="Arial" w:eastAsia="Arial" w:hAnsi="Arial"/>
                <w:sz w:val="16"/>
                <w:szCs w:val="16"/>
                <w:color w:val="auto"/>
              </w:rPr>
              <w:t>means worldwide;</w:t>
            </w:r>
          </w:p>
        </w:tc>
      </w:tr>
      <w:tr>
        <w:trPr>
          <w:trHeight w:val="391"/>
        </w:trPr>
        <w:tc>
          <w:tcPr>
            <w:tcW w:w="2600" w:type="dxa"/>
            <w:vAlign w:val="bottom"/>
          </w:tcPr>
          <w:p>
            <w:pPr>
              <w:spacing w:after="0"/>
              <w:rPr>
                <w:sz w:val="20"/>
                <w:szCs w:val="20"/>
                <w:color w:val="auto"/>
              </w:rPr>
            </w:pPr>
            <w:r>
              <w:rPr>
                <w:rFonts w:ascii="Arial" w:cs="Arial" w:eastAsia="Arial" w:hAnsi="Arial"/>
                <w:sz w:val="16"/>
                <w:szCs w:val="16"/>
                <w:b w:val="1"/>
                <w:bCs w:val="1"/>
                <w:color w:val="auto"/>
              </w:rPr>
              <w:t>“Third Party Agreements”</w:t>
            </w:r>
          </w:p>
        </w:tc>
        <w:tc>
          <w:tcPr>
            <w:tcW w:w="8860" w:type="dxa"/>
            <w:vAlign w:val="bottom"/>
          </w:tcPr>
          <w:p>
            <w:pPr>
              <w:ind w:left="380"/>
              <w:spacing w:after="0"/>
              <w:rPr>
                <w:sz w:val="20"/>
                <w:szCs w:val="20"/>
                <w:color w:val="auto"/>
              </w:rPr>
            </w:pPr>
            <w:r>
              <w:rPr>
                <w:rFonts w:ascii="Arial" w:cs="Arial" w:eastAsia="Arial" w:hAnsi="Arial"/>
                <w:sz w:val="16"/>
                <w:szCs w:val="16"/>
                <w:color w:val="auto"/>
              </w:rPr>
              <w:t>means all agreements or other arrangements under which the Company has been granted Third Party IP;</w:t>
            </w:r>
          </w:p>
        </w:tc>
      </w:tr>
      <w:tr>
        <w:trPr>
          <w:trHeight w:val="391"/>
        </w:trPr>
        <w:tc>
          <w:tcPr>
            <w:tcW w:w="2600" w:type="dxa"/>
            <w:vAlign w:val="bottom"/>
          </w:tcPr>
          <w:p>
            <w:pPr>
              <w:spacing w:after="0"/>
              <w:rPr>
                <w:sz w:val="20"/>
                <w:szCs w:val="20"/>
                <w:color w:val="auto"/>
              </w:rPr>
            </w:pPr>
            <w:r>
              <w:rPr>
                <w:rFonts w:ascii="Arial" w:cs="Arial" w:eastAsia="Arial" w:hAnsi="Arial"/>
                <w:sz w:val="16"/>
                <w:szCs w:val="16"/>
                <w:b w:val="1"/>
                <w:bCs w:val="1"/>
                <w:color w:val="auto"/>
              </w:rPr>
              <w:t>“Third Party Beneficiary”</w:t>
            </w:r>
          </w:p>
        </w:tc>
        <w:tc>
          <w:tcPr>
            <w:tcW w:w="8860" w:type="dxa"/>
            <w:vAlign w:val="bottom"/>
          </w:tcPr>
          <w:p>
            <w:pPr>
              <w:ind w:left="380"/>
              <w:spacing w:after="0"/>
              <w:rPr>
                <w:sz w:val="20"/>
                <w:szCs w:val="20"/>
                <w:color w:val="auto"/>
              </w:rPr>
            </w:pPr>
            <w:r>
              <w:rPr>
                <w:rFonts w:ascii="Arial" w:cs="Arial" w:eastAsia="Arial" w:hAnsi="Arial"/>
                <w:sz w:val="16"/>
                <w:szCs w:val="16"/>
                <w:color w:val="auto"/>
              </w:rPr>
              <w:t>has the meaning given in clause 17.16 of the Agreement;</w:t>
            </w:r>
          </w:p>
        </w:tc>
      </w:tr>
      <w:tr>
        <w:trPr>
          <w:trHeight w:val="376"/>
        </w:trPr>
        <w:tc>
          <w:tcPr>
            <w:tcW w:w="2600" w:type="dxa"/>
            <w:vAlign w:val="bottom"/>
          </w:tcPr>
          <w:p>
            <w:pPr>
              <w:spacing w:after="0"/>
              <w:rPr>
                <w:sz w:val="20"/>
                <w:szCs w:val="20"/>
                <w:color w:val="auto"/>
              </w:rPr>
            </w:pPr>
            <w:r>
              <w:rPr>
                <w:rFonts w:ascii="Arial" w:cs="Arial" w:eastAsia="Arial" w:hAnsi="Arial"/>
                <w:sz w:val="16"/>
                <w:szCs w:val="16"/>
                <w:b w:val="1"/>
                <w:bCs w:val="1"/>
                <w:color w:val="auto"/>
              </w:rPr>
              <w:t>“Third Party IP”</w:t>
            </w:r>
          </w:p>
        </w:tc>
        <w:tc>
          <w:tcPr>
            <w:tcW w:w="8860" w:type="dxa"/>
            <w:vAlign w:val="bottom"/>
          </w:tcPr>
          <w:p>
            <w:pPr>
              <w:ind w:left="380"/>
              <w:spacing w:after="0"/>
              <w:rPr>
                <w:sz w:val="20"/>
                <w:szCs w:val="20"/>
                <w:color w:val="auto"/>
              </w:rPr>
            </w:pPr>
            <w:r>
              <w:rPr>
                <w:rFonts w:ascii="Arial" w:cs="Arial" w:eastAsia="Arial" w:hAnsi="Arial"/>
                <w:sz w:val="16"/>
                <w:szCs w:val="16"/>
                <w:color w:val="auto"/>
                <w:w w:val="92"/>
              </w:rPr>
              <w:t>means all Agent IP or Collaboration IP licensed to the Company by a third party, including the IP described in the Cover Sheet as</w:t>
            </w:r>
          </w:p>
        </w:tc>
      </w:tr>
      <w:tr>
        <w:trPr>
          <w:trHeight w:val="211"/>
        </w:trPr>
        <w:tc>
          <w:tcPr>
            <w:tcW w:w="2600" w:type="dxa"/>
            <w:vAlign w:val="bottom"/>
          </w:tcPr>
          <w:p>
            <w:pPr>
              <w:spacing w:after="0"/>
              <w:rPr>
                <w:sz w:val="18"/>
                <w:szCs w:val="18"/>
                <w:color w:val="auto"/>
              </w:rPr>
            </w:pPr>
          </w:p>
        </w:tc>
        <w:tc>
          <w:tcPr>
            <w:tcW w:w="8860" w:type="dxa"/>
            <w:vAlign w:val="bottom"/>
          </w:tcPr>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 IP</w:t>
            </w:r>
            <w:r>
              <w:rPr>
                <w:rFonts w:ascii="Arial" w:cs="Arial" w:eastAsia="Arial" w:hAnsi="Arial"/>
                <w:sz w:val="16"/>
                <w:szCs w:val="16"/>
                <w:color w:val="auto"/>
              </w:rPr>
              <w:t>”;</w:t>
            </w:r>
          </w:p>
        </w:tc>
      </w:tr>
      <w:tr>
        <w:trPr>
          <w:trHeight w:val="380"/>
        </w:trPr>
        <w:tc>
          <w:tcPr>
            <w:tcW w:w="2600" w:type="dxa"/>
            <w:vAlign w:val="bottom"/>
          </w:tcPr>
          <w:p>
            <w:pPr>
              <w:spacing w:after="0"/>
              <w:rPr>
                <w:sz w:val="20"/>
                <w:szCs w:val="20"/>
                <w:color w:val="auto"/>
              </w:rPr>
            </w:pPr>
            <w:r>
              <w:rPr>
                <w:rFonts w:ascii="Arial" w:cs="Arial" w:eastAsia="Arial" w:hAnsi="Arial"/>
                <w:sz w:val="16"/>
                <w:szCs w:val="16"/>
                <w:b w:val="1"/>
                <w:bCs w:val="1"/>
                <w:color w:val="auto"/>
              </w:rPr>
              <w:t>“Third Party Service Provider”</w:t>
            </w:r>
          </w:p>
        </w:tc>
        <w:tc>
          <w:tcPr>
            <w:tcW w:w="8860" w:type="dxa"/>
            <w:vAlign w:val="bottom"/>
          </w:tcPr>
          <w:p>
            <w:pPr>
              <w:ind w:left="380"/>
              <w:spacing w:after="0"/>
              <w:rPr>
                <w:sz w:val="20"/>
                <w:szCs w:val="20"/>
                <w:color w:val="auto"/>
              </w:rPr>
            </w:pPr>
            <w:r>
              <w:rPr>
                <w:rFonts w:ascii="Arial" w:cs="Arial" w:eastAsia="Arial" w:hAnsi="Arial"/>
                <w:sz w:val="16"/>
                <w:szCs w:val="16"/>
                <w:color w:val="auto"/>
                <w:w w:val="95"/>
              </w:rPr>
              <w:t>means a third party who provides research, development, distribution, sales or manufacturing services to the Company on an</w:t>
            </w:r>
          </w:p>
        </w:tc>
      </w:tr>
      <w:tr>
        <w:trPr>
          <w:trHeight w:val="196"/>
        </w:trPr>
        <w:tc>
          <w:tcPr>
            <w:tcW w:w="2600" w:type="dxa"/>
            <w:vAlign w:val="bottom"/>
          </w:tcPr>
          <w:p>
            <w:pPr>
              <w:spacing w:after="0"/>
              <w:rPr>
                <w:sz w:val="17"/>
                <w:szCs w:val="17"/>
                <w:color w:val="auto"/>
              </w:rPr>
            </w:pPr>
          </w:p>
        </w:tc>
        <w:tc>
          <w:tcPr>
            <w:tcW w:w="8860" w:type="dxa"/>
            <w:vAlign w:val="bottom"/>
          </w:tcPr>
          <w:p>
            <w:pPr>
              <w:ind w:left="380"/>
              <w:spacing w:after="0"/>
              <w:rPr>
                <w:sz w:val="20"/>
                <w:szCs w:val="20"/>
                <w:color w:val="auto"/>
              </w:rPr>
            </w:pPr>
            <w:r>
              <w:rPr>
                <w:rFonts w:ascii="Arial" w:cs="Arial" w:eastAsia="Arial" w:hAnsi="Arial"/>
                <w:sz w:val="16"/>
                <w:szCs w:val="16"/>
                <w:color w:val="auto"/>
                <w:w w:val="98"/>
              </w:rPr>
              <w:t>arms’ length basis in connection with the Company’s products, including contract research organisations, universities and</w:t>
            </w:r>
          </w:p>
        </w:tc>
      </w:tr>
      <w:tr>
        <w:trPr>
          <w:trHeight w:val="207"/>
        </w:trPr>
        <w:tc>
          <w:tcPr>
            <w:tcW w:w="2600" w:type="dxa"/>
            <w:vAlign w:val="bottom"/>
          </w:tcPr>
          <w:p>
            <w:pPr>
              <w:spacing w:after="0"/>
              <w:rPr>
                <w:sz w:val="18"/>
                <w:szCs w:val="18"/>
                <w:color w:val="auto"/>
              </w:rPr>
            </w:pPr>
          </w:p>
        </w:tc>
        <w:tc>
          <w:tcPr>
            <w:tcW w:w="8860" w:type="dxa"/>
            <w:vAlign w:val="bottom"/>
          </w:tcPr>
          <w:p>
            <w:pPr>
              <w:ind w:left="380"/>
              <w:spacing w:after="0"/>
              <w:rPr>
                <w:sz w:val="20"/>
                <w:szCs w:val="20"/>
                <w:color w:val="auto"/>
              </w:rPr>
            </w:pPr>
            <w:r>
              <w:rPr>
                <w:rFonts w:ascii="Arial" w:cs="Arial" w:eastAsia="Arial" w:hAnsi="Arial"/>
                <w:sz w:val="16"/>
                <w:szCs w:val="16"/>
                <w:color w:val="auto"/>
              </w:rPr>
              <w:t>hospitals. A Tobacco Party may not act as a Third Party Service Provider.</w:t>
            </w:r>
          </w:p>
        </w:tc>
      </w:tr>
      <w:tr>
        <w:trPr>
          <w:trHeight w:val="391"/>
        </w:trPr>
        <w:tc>
          <w:tcPr>
            <w:tcW w:w="2600" w:type="dxa"/>
            <w:vAlign w:val="bottom"/>
          </w:tcPr>
          <w:p>
            <w:pPr>
              <w:spacing w:after="0"/>
              <w:rPr>
                <w:sz w:val="20"/>
                <w:szCs w:val="20"/>
                <w:color w:val="auto"/>
              </w:rPr>
            </w:pPr>
            <w:r>
              <w:rPr>
                <w:rFonts w:ascii="Arial" w:cs="Arial" w:eastAsia="Arial" w:hAnsi="Arial"/>
                <w:sz w:val="16"/>
                <w:szCs w:val="16"/>
                <w:b w:val="1"/>
                <w:bCs w:val="1"/>
                <w:color w:val="auto"/>
              </w:rPr>
              <w:t>“Tobacco Party”</w:t>
            </w:r>
          </w:p>
        </w:tc>
        <w:tc>
          <w:tcPr>
            <w:tcW w:w="8860" w:type="dxa"/>
            <w:vAlign w:val="bottom"/>
          </w:tcPr>
          <w:p>
            <w:pPr>
              <w:ind w:left="380"/>
              <w:spacing w:after="0"/>
              <w:rPr>
                <w:sz w:val="20"/>
                <w:szCs w:val="20"/>
                <w:color w:val="auto"/>
              </w:rPr>
            </w:pPr>
            <w:r>
              <w:rPr>
                <w:rFonts w:ascii="Arial" w:cs="Arial" w:eastAsia="Arial" w:hAnsi="Arial"/>
                <w:sz w:val="16"/>
                <w:szCs w:val="16"/>
                <w:color w:val="auto"/>
              </w:rPr>
              <w:t>means any entity that:</w:t>
            </w:r>
          </w:p>
        </w:tc>
      </w:tr>
      <w:tr>
        <w:trPr>
          <w:trHeight w:val="391"/>
        </w:trPr>
        <w:tc>
          <w:tcPr>
            <w:tcW w:w="260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16"/>
                <w:szCs w:val="16"/>
                <w:color w:val="auto"/>
              </w:rPr>
              <w:t>a)  develops, sells or manufactures tobacco products;</w:t>
            </w:r>
          </w:p>
        </w:tc>
      </w:tr>
      <w:tr>
        <w:trPr>
          <w:trHeight w:val="391"/>
        </w:trPr>
        <w:tc>
          <w:tcPr>
            <w:tcW w:w="260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16"/>
                <w:szCs w:val="16"/>
                <w:color w:val="auto"/>
              </w:rPr>
              <w:t>b)  makes the majority of its profits from the importation, marketing, sale or disposal of tobacco products; or</w:t>
            </w:r>
          </w:p>
        </w:tc>
      </w:tr>
      <w:tr>
        <w:trPr>
          <w:trHeight w:val="391"/>
        </w:trPr>
        <w:tc>
          <w:tcPr>
            <w:tcW w:w="260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16"/>
                <w:szCs w:val="16"/>
                <w:color w:val="auto"/>
              </w:rPr>
              <w:t>c)  is an Affiliate of an entity referred to in (a) or (b);</w:t>
            </w:r>
          </w:p>
        </w:tc>
      </w:tr>
      <w:tr>
        <w:trPr>
          <w:trHeight w:val="391"/>
        </w:trPr>
        <w:tc>
          <w:tcPr>
            <w:tcW w:w="2600" w:type="dxa"/>
            <w:vAlign w:val="bottom"/>
          </w:tcPr>
          <w:p>
            <w:pPr>
              <w:spacing w:after="0"/>
              <w:rPr>
                <w:sz w:val="24"/>
                <w:szCs w:val="24"/>
                <w:color w:val="auto"/>
              </w:rPr>
            </w:pPr>
          </w:p>
        </w:tc>
        <w:tc>
          <w:tcPr>
            <w:tcW w:w="8860" w:type="dxa"/>
            <w:vAlign w:val="bottom"/>
          </w:tcPr>
          <w:p>
            <w:pPr>
              <w:ind w:left="3040"/>
              <w:spacing w:after="0"/>
              <w:rPr>
                <w:sz w:val="20"/>
                <w:szCs w:val="20"/>
                <w:color w:val="auto"/>
              </w:rPr>
            </w:pPr>
            <w:r>
              <w:rPr>
                <w:rFonts w:ascii="Arial" w:cs="Arial" w:eastAsia="Arial" w:hAnsi="Arial"/>
                <w:sz w:val="16"/>
                <w:szCs w:val="16"/>
                <w:color w:val="auto"/>
              </w:rPr>
              <w:t>12</w:t>
            </w:r>
          </w:p>
        </w:tc>
      </w:tr>
      <w:tr>
        <w:trPr>
          <w:trHeight w:val="119"/>
        </w:trPr>
        <w:tc>
          <w:tcPr>
            <w:tcW w:w="2600" w:type="dxa"/>
            <w:vAlign w:val="bottom"/>
            <w:tcBorders>
              <w:bottom w:val="single" w:sz="8" w:color="808080"/>
            </w:tcBorders>
          </w:tcPr>
          <w:p>
            <w:pPr>
              <w:spacing w:after="0"/>
              <w:rPr>
                <w:sz w:val="10"/>
                <w:szCs w:val="10"/>
                <w:color w:val="auto"/>
              </w:rPr>
            </w:pPr>
          </w:p>
        </w:tc>
        <w:tc>
          <w:tcPr>
            <w:tcW w:w="8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3" w:right="199" w:bottom="1440" w:gutter="0" w:footer="0" w:header="0"/>
        </w:sectPr>
      </w:pPr>
    </w:p>
    <w:bookmarkStart w:id="611" w:name="page612"/>
    <w:bookmarkEnd w:id="611"/>
    <w:p>
      <w:pPr>
        <w:ind w:left="2" w:right="200" w:hanging="2"/>
        <w:spacing w:after="0" w:line="270" w:lineRule="auto"/>
        <w:tabs>
          <w:tab w:leader="none" w:pos="396" w:val="left"/>
        </w:tabs>
        <w:numPr>
          <w:ilvl w:val="0"/>
          <w:numId w:val="628"/>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ectPr>
          <w:pgSz w:w="11900" w:h="16838" w:orient="portrait"/>
          <w:cols w:equalWidth="0" w:num="1">
            <w:col w:w="11422"/>
          </w:cols>
          <w:pgMar w:left="238" w:top="323" w:right="239" w:bottom="1440" w:gutter="0" w:footer="0" w:header="0"/>
        </w:sectPr>
      </w:pPr>
    </w:p>
    <w:p>
      <w:pPr>
        <w:spacing w:after="0" w:line="353"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“Transfer”</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 xml:space="preserve">for purposes of the Step-in Agreement, </w:t>
      </w:r>
      <w:r>
        <w:rPr>
          <w:rFonts w:ascii="Arial" w:cs="Arial" w:eastAsia="Arial" w:hAnsi="Arial"/>
          <w:sz w:val="15"/>
          <w:szCs w:val="15"/>
          <w:b w:val="1"/>
          <w:bCs w:val="1"/>
          <w:color w:val="auto"/>
        </w:rPr>
        <w:t>“Transfer”</w:t>
      </w:r>
      <w:r>
        <w:rPr>
          <w:rFonts w:ascii="Arial" w:cs="Arial" w:eastAsia="Arial" w:hAnsi="Arial"/>
          <w:sz w:val="15"/>
          <w:szCs w:val="15"/>
          <w:color w:val="auto"/>
        </w:rPr>
        <w:t xml:space="preserve"> will mean (a) an assignment with respect to world-wide rights to any Agent IP or Collaboration Product IP existing as of the Step-in Date that relates solely to the Agent, any Agent Product or any Collaboration Product that is the subject of the Step-in Agreement and in respect of which the Company has ceased development in all Indications, and (b) a world-wide sub-licensable (through multiple tiers) licence, under any Agent IP or Collaboration Product IP and (to the extent possible) Third Party IP existing as of the Step-in Date, to research, develop, make, have made, import, use and sell the Agent, any Agent Product and any Collaboration Product that is the subject of the Step-in Agreement with respect to any other Agent IP or Collaboration Product IP, which will be exclusive in all Fields and all Indications unless the Company continues to pursue development in Indications other than Oncology Indications in which case the licence will be exclusive in the Field of all Oncology Indications;</w:t>
      </w:r>
    </w:p>
    <w:p>
      <w:pPr>
        <w:spacing w:after="0" w:line="158" w:lineRule="exact"/>
        <w:rPr>
          <w:sz w:val="20"/>
          <w:szCs w:val="20"/>
          <w:color w:val="auto"/>
        </w:rPr>
      </w:pPr>
    </w:p>
    <w:p>
      <w:pPr>
        <w:sectPr>
          <w:pgSz w:w="11900" w:h="16838" w:orient="portrait"/>
          <w:cols w:equalWidth="0" w:num="2">
            <w:col w:w="2262" w:space="720"/>
            <w:col w:w="8440"/>
          </w:cols>
          <w:pgMar w:left="238" w:top="323" w:right="239" w:bottom="1440" w:gutter="0" w:footer="0" w:header="0"/>
          <w:type w:val="continuous"/>
        </w:sectPr>
      </w:pPr>
    </w:p>
    <w:p>
      <w:pPr>
        <w:ind w:left="2"/>
        <w:spacing w:after="0"/>
        <w:rPr>
          <w:sz w:val="20"/>
          <w:szCs w:val="20"/>
          <w:color w:val="auto"/>
        </w:rPr>
      </w:pPr>
      <w:r>
        <w:rPr>
          <w:rFonts w:ascii="Arial" w:cs="Arial" w:eastAsia="Arial" w:hAnsi="Arial"/>
          <w:sz w:val="15"/>
          <w:szCs w:val="15"/>
          <w:b w:val="1"/>
          <w:bCs w:val="1"/>
          <w:color w:val="auto"/>
        </w:rPr>
        <w:t>“UK Pricing Authority”</w:t>
      </w:r>
    </w:p>
    <w:p>
      <w:pPr>
        <w:spacing w:after="0" w:line="20" w:lineRule="exact"/>
        <w:rPr>
          <w:sz w:val="20"/>
          <w:szCs w:val="20"/>
          <w:color w:val="auto"/>
        </w:rPr>
      </w:pPr>
      <w:r>
        <w:rPr>
          <w:sz w:val="20"/>
          <w:szCs w:val="20"/>
          <w:color w:val="auto"/>
        </w:rPr>
        <w:br w:type="column"/>
      </w:r>
    </w:p>
    <w:p>
      <w:pPr>
        <w:ind w:right="20"/>
        <w:spacing w:after="0" w:line="265" w:lineRule="auto"/>
        <w:rPr>
          <w:sz w:val="20"/>
          <w:szCs w:val="20"/>
          <w:color w:val="auto"/>
        </w:rPr>
      </w:pPr>
      <w:r>
        <w:rPr>
          <w:rFonts w:ascii="Arial" w:cs="Arial" w:eastAsia="Arial" w:hAnsi="Arial"/>
          <w:sz w:val="16"/>
          <w:szCs w:val="16"/>
          <w:color w:val="auto"/>
        </w:rPr>
        <w:t>means any supra-national, national or regional government department, authority, agency or entity (including a non-departmental public body or similar entity) with responsibility for evaluating the cost effectiveness of medicinal products in the United Kingdom (or one or more constituent countries thereof) or otherwise determining whether the NHS (or constituent parts thereof) should purchase medicinal products; and</w:t>
      </w:r>
    </w:p>
    <w:p>
      <w:pPr>
        <w:spacing w:after="0" w:line="162" w:lineRule="exact"/>
        <w:rPr>
          <w:sz w:val="20"/>
          <w:szCs w:val="20"/>
          <w:color w:val="auto"/>
        </w:rPr>
      </w:pPr>
    </w:p>
    <w:p>
      <w:pPr>
        <w:sectPr>
          <w:pgSz w:w="11900" w:h="16838" w:orient="portrait"/>
          <w:cols w:equalWidth="0" w:num="2">
            <w:col w:w="2262" w:space="720"/>
            <w:col w:w="8440"/>
          </w:cols>
          <w:pgMar w:left="238" w:top="323" w:right="239" w:bottom="1440" w:gutter="0" w:footer="0" w:header="0"/>
          <w:type w:val="continuous"/>
        </w:sectPr>
      </w:pPr>
    </w:p>
    <w:p>
      <w:pPr>
        <w:ind w:left="2"/>
        <w:spacing w:after="0"/>
        <w:rPr>
          <w:sz w:val="20"/>
          <w:szCs w:val="20"/>
          <w:color w:val="auto"/>
        </w:rPr>
      </w:pPr>
      <w:r>
        <w:rPr>
          <w:rFonts w:ascii="Arial" w:cs="Arial" w:eastAsia="Arial" w:hAnsi="Arial"/>
          <w:sz w:val="15"/>
          <w:szCs w:val="15"/>
          <w:b w:val="1"/>
          <w:bCs w:val="1"/>
          <w:color w:val="auto"/>
        </w:rPr>
        <w:t>“Valid Claim”</w:t>
      </w:r>
    </w:p>
    <w:p>
      <w:pPr>
        <w:spacing w:after="0" w:line="219" w:lineRule="exact"/>
        <w:rPr>
          <w:sz w:val="20"/>
          <w:szCs w:val="20"/>
          <w:color w:val="auto"/>
        </w:rPr>
      </w:pPr>
    </w:p>
    <w:p>
      <w:pPr>
        <w:ind w:left="22"/>
        <w:spacing w:after="0"/>
        <w:rPr>
          <w:sz w:val="20"/>
          <w:szCs w:val="20"/>
          <w:color w:val="auto"/>
        </w:rPr>
      </w:pPr>
      <w:r>
        <w:rPr>
          <w:rFonts w:ascii="Arial" w:cs="Arial" w:eastAsia="Arial" w:hAnsi="Arial"/>
          <w:sz w:val="15"/>
          <w:szCs w:val="15"/>
          <w:b w:val="1"/>
          <w:bCs w:val="1"/>
          <w:color w:val="auto"/>
        </w:rPr>
        <w:t>Interpretation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w:t>
      </w:r>
    </w:p>
    <w:p>
      <w:pPr>
        <w:spacing w:after="0" w:line="575" w:lineRule="exact"/>
        <w:rPr>
          <w:sz w:val="20"/>
          <w:szCs w:val="20"/>
          <w:color w:val="auto"/>
        </w:rPr>
      </w:pPr>
    </w:p>
    <w:p>
      <w:pPr>
        <w:sectPr>
          <w:pgSz w:w="11900" w:h="16838" w:orient="portrait"/>
          <w:cols w:equalWidth="0" w:num="2">
            <w:col w:w="2262" w:space="720"/>
            <w:col w:w="8440"/>
          </w:cols>
          <w:pgMar w:left="238" w:top="323" w:right="239" w:bottom="1440" w:gutter="0" w:footer="0" w:header="0"/>
          <w:type w:val="continuous"/>
        </w:sectPr>
      </w:pPr>
    </w:p>
    <w:p>
      <w:pPr>
        <w:spacing w:after="0" w:line="23" w:lineRule="exact"/>
        <w:rPr>
          <w:sz w:val="20"/>
          <w:szCs w:val="20"/>
          <w:color w:val="auto"/>
        </w:rPr>
      </w:pPr>
    </w:p>
    <w:p>
      <w:pPr>
        <w:ind w:left="22"/>
        <w:spacing w:after="0"/>
        <w:rPr>
          <w:sz w:val="20"/>
          <w:szCs w:val="20"/>
          <w:color w:val="auto"/>
        </w:rPr>
      </w:pPr>
      <w:r>
        <w:rPr>
          <w:rFonts w:ascii="Arial" w:cs="Arial" w:eastAsia="Arial" w:hAnsi="Arial"/>
          <w:sz w:val="16"/>
          <w:szCs w:val="16"/>
          <w:color w:val="auto"/>
        </w:rPr>
        <w:t>Except where a contrary intention is expressed:</w:t>
      </w:r>
    </w:p>
    <w:p>
      <w:pPr>
        <w:spacing w:after="0" w:line="207" w:lineRule="exact"/>
        <w:rPr>
          <w:sz w:val="20"/>
          <w:szCs w:val="20"/>
          <w:color w:val="auto"/>
        </w:rPr>
      </w:pPr>
    </w:p>
    <w:p>
      <w:pPr>
        <w:ind w:left="562" w:hanging="269"/>
        <w:spacing w:after="0"/>
        <w:tabs>
          <w:tab w:leader="none" w:pos="562" w:val="left"/>
        </w:tabs>
        <w:numPr>
          <w:ilvl w:val="0"/>
          <w:numId w:val="629"/>
        </w:numPr>
        <w:rPr>
          <w:rFonts w:ascii="Arial" w:cs="Arial" w:eastAsia="Arial" w:hAnsi="Arial"/>
          <w:sz w:val="16"/>
          <w:szCs w:val="16"/>
          <w:color w:val="auto"/>
        </w:rPr>
      </w:pPr>
      <w:r>
        <w:rPr>
          <w:rFonts w:ascii="Arial" w:cs="Arial" w:eastAsia="Arial" w:hAnsi="Arial"/>
          <w:sz w:val="16"/>
          <w:szCs w:val="16"/>
          <w:color w:val="auto"/>
        </w:rPr>
        <w:t>The meaning of general words is not limited by specific examples introduced by “including, “for example” or similar expressions.</w:t>
      </w:r>
    </w:p>
    <w:p>
      <w:pPr>
        <w:spacing w:after="0" w:line="207" w:lineRule="exact"/>
        <w:rPr>
          <w:rFonts w:ascii="Arial" w:cs="Arial" w:eastAsia="Arial" w:hAnsi="Arial"/>
          <w:sz w:val="16"/>
          <w:szCs w:val="16"/>
          <w:color w:val="auto"/>
        </w:rPr>
      </w:pPr>
    </w:p>
    <w:p>
      <w:pPr>
        <w:ind w:left="562" w:hanging="269"/>
        <w:spacing w:after="0"/>
        <w:tabs>
          <w:tab w:leader="none" w:pos="562" w:val="left"/>
        </w:tabs>
        <w:numPr>
          <w:ilvl w:val="0"/>
          <w:numId w:val="629"/>
        </w:numPr>
        <w:rPr>
          <w:rFonts w:ascii="Arial" w:cs="Arial" w:eastAsia="Arial" w:hAnsi="Arial"/>
          <w:sz w:val="15"/>
          <w:szCs w:val="15"/>
          <w:color w:val="auto"/>
        </w:rPr>
      </w:pPr>
      <w:r>
        <w:rPr>
          <w:rFonts w:ascii="Arial" w:cs="Arial" w:eastAsia="Arial" w:hAnsi="Arial"/>
          <w:sz w:val="15"/>
          <w:szCs w:val="15"/>
          <w:color w:val="auto"/>
        </w:rPr>
        <w:t>A reference to a statute or other law includes regulations and other instruments under it and amendments, re-enactments or replacements of any of them.</w:t>
      </w:r>
    </w:p>
    <w:p>
      <w:pPr>
        <w:spacing w:after="0" w:line="218" w:lineRule="exact"/>
        <w:rPr>
          <w:rFonts w:ascii="Arial" w:cs="Arial" w:eastAsia="Arial" w:hAnsi="Arial"/>
          <w:sz w:val="15"/>
          <w:szCs w:val="15"/>
          <w:color w:val="auto"/>
        </w:rPr>
      </w:pPr>
    </w:p>
    <w:p>
      <w:pPr>
        <w:ind w:left="582" w:right="200" w:hanging="289"/>
        <w:spacing w:after="0" w:line="285" w:lineRule="auto"/>
        <w:tabs>
          <w:tab w:leader="none" w:pos="549" w:val="left"/>
        </w:tabs>
        <w:numPr>
          <w:ilvl w:val="0"/>
          <w:numId w:val="629"/>
        </w:numPr>
        <w:rPr>
          <w:rFonts w:ascii="Arial" w:cs="Arial" w:eastAsia="Arial" w:hAnsi="Arial"/>
          <w:sz w:val="16"/>
          <w:szCs w:val="16"/>
          <w:color w:val="auto"/>
        </w:rPr>
      </w:pPr>
      <w:r>
        <w:rPr>
          <w:rFonts w:ascii="Arial" w:cs="Arial" w:eastAsia="Arial" w:hAnsi="Arial"/>
          <w:sz w:val="16"/>
          <w:szCs w:val="16"/>
          <w:color w:val="auto"/>
        </w:rPr>
        <w:t>Each reference to a clause in this Agreement is to the corresponding provision in the Agreement or to the Step-in Agreement in Schedule 2 as appropriate, and each reference to a section in this Agreement is a reference to the corresponding provision in the Licence Terms in Schedule 1.</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3" w:right="239" w:bottom="1440" w:gutter="0" w:footer="0" w:header="0"/>
          <w:type w:val="continuous"/>
        </w:sectPr>
      </w:pPr>
    </w:p>
    <w:bookmarkStart w:id="612" w:name="page613"/>
    <w:bookmarkEnd w:id="612"/>
    <w:p>
      <w:pPr>
        <w:ind w:left="2" w:right="180" w:hanging="2"/>
        <w:spacing w:after="0" w:line="270" w:lineRule="auto"/>
        <w:tabs>
          <w:tab w:leader="none" w:pos="396" w:val="left"/>
        </w:tabs>
        <w:numPr>
          <w:ilvl w:val="0"/>
          <w:numId w:val="630"/>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582" w:right="380" w:hanging="289"/>
        <w:spacing w:after="0" w:line="285" w:lineRule="auto"/>
        <w:tabs>
          <w:tab w:leader="none" w:pos="549" w:val="left"/>
        </w:tabs>
        <w:numPr>
          <w:ilvl w:val="0"/>
          <w:numId w:val="631"/>
        </w:numPr>
        <w:rPr>
          <w:rFonts w:ascii="Arial" w:cs="Arial" w:eastAsia="Arial" w:hAnsi="Arial"/>
          <w:sz w:val="16"/>
          <w:szCs w:val="16"/>
          <w:color w:val="auto"/>
        </w:rPr>
      </w:pPr>
      <w:r>
        <w:rPr>
          <w:rFonts w:ascii="Arial" w:cs="Arial" w:eastAsia="Arial" w:hAnsi="Arial"/>
          <w:sz w:val="16"/>
          <w:szCs w:val="16"/>
          <w:color w:val="auto"/>
        </w:rPr>
        <w:t>Words denoting persons will include any individual, partnership, company, corporation, joint venture, trust, association, organisation or other entity, in each case whether or not having separate legal personality.</w:t>
      </w:r>
    </w:p>
    <w:p>
      <w:pPr>
        <w:spacing w:after="0" w:line="149" w:lineRule="exact"/>
        <w:rPr>
          <w:rFonts w:ascii="Arial" w:cs="Arial" w:eastAsia="Arial" w:hAnsi="Arial"/>
          <w:sz w:val="16"/>
          <w:szCs w:val="16"/>
          <w:color w:val="auto"/>
        </w:rPr>
      </w:pPr>
    </w:p>
    <w:p>
      <w:pPr>
        <w:ind w:left="582" w:right="120" w:hanging="289"/>
        <w:spacing w:after="0" w:line="285" w:lineRule="auto"/>
        <w:tabs>
          <w:tab w:leader="none" w:pos="549" w:val="left"/>
        </w:tabs>
        <w:numPr>
          <w:ilvl w:val="0"/>
          <w:numId w:val="631"/>
        </w:numPr>
        <w:rPr>
          <w:rFonts w:ascii="Arial" w:cs="Arial" w:eastAsia="Arial" w:hAnsi="Arial"/>
          <w:sz w:val="16"/>
          <w:szCs w:val="16"/>
          <w:color w:val="auto"/>
        </w:rPr>
      </w:pPr>
      <w:r>
        <w:rPr>
          <w:rFonts w:ascii="Arial" w:cs="Arial" w:eastAsia="Arial" w:hAnsi="Arial"/>
          <w:sz w:val="16"/>
          <w:szCs w:val="16"/>
          <w:color w:val="auto"/>
        </w:rPr>
        <w:t>References to the “best of its knowledge and belief” in clauses 3.3.1 and 10.3 of the Agreement and clause 5.1 of the Step-in Agreement include knowledge of [***] in the ordinary and diligent conduct of their duties.</w:t>
      </w:r>
    </w:p>
    <w:p>
      <w:pPr>
        <w:spacing w:after="0" w:line="149" w:lineRule="exact"/>
        <w:rPr>
          <w:rFonts w:ascii="Arial" w:cs="Arial" w:eastAsia="Arial" w:hAnsi="Arial"/>
          <w:sz w:val="16"/>
          <w:szCs w:val="16"/>
          <w:color w:val="auto"/>
        </w:rPr>
      </w:pPr>
    </w:p>
    <w:p>
      <w:pPr>
        <w:ind w:left="842" w:hanging="255"/>
        <w:spacing w:after="0"/>
        <w:tabs>
          <w:tab w:leader="none" w:pos="842" w:val="left"/>
        </w:tabs>
        <w:numPr>
          <w:ilvl w:val="1"/>
          <w:numId w:val="631"/>
        </w:numPr>
        <w:rPr>
          <w:rFonts w:ascii="Arial" w:cs="Arial" w:eastAsia="Arial" w:hAnsi="Arial"/>
          <w:sz w:val="16"/>
          <w:szCs w:val="16"/>
          <w:color w:val="auto"/>
        </w:rPr>
      </w:pPr>
      <w:r>
        <w:rPr>
          <w:rFonts w:ascii="Arial" w:cs="Arial" w:eastAsia="Arial" w:hAnsi="Arial"/>
          <w:sz w:val="16"/>
          <w:szCs w:val="16"/>
          <w:color w:val="auto"/>
        </w:rPr>
        <w:t>The term “or” is to be interpreted in the inclusive sense commonly associated with the term “and/or”.</w:t>
      </w:r>
    </w:p>
    <w:p>
      <w:pPr>
        <w:spacing w:after="0" w:line="207" w:lineRule="exact"/>
        <w:rPr>
          <w:rFonts w:ascii="Arial" w:cs="Arial" w:eastAsia="Arial" w:hAnsi="Arial"/>
          <w:sz w:val="16"/>
          <w:szCs w:val="16"/>
          <w:color w:val="auto"/>
        </w:rPr>
      </w:pPr>
    </w:p>
    <w:p>
      <w:pPr>
        <w:ind w:left="882" w:right="360" w:hanging="295"/>
        <w:spacing w:after="0" w:line="285" w:lineRule="auto"/>
        <w:tabs>
          <w:tab w:leader="none" w:pos="850" w:val="left"/>
        </w:tabs>
        <w:numPr>
          <w:ilvl w:val="1"/>
          <w:numId w:val="631"/>
        </w:numPr>
        <w:rPr>
          <w:rFonts w:ascii="Arial" w:cs="Arial" w:eastAsia="Arial" w:hAnsi="Arial"/>
          <w:sz w:val="16"/>
          <w:szCs w:val="16"/>
          <w:color w:val="auto"/>
        </w:rPr>
      </w:pPr>
      <w:r>
        <w:rPr>
          <w:rFonts w:ascii="Arial" w:cs="Arial" w:eastAsia="Arial" w:hAnsi="Arial"/>
          <w:sz w:val="16"/>
          <w:szCs w:val="16"/>
          <w:color w:val="auto"/>
        </w:rPr>
        <w:t>The words “hereof, “herein”, “hereto” and “hereunder” and words of similar import when used herein will refer to this Agreement as a whole and not to any particular provision of the Agreement.</w:t>
      </w:r>
    </w:p>
    <w:p>
      <w:pPr>
        <w:spacing w:after="0" w:line="149" w:lineRule="exact"/>
        <w:rPr>
          <w:rFonts w:ascii="Arial" w:cs="Arial" w:eastAsia="Arial" w:hAnsi="Arial"/>
          <w:sz w:val="16"/>
          <w:szCs w:val="16"/>
          <w:color w:val="auto"/>
        </w:rPr>
      </w:pPr>
    </w:p>
    <w:p>
      <w:pPr>
        <w:ind w:left="842" w:hanging="255"/>
        <w:spacing w:after="0"/>
        <w:tabs>
          <w:tab w:leader="none" w:pos="842" w:val="left"/>
        </w:tabs>
        <w:numPr>
          <w:ilvl w:val="1"/>
          <w:numId w:val="631"/>
        </w:numPr>
        <w:rPr>
          <w:rFonts w:ascii="Arial" w:cs="Arial" w:eastAsia="Arial" w:hAnsi="Arial"/>
          <w:sz w:val="16"/>
          <w:szCs w:val="16"/>
          <w:color w:val="auto"/>
        </w:rPr>
      </w:pPr>
      <w:r>
        <w:rPr>
          <w:rFonts w:ascii="Arial" w:cs="Arial" w:eastAsia="Arial" w:hAnsi="Arial"/>
          <w:sz w:val="16"/>
          <w:szCs w:val="16"/>
          <w:color w:val="auto"/>
        </w:rPr>
        <w:t>“Extent” in the phrase “to the extent” means the degree to which a subject or other thing extends, and such phrase does not mean simply “if”.</w:t>
      </w:r>
    </w:p>
    <w:p>
      <w:pPr>
        <w:spacing w:after="0" w:line="207" w:lineRule="exact"/>
        <w:rPr>
          <w:rFonts w:ascii="Arial" w:cs="Arial" w:eastAsia="Arial" w:hAnsi="Arial"/>
          <w:sz w:val="16"/>
          <w:szCs w:val="16"/>
          <w:color w:val="auto"/>
        </w:rPr>
      </w:pPr>
    </w:p>
    <w:p>
      <w:pPr>
        <w:ind w:left="842" w:hanging="255"/>
        <w:spacing w:after="0"/>
        <w:tabs>
          <w:tab w:leader="none" w:pos="842" w:val="left"/>
        </w:tabs>
        <w:numPr>
          <w:ilvl w:val="1"/>
          <w:numId w:val="631"/>
        </w:numPr>
        <w:rPr>
          <w:rFonts w:ascii="Arial" w:cs="Arial" w:eastAsia="Arial" w:hAnsi="Arial"/>
          <w:sz w:val="16"/>
          <w:szCs w:val="16"/>
          <w:color w:val="auto"/>
        </w:rPr>
      </w:pPr>
      <w:r>
        <w:rPr>
          <w:rFonts w:ascii="Arial" w:cs="Arial" w:eastAsia="Arial" w:hAnsi="Arial"/>
          <w:sz w:val="16"/>
          <w:szCs w:val="16"/>
          <w:color w:val="auto"/>
        </w:rPr>
        <w:t>The term “including” will mean “including, without limitation”.</w:t>
      </w:r>
    </w:p>
    <w:p>
      <w:pPr>
        <w:spacing w:after="0" w:line="207" w:lineRule="exact"/>
        <w:rPr>
          <w:rFonts w:ascii="Arial" w:cs="Arial" w:eastAsia="Arial" w:hAnsi="Arial"/>
          <w:sz w:val="16"/>
          <w:szCs w:val="16"/>
          <w:color w:val="auto"/>
        </w:rPr>
      </w:pPr>
    </w:p>
    <w:p>
      <w:pPr>
        <w:ind w:left="882" w:right="500" w:hanging="295"/>
        <w:spacing w:after="0" w:line="285" w:lineRule="auto"/>
        <w:tabs>
          <w:tab w:leader="none" w:pos="850" w:val="left"/>
        </w:tabs>
        <w:numPr>
          <w:ilvl w:val="1"/>
          <w:numId w:val="631"/>
        </w:numPr>
        <w:rPr>
          <w:rFonts w:ascii="Arial" w:cs="Arial" w:eastAsia="Arial" w:hAnsi="Arial"/>
          <w:sz w:val="16"/>
          <w:szCs w:val="16"/>
          <w:color w:val="auto"/>
        </w:rPr>
      </w:pPr>
      <w:r>
        <w:rPr>
          <w:rFonts w:ascii="Arial" w:cs="Arial" w:eastAsia="Arial" w:hAnsi="Arial"/>
          <w:sz w:val="16"/>
          <w:szCs w:val="16"/>
          <w:color w:val="auto"/>
        </w:rPr>
        <w:t>When a reference is made in the Agreement to a clause or a schedule, such reference will be to a clause or schedule of the Agreement, as the same may be amended as provided herein, unless otherwise indicated.</w:t>
      </w:r>
    </w:p>
    <w:p>
      <w:pPr>
        <w:spacing w:after="0" w:line="149" w:lineRule="exact"/>
        <w:rPr>
          <w:rFonts w:ascii="Arial" w:cs="Arial" w:eastAsia="Arial" w:hAnsi="Arial"/>
          <w:sz w:val="16"/>
          <w:szCs w:val="16"/>
          <w:color w:val="auto"/>
        </w:rPr>
      </w:pPr>
    </w:p>
    <w:p>
      <w:pPr>
        <w:ind w:left="882" w:right="640" w:hanging="295"/>
        <w:spacing w:after="0" w:line="285" w:lineRule="auto"/>
        <w:tabs>
          <w:tab w:leader="none" w:pos="850" w:val="left"/>
        </w:tabs>
        <w:numPr>
          <w:ilvl w:val="1"/>
          <w:numId w:val="631"/>
        </w:numPr>
        <w:rPr>
          <w:rFonts w:ascii="Arial" w:cs="Arial" w:eastAsia="Arial" w:hAnsi="Arial"/>
          <w:sz w:val="16"/>
          <w:szCs w:val="16"/>
          <w:color w:val="auto"/>
        </w:rPr>
      </w:pPr>
      <w:r>
        <w:rPr>
          <w:rFonts w:ascii="Arial" w:cs="Arial" w:eastAsia="Arial" w:hAnsi="Arial"/>
          <w:sz w:val="16"/>
          <w:szCs w:val="16"/>
          <w:color w:val="auto"/>
        </w:rPr>
        <w:t>When a reference is made to an agreement, instrument or other document, such reference will include any exhibit, schedule or annex to such agreement, instrument or other document.</w:t>
      </w:r>
    </w:p>
    <w:p>
      <w:pPr>
        <w:spacing w:after="0" w:line="149" w:lineRule="exact"/>
        <w:rPr>
          <w:rFonts w:ascii="Arial" w:cs="Arial" w:eastAsia="Arial" w:hAnsi="Arial"/>
          <w:sz w:val="16"/>
          <w:szCs w:val="16"/>
          <w:color w:val="auto"/>
        </w:rPr>
      </w:pPr>
    </w:p>
    <w:p>
      <w:pPr>
        <w:ind w:left="882" w:right="300" w:hanging="295"/>
        <w:spacing w:after="0" w:line="285" w:lineRule="auto"/>
        <w:tabs>
          <w:tab w:leader="none" w:pos="850" w:val="left"/>
        </w:tabs>
        <w:numPr>
          <w:ilvl w:val="1"/>
          <w:numId w:val="631"/>
        </w:numPr>
        <w:rPr>
          <w:rFonts w:ascii="Arial" w:cs="Arial" w:eastAsia="Arial" w:hAnsi="Arial"/>
          <w:sz w:val="16"/>
          <w:szCs w:val="16"/>
          <w:color w:val="auto"/>
        </w:rPr>
      </w:pPr>
      <w:r>
        <w:rPr>
          <w:rFonts w:ascii="Arial" w:cs="Arial" w:eastAsia="Arial" w:hAnsi="Arial"/>
          <w:sz w:val="16"/>
          <w:szCs w:val="16"/>
          <w:color w:val="auto"/>
        </w:rPr>
        <w:t>References to the singular will include the plural and vice versa, unless the context indicates otherwise; and references to the masculine, the feminine and the neuter will include all such genders.</w:t>
      </w:r>
    </w:p>
    <w:p>
      <w:pPr>
        <w:spacing w:after="0" w:line="149" w:lineRule="exact"/>
        <w:rPr>
          <w:rFonts w:ascii="Arial" w:cs="Arial" w:eastAsia="Arial" w:hAnsi="Arial"/>
          <w:sz w:val="16"/>
          <w:szCs w:val="16"/>
          <w:color w:val="auto"/>
        </w:rPr>
      </w:pPr>
    </w:p>
    <w:p>
      <w:pPr>
        <w:ind w:left="882" w:hanging="295"/>
        <w:spacing w:after="0" w:line="285" w:lineRule="auto"/>
        <w:tabs>
          <w:tab w:leader="none" w:pos="850" w:val="left"/>
        </w:tabs>
        <w:numPr>
          <w:ilvl w:val="1"/>
          <w:numId w:val="631"/>
        </w:numPr>
        <w:rPr>
          <w:rFonts w:ascii="Arial" w:cs="Arial" w:eastAsia="Arial" w:hAnsi="Arial"/>
          <w:sz w:val="16"/>
          <w:szCs w:val="16"/>
          <w:color w:val="auto"/>
        </w:rPr>
      </w:pPr>
      <w:r>
        <w:rPr>
          <w:rFonts w:ascii="Arial" w:cs="Arial" w:eastAsia="Arial" w:hAnsi="Arial"/>
          <w:sz w:val="16"/>
          <w:szCs w:val="16"/>
          <w:color w:val="auto"/>
        </w:rPr>
        <w:t>Where either Party’s approval or consent is required hereunder, except as otherwise specified herein, such Party’s approval or consent will be a prior consent, will be in writing and will not be unreasonably denied, delayed or conditioned.</w:t>
      </w:r>
    </w:p>
    <w:p>
      <w:pPr>
        <w:spacing w:after="0" w:line="149" w:lineRule="exact"/>
        <w:rPr>
          <w:rFonts w:ascii="Arial" w:cs="Arial" w:eastAsia="Arial" w:hAnsi="Arial"/>
          <w:sz w:val="16"/>
          <w:szCs w:val="16"/>
          <w:color w:val="auto"/>
        </w:rPr>
      </w:pPr>
    </w:p>
    <w:p>
      <w:pPr>
        <w:ind w:left="882" w:right="60" w:hanging="295"/>
        <w:spacing w:after="0" w:line="320" w:lineRule="auto"/>
        <w:tabs>
          <w:tab w:leader="none" w:pos="850" w:val="left"/>
        </w:tabs>
        <w:numPr>
          <w:ilvl w:val="1"/>
          <w:numId w:val="631"/>
        </w:numPr>
        <w:rPr>
          <w:rFonts w:ascii="Arial" w:cs="Arial" w:eastAsia="Arial" w:hAnsi="Arial"/>
          <w:sz w:val="15"/>
          <w:szCs w:val="15"/>
          <w:color w:val="auto"/>
        </w:rPr>
      </w:pPr>
      <w:r>
        <w:rPr>
          <w:rFonts w:ascii="Arial" w:cs="Arial" w:eastAsia="Arial" w:hAnsi="Arial"/>
          <w:sz w:val="15"/>
          <w:szCs w:val="15"/>
          <w:color w:val="auto"/>
        </w:rPr>
        <w:t>Each of the Parties will be solely responsible for compliance with or performance of their respective obligations, agreements, representations or warranties under this Agreement, and unless otherwise expressly stated, nothing herein will be construed as creating joint or several obligations on any of the Parties.</w:t>
      </w:r>
    </w:p>
    <w:p>
      <w:pPr>
        <w:spacing w:after="0" w:line="126" w:lineRule="exact"/>
        <w:rPr>
          <w:rFonts w:ascii="Arial" w:cs="Arial" w:eastAsia="Arial" w:hAnsi="Arial"/>
          <w:sz w:val="15"/>
          <w:szCs w:val="15"/>
          <w:color w:val="auto"/>
        </w:rPr>
      </w:pPr>
    </w:p>
    <w:p>
      <w:pPr>
        <w:ind w:left="842" w:hanging="255"/>
        <w:spacing w:after="0"/>
        <w:tabs>
          <w:tab w:leader="none" w:pos="842" w:val="left"/>
        </w:tabs>
        <w:numPr>
          <w:ilvl w:val="1"/>
          <w:numId w:val="631"/>
        </w:numPr>
        <w:rPr>
          <w:rFonts w:ascii="Arial" w:cs="Arial" w:eastAsia="Arial" w:hAnsi="Arial"/>
          <w:sz w:val="16"/>
          <w:szCs w:val="16"/>
          <w:color w:val="auto"/>
        </w:rPr>
      </w:pPr>
      <w:r>
        <w:rPr>
          <w:rFonts w:ascii="Arial" w:cs="Arial" w:eastAsia="Arial" w:hAnsi="Arial"/>
          <w:sz w:val="16"/>
          <w:szCs w:val="16"/>
          <w:color w:val="auto"/>
        </w:rPr>
        <w:t>The word “will” will be construed to have the same meaning as the word “shall”. The word “or” is not exclusive.</w:t>
      </w:r>
    </w:p>
    <w:p>
      <w:pPr>
        <w:spacing w:after="0" w:line="207" w:lineRule="exact"/>
        <w:rPr>
          <w:rFonts w:ascii="Arial" w:cs="Arial" w:eastAsia="Arial" w:hAnsi="Arial"/>
          <w:sz w:val="16"/>
          <w:szCs w:val="16"/>
          <w:color w:val="auto"/>
        </w:rPr>
      </w:pPr>
    </w:p>
    <w:p>
      <w:pPr>
        <w:ind w:left="842" w:hanging="255"/>
        <w:spacing w:after="0"/>
        <w:tabs>
          <w:tab w:leader="none" w:pos="842" w:val="left"/>
        </w:tabs>
        <w:numPr>
          <w:ilvl w:val="1"/>
          <w:numId w:val="631"/>
        </w:numPr>
        <w:rPr>
          <w:rFonts w:ascii="Arial" w:cs="Arial" w:eastAsia="Arial" w:hAnsi="Arial"/>
          <w:sz w:val="16"/>
          <w:szCs w:val="16"/>
          <w:color w:val="auto"/>
        </w:rPr>
      </w:pPr>
      <w:r>
        <w:rPr>
          <w:rFonts w:ascii="Arial" w:cs="Arial" w:eastAsia="Arial" w:hAnsi="Arial"/>
          <w:sz w:val="16"/>
          <w:szCs w:val="16"/>
          <w:color w:val="auto"/>
        </w:rPr>
        <w:t>References to a Person are also to its successors and permitted assigns.</w:t>
      </w:r>
    </w:p>
    <w:p>
      <w:pPr>
        <w:spacing w:after="0" w:line="207" w:lineRule="exact"/>
        <w:rPr>
          <w:rFonts w:ascii="Arial" w:cs="Arial" w:eastAsia="Arial" w:hAnsi="Arial"/>
          <w:sz w:val="16"/>
          <w:szCs w:val="16"/>
          <w:color w:val="auto"/>
        </w:rPr>
      </w:pPr>
    </w:p>
    <w:p>
      <w:pPr>
        <w:ind w:left="882" w:right="80" w:hanging="295"/>
        <w:spacing w:after="0" w:line="270" w:lineRule="auto"/>
        <w:tabs>
          <w:tab w:leader="none" w:pos="850" w:val="left"/>
        </w:tabs>
        <w:numPr>
          <w:ilvl w:val="1"/>
          <w:numId w:val="631"/>
        </w:numPr>
        <w:rPr>
          <w:rFonts w:ascii="Arial" w:cs="Arial" w:eastAsia="Arial" w:hAnsi="Arial"/>
          <w:sz w:val="16"/>
          <w:szCs w:val="16"/>
          <w:color w:val="auto"/>
        </w:rPr>
      </w:pPr>
      <w:r>
        <w:rPr>
          <w:rFonts w:ascii="Arial" w:cs="Arial" w:eastAsia="Arial" w:hAnsi="Arial"/>
          <w:sz w:val="16"/>
          <w:szCs w:val="16"/>
          <w:color w:val="auto"/>
        </w:rPr>
        <w:t>The Parties have participated jointly in the negotiation and drafting of the Agreement, and in the event an ambiguity or question of intent or interpretation arises, the Agreement will be construed as if drafted jointly by the Parties, and no presumption or burden of proof will arise favouring or disfavouring any Party by virtue of the authorship of any provisions of the Agreement.</w:t>
      </w:r>
    </w:p>
    <w:p>
      <w:pPr>
        <w:spacing w:after="0" w:line="162"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0275" cy="2794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 w:right="180" w:hanging="2"/>
        <w:spacing w:after="0" w:line="270" w:lineRule="auto"/>
        <w:tabs>
          <w:tab w:leader="none" w:pos="396" w:val="left"/>
        </w:tabs>
        <w:numPr>
          <w:ilvl w:val="0"/>
          <w:numId w:val="632"/>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jc w:val="center"/>
        <w:ind w:right="-41"/>
        <w:spacing w:after="0"/>
        <w:rPr>
          <w:sz w:val="20"/>
          <w:szCs w:val="20"/>
          <w:color w:val="auto"/>
        </w:rPr>
      </w:pPr>
      <w:r>
        <w:rPr>
          <w:rFonts w:ascii="Arial" w:cs="Arial" w:eastAsia="Arial" w:hAnsi="Arial"/>
          <w:sz w:val="16"/>
          <w:szCs w:val="16"/>
          <w:u w:val="single" w:color="auto"/>
          <w:color w:val="auto"/>
        </w:rPr>
        <w:t>DATED 29 JUNE 2018</w:t>
      </w:r>
    </w:p>
    <w:p>
      <w:pPr>
        <w:spacing w:after="0" w:line="207" w:lineRule="exact"/>
        <w:rPr>
          <w:sz w:val="20"/>
          <w:szCs w:val="20"/>
          <w:color w:val="auto"/>
        </w:rPr>
      </w:pPr>
    </w:p>
    <w:p>
      <w:pPr>
        <w:ind w:left="3162" w:hanging="228"/>
        <w:spacing w:after="0"/>
        <w:tabs>
          <w:tab w:leader="none" w:pos="3162" w:val="left"/>
        </w:tabs>
        <w:numPr>
          <w:ilvl w:val="0"/>
          <w:numId w:val="633"/>
        </w:numPr>
        <w:rPr>
          <w:rFonts w:ascii="Arial" w:cs="Arial" w:eastAsia="Arial" w:hAnsi="Arial"/>
          <w:sz w:val="16"/>
          <w:szCs w:val="16"/>
          <w:color w:val="auto"/>
        </w:rPr>
      </w:pPr>
      <w:r>
        <w:rPr>
          <w:rFonts w:ascii="Arial" w:cs="Arial" w:eastAsia="Arial" w:hAnsi="Arial"/>
          <w:sz w:val="16"/>
          <w:szCs w:val="16"/>
          <w:color w:val="auto"/>
        </w:rPr>
        <w:t>BICYCLE THERAPEUTICS LIMITED</w:t>
      </w:r>
    </w:p>
    <w:p>
      <w:pPr>
        <w:spacing w:after="0" w:line="207" w:lineRule="exact"/>
        <w:rPr>
          <w:rFonts w:ascii="Arial" w:cs="Arial" w:eastAsia="Arial" w:hAnsi="Arial"/>
          <w:sz w:val="16"/>
          <w:szCs w:val="16"/>
          <w:color w:val="auto"/>
        </w:rPr>
      </w:pPr>
    </w:p>
    <w:p>
      <w:pPr>
        <w:ind w:left="3162" w:hanging="228"/>
        <w:spacing w:after="0"/>
        <w:tabs>
          <w:tab w:leader="none" w:pos="3162" w:val="left"/>
        </w:tabs>
        <w:numPr>
          <w:ilvl w:val="0"/>
          <w:numId w:val="633"/>
        </w:numPr>
        <w:rPr>
          <w:rFonts w:ascii="Arial" w:cs="Arial" w:eastAsia="Arial" w:hAnsi="Arial"/>
          <w:sz w:val="16"/>
          <w:szCs w:val="16"/>
          <w:color w:val="auto"/>
        </w:rPr>
      </w:pPr>
      <w:r>
        <w:rPr>
          <w:rFonts w:ascii="Arial" w:cs="Arial" w:eastAsia="Arial" w:hAnsi="Arial"/>
          <w:sz w:val="16"/>
          <w:szCs w:val="16"/>
          <w:color w:val="auto"/>
        </w:rPr>
        <w:t>CANCER RESEARCH TECHNOLOGY LIMITED</w:t>
      </w:r>
    </w:p>
    <w:p>
      <w:pPr>
        <w:spacing w:after="0" w:line="207" w:lineRule="exact"/>
        <w:rPr>
          <w:rFonts w:ascii="Arial" w:cs="Arial" w:eastAsia="Arial" w:hAnsi="Arial"/>
          <w:sz w:val="16"/>
          <w:szCs w:val="16"/>
          <w:color w:val="auto"/>
        </w:rPr>
      </w:pPr>
    </w:p>
    <w:p>
      <w:pPr>
        <w:ind w:left="3162" w:hanging="228"/>
        <w:spacing w:after="0"/>
        <w:tabs>
          <w:tab w:leader="none" w:pos="3162" w:val="left"/>
        </w:tabs>
        <w:numPr>
          <w:ilvl w:val="0"/>
          <w:numId w:val="633"/>
        </w:numPr>
        <w:rPr>
          <w:rFonts w:ascii="Arial" w:cs="Arial" w:eastAsia="Arial" w:hAnsi="Arial"/>
          <w:sz w:val="16"/>
          <w:szCs w:val="16"/>
          <w:color w:val="auto"/>
        </w:rPr>
      </w:pPr>
      <w:r>
        <w:rPr>
          <w:rFonts w:ascii="Arial" w:cs="Arial" w:eastAsia="Arial" w:hAnsi="Arial"/>
          <w:sz w:val="16"/>
          <w:szCs w:val="16"/>
          <w:color w:val="auto"/>
        </w:rPr>
        <w:t>CANCER RESEARCH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201930</wp:posOffset>
            </wp:positionV>
            <wp:extent cx="1824355"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622"/>
        <w:spacing w:after="0"/>
        <w:rPr>
          <w:sz w:val="20"/>
          <w:szCs w:val="20"/>
          <w:color w:val="auto"/>
        </w:rPr>
      </w:pPr>
      <w:r>
        <w:rPr>
          <w:rFonts w:ascii="Arial" w:cs="Arial" w:eastAsia="Arial" w:hAnsi="Arial"/>
          <w:sz w:val="16"/>
          <w:szCs w:val="16"/>
          <w:color w:val="auto"/>
        </w:rPr>
        <w:t>SECOND DEED OF AMENDMENT OF A CLINICAL TRIAL</w:t>
      </w:r>
    </w:p>
    <w:p>
      <w:pPr>
        <w:spacing w:after="0" w:line="23" w:lineRule="exact"/>
        <w:rPr>
          <w:sz w:val="20"/>
          <w:szCs w:val="20"/>
          <w:color w:val="auto"/>
        </w:rPr>
      </w:pPr>
    </w:p>
    <w:p>
      <w:pPr>
        <w:ind w:left="5022"/>
        <w:spacing w:after="0"/>
        <w:rPr>
          <w:sz w:val="20"/>
          <w:szCs w:val="20"/>
          <w:color w:val="auto"/>
        </w:rPr>
      </w:pPr>
      <w:r>
        <w:rPr>
          <w:rFonts w:ascii="Arial" w:cs="Arial" w:eastAsia="Arial" w:hAnsi="Arial"/>
          <w:sz w:val="16"/>
          <w:szCs w:val="16"/>
          <w:color w:val="auto"/>
        </w:rPr>
        <w:t>AND LICENCE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194310</wp:posOffset>
            </wp:positionV>
            <wp:extent cx="1824355"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82435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448310</wp:posOffset>
            </wp:positionV>
            <wp:extent cx="7280275" cy="2794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02"/>
          </w:cols>
          <w:pgMar w:left="238" w:top="322" w:right="259" w:bottom="1440" w:gutter="0" w:footer="0" w:header="0"/>
        </w:sectPr>
      </w:pPr>
    </w:p>
    <w:bookmarkStart w:id="613" w:name="page614"/>
    <w:bookmarkEnd w:id="613"/>
    <w:p>
      <w:pPr>
        <w:ind w:left="2" w:right="240" w:hanging="2"/>
        <w:spacing w:after="0" w:line="270" w:lineRule="auto"/>
        <w:tabs>
          <w:tab w:leader="none" w:pos="396" w:val="left"/>
        </w:tabs>
        <w:numPr>
          <w:ilvl w:val="0"/>
          <w:numId w:val="634"/>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THIS SECOND DEED OF AMENDMENT </w:t>
      </w:r>
      <w:r>
        <w:rPr>
          <w:rFonts w:ascii="Arial" w:cs="Arial" w:eastAsia="Arial" w:hAnsi="Arial"/>
          <w:sz w:val="16"/>
          <w:szCs w:val="16"/>
          <w:color w:val="auto"/>
        </w:rPr>
        <w:t>is made on 29 June 2018 (this</w:t>
      </w:r>
      <w:r>
        <w:rPr>
          <w:rFonts w:ascii="Arial" w:cs="Arial" w:eastAsia="Arial" w:hAnsi="Arial"/>
          <w:sz w:val="16"/>
          <w:szCs w:val="16"/>
          <w:b w:val="1"/>
          <w:bCs w:val="1"/>
          <w:color w:val="auto"/>
        </w:rPr>
        <w:t xml:space="preserve"> “Deed”</w:t>
      </w:r>
      <w:r>
        <w:rPr>
          <w:rFonts w:ascii="Arial" w:cs="Arial" w:eastAsia="Arial" w:hAnsi="Arial"/>
          <w:sz w:val="16"/>
          <w:szCs w:val="16"/>
          <w:color w:val="auto"/>
        </w:rPr>
        <w:t>)</w:t>
      </w:r>
      <w:r>
        <w:rPr>
          <w:rFonts w:ascii="Arial" w:cs="Arial" w:eastAsia="Arial" w:hAnsi="Arial"/>
          <w:sz w:val="16"/>
          <w:szCs w:val="16"/>
          <w:b w:val="1"/>
          <w:bCs w:val="1"/>
          <w:color w:val="auto"/>
        </w:rPr>
        <w:t xml:space="preserve"> BETWEEN:</w:t>
      </w:r>
    </w:p>
    <w:p>
      <w:pPr>
        <w:spacing w:after="0" w:line="207" w:lineRule="exact"/>
        <w:rPr>
          <w:sz w:val="20"/>
          <w:szCs w:val="20"/>
          <w:color w:val="auto"/>
        </w:rPr>
      </w:pPr>
    </w:p>
    <w:p>
      <w:pPr>
        <w:ind w:left="582" w:right="640" w:hanging="582"/>
        <w:spacing w:after="0" w:line="290" w:lineRule="auto"/>
        <w:tabs>
          <w:tab w:leader="none" w:pos="589" w:val="left"/>
        </w:tabs>
        <w:numPr>
          <w:ilvl w:val="0"/>
          <w:numId w:val="635"/>
        </w:numPr>
        <w:rPr>
          <w:rFonts w:ascii="Arial" w:cs="Arial" w:eastAsia="Arial" w:hAnsi="Arial"/>
          <w:sz w:val="16"/>
          <w:szCs w:val="16"/>
          <w:color w:val="auto"/>
        </w:rPr>
      </w:pPr>
      <w:r>
        <w:rPr>
          <w:rFonts w:ascii="Arial" w:cs="Arial" w:eastAsia="Arial" w:hAnsi="Arial"/>
          <w:sz w:val="16"/>
          <w:szCs w:val="16"/>
          <w:b w:val="1"/>
          <w:bCs w:val="1"/>
          <w:color w:val="auto"/>
        </w:rPr>
        <w:t xml:space="preserve">BICYCLE THERAPEUTICS LIMITED, </w:t>
      </w:r>
      <w:r>
        <w:rPr>
          <w:rFonts w:ascii="Arial" w:cs="Arial" w:eastAsia="Arial" w:hAnsi="Arial"/>
          <w:sz w:val="16"/>
          <w:szCs w:val="16"/>
          <w:color w:val="auto"/>
        </w:rPr>
        <w:t>a limited liability company incorporated under number 06960780 in England and Wales with registered office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Building 900, Babraham Research Campus, Babraham, Cambridge, CB22 3AT, England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ind w:left="582" w:right="60" w:hanging="582"/>
        <w:spacing w:after="0" w:line="290" w:lineRule="auto"/>
        <w:tabs>
          <w:tab w:leader="none" w:pos="589" w:val="left"/>
        </w:tabs>
        <w:numPr>
          <w:ilvl w:val="0"/>
          <w:numId w:val="635"/>
        </w:numPr>
        <w:rPr>
          <w:rFonts w:ascii="Arial" w:cs="Arial" w:eastAsia="Arial" w:hAnsi="Arial"/>
          <w:sz w:val="16"/>
          <w:szCs w:val="16"/>
          <w:color w:val="auto"/>
        </w:rPr>
      </w:pPr>
      <w:r>
        <w:rPr>
          <w:rFonts w:ascii="Arial" w:cs="Arial" w:eastAsia="Arial" w:hAnsi="Arial"/>
          <w:sz w:val="16"/>
          <w:szCs w:val="16"/>
          <w:b w:val="1"/>
          <w:bCs w:val="1"/>
          <w:color w:val="auto"/>
        </w:rPr>
        <w:t xml:space="preserve">CANCER RESEARCH UK, </w:t>
      </w:r>
      <w:r>
        <w:rPr>
          <w:rFonts w:ascii="Arial" w:cs="Arial" w:eastAsia="Arial" w:hAnsi="Arial"/>
          <w:sz w:val="16"/>
          <w:szCs w:val="16"/>
          <w:color w:val="auto"/>
        </w:rPr>
        <w:t>a company registered under number 4325234, and charity registered under number 1089464, in England and Wales and with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 at Angel Building, 407 St John Street, London, EClV 4AD, England (the </w:t>
      </w:r>
      <w:r>
        <w:rPr>
          <w:rFonts w:ascii="Arial" w:cs="Arial" w:eastAsia="Arial" w:hAnsi="Arial"/>
          <w:sz w:val="16"/>
          <w:szCs w:val="16"/>
          <w:b w:val="1"/>
          <w:bCs w:val="1"/>
          <w:color w:val="auto"/>
        </w:rPr>
        <w:t>“Charity”);</w:t>
      </w:r>
      <w:r>
        <w:rPr>
          <w:rFonts w:ascii="Arial" w:cs="Arial" w:eastAsia="Arial" w:hAnsi="Arial"/>
          <w:sz w:val="16"/>
          <w:szCs w:val="16"/>
          <w:color w:val="auto"/>
        </w:rPr>
        <w:t xml:space="preserve"> and</w:t>
      </w:r>
    </w:p>
    <w:p>
      <w:pPr>
        <w:spacing w:after="0" w:line="142" w:lineRule="exact"/>
        <w:rPr>
          <w:rFonts w:ascii="Arial" w:cs="Arial" w:eastAsia="Arial" w:hAnsi="Arial"/>
          <w:sz w:val="16"/>
          <w:szCs w:val="16"/>
          <w:color w:val="auto"/>
        </w:rPr>
      </w:pPr>
    </w:p>
    <w:p>
      <w:pPr>
        <w:ind w:left="582" w:right="320" w:hanging="582"/>
        <w:spacing w:after="0" w:line="290" w:lineRule="auto"/>
        <w:tabs>
          <w:tab w:leader="none" w:pos="589" w:val="left"/>
        </w:tabs>
        <w:numPr>
          <w:ilvl w:val="0"/>
          <w:numId w:val="635"/>
        </w:numPr>
        <w:rPr>
          <w:rFonts w:ascii="Arial" w:cs="Arial" w:eastAsia="Arial" w:hAnsi="Arial"/>
          <w:sz w:val="16"/>
          <w:szCs w:val="16"/>
          <w:color w:val="auto"/>
        </w:rPr>
      </w:pPr>
      <w:r>
        <w:rPr>
          <w:rFonts w:ascii="Arial" w:cs="Arial" w:eastAsia="Arial" w:hAnsi="Arial"/>
          <w:sz w:val="16"/>
          <w:szCs w:val="16"/>
          <w:b w:val="1"/>
          <w:bCs w:val="1"/>
          <w:color w:val="auto"/>
        </w:rPr>
        <w:t xml:space="preserve">CANCER RESEARCH TECHNOLOGY LIMITED, </w:t>
      </w:r>
      <w:r>
        <w:rPr>
          <w:rFonts w:ascii="Arial" w:cs="Arial" w:eastAsia="Arial" w:hAnsi="Arial"/>
          <w:sz w:val="16"/>
          <w:szCs w:val="16"/>
          <w:color w:val="auto"/>
        </w:rPr>
        <w:t>a company incorporated in England and Wales with number 1626049 and with registered office at Angel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Building, 407 St John Street, London, EClV 4AD, England </w:t>
      </w:r>
      <w:r>
        <w:rPr>
          <w:rFonts w:ascii="Arial" w:cs="Arial" w:eastAsia="Arial" w:hAnsi="Arial"/>
          <w:sz w:val="16"/>
          <w:szCs w:val="16"/>
          <w:b w:val="1"/>
          <w:bCs w:val="1"/>
          <w:color w:val="auto"/>
        </w:rPr>
        <w:t>(“CRT”),</w:t>
      </w:r>
    </w:p>
    <w:p>
      <w:pPr>
        <w:spacing w:after="0" w:line="142" w:lineRule="exact"/>
        <w:rPr>
          <w:sz w:val="20"/>
          <w:szCs w:val="20"/>
          <w:color w:val="auto"/>
        </w:rPr>
      </w:pPr>
    </w:p>
    <w:p>
      <w:pPr>
        <w:ind w:left="642"/>
        <w:spacing w:after="0"/>
        <w:rPr>
          <w:sz w:val="20"/>
          <w:szCs w:val="20"/>
          <w:color w:val="auto"/>
        </w:rPr>
      </w:pPr>
      <w:r>
        <w:rPr>
          <w:rFonts w:ascii="Arial" w:cs="Arial" w:eastAsia="Arial" w:hAnsi="Arial"/>
          <w:sz w:val="16"/>
          <w:szCs w:val="16"/>
          <w:color w:val="auto"/>
        </w:rPr>
        <w:t xml:space="preserve">each a </w:t>
      </w:r>
      <w:r>
        <w:rPr>
          <w:rFonts w:ascii="Arial" w:cs="Arial" w:eastAsia="Arial" w:hAnsi="Arial"/>
          <w:sz w:val="16"/>
          <w:szCs w:val="16"/>
          <w:b w:val="1"/>
          <w:bCs w:val="1"/>
          <w:color w:val="auto"/>
        </w:rPr>
        <w:t>“Party”,</w:t>
      </w:r>
      <w:r>
        <w:rPr>
          <w:rFonts w:ascii="Arial" w:cs="Arial" w:eastAsia="Arial" w:hAnsi="Arial"/>
          <w:sz w:val="16"/>
          <w:szCs w:val="16"/>
          <w:color w:val="auto"/>
        </w:rPr>
        <w:t xml:space="preserve"> and together the </w:t>
      </w:r>
      <w:r>
        <w:rPr>
          <w:rFonts w:ascii="Arial" w:cs="Arial" w:eastAsia="Arial" w:hAnsi="Arial"/>
          <w:sz w:val="16"/>
          <w:szCs w:val="16"/>
          <w:b w:val="1"/>
          <w:bCs w:val="1"/>
          <w:color w:val="auto"/>
        </w:rPr>
        <w:t>“Parties”.</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WHEREAS:</w:t>
      </w:r>
    </w:p>
    <w:p>
      <w:pPr>
        <w:spacing w:after="0" w:line="207" w:lineRule="exact"/>
        <w:rPr>
          <w:sz w:val="20"/>
          <w:szCs w:val="20"/>
          <w:color w:val="auto"/>
        </w:rPr>
      </w:pPr>
    </w:p>
    <w:p>
      <w:pPr>
        <w:ind w:left="602" w:hanging="602"/>
        <w:spacing w:after="0"/>
        <w:tabs>
          <w:tab w:leader="none" w:pos="602" w:val="left"/>
        </w:tabs>
        <w:numPr>
          <w:ilvl w:val="0"/>
          <w:numId w:val="636"/>
        </w:numPr>
        <w:rPr>
          <w:rFonts w:ascii="Arial" w:cs="Arial" w:eastAsia="Arial" w:hAnsi="Arial"/>
          <w:sz w:val="15"/>
          <w:szCs w:val="15"/>
          <w:color w:val="auto"/>
        </w:rPr>
      </w:pPr>
      <w:r>
        <w:rPr>
          <w:rFonts w:ascii="Arial" w:cs="Arial" w:eastAsia="Arial" w:hAnsi="Arial"/>
          <w:sz w:val="15"/>
          <w:szCs w:val="15"/>
          <w:color w:val="auto"/>
        </w:rPr>
        <w:t xml:space="preserve">On 13 December 2016, the Parties entered into a clinical trial and licence agreement (the </w:t>
      </w:r>
      <w:r>
        <w:rPr>
          <w:rFonts w:ascii="Arial" w:cs="Arial" w:eastAsia="Arial" w:hAnsi="Arial"/>
          <w:sz w:val="15"/>
          <w:szCs w:val="15"/>
          <w:b w:val="1"/>
          <w:bCs w:val="1"/>
          <w:color w:val="auto"/>
        </w:rPr>
        <w:t>“CTLA”)</w:t>
      </w:r>
      <w:r>
        <w:rPr>
          <w:rFonts w:ascii="Arial" w:cs="Arial" w:eastAsia="Arial" w:hAnsi="Arial"/>
          <w:sz w:val="15"/>
          <w:szCs w:val="15"/>
          <w:color w:val="auto"/>
        </w:rPr>
        <w:t xml:space="preserve"> as amended by Deed of Amendment dated 31st March 2017.</w:t>
      </w:r>
    </w:p>
    <w:p>
      <w:pPr>
        <w:spacing w:after="0" w:line="222" w:lineRule="exact"/>
        <w:rPr>
          <w:rFonts w:ascii="Arial" w:cs="Arial" w:eastAsia="Arial" w:hAnsi="Arial"/>
          <w:sz w:val="15"/>
          <w:szCs w:val="15"/>
          <w:color w:val="auto"/>
        </w:rPr>
      </w:pPr>
    </w:p>
    <w:p>
      <w:pPr>
        <w:ind w:left="582" w:right="560" w:hanging="582"/>
        <w:spacing w:after="0" w:line="285" w:lineRule="auto"/>
        <w:tabs>
          <w:tab w:leader="none" w:pos="591" w:val="left"/>
        </w:tabs>
        <w:numPr>
          <w:ilvl w:val="0"/>
          <w:numId w:val="636"/>
        </w:numPr>
        <w:rPr>
          <w:rFonts w:ascii="Arial" w:cs="Arial" w:eastAsia="Arial" w:hAnsi="Arial"/>
          <w:sz w:val="16"/>
          <w:szCs w:val="16"/>
          <w:color w:val="auto"/>
        </w:rPr>
      </w:pPr>
      <w:r>
        <w:rPr>
          <w:rFonts w:ascii="Arial" w:cs="Arial" w:eastAsia="Arial" w:hAnsi="Arial"/>
          <w:sz w:val="16"/>
          <w:szCs w:val="16"/>
          <w:color w:val="auto"/>
        </w:rPr>
        <w:t xml:space="preserve">The Parties have agreed that certain amendments are required to the CTLA including changing the name and address of the Company and acknowledging that intellectual property relating to the manufacture of the </w:t>
      </w:r>
      <w:r>
        <w:rPr>
          <w:rFonts w:ascii="Arial" w:cs="Arial" w:eastAsia="Arial" w:hAnsi="Arial"/>
          <w:sz w:val="16"/>
          <w:szCs w:val="16"/>
          <w:b w:val="1"/>
          <w:bCs w:val="1"/>
          <w:color w:val="auto"/>
        </w:rPr>
        <w:t>[***] (“DM1”)</w:t>
      </w:r>
      <w:r>
        <w:rPr>
          <w:rFonts w:ascii="Arial" w:cs="Arial" w:eastAsia="Arial" w:hAnsi="Arial"/>
          <w:sz w:val="16"/>
          <w:szCs w:val="16"/>
          <w:color w:val="auto"/>
        </w:rPr>
        <w:t xml:space="preserve"> is Third Party IP (as defined in the CTLA).</w:t>
      </w:r>
    </w:p>
    <w:p>
      <w:pPr>
        <w:spacing w:after="0" w:line="149" w:lineRule="exact"/>
        <w:rPr>
          <w:rFonts w:ascii="Arial" w:cs="Arial" w:eastAsia="Arial" w:hAnsi="Arial"/>
          <w:sz w:val="16"/>
          <w:szCs w:val="16"/>
          <w:color w:val="auto"/>
        </w:rPr>
      </w:pPr>
    </w:p>
    <w:p>
      <w:pPr>
        <w:ind w:left="602" w:hanging="602"/>
        <w:spacing w:after="0"/>
        <w:tabs>
          <w:tab w:leader="none" w:pos="602" w:val="left"/>
        </w:tabs>
        <w:numPr>
          <w:ilvl w:val="0"/>
          <w:numId w:val="636"/>
        </w:numPr>
        <w:rPr>
          <w:rFonts w:ascii="Arial" w:cs="Arial" w:eastAsia="Arial" w:hAnsi="Arial"/>
          <w:sz w:val="16"/>
          <w:szCs w:val="16"/>
          <w:color w:val="auto"/>
        </w:rPr>
      </w:pPr>
      <w:r>
        <w:rPr>
          <w:rFonts w:ascii="Arial" w:cs="Arial" w:eastAsia="Arial" w:hAnsi="Arial"/>
          <w:sz w:val="16"/>
          <w:szCs w:val="16"/>
          <w:color w:val="auto"/>
        </w:rPr>
        <w:t>The Parties have agreed to amend the CTLA as below.</w:t>
      </w:r>
    </w:p>
    <w:p>
      <w:pPr>
        <w:spacing w:after="0" w:line="203" w:lineRule="exact"/>
        <w:rPr>
          <w:sz w:val="20"/>
          <w:szCs w:val="20"/>
          <w:color w:val="auto"/>
        </w:rPr>
      </w:pPr>
    </w:p>
    <w:p>
      <w:pPr>
        <w:ind w:left="22"/>
        <w:spacing w:after="0"/>
        <w:rPr>
          <w:sz w:val="20"/>
          <w:szCs w:val="20"/>
          <w:color w:val="auto"/>
        </w:rPr>
      </w:pPr>
      <w:r>
        <w:rPr>
          <w:rFonts w:ascii="Arial" w:cs="Arial" w:eastAsia="Arial" w:hAnsi="Arial"/>
          <w:sz w:val="16"/>
          <w:szCs w:val="16"/>
          <w:b w:val="1"/>
          <w:bCs w:val="1"/>
          <w:color w:val="auto"/>
        </w:rPr>
        <w:t>AGREED TERMS</w:t>
      </w:r>
    </w:p>
    <w:p>
      <w:pPr>
        <w:spacing w:after="0" w:line="207" w:lineRule="exact"/>
        <w:rPr>
          <w:sz w:val="20"/>
          <w:szCs w:val="20"/>
          <w:color w:val="auto"/>
        </w:rPr>
      </w:pPr>
    </w:p>
    <w:p>
      <w:pPr>
        <w:ind w:left="882" w:hanging="882"/>
        <w:spacing w:after="0"/>
        <w:tabs>
          <w:tab w:leader="none" w:pos="882" w:val="left"/>
        </w:tabs>
        <w:numPr>
          <w:ilvl w:val="0"/>
          <w:numId w:val="637"/>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 AND INTERPRETATION</w:t>
      </w:r>
    </w:p>
    <w:p>
      <w:pPr>
        <w:spacing w:after="0" w:line="211" w:lineRule="exact"/>
        <w:rPr>
          <w:rFonts w:ascii="Arial" w:cs="Arial" w:eastAsia="Arial" w:hAnsi="Arial"/>
          <w:sz w:val="16"/>
          <w:szCs w:val="16"/>
          <w:b w:val="1"/>
          <w:bCs w:val="1"/>
          <w:color w:val="auto"/>
        </w:rPr>
      </w:pPr>
    </w:p>
    <w:p>
      <w:pPr>
        <w:ind w:left="882"/>
        <w:spacing w:after="0"/>
        <w:rPr>
          <w:rFonts w:ascii="Arial" w:cs="Arial" w:eastAsia="Arial" w:hAnsi="Arial"/>
          <w:sz w:val="16"/>
          <w:szCs w:val="16"/>
          <w:b w:val="1"/>
          <w:bCs w:val="1"/>
          <w:color w:val="auto"/>
        </w:rPr>
      </w:pPr>
      <w:r>
        <w:rPr>
          <w:rFonts w:ascii="Arial" w:cs="Arial" w:eastAsia="Arial" w:hAnsi="Arial"/>
          <w:sz w:val="15"/>
          <w:szCs w:val="15"/>
          <w:color w:val="auto"/>
        </w:rPr>
        <w:t>Unless otherwise defined herein, all capitalised terms used in this Deed and not defined herein have the same meanings as given to them in the CTLA.</w:t>
      </w:r>
    </w:p>
    <w:p>
      <w:pPr>
        <w:spacing w:after="0" w:line="214" w:lineRule="exact"/>
        <w:rPr>
          <w:rFonts w:ascii="Arial" w:cs="Arial" w:eastAsia="Arial" w:hAnsi="Arial"/>
          <w:sz w:val="16"/>
          <w:szCs w:val="16"/>
          <w:b w:val="1"/>
          <w:bCs w:val="1"/>
          <w:color w:val="auto"/>
        </w:rPr>
      </w:pPr>
    </w:p>
    <w:p>
      <w:pPr>
        <w:ind w:left="882" w:hanging="882"/>
        <w:spacing w:after="0"/>
        <w:tabs>
          <w:tab w:leader="none" w:pos="882" w:val="left"/>
        </w:tabs>
        <w:numPr>
          <w:ilvl w:val="0"/>
          <w:numId w:val="637"/>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TO THE CTLA</w:t>
      </w:r>
    </w:p>
    <w:p>
      <w:pPr>
        <w:spacing w:after="0" w:line="207"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540" w:type="dxa"/>
            <w:vAlign w:val="bottom"/>
          </w:tcPr>
          <w:p>
            <w:pPr>
              <w:jc w:val="right"/>
              <w:ind w:right="259"/>
              <w:spacing w:after="0"/>
              <w:rPr>
                <w:sz w:val="20"/>
                <w:szCs w:val="20"/>
                <w:color w:val="auto"/>
              </w:rPr>
            </w:pPr>
            <w:r>
              <w:rPr>
                <w:rFonts w:ascii="Arial" w:cs="Arial" w:eastAsia="Arial" w:hAnsi="Arial"/>
                <w:sz w:val="16"/>
                <w:szCs w:val="16"/>
                <w:color w:val="auto"/>
                <w:w w:val="80"/>
              </w:rPr>
              <w:t>2.1</w:t>
            </w:r>
          </w:p>
        </w:tc>
        <w:tc>
          <w:tcPr>
            <w:tcW w:w="10920" w:type="dxa"/>
            <w:vAlign w:val="bottom"/>
          </w:tcPr>
          <w:p>
            <w:pPr>
              <w:ind w:left="340"/>
              <w:spacing w:after="0"/>
              <w:rPr>
                <w:sz w:val="20"/>
                <w:szCs w:val="20"/>
                <w:color w:val="auto"/>
              </w:rPr>
            </w:pPr>
            <w:r>
              <w:rPr>
                <w:rFonts w:ascii="Arial" w:cs="Arial" w:eastAsia="Arial" w:hAnsi="Arial"/>
                <w:sz w:val="16"/>
                <w:szCs w:val="16"/>
                <w:b w:val="1"/>
                <w:bCs w:val="1"/>
                <w:color w:val="auto"/>
              </w:rPr>
              <w:t xml:space="preserve">Cover Sheet: </w:t>
            </w:r>
            <w:r>
              <w:rPr>
                <w:rFonts w:ascii="Arial" w:cs="Arial" w:eastAsia="Arial" w:hAnsi="Arial"/>
                <w:sz w:val="16"/>
                <w:szCs w:val="16"/>
                <w:color w:val="auto"/>
              </w:rPr>
              <w:t>The name and address of the Company on page 1 of the Cover Sheet and on the first</w:t>
            </w:r>
          </w:p>
        </w:tc>
      </w:tr>
      <w:tr>
        <w:trPr>
          <w:trHeight w:val="207"/>
        </w:trPr>
        <w:tc>
          <w:tcPr>
            <w:tcW w:w="540" w:type="dxa"/>
            <w:vAlign w:val="bottom"/>
          </w:tcPr>
          <w:p>
            <w:pPr>
              <w:spacing w:after="0"/>
              <w:rPr>
                <w:sz w:val="18"/>
                <w:szCs w:val="18"/>
                <w:color w:val="auto"/>
              </w:rPr>
            </w:pPr>
          </w:p>
        </w:tc>
        <w:tc>
          <w:tcPr>
            <w:tcW w:w="10920" w:type="dxa"/>
            <w:vAlign w:val="bottom"/>
          </w:tcPr>
          <w:p>
            <w:pPr>
              <w:ind w:left="340"/>
              <w:spacing w:after="0"/>
              <w:rPr>
                <w:sz w:val="20"/>
                <w:szCs w:val="20"/>
                <w:color w:val="auto"/>
              </w:rPr>
            </w:pPr>
            <w:r>
              <w:rPr>
                <w:rFonts w:ascii="Arial" w:cs="Arial" w:eastAsia="Arial" w:hAnsi="Arial"/>
                <w:sz w:val="16"/>
                <w:szCs w:val="16"/>
                <w:color w:val="auto"/>
              </w:rPr>
              <w:t>page of Schedule 2 (Step-In Agreement) shall be changed</w:t>
            </w:r>
          </w:p>
        </w:tc>
      </w:tr>
      <w:tr>
        <w:trPr>
          <w:trHeight w:val="380"/>
        </w:trPr>
        <w:tc>
          <w:tcPr>
            <w:tcW w:w="540" w:type="dxa"/>
            <w:vAlign w:val="bottom"/>
          </w:tcPr>
          <w:p>
            <w:pPr>
              <w:spacing w:after="0"/>
              <w:rPr>
                <w:sz w:val="24"/>
                <w:szCs w:val="24"/>
                <w:color w:val="auto"/>
              </w:rPr>
            </w:pPr>
          </w:p>
        </w:tc>
        <w:tc>
          <w:tcPr>
            <w:tcW w:w="10920" w:type="dxa"/>
            <w:vAlign w:val="bottom"/>
          </w:tcPr>
          <w:p>
            <w:pPr>
              <w:ind w:left="640"/>
              <w:spacing w:after="0"/>
              <w:rPr>
                <w:sz w:val="20"/>
                <w:szCs w:val="20"/>
                <w:color w:val="auto"/>
              </w:rPr>
            </w:pPr>
            <w:r>
              <w:rPr>
                <w:rFonts w:ascii="Arial" w:cs="Arial" w:eastAsia="Arial" w:hAnsi="Arial"/>
                <w:sz w:val="16"/>
                <w:szCs w:val="16"/>
                <w:color w:val="auto"/>
                <w:w w:val="95"/>
              </w:rPr>
              <w:t xml:space="preserve">from: </w:t>
            </w:r>
            <w:r>
              <w:rPr>
                <w:rFonts w:ascii="Arial" w:cs="Arial" w:eastAsia="Arial" w:hAnsi="Arial"/>
                <w:sz w:val="16"/>
                <w:szCs w:val="16"/>
                <w:i w:val="1"/>
                <w:iCs w:val="1"/>
                <w:color w:val="auto"/>
                <w:w w:val="95"/>
              </w:rPr>
              <w:t>“Bicycle Therapeutics Limited, a company incorporated in England and Wales under number 06960780 with registered office at Meditrina Building,</w:t>
            </w:r>
          </w:p>
        </w:tc>
      </w:tr>
      <w:tr>
        <w:trPr>
          <w:trHeight w:val="207"/>
        </w:trPr>
        <w:tc>
          <w:tcPr>
            <w:tcW w:w="540" w:type="dxa"/>
            <w:vAlign w:val="bottom"/>
          </w:tcPr>
          <w:p>
            <w:pPr>
              <w:spacing w:after="0"/>
              <w:rPr>
                <w:sz w:val="18"/>
                <w:szCs w:val="18"/>
                <w:color w:val="auto"/>
              </w:rPr>
            </w:pPr>
          </w:p>
        </w:tc>
        <w:tc>
          <w:tcPr>
            <w:tcW w:w="10920" w:type="dxa"/>
            <w:vAlign w:val="bottom"/>
          </w:tcPr>
          <w:p>
            <w:pPr>
              <w:ind w:left="640"/>
              <w:spacing w:after="0"/>
              <w:rPr>
                <w:sz w:val="20"/>
                <w:szCs w:val="20"/>
                <w:color w:val="auto"/>
              </w:rPr>
            </w:pPr>
            <w:r>
              <w:rPr>
                <w:rFonts w:ascii="Arial" w:cs="Arial" w:eastAsia="Arial" w:hAnsi="Arial"/>
                <w:sz w:val="16"/>
                <w:szCs w:val="16"/>
                <w:i w:val="1"/>
                <w:iCs w:val="1"/>
                <w:color w:val="auto"/>
              </w:rPr>
              <w:t>Babraham Research Campus, Cambridge CB22 3AT”</w:t>
            </w:r>
          </w:p>
        </w:tc>
      </w:tr>
      <w:tr>
        <w:trPr>
          <w:trHeight w:val="380"/>
        </w:trPr>
        <w:tc>
          <w:tcPr>
            <w:tcW w:w="540" w:type="dxa"/>
            <w:vAlign w:val="bottom"/>
          </w:tcPr>
          <w:p>
            <w:pPr>
              <w:spacing w:after="0"/>
              <w:rPr>
                <w:sz w:val="24"/>
                <w:szCs w:val="24"/>
                <w:color w:val="auto"/>
              </w:rPr>
            </w:pPr>
          </w:p>
        </w:tc>
        <w:tc>
          <w:tcPr>
            <w:tcW w:w="10920" w:type="dxa"/>
            <w:vAlign w:val="bottom"/>
          </w:tcPr>
          <w:p>
            <w:pPr>
              <w:ind w:left="640"/>
              <w:spacing w:after="0"/>
              <w:rPr>
                <w:sz w:val="20"/>
                <w:szCs w:val="20"/>
                <w:color w:val="auto"/>
              </w:rPr>
            </w:pPr>
            <w:r>
              <w:rPr>
                <w:rFonts w:ascii="Arial" w:cs="Arial" w:eastAsia="Arial" w:hAnsi="Arial"/>
                <w:sz w:val="16"/>
                <w:szCs w:val="16"/>
                <w:color w:val="auto"/>
                <w:w w:val="94"/>
              </w:rPr>
              <w:t xml:space="preserve">to </w:t>
            </w:r>
            <w:r>
              <w:rPr>
                <w:rFonts w:ascii="Arial" w:cs="Arial" w:eastAsia="Arial" w:hAnsi="Arial"/>
                <w:sz w:val="16"/>
                <w:szCs w:val="16"/>
                <w:i w:val="1"/>
                <w:iCs w:val="1"/>
                <w:color w:val="auto"/>
                <w:w w:val="94"/>
              </w:rPr>
              <w:t>“BicycleRD Limited, a company incorporated in England and Wales under number 06960780 with registered office at Building 900, Babraham Research</w:t>
            </w:r>
          </w:p>
        </w:tc>
      </w:tr>
      <w:tr>
        <w:trPr>
          <w:trHeight w:val="207"/>
        </w:trPr>
        <w:tc>
          <w:tcPr>
            <w:tcW w:w="540" w:type="dxa"/>
            <w:vAlign w:val="bottom"/>
          </w:tcPr>
          <w:p>
            <w:pPr>
              <w:spacing w:after="0"/>
              <w:rPr>
                <w:sz w:val="18"/>
                <w:szCs w:val="18"/>
                <w:color w:val="auto"/>
              </w:rPr>
            </w:pPr>
          </w:p>
        </w:tc>
        <w:tc>
          <w:tcPr>
            <w:tcW w:w="10920" w:type="dxa"/>
            <w:vAlign w:val="bottom"/>
          </w:tcPr>
          <w:p>
            <w:pPr>
              <w:ind w:left="640"/>
              <w:spacing w:after="0"/>
              <w:rPr>
                <w:sz w:val="20"/>
                <w:szCs w:val="20"/>
                <w:color w:val="auto"/>
              </w:rPr>
            </w:pPr>
            <w:r>
              <w:rPr>
                <w:rFonts w:ascii="Arial" w:cs="Arial" w:eastAsia="Arial" w:hAnsi="Arial"/>
                <w:sz w:val="16"/>
                <w:szCs w:val="16"/>
                <w:i w:val="1"/>
                <w:iCs w:val="1"/>
                <w:color w:val="auto"/>
              </w:rPr>
              <w:t>Campus, Babraham, Cambridge CB22 3AT, UK”,</w:t>
            </w:r>
          </w:p>
        </w:tc>
      </w:tr>
      <w:tr>
        <w:trPr>
          <w:trHeight w:val="391"/>
        </w:trPr>
        <w:tc>
          <w:tcPr>
            <w:tcW w:w="540" w:type="dxa"/>
            <w:vAlign w:val="bottom"/>
          </w:tcPr>
          <w:p>
            <w:pPr>
              <w:spacing w:after="0"/>
              <w:rPr>
                <w:sz w:val="24"/>
                <w:szCs w:val="24"/>
                <w:color w:val="auto"/>
              </w:rPr>
            </w:pPr>
          </w:p>
        </w:tc>
        <w:tc>
          <w:tcPr>
            <w:tcW w:w="10920" w:type="dxa"/>
            <w:vAlign w:val="bottom"/>
          </w:tcPr>
          <w:p>
            <w:pPr>
              <w:ind w:left="340"/>
              <w:spacing w:after="0"/>
              <w:rPr>
                <w:sz w:val="20"/>
                <w:szCs w:val="20"/>
                <w:color w:val="auto"/>
              </w:rPr>
            </w:pPr>
            <w:r>
              <w:rPr>
                <w:rFonts w:ascii="Arial" w:cs="Arial" w:eastAsia="Arial" w:hAnsi="Arial"/>
                <w:sz w:val="16"/>
                <w:szCs w:val="16"/>
                <w:color w:val="auto"/>
              </w:rPr>
              <w:t>and all other references to “Bicycle Therapeutics Limited” in the CTLA shall be changed to BicycleRD Limited”.</w:t>
            </w:r>
          </w:p>
        </w:tc>
      </w:tr>
      <w:tr>
        <w:trPr>
          <w:trHeight w:val="391"/>
        </w:trPr>
        <w:tc>
          <w:tcPr>
            <w:tcW w:w="540" w:type="dxa"/>
            <w:vAlign w:val="bottom"/>
          </w:tcPr>
          <w:p>
            <w:pPr>
              <w:jc w:val="right"/>
              <w:ind w:right="259"/>
              <w:spacing w:after="0"/>
              <w:rPr>
                <w:sz w:val="20"/>
                <w:szCs w:val="20"/>
                <w:color w:val="auto"/>
              </w:rPr>
            </w:pPr>
            <w:r>
              <w:rPr>
                <w:rFonts w:ascii="Arial" w:cs="Arial" w:eastAsia="Arial" w:hAnsi="Arial"/>
                <w:sz w:val="16"/>
                <w:szCs w:val="16"/>
                <w:color w:val="auto"/>
                <w:w w:val="80"/>
              </w:rPr>
              <w:t>2.2</w:t>
            </w:r>
          </w:p>
        </w:tc>
        <w:tc>
          <w:tcPr>
            <w:tcW w:w="10920" w:type="dxa"/>
            <w:vAlign w:val="bottom"/>
          </w:tcPr>
          <w:p>
            <w:pPr>
              <w:ind w:left="340"/>
              <w:spacing w:after="0"/>
              <w:rPr>
                <w:sz w:val="20"/>
                <w:szCs w:val="20"/>
                <w:color w:val="auto"/>
              </w:rPr>
            </w:pPr>
            <w:r>
              <w:rPr>
                <w:rFonts w:ascii="Arial" w:cs="Arial" w:eastAsia="Arial" w:hAnsi="Arial"/>
                <w:sz w:val="16"/>
                <w:szCs w:val="16"/>
                <w:b w:val="1"/>
                <w:bCs w:val="1"/>
                <w:color w:val="auto"/>
              </w:rPr>
              <w:t>Third Party IP relating to the manufacture of [***] (“DM1</w:t>
            </w:r>
            <w:r>
              <w:rPr>
                <w:rFonts w:ascii="Arial" w:cs="Arial" w:eastAsia="Arial" w:hAnsi="Arial"/>
                <w:sz w:val="16"/>
                <w:szCs w:val="16"/>
                <w:color w:val="auto"/>
              </w:rPr>
              <w:t>”): The Parties acknowledge that all IP relating to the manufacture of [***] (“DMl”) is Third</w:t>
            </w:r>
          </w:p>
        </w:tc>
      </w:tr>
      <w:tr>
        <w:trPr>
          <w:trHeight w:val="315"/>
        </w:trPr>
        <w:tc>
          <w:tcPr>
            <w:tcW w:w="540" w:type="dxa"/>
            <w:vAlign w:val="bottom"/>
            <w:tcBorders>
              <w:bottom w:val="single" w:sz="8" w:color="808080"/>
            </w:tcBorders>
          </w:tcPr>
          <w:p>
            <w:pPr>
              <w:spacing w:after="0"/>
              <w:rPr>
                <w:sz w:val="24"/>
                <w:szCs w:val="24"/>
                <w:color w:val="auto"/>
              </w:rPr>
            </w:pPr>
          </w:p>
        </w:tc>
        <w:tc>
          <w:tcPr>
            <w:tcW w:w="10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3" w:right="199" w:bottom="1440" w:gutter="0" w:footer="0" w:header="0"/>
        </w:sectPr>
      </w:pPr>
    </w:p>
    <w:bookmarkStart w:id="614" w:name="page615"/>
    <w:bookmarkEnd w:id="614"/>
    <w:p>
      <w:pPr>
        <w:ind w:left="2" w:right="200" w:hanging="2"/>
        <w:spacing w:after="0" w:line="270" w:lineRule="auto"/>
        <w:tabs>
          <w:tab w:leader="none" w:pos="396" w:val="left"/>
        </w:tabs>
        <w:numPr>
          <w:ilvl w:val="0"/>
          <w:numId w:val="638"/>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882" w:right="200"/>
        <w:spacing w:after="0" w:line="285" w:lineRule="auto"/>
        <w:rPr>
          <w:sz w:val="20"/>
          <w:szCs w:val="20"/>
          <w:color w:val="auto"/>
        </w:rPr>
      </w:pPr>
      <w:r>
        <w:rPr>
          <w:rFonts w:ascii="Arial" w:cs="Arial" w:eastAsia="Arial" w:hAnsi="Arial"/>
          <w:sz w:val="16"/>
          <w:szCs w:val="16"/>
          <w:color w:val="auto"/>
        </w:rPr>
        <w:t>Party IP and is not included under the definition of Results. The Parties agree to amend Clauses 2.4 (IMPD and IB), 2.6 (Documents), 2.8 (Form and Content), and 7 (The Results of the Clinical Trial) as follows:</w:t>
      </w:r>
    </w:p>
    <w:p>
      <w:pPr>
        <w:spacing w:after="0" w:line="146" w:lineRule="exact"/>
        <w:rPr>
          <w:sz w:val="20"/>
          <w:szCs w:val="20"/>
          <w:color w:val="auto"/>
        </w:rPr>
      </w:pPr>
    </w:p>
    <w:tbl>
      <w:tblPr>
        <w:tblLayout w:type="fixed"/>
        <w:tblInd w:w="582" w:type="dxa"/>
        <w:tblCellMar>
          <w:top w:w="0" w:type="dxa"/>
          <w:left w:w="0" w:type="dxa"/>
          <w:bottom w:w="0" w:type="dxa"/>
          <w:right w:w="0" w:type="dxa"/>
        </w:tblCellMar>
      </w:tblPr>
      <w:tr>
        <w:trPr>
          <w:trHeight w:val="211"/>
        </w:trPr>
        <w:tc>
          <w:tcPr>
            <w:tcW w:w="600" w:type="dxa"/>
            <w:vAlign w:val="bottom"/>
          </w:tcPr>
          <w:p>
            <w:pPr>
              <w:jc w:val="right"/>
              <w:ind w:right="179"/>
              <w:spacing w:after="0"/>
              <w:rPr>
                <w:sz w:val="20"/>
                <w:szCs w:val="20"/>
                <w:color w:val="auto"/>
              </w:rPr>
            </w:pPr>
            <w:r>
              <w:rPr>
                <w:rFonts w:ascii="Arial" w:cs="Arial" w:eastAsia="Arial" w:hAnsi="Arial"/>
                <w:sz w:val="16"/>
                <w:szCs w:val="16"/>
                <w:color w:val="auto"/>
                <w:w w:val="89"/>
              </w:rPr>
              <w:t>2.2.1</w:t>
            </w:r>
          </w:p>
        </w:tc>
        <w:tc>
          <w:tcPr>
            <w:tcW w:w="10240" w:type="dxa"/>
            <w:vAlign w:val="bottom"/>
          </w:tcPr>
          <w:p>
            <w:pPr>
              <w:ind w:left="280"/>
              <w:spacing w:after="0"/>
              <w:rPr>
                <w:sz w:val="20"/>
                <w:szCs w:val="20"/>
                <w:color w:val="auto"/>
              </w:rPr>
            </w:pPr>
            <w:r>
              <w:rPr>
                <w:rFonts w:ascii="Arial" w:cs="Arial" w:eastAsia="Arial" w:hAnsi="Arial"/>
                <w:sz w:val="16"/>
                <w:szCs w:val="16"/>
                <w:b w:val="1"/>
                <w:bCs w:val="1"/>
                <w:color w:val="auto"/>
              </w:rPr>
              <w:t xml:space="preserve">IMPD and IB (Clause 2.4): </w:t>
            </w:r>
            <w:r>
              <w:rPr>
                <w:rFonts w:ascii="Arial" w:cs="Arial" w:eastAsia="Arial" w:hAnsi="Arial"/>
                <w:sz w:val="16"/>
                <w:szCs w:val="16"/>
                <w:color w:val="auto"/>
              </w:rPr>
              <w:t>amending Clause 2.4 as follows:</w:t>
            </w:r>
          </w:p>
        </w:tc>
      </w:tr>
      <w:tr>
        <w:trPr>
          <w:trHeight w:val="380"/>
        </w:trPr>
        <w:tc>
          <w:tcPr>
            <w:tcW w:w="600" w:type="dxa"/>
            <w:vAlign w:val="bottom"/>
          </w:tcPr>
          <w:p>
            <w:pPr>
              <w:spacing w:after="0"/>
              <w:rPr>
                <w:sz w:val="24"/>
                <w:szCs w:val="24"/>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5"/>
              </w:rPr>
              <w:t>“IMPD and IB. Taking into account any reasonable comments received from the Company applying the procedures provided for in clause 1.2 of this</w:t>
            </w:r>
          </w:p>
        </w:tc>
      </w:tr>
      <w:tr>
        <w:trPr>
          <w:trHeight w:val="196"/>
        </w:trPr>
        <w:tc>
          <w:tcPr>
            <w:tcW w:w="60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7"/>
              </w:rPr>
              <w:t>Agreement for the Protocol, the Charity will prepare the lnvestigational Medicinal Product Dossier (“IMPD”) and the Investigator’s Brochure (“IB”)</w:t>
            </w:r>
          </w:p>
        </w:tc>
      </w:tr>
      <w:tr>
        <w:trPr>
          <w:trHeight w:val="196"/>
        </w:trPr>
        <w:tc>
          <w:tcPr>
            <w:tcW w:w="60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3"/>
              </w:rPr>
              <w:t>in respect of the clinical aspects of the Clinical Trial, and submit the IMPD (excluding the DM1 ASMF) and IB to the relevant Regulatory Authority. The</w:t>
            </w:r>
          </w:p>
        </w:tc>
      </w:tr>
      <w:tr>
        <w:trPr>
          <w:trHeight w:val="196"/>
        </w:trPr>
        <w:tc>
          <w:tcPr>
            <w:tcW w:w="60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5"/>
              </w:rPr>
              <w:t>Company will provide the Charity with all reasonable assistance in the preparation of the IMPD and IB, including, without limitation, the provision of</w:t>
            </w:r>
          </w:p>
        </w:tc>
      </w:tr>
      <w:tr>
        <w:trPr>
          <w:trHeight w:val="196"/>
        </w:trPr>
        <w:tc>
          <w:tcPr>
            <w:tcW w:w="60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5"/>
              </w:rPr>
              <w:t>available information (including such chemistry manufacturing and control information as is available to the Company in a form suitable for inclusion</w:t>
            </w:r>
          </w:p>
        </w:tc>
      </w:tr>
      <w:tr>
        <w:trPr>
          <w:trHeight w:val="207"/>
        </w:trPr>
        <w:tc>
          <w:tcPr>
            <w:tcW w:w="6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rPr>
              <w:t>in the IMPD) required to prepare the IMPD and IB. For the avoidance of doubt the Parties acknowledge that [***.]”</w:t>
            </w:r>
          </w:p>
        </w:tc>
      </w:tr>
      <w:tr>
        <w:trPr>
          <w:trHeight w:val="380"/>
        </w:trPr>
        <w:tc>
          <w:tcPr>
            <w:tcW w:w="600" w:type="dxa"/>
            <w:vAlign w:val="bottom"/>
          </w:tcPr>
          <w:p>
            <w:pPr>
              <w:jc w:val="right"/>
              <w:ind w:right="179"/>
              <w:spacing w:after="0"/>
              <w:rPr>
                <w:sz w:val="20"/>
                <w:szCs w:val="20"/>
                <w:color w:val="auto"/>
              </w:rPr>
            </w:pPr>
            <w:r>
              <w:rPr>
                <w:rFonts w:ascii="Arial" w:cs="Arial" w:eastAsia="Arial" w:hAnsi="Arial"/>
                <w:sz w:val="16"/>
                <w:szCs w:val="16"/>
                <w:color w:val="auto"/>
                <w:w w:val="89"/>
              </w:rPr>
              <w:t>2.2.2</w:t>
            </w:r>
          </w:p>
        </w:tc>
        <w:tc>
          <w:tcPr>
            <w:tcW w:w="10240" w:type="dxa"/>
            <w:vAlign w:val="bottom"/>
          </w:tcPr>
          <w:p>
            <w:pPr>
              <w:ind w:left="280"/>
              <w:spacing w:after="0"/>
              <w:rPr>
                <w:sz w:val="20"/>
                <w:szCs w:val="20"/>
                <w:color w:val="auto"/>
              </w:rPr>
            </w:pPr>
            <w:r>
              <w:rPr>
                <w:rFonts w:ascii="Arial" w:cs="Arial" w:eastAsia="Arial" w:hAnsi="Arial"/>
                <w:sz w:val="16"/>
                <w:szCs w:val="16"/>
                <w:b w:val="1"/>
                <w:bCs w:val="1"/>
                <w:color w:val="auto"/>
                <w:w w:val="96"/>
              </w:rPr>
              <w:t xml:space="preserve">Documents (Clause 2.6): </w:t>
            </w:r>
            <w:r>
              <w:rPr>
                <w:rFonts w:ascii="Arial" w:cs="Arial" w:eastAsia="Arial" w:hAnsi="Arial"/>
                <w:sz w:val="16"/>
                <w:szCs w:val="16"/>
                <w:color w:val="auto"/>
                <w:w w:val="96"/>
              </w:rPr>
              <w:t>inserting after Clause 2.6 (a):</w:t>
            </w:r>
            <w:r>
              <w:rPr>
                <w:rFonts w:ascii="Arial" w:cs="Arial" w:eastAsia="Arial" w:hAnsi="Arial"/>
                <w:sz w:val="16"/>
                <w:szCs w:val="16"/>
                <w:b w:val="1"/>
                <w:bCs w:val="1"/>
                <w:color w:val="auto"/>
                <w:w w:val="96"/>
              </w:rPr>
              <w:t xml:space="preserve"> </w:t>
            </w:r>
            <w:r>
              <w:rPr>
                <w:rFonts w:ascii="Arial" w:cs="Arial" w:eastAsia="Arial" w:hAnsi="Arial"/>
                <w:sz w:val="16"/>
                <w:szCs w:val="16"/>
                <w:i w:val="1"/>
                <w:iCs w:val="1"/>
                <w:color w:val="auto"/>
                <w:w w:val="96"/>
              </w:rPr>
              <w:t>“Subject to Clause 2.4”</w:t>
            </w:r>
            <w:r>
              <w:rPr>
                <w:rFonts w:ascii="Arial" w:cs="Arial" w:eastAsia="Arial" w:hAnsi="Arial"/>
                <w:sz w:val="16"/>
                <w:szCs w:val="16"/>
                <w:b w:val="1"/>
                <w:bCs w:val="1"/>
                <w:color w:val="auto"/>
                <w:w w:val="96"/>
              </w:rPr>
              <w:t xml:space="preserve"> </w:t>
            </w:r>
            <w:r>
              <w:rPr>
                <w:rFonts w:ascii="Arial" w:cs="Arial" w:eastAsia="Arial" w:hAnsi="Arial"/>
                <w:sz w:val="16"/>
                <w:szCs w:val="16"/>
                <w:color w:val="auto"/>
                <w:w w:val="96"/>
              </w:rPr>
              <w:t>and inserting</w:t>
            </w:r>
            <w:r>
              <w:rPr>
                <w:rFonts w:ascii="Arial" w:cs="Arial" w:eastAsia="Arial" w:hAnsi="Arial"/>
                <w:sz w:val="16"/>
                <w:szCs w:val="16"/>
                <w:b w:val="1"/>
                <w:bCs w:val="1"/>
                <w:color w:val="auto"/>
                <w:w w:val="96"/>
              </w:rPr>
              <w:t xml:space="preserve"> </w:t>
            </w:r>
            <w:r>
              <w:rPr>
                <w:rFonts w:ascii="Arial" w:cs="Arial" w:eastAsia="Arial" w:hAnsi="Arial"/>
                <w:sz w:val="16"/>
                <w:szCs w:val="16"/>
                <w:i w:val="1"/>
                <w:iCs w:val="1"/>
                <w:color w:val="auto"/>
                <w:w w:val="96"/>
              </w:rPr>
              <w:t>“(excluding the DM1 ASMF)”</w:t>
            </w:r>
            <w:r>
              <w:rPr>
                <w:rFonts w:ascii="Arial" w:cs="Arial" w:eastAsia="Arial" w:hAnsi="Arial"/>
                <w:sz w:val="16"/>
                <w:szCs w:val="16"/>
                <w:b w:val="1"/>
                <w:bCs w:val="1"/>
                <w:color w:val="auto"/>
                <w:w w:val="96"/>
              </w:rPr>
              <w:t xml:space="preserve"> </w:t>
            </w:r>
            <w:r>
              <w:rPr>
                <w:rFonts w:ascii="Arial" w:cs="Arial" w:eastAsia="Arial" w:hAnsi="Arial"/>
                <w:sz w:val="16"/>
                <w:szCs w:val="16"/>
                <w:color w:val="auto"/>
                <w:w w:val="96"/>
              </w:rPr>
              <w:t>so that Clause 2.6 now</w:t>
            </w:r>
          </w:p>
        </w:tc>
      </w:tr>
      <w:tr>
        <w:trPr>
          <w:trHeight w:val="207"/>
        </w:trPr>
        <w:tc>
          <w:tcPr>
            <w:tcW w:w="6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6"/>
                <w:szCs w:val="16"/>
                <w:color w:val="auto"/>
              </w:rPr>
              <w:t>reads:</w:t>
            </w:r>
          </w:p>
        </w:tc>
      </w:tr>
      <w:tr>
        <w:trPr>
          <w:trHeight w:val="380"/>
        </w:trPr>
        <w:tc>
          <w:tcPr>
            <w:tcW w:w="600" w:type="dxa"/>
            <w:vAlign w:val="bottom"/>
          </w:tcPr>
          <w:p>
            <w:pPr>
              <w:spacing w:after="0"/>
              <w:rPr>
                <w:sz w:val="24"/>
                <w:szCs w:val="24"/>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6"/>
              </w:rPr>
              <w:t>“The Charity will provide to the Company: (a) Subject to Clause 2.4, copies of the IMPD (excluding the DM1 A SMF) and IB as soon as practicable</w:t>
            </w:r>
          </w:p>
        </w:tc>
      </w:tr>
      <w:tr>
        <w:trPr>
          <w:trHeight w:val="196"/>
        </w:trPr>
        <w:tc>
          <w:tcPr>
            <w:tcW w:w="60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7"/>
              </w:rPr>
              <w:t xml:space="preserve">and no later than upon submission to the relevant Regulatory Authority, and (b) a clinical study report within </w:t>
            </w:r>
            <w:r>
              <w:rPr>
                <w:rFonts w:ascii="Arial" w:cs="Arial" w:eastAsia="Arial" w:hAnsi="Arial"/>
                <w:sz w:val="16"/>
                <w:szCs w:val="16"/>
                <w:color w:val="auto"/>
                <w:w w:val="97"/>
              </w:rPr>
              <w:t>[***]</w:t>
            </w:r>
            <w:r>
              <w:rPr>
                <w:rFonts w:ascii="Arial" w:cs="Arial" w:eastAsia="Arial" w:hAnsi="Arial"/>
                <w:sz w:val="16"/>
                <w:szCs w:val="16"/>
                <w:i w:val="1"/>
                <w:iCs w:val="1"/>
                <w:color w:val="auto"/>
                <w:w w:val="97"/>
              </w:rPr>
              <w:t xml:space="preserve"> after the Charity has notified the</w:t>
            </w:r>
          </w:p>
        </w:tc>
      </w:tr>
      <w:tr>
        <w:trPr>
          <w:trHeight w:val="196"/>
        </w:trPr>
        <w:tc>
          <w:tcPr>
            <w:tcW w:w="60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4"/>
              </w:rPr>
              <w:t>Company that the clinical research database relating to the Clinical Trial has been locked or, in the event that for ethical or other reasons any Clinical</w:t>
            </w:r>
          </w:p>
        </w:tc>
      </w:tr>
      <w:tr>
        <w:trPr>
          <w:trHeight w:val="196"/>
        </w:trPr>
        <w:tc>
          <w:tcPr>
            <w:tcW w:w="60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4"/>
              </w:rPr>
              <w:t xml:space="preserve">Trial Subject(s) continues to be dosed with the Agent after the last patient has been dosed with the </w:t>
            </w:r>
            <w:r>
              <w:rPr>
                <w:rFonts w:ascii="Arial" w:cs="Arial" w:eastAsia="Arial" w:hAnsi="Arial"/>
                <w:sz w:val="16"/>
                <w:szCs w:val="16"/>
                <w:color w:val="auto"/>
                <w:w w:val="94"/>
              </w:rPr>
              <w:t>[***]</w:t>
            </w:r>
            <w:r>
              <w:rPr>
                <w:rFonts w:ascii="Arial" w:cs="Arial" w:eastAsia="Arial" w:hAnsi="Arial"/>
                <w:sz w:val="16"/>
                <w:szCs w:val="16"/>
                <w:i w:val="1"/>
                <w:iCs w:val="1"/>
                <w:color w:val="auto"/>
                <w:w w:val="94"/>
              </w:rPr>
              <w:t xml:space="preserve"> cycle or such other event as agreed to by the</w:t>
            </w:r>
          </w:p>
        </w:tc>
      </w:tr>
      <w:tr>
        <w:trPr>
          <w:trHeight w:val="196"/>
        </w:trPr>
        <w:tc>
          <w:tcPr>
            <w:tcW w:w="60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4"/>
              </w:rPr>
              <w:t xml:space="preserve">JPT, an interim clinical study report based upon the data available up to and including the last patient that has been dosed with the </w:t>
            </w:r>
            <w:r>
              <w:rPr>
                <w:rFonts w:ascii="Arial" w:cs="Arial" w:eastAsia="Arial" w:hAnsi="Arial"/>
                <w:sz w:val="16"/>
                <w:szCs w:val="16"/>
                <w:color w:val="auto"/>
                <w:w w:val="94"/>
              </w:rPr>
              <w:t>[***]</w:t>
            </w:r>
            <w:r>
              <w:rPr>
                <w:rFonts w:ascii="Arial" w:cs="Arial" w:eastAsia="Arial" w:hAnsi="Arial"/>
                <w:sz w:val="16"/>
                <w:szCs w:val="16"/>
                <w:i w:val="1"/>
                <w:iCs w:val="1"/>
                <w:color w:val="auto"/>
                <w:w w:val="94"/>
              </w:rPr>
              <w:t xml:space="preserve"> cycle or such</w:t>
            </w:r>
          </w:p>
        </w:tc>
      </w:tr>
      <w:tr>
        <w:trPr>
          <w:trHeight w:val="196"/>
        </w:trPr>
        <w:tc>
          <w:tcPr>
            <w:tcW w:w="60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3"/>
              </w:rPr>
              <w:t>other event as agreed to by the JPT. In the event that for ethical or other reasons any Clinical Trial Subject(s) continue to be dosed with the Agent after</w:t>
            </w:r>
          </w:p>
        </w:tc>
      </w:tr>
      <w:tr>
        <w:trPr>
          <w:trHeight w:val="196"/>
        </w:trPr>
        <w:tc>
          <w:tcPr>
            <w:tcW w:w="60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2"/>
              </w:rPr>
              <w:t xml:space="preserve">the last patient has been dosed with the </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cycle or such other event as agreed to by the JPT, the Parties will agree in good faith the basis upon which</w:t>
            </w:r>
          </w:p>
        </w:tc>
      </w:tr>
      <w:tr>
        <w:trPr>
          <w:trHeight w:val="207"/>
        </w:trPr>
        <w:tc>
          <w:tcPr>
            <w:tcW w:w="6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rPr>
              <w:t>the Charity will provide reports to the Company on the progress of those Clinical Trial Subjects.”</w:t>
            </w:r>
          </w:p>
        </w:tc>
      </w:tr>
      <w:tr>
        <w:trPr>
          <w:trHeight w:val="380"/>
        </w:trPr>
        <w:tc>
          <w:tcPr>
            <w:tcW w:w="600" w:type="dxa"/>
            <w:vAlign w:val="bottom"/>
          </w:tcPr>
          <w:p>
            <w:pPr>
              <w:jc w:val="right"/>
              <w:ind w:right="179"/>
              <w:spacing w:after="0"/>
              <w:rPr>
                <w:sz w:val="20"/>
                <w:szCs w:val="20"/>
                <w:color w:val="auto"/>
              </w:rPr>
            </w:pPr>
            <w:r>
              <w:rPr>
                <w:rFonts w:ascii="Arial" w:cs="Arial" w:eastAsia="Arial" w:hAnsi="Arial"/>
                <w:sz w:val="16"/>
                <w:szCs w:val="16"/>
                <w:color w:val="auto"/>
                <w:w w:val="89"/>
              </w:rPr>
              <w:t>2.2.3</w:t>
            </w:r>
          </w:p>
        </w:tc>
        <w:tc>
          <w:tcPr>
            <w:tcW w:w="10240" w:type="dxa"/>
            <w:vAlign w:val="bottom"/>
          </w:tcPr>
          <w:p>
            <w:pPr>
              <w:ind w:left="280"/>
              <w:spacing w:after="0"/>
              <w:rPr>
                <w:sz w:val="20"/>
                <w:szCs w:val="20"/>
                <w:color w:val="auto"/>
              </w:rPr>
            </w:pPr>
            <w:r>
              <w:rPr>
                <w:rFonts w:ascii="Arial" w:cs="Arial" w:eastAsia="Arial" w:hAnsi="Arial"/>
                <w:sz w:val="16"/>
                <w:szCs w:val="16"/>
                <w:b w:val="1"/>
                <w:bCs w:val="1"/>
                <w:color w:val="auto"/>
                <w:w w:val="94"/>
              </w:rPr>
              <w:t xml:space="preserve">Form and Content (Clause 2.8): </w:t>
            </w:r>
            <w:r>
              <w:rPr>
                <w:rFonts w:ascii="Arial" w:cs="Arial" w:eastAsia="Arial" w:hAnsi="Arial"/>
                <w:sz w:val="16"/>
                <w:szCs w:val="16"/>
                <w:color w:val="auto"/>
                <w:w w:val="94"/>
              </w:rPr>
              <w:t>inserting at the beginning of Clause 2.8,</w:t>
            </w:r>
            <w:r>
              <w:rPr>
                <w:rFonts w:ascii="Arial" w:cs="Arial" w:eastAsia="Arial" w:hAnsi="Arial"/>
                <w:sz w:val="16"/>
                <w:szCs w:val="16"/>
                <w:b w:val="1"/>
                <w:bCs w:val="1"/>
                <w:color w:val="auto"/>
                <w:w w:val="94"/>
              </w:rPr>
              <w:t xml:space="preserve"> </w:t>
            </w:r>
            <w:r>
              <w:rPr>
                <w:rFonts w:ascii="Arial" w:cs="Arial" w:eastAsia="Arial" w:hAnsi="Arial"/>
                <w:sz w:val="16"/>
                <w:szCs w:val="16"/>
                <w:i w:val="1"/>
                <w:iCs w:val="1"/>
                <w:color w:val="auto"/>
                <w:w w:val="94"/>
              </w:rPr>
              <w:t>“Subject to Clause 2.4”</w:t>
            </w:r>
            <w:r>
              <w:rPr>
                <w:rFonts w:ascii="Arial" w:cs="Arial" w:eastAsia="Arial" w:hAnsi="Arial"/>
                <w:sz w:val="16"/>
                <w:szCs w:val="16"/>
                <w:b w:val="1"/>
                <w:bCs w:val="1"/>
                <w:color w:val="auto"/>
                <w:w w:val="94"/>
              </w:rPr>
              <w:t xml:space="preserve"> </w:t>
            </w:r>
            <w:r>
              <w:rPr>
                <w:rFonts w:ascii="Arial" w:cs="Arial" w:eastAsia="Arial" w:hAnsi="Arial"/>
                <w:sz w:val="16"/>
                <w:szCs w:val="16"/>
                <w:color w:val="auto"/>
                <w:w w:val="94"/>
              </w:rPr>
              <w:t>and inserting</w:t>
            </w:r>
            <w:r>
              <w:rPr>
                <w:rFonts w:ascii="Arial" w:cs="Arial" w:eastAsia="Arial" w:hAnsi="Arial"/>
                <w:sz w:val="16"/>
                <w:szCs w:val="16"/>
                <w:b w:val="1"/>
                <w:bCs w:val="1"/>
                <w:color w:val="auto"/>
                <w:w w:val="94"/>
              </w:rPr>
              <w:t xml:space="preserve"> </w:t>
            </w:r>
            <w:r>
              <w:rPr>
                <w:rFonts w:ascii="Arial" w:cs="Arial" w:eastAsia="Arial" w:hAnsi="Arial"/>
                <w:sz w:val="16"/>
                <w:szCs w:val="16"/>
                <w:i w:val="1"/>
                <w:iCs w:val="1"/>
                <w:color w:val="auto"/>
                <w:w w:val="94"/>
              </w:rPr>
              <w:t>“(excluding the DM1 ASMF)”</w:t>
            </w:r>
            <w:r>
              <w:rPr>
                <w:rFonts w:ascii="Arial" w:cs="Arial" w:eastAsia="Arial" w:hAnsi="Arial"/>
                <w:sz w:val="16"/>
                <w:szCs w:val="16"/>
                <w:b w:val="1"/>
                <w:bCs w:val="1"/>
                <w:color w:val="auto"/>
                <w:w w:val="94"/>
              </w:rPr>
              <w:t xml:space="preserve"> </w:t>
            </w:r>
            <w:r>
              <w:rPr>
                <w:rFonts w:ascii="Arial" w:cs="Arial" w:eastAsia="Arial" w:hAnsi="Arial"/>
                <w:sz w:val="16"/>
                <w:szCs w:val="16"/>
                <w:color w:val="auto"/>
                <w:w w:val="94"/>
              </w:rPr>
              <w:t>so that</w:t>
            </w:r>
          </w:p>
        </w:tc>
      </w:tr>
      <w:tr>
        <w:trPr>
          <w:trHeight w:val="207"/>
        </w:trPr>
        <w:tc>
          <w:tcPr>
            <w:tcW w:w="6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6"/>
                <w:szCs w:val="16"/>
                <w:color w:val="auto"/>
              </w:rPr>
              <w:t>Clause 2.8 now reads:</w:t>
            </w:r>
          </w:p>
        </w:tc>
      </w:tr>
      <w:tr>
        <w:trPr>
          <w:trHeight w:val="380"/>
        </w:trPr>
        <w:tc>
          <w:tcPr>
            <w:tcW w:w="600" w:type="dxa"/>
            <w:vAlign w:val="bottom"/>
          </w:tcPr>
          <w:p>
            <w:pPr>
              <w:spacing w:after="0"/>
              <w:rPr>
                <w:sz w:val="24"/>
                <w:szCs w:val="24"/>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4"/>
              </w:rPr>
              <w:t>“Form and content. Subject to Clause 2.4, the Charity will prepare the Progress Reports, IMPD (excluding the DM1 ASMF and the Quality Section of</w:t>
            </w:r>
          </w:p>
        </w:tc>
      </w:tr>
      <w:tr>
        <w:trPr>
          <w:trHeight w:val="196"/>
        </w:trPr>
        <w:tc>
          <w:tcPr>
            <w:tcW w:w="60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w w:val="97"/>
              </w:rPr>
              <w:t>the IMPD), IB and clinical study report in accordance with, and in a form set by, the Charity’s then current practices, and applicable law (including</w:t>
            </w:r>
          </w:p>
        </w:tc>
      </w:tr>
      <w:tr>
        <w:trPr>
          <w:trHeight w:val="207"/>
        </w:trPr>
        <w:tc>
          <w:tcPr>
            <w:tcW w:w="6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6"/>
                <w:szCs w:val="16"/>
                <w:i w:val="1"/>
                <w:iCs w:val="1"/>
                <w:color w:val="auto"/>
              </w:rPr>
              <w:t>applicable good clinical practice).”</w:t>
            </w:r>
          </w:p>
        </w:tc>
      </w:tr>
      <w:tr>
        <w:trPr>
          <w:trHeight w:val="380"/>
        </w:trPr>
        <w:tc>
          <w:tcPr>
            <w:tcW w:w="600" w:type="dxa"/>
            <w:vAlign w:val="bottom"/>
          </w:tcPr>
          <w:p>
            <w:pPr>
              <w:jc w:val="right"/>
              <w:ind w:right="199"/>
              <w:spacing w:after="0"/>
              <w:rPr>
                <w:sz w:val="20"/>
                <w:szCs w:val="20"/>
                <w:color w:val="auto"/>
              </w:rPr>
            </w:pPr>
            <w:r>
              <w:rPr>
                <w:rFonts w:ascii="Arial" w:cs="Arial" w:eastAsia="Arial" w:hAnsi="Arial"/>
                <w:sz w:val="16"/>
                <w:szCs w:val="16"/>
                <w:color w:val="auto"/>
                <w:w w:val="86"/>
              </w:rPr>
              <w:t>2.2</w:t>
            </w:r>
            <w:r>
              <w:rPr>
                <w:rFonts w:ascii="Arial" w:cs="Arial" w:eastAsia="Arial" w:hAnsi="Arial"/>
                <w:sz w:val="15"/>
                <w:szCs w:val="15"/>
                <w:color w:val="auto"/>
                <w:w w:val="86"/>
              </w:rPr>
              <w:t>.4</w:t>
            </w:r>
          </w:p>
        </w:tc>
        <w:tc>
          <w:tcPr>
            <w:tcW w:w="10240" w:type="dxa"/>
            <w:vAlign w:val="bottom"/>
          </w:tcPr>
          <w:p>
            <w:pPr>
              <w:ind w:left="280"/>
              <w:spacing w:after="0"/>
              <w:rPr>
                <w:sz w:val="20"/>
                <w:szCs w:val="20"/>
                <w:color w:val="auto"/>
              </w:rPr>
            </w:pPr>
            <w:r>
              <w:rPr>
                <w:rFonts w:ascii="Arial" w:cs="Arial" w:eastAsia="Arial" w:hAnsi="Arial"/>
                <w:sz w:val="16"/>
                <w:szCs w:val="16"/>
                <w:b w:val="1"/>
                <w:bCs w:val="1"/>
                <w:color w:val="auto"/>
                <w:w w:val="93"/>
              </w:rPr>
              <w:t xml:space="preserve">The Results of the Clinical Trial (Clause </w:t>
            </w:r>
            <w:r>
              <w:rPr>
                <w:rFonts w:ascii="Arial" w:cs="Arial" w:eastAsia="Arial" w:hAnsi="Arial"/>
                <w:sz w:val="16"/>
                <w:szCs w:val="16"/>
                <w:color w:val="auto"/>
                <w:w w:val="93"/>
              </w:rPr>
              <w:t>7): amending the last sentence of the first paragraph of Clause 7.1 so that the first paragraph of Clause 7.1</w:t>
            </w:r>
          </w:p>
        </w:tc>
      </w:tr>
      <w:tr>
        <w:trPr>
          <w:trHeight w:val="207"/>
        </w:trPr>
        <w:tc>
          <w:tcPr>
            <w:tcW w:w="60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6"/>
                <w:szCs w:val="16"/>
                <w:color w:val="auto"/>
              </w:rPr>
              <w:t>now reads:</w:t>
            </w:r>
          </w:p>
        </w:tc>
      </w:tr>
    </w:tbl>
    <w:p>
      <w:pPr>
        <w:spacing w:after="0" w:line="184" w:lineRule="exact"/>
        <w:rPr>
          <w:sz w:val="20"/>
          <w:szCs w:val="20"/>
          <w:color w:val="auto"/>
        </w:rPr>
      </w:pPr>
    </w:p>
    <w:p>
      <w:pPr>
        <w:ind w:left="1462" w:right="20"/>
        <w:spacing w:after="0" w:line="284" w:lineRule="auto"/>
        <w:rPr>
          <w:sz w:val="20"/>
          <w:szCs w:val="20"/>
          <w:color w:val="auto"/>
        </w:rPr>
      </w:pPr>
      <w:r>
        <w:rPr>
          <w:rFonts w:ascii="Arial" w:cs="Arial" w:eastAsia="Arial" w:hAnsi="Arial"/>
          <w:sz w:val="15"/>
          <w:szCs w:val="15"/>
          <w:i w:val="1"/>
          <w:iCs w:val="1"/>
          <w:color w:val="auto"/>
        </w:rPr>
        <w:t xml:space="preserve">“Know How Controlled by the Charity or CRT and generated in performing the Clinical Trial, and the IP therein, is referred to in this Agreement as the </w:t>
      </w:r>
      <w:r>
        <w:rPr>
          <w:rFonts w:ascii="Arial" w:cs="Arial" w:eastAsia="Arial" w:hAnsi="Arial"/>
          <w:sz w:val="15"/>
          <w:szCs w:val="15"/>
          <w:b w:val="1"/>
          <w:bCs w:val="1"/>
          <w:i w:val="1"/>
          <w:iCs w:val="1"/>
          <w:color w:val="auto"/>
        </w:rPr>
        <w:t xml:space="preserve">“Results”. </w:t>
      </w:r>
      <w:r>
        <w:rPr>
          <w:rFonts w:ascii="Arial" w:cs="Arial" w:eastAsia="Arial" w:hAnsi="Arial"/>
          <w:sz w:val="15"/>
          <w:szCs w:val="15"/>
          <w:i w:val="1"/>
          <w:iCs w:val="1"/>
          <w:color w:val="auto"/>
        </w:rPr>
        <w:t>Results include, among other things, the contents of the IMPD (excluding the DM1 ASMF), IB, Progress Reports and the clinical study</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report generated by the Charity and the Contributors in carrying out the Clinical Trial but will exclude any results generated through the use of assays, biomarkers, companion diagnostics or formulation methodologies which are provided by the Company at the Company’s cost (if such cost constitutes a material charge and as contrasted with assays, biomarkers, companion diagnostics or formulation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80275" cy="2794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422"/>
          </w:cols>
          <w:pgMar w:left="238" w:top="322" w:right="239" w:bottom="1440" w:gutter="0" w:footer="0" w:header="0"/>
        </w:sectPr>
      </w:pPr>
    </w:p>
    <w:bookmarkStart w:id="615" w:name="page616"/>
    <w:bookmarkEnd w:id="615"/>
    <w:p>
      <w:pPr>
        <w:ind w:left="2" w:right="120" w:hanging="2"/>
        <w:spacing w:after="0" w:line="270" w:lineRule="auto"/>
        <w:tabs>
          <w:tab w:leader="none" w:pos="396" w:val="left"/>
        </w:tabs>
        <w:numPr>
          <w:ilvl w:val="0"/>
          <w:numId w:val="639"/>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7" w:lineRule="exact"/>
        <w:rPr>
          <w:sz w:val="20"/>
          <w:szCs w:val="20"/>
          <w:color w:val="auto"/>
        </w:rPr>
      </w:pPr>
    </w:p>
    <w:p>
      <w:pPr>
        <w:ind w:left="1462" w:right="60"/>
        <w:spacing w:after="0" w:line="320" w:lineRule="auto"/>
        <w:rPr>
          <w:sz w:val="20"/>
          <w:szCs w:val="20"/>
          <w:color w:val="auto"/>
        </w:rPr>
      </w:pPr>
      <w:r>
        <w:rPr>
          <w:rFonts w:ascii="Arial" w:cs="Arial" w:eastAsia="Arial" w:hAnsi="Arial"/>
          <w:sz w:val="15"/>
          <w:szCs w:val="15"/>
          <w:i w:val="1"/>
          <w:iCs w:val="1"/>
          <w:color w:val="auto"/>
        </w:rPr>
        <w:t>methodologies which are generally available without material charge from third parties) and which results are generated in the course of carrying out the Clinical Trial (such results and data will be solely owned by the Company). For the avoidance of doubt, Results does not include: [***]”</w:t>
      </w:r>
    </w:p>
    <w:p>
      <w:pPr>
        <w:spacing w:after="0" w:line="127" w:lineRule="exact"/>
        <w:rPr>
          <w:sz w:val="20"/>
          <w:szCs w:val="20"/>
          <w:color w:val="auto"/>
        </w:rPr>
      </w:pPr>
    </w:p>
    <w:p>
      <w:pPr>
        <w:ind w:left="1462"/>
        <w:spacing w:after="0"/>
        <w:rPr>
          <w:sz w:val="20"/>
          <w:szCs w:val="20"/>
          <w:color w:val="auto"/>
        </w:rPr>
      </w:pPr>
      <w:r>
        <w:rPr>
          <w:rFonts w:ascii="Arial" w:cs="Arial" w:eastAsia="Arial" w:hAnsi="Arial"/>
          <w:sz w:val="16"/>
          <w:szCs w:val="16"/>
          <w:color w:val="auto"/>
        </w:rPr>
        <w:t>For the avoidance of doubt all other paragraphs of Clause 7.1 remain unchanged</w:t>
      </w:r>
    </w:p>
    <w:p>
      <w:pPr>
        <w:spacing w:after="0" w:line="203" w:lineRule="exact"/>
        <w:rPr>
          <w:sz w:val="20"/>
          <w:szCs w:val="20"/>
          <w:color w:val="auto"/>
        </w:rPr>
      </w:pPr>
    </w:p>
    <w:p>
      <w:pPr>
        <w:ind w:left="882" w:hanging="882"/>
        <w:spacing w:after="0"/>
        <w:tabs>
          <w:tab w:leader="none" w:pos="882" w:val="left"/>
        </w:tabs>
        <w:numPr>
          <w:ilvl w:val="0"/>
          <w:numId w:val="640"/>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11"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540" w:type="dxa"/>
            <w:vAlign w:val="bottom"/>
          </w:tcPr>
          <w:p>
            <w:pPr>
              <w:jc w:val="right"/>
              <w:ind w:right="259"/>
              <w:spacing w:after="0"/>
              <w:rPr>
                <w:sz w:val="20"/>
                <w:szCs w:val="20"/>
                <w:color w:val="auto"/>
              </w:rPr>
            </w:pPr>
            <w:r>
              <w:rPr>
                <w:rFonts w:ascii="Arial" w:cs="Arial" w:eastAsia="Arial" w:hAnsi="Arial"/>
                <w:sz w:val="16"/>
                <w:szCs w:val="16"/>
                <w:color w:val="auto"/>
                <w:w w:val="80"/>
              </w:rPr>
              <w:t>3.1</w:t>
            </w:r>
          </w:p>
        </w:tc>
        <w:tc>
          <w:tcPr>
            <w:tcW w:w="10800" w:type="dxa"/>
            <w:vAlign w:val="bottom"/>
          </w:tcPr>
          <w:p>
            <w:pPr>
              <w:ind w:left="340"/>
              <w:spacing w:after="0"/>
              <w:rPr>
                <w:sz w:val="20"/>
                <w:szCs w:val="20"/>
                <w:color w:val="auto"/>
              </w:rPr>
            </w:pPr>
            <w:r>
              <w:rPr>
                <w:rFonts w:ascii="Arial" w:cs="Arial" w:eastAsia="Arial" w:hAnsi="Arial"/>
                <w:sz w:val="16"/>
                <w:szCs w:val="16"/>
                <w:color w:val="auto"/>
                <w:w w:val="92"/>
              </w:rPr>
              <w:t>The provisions of the CTLA shall, save as amended in this Second Deed of Amendment and the First Deed of Amendment, continue in full force and effect, and</w:t>
            </w:r>
          </w:p>
        </w:tc>
      </w:tr>
      <w:tr>
        <w:trPr>
          <w:trHeight w:val="207"/>
        </w:trPr>
        <w:tc>
          <w:tcPr>
            <w:tcW w:w="54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6"/>
                <w:szCs w:val="16"/>
                <w:color w:val="auto"/>
              </w:rPr>
              <w:t>shall be read and construed as one document with this Second Deed of Amendment.</w:t>
            </w:r>
          </w:p>
        </w:tc>
      </w:tr>
      <w:tr>
        <w:trPr>
          <w:trHeight w:val="380"/>
        </w:trPr>
        <w:tc>
          <w:tcPr>
            <w:tcW w:w="540" w:type="dxa"/>
            <w:vAlign w:val="bottom"/>
          </w:tcPr>
          <w:p>
            <w:pPr>
              <w:jc w:val="right"/>
              <w:ind w:right="259"/>
              <w:spacing w:after="0"/>
              <w:rPr>
                <w:sz w:val="20"/>
                <w:szCs w:val="20"/>
                <w:color w:val="auto"/>
              </w:rPr>
            </w:pPr>
            <w:r>
              <w:rPr>
                <w:rFonts w:ascii="Arial" w:cs="Arial" w:eastAsia="Arial" w:hAnsi="Arial"/>
                <w:sz w:val="16"/>
                <w:szCs w:val="16"/>
                <w:color w:val="auto"/>
                <w:w w:val="80"/>
              </w:rPr>
              <w:t>3.2</w:t>
            </w:r>
          </w:p>
        </w:tc>
        <w:tc>
          <w:tcPr>
            <w:tcW w:w="10800" w:type="dxa"/>
            <w:vAlign w:val="bottom"/>
          </w:tcPr>
          <w:p>
            <w:pPr>
              <w:ind w:left="340"/>
              <w:spacing w:after="0"/>
              <w:rPr>
                <w:sz w:val="20"/>
                <w:szCs w:val="20"/>
                <w:color w:val="auto"/>
              </w:rPr>
            </w:pPr>
            <w:r>
              <w:rPr>
                <w:rFonts w:ascii="Arial" w:cs="Arial" w:eastAsia="Arial" w:hAnsi="Arial"/>
                <w:sz w:val="16"/>
                <w:szCs w:val="16"/>
                <w:color w:val="auto"/>
                <w:w w:val="94"/>
              </w:rPr>
              <w:t xml:space="preserve">The provisions of Clauses 17.14 </w:t>
            </w:r>
            <w:r>
              <w:rPr>
                <w:rFonts w:ascii="Arial" w:cs="Arial" w:eastAsia="Arial" w:hAnsi="Arial"/>
                <w:sz w:val="16"/>
                <w:szCs w:val="16"/>
                <w:i w:val="1"/>
                <w:iCs w:val="1"/>
                <w:color w:val="auto"/>
                <w:w w:val="94"/>
              </w:rPr>
              <w:t>(Law and Jurisdiction),</w:t>
            </w:r>
            <w:r>
              <w:rPr>
                <w:rFonts w:ascii="Arial" w:cs="Arial" w:eastAsia="Arial" w:hAnsi="Arial"/>
                <w:sz w:val="16"/>
                <w:szCs w:val="16"/>
                <w:color w:val="auto"/>
                <w:w w:val="94"/>
              </w:rPr>
              <w:t xml:space="preserve"> 17.15 </w:t>
            </w:r>
            <w:r>
              <w:rPr>
                <w:rFonts w:ascii="Arial" w:cs="Arial" w:eastAsia="Arial" w:hAnsi="Arial"/>
                <w:sz w:val="16"/>
                <w:szCs w:val="16"/>
                <w:i w:val="1"/>
                <w:iCs w:val="1"/>
                <w:color w:val="auto"/>
                <w:w w:val="94"/>
              </w:rPr>
              <w:t>(Counterparts),</w:t>
            </w:r>
            <w:r>
              <w:rPr>
                <w:rFonts w:ascii="Arial" w:cs="Arial" w:eastAsia="Arial" w:hAnsi="Arial"/>
                <w:sz w:val="16"/>
                <w:szCs w:val="16"/>
                <w:color w:val="auto"/>
                <w:w w:val="94"/>
              </w:rPr>
              <w:t xml:space="preserve"> Clause 17.16 </w:t>
            </w:r>
            <w:r>
              <w:rPr>
                <w:rFonts w:ascii="Arial" w:cs="Arial" w:eastAsia="Arial" w:hAnsi="Arial"/>
                <w:sz w:val="16"/>
                <w:szCs w:val="16"/>
                <w:i w:val="1"/>
                <w:iCs w:val="1"/>
                <w:color w:val="auto"/>
                <w:w w:val="94"/>
              </w:rPr>
              <w:t>( Third Parties)</w:t>
            </w:r>
            <w:r>
              <w:rPr>
                <w:rFonts w:ascii="Arial" w:cs="Arial" w:eastAsia="Arial" w:hAnsi="Arial"/>
                <w:sz w:val="16"/>
                <w:szCs w:val="16"/>
                <w:color w:val="auto"/>
                <w:w w:val="94"/>
              </w:rPr>
              <w:t xml:space="preserve"> and 17.17 </w:t>
            </w:r>
            <w:r>
              <w:rPr>
                <w:rFonts w:ascii="Arial" w:cs="Arial" w:eastAsia="Arial" w:hAnsi="Arial"/>
                <w:sz w:val="16"/>
                <w:szCs w:val="16"/>
                <w:i w:val="1"/>
                <w:iCs w:val="1"/>
                <w:color w:val="auto"/>
                <w:w w:val="94"/>
              </w:rPr>
              <w:t>(Disputes )</w:t>
            </w:r>
            <w:r>
              <w:rPr>
                <w:rFonts w:ascii="Arial" w:cs="Arial" w:eastAsia="Arial" w:hAnsi="Arial"/>
                <w:sz w:val="16"/>
                <w:szCs w:val="16"/>
                <w:color w:val="auto"/>
                <w:w w:val="94"/>
              </w:rPr>
              <w:t xml:space="preserve"> of the CTLA shall apply to</w:t>
            </w:r>
          </w:p>
        </w:tc>
      </w:tr>
      <w:tr>
        <w:trPr>
          <w:trHeight w:val="207"/>
        </w:trPr>
        <w:tc>
          <w:tcPr>
            <w:tcW w:w="540" w:type="dxa"/>
            <w:vAlign w:val="bottom"/>
          </w:tcPr>
          <w:p>
            <w:pPr>
              <w:spacing w:after="0"/>
              <w:rPr>
                <w:sz w:val="18"/>
                <w:szCs w:val="18"/>
                <w:color w:val="auto"/>
              </w:rPr>
            </w:pPr>
          </w:p>
        </w:tc>
        <w:tc>
          <w:tcPr>
            <w:tcW w:w="10800" w:type="dxa"/>
            <w:vAlign w:val="bottom"/>
          </w:tcPr>
          <w:p>
            <w:pPr>
              <w:ind w:left="340"/>
              <w:spacing w:after="0"/>
              <w:rPr>
                <w:sz w:val="20"/>
                <w:szCs w:val="20"/>
                <w:color w:val="auto"/>
              </w:rPr>
            </w:pPr>
            <w:r>
              <w:rPr>
                <w:rFonts w:ascii="Arial" w:cs="Arial" w:eastAsia="Arial" w:hAnsi="Arial"/>
                <w:sz w:val="16"/>
                <w:szCs w:val="16"/>
                <w:color w:val="auto"/>
              </w:rPr>
              <w:t>this Deed as if set out herein.</w:t>
            </w:r>
          </w:p>
        </w:tc>
      </w:tr>
    </w:tbl>
    <w:p>
      <w:pPr>
        <w:spacing w:after="0" w:line="184" w:lineRule="exact"/>
        <w:rPr>
          <w:sz w:val="20"/>
          <w:szCs w:val="20"/>
          <w:color w:val="auto"/>
        </w:rPr>
      </w:pPr>
    </w:p>
    <w:p>
      <w:pPr>
        <w:jc w:val="center"/>
        <w:ind w:right="-81"/>
        <w:spacing w:after="0"/>
        <w:rPr>
          <w:sz w:val="20"/>
          <w:szCs w:val="20"/>
          <w:color w:val="auto"/>
        </w:rPr>
      </w:pPr>
      <w:r>
        <w:rPr>
          <w:rFonts w:ascii="Arial" w:cs="Arial" w:eastAsia="Arial" w:hAnsi="Arial"/>
          <w:sz w:val="16"/>
          <w:szCs w:val="16"/>
          <w:i w:val="1"/>
          <w:iCs w:val="1"/>
          <w:color w:val="auto"/>
        </w:rPr>
        <w:t>[Signature pages follow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80275" cy="279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0275" cy="27940"/>
                    </a:xfrm>
                    <a:prstGeom prst="rect">
                      <a:avLst/>
                    </a:prstGeom>
                    <a:noFill/>
                  </pic:spPr>
                </pic:pic>
              </a:graphicData>
            </a:graphic>
          </wp:anchor>
        </w:drawing>
      </w:r>
    </w:p>
    <w:p>
      <w:pPr>
        <w:sectPr>
          <w:pgSz w:w="11900" w:h="16838" w:orient="portrait"/>
          <w:cols w:equalWidth="0" w:num="1">
            <w:col w:w="11342"/>
          </w:cols>
          <w:pgMar w:left="238" w:top="323" w:right="319" w:bottom="1440" w:gutter="0" w:footer="0" w:header="0"/>
        </w:sectPr>
      </w:pPr>
    </w:p>
    <w:bookmarkStart w:id="616" w:name="page617"/>
    <w:bookmarkEnd w:id="616"/>
    <w:p>
      <w:pPr>
        <w:ind w:left="2" w:right="240" w:hanging="2"/>
        <w:spacing w:after="0" w:line="270" w:lineRule="auto"/>
        <w:tabs>
          <w:tab w:leader="none" w:pos="396" w:val="left"/>
        </w:tabs>
        <w:numPr>
          <w:ilvl w:val="0"/>
          <w:numId w:val="641"/>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p>
      <w:pPr>
        <w:ind w:left="22"/>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this Deed is</w:t>
      </w:r>
      <w:r>
        <w:rPr>
          <w:rFonts w:ascii="Arial" w:cs="Arial" w:eastAsia="Arial" w:hAnsi="Arial"/>
          <w:sz w:val="16"/>
          <w:szCs w:val="16"/>
          <w:b w:val="1"/>
          <w:bCs w:val="1"/>
          <w:color w:val="auto"/>
        </w:rPr>
        <w:t xml:space="preserve"> EXECUTED </w:t>
      </w:r>
      <w:r>
        <w:rPr>
          <w:rFonts w:ascii="Arial" w:cs="Arial" w:eastAsia="Arial" w:hAnsi="Arial"/>
          <w:sz w:val="16"/>
          <w:szCs w:val="16"/>
          <w:color w:val="auto"/>
        </w:rPr>
        <w:t>by the parties as a</w:t>
      </w:r>
      <w:r>
        <w:rPr>
          <w:rFonts w:ascii="Arial" w:cs="Arial" w:eastAsia="Arial" w:hAnsi="Arial"/>
          <w:sz w:val="16"/>
          <w:szCs w:val="16"/>
          <w:b w:val="1"/>
          <w:bCs w:val="1"/>
          <w:color w:val="auto"/>
        </w:rPr>
        <w:t xml:space="preserve"> DEED </w:t>
      </w:r>
      <w:r>
        <w:rPr>
          <w:rFonts w:ascii="Arial" w:cs="Arial" w:eastAsia="Arial" w:hAnsi="Arial"/>
          <w:sz w:val="16"/>
          <w:szCs w:val="16"/>
          <w:color w:val="auto"/>
        </w:rPr>
        <w:t>and delivered on the date first written above as follows:</w:t>
      </w:r>
    </w:p>
    <w:p>
      <w:pPr>
        <w:spacing w:after="0" w:line="207"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5840" w:type="dxa"/>
            <w:vAlign w:val="bottom"/>
            <w:gridSpan w:val="2"/>
          </w:tcPr>
          <w:p>
            <w:pPr>
              <w:spacing w:after="0"/>
              <w:rPr>
                <w:sz w:val="20"/>
                <w:szCs w:val="20"/>
                <w:color w:val="auto"/>
              </w:rPr>
            </w:pPr>
            <w:r>
              <w:rPr>
                <w:rFonts w:ascii="Arial" w:cs="Arial" w:eastAsia="Arial" w:hAnsi="Arial"/>
                <w:sz w:val="16"/>
                <w:szCs w:val="16"/>
                <w:color w:val="auto"/>
              </w:rPr>
              <w:t xml:space="preserve">Executed as a </w:t>
            </w:r>
            <w:r>
              <w:rPr>
                <w:rFonts w:ascii="Arial" w:cs="Arial" w:eastAsia="Arial" w:hAnsi="Arial"/>
                <w:sz w:val="16"/>
                <w:szCs w:val="16"/>
                <w:b w:val="1"/>
                <w:bCs w:val="1"/>
                <w:color w:val="auto"/>
              </w:rPr>
              <w:t>DEED</w:t>
            </w:r>
            <w:r>
              <w:rPr>
                <w:rFonts w:ascii="Arial" w:cs="Arial" w:eastAsia="Arial" w:hAnsi="Arial"/>
                <w:sz w:val="16"/>
                <w:szCs w:val="16"/>
                <w:color w:val="auto"/>
              </w:rPr>
              <w:t xml:space="preserve"> by </w:t>
            </w:r>
            <w:r>
              <w:rPr>
                <w:rFonts w:ascii="Arial" w:cs="Arial" w:eastAsia="Arial" w:hAnsi="Arial"/>
                <w:sz w:val="16"/>
                <w:szCs w:val="16"/>
                <w:b w:val="1"/>
                <w:bCs w:val="1"/>
                <w:color w:val="auto"/>
              </w:rPr>
              <w:t>BICYCLE</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4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 xml:space="preserve">THERAPEUTICS LIMITED </w:t>
            </w:r>
            <w:r>
              <w:rPr>
                <w:rFonts w:ascii="Arial" w:cs="Arial" w:eastAsia="Arial" w:hAnsi="Arial"/>
                <w:sz w:val="16"/>
                <w:szCs w:val="16"/>
                <w:color w:val="auto"/>
              </w:rPr>
              <w:t>acting by its</w:t>
            </w:r>
          </w:p>
        </w:tc>
        <w:tc>
          <w:tcPr>
            <w:tcW w:w="5600" w:type="dxa"/>
            <w:vAlign w:val="bottom"/>
          </w:tcPr>
          <w:p>
            <w:pPr>
              <w:spacing w:after="0" w:line="176" w:lineRule="exact"/>
              <w:rPr>
                <w:sz w:val="20"/>
                <w:szCs w:val="20"/>
                <w:color w:val="auto"/>
              </w:rPr>
            </w:pPr>
            <w:r>
              <w:rPr>
                <w:rFonts w:ascii="Arial" w:cs="Arial" w:eastAsia="Arial" w:hAnsi="Arial"/>
                <w:sz w:val="16"/>
                <w:szCs w:val="16"/>
                <w:color w:val="auto"/>
              </w:rPr>
              <w:t>Duly authorised signatory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40" w:type="dxa"/>
            <w:vAlign w:val="bottom"/>
            <w:gridSpan w:val="2"/>
          </w:tcPr>
          <w:p>
            <w:pPr>
              <w:spacing w:after="0"/>
              <w:rPr>
                <w:sz w:val="20"/>
                <w:szCs w:val="20"/>
                <w:color w:val="auto"/>
              </w:rPr>
            </w:pPr>
            <w:r>
              <w:rPr>
                <w:rFonts w:ascii="Arial" w:cs="Arial" w:eastAsia="Arial" w:hAnsi="Arial"/>
                <w:sz w:val="16"/>
                <w:szCs w:val="16"/>
                <w:color w:val="auto"/>
              </w:rPr>
              <w:t>duly authorised signatory</w:t>
            </w:r>
          </w:p>
        </w:tc>
        <w:tc>
          <w:tcPr>
            <w:tcW w:w="5600" w:type="dxa"/>
            <w:vAlign w:val="bottom"/>
            <w:vMerge w:val="restart"/>
          </w:tcPr>
          <w:p>
            <w:pP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Name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3"/>
        </w:trPr>
        <w:tc>
          <w:tcPr>
            <w:tcW w:w="5840" w:type="dxa"/>
            <w:vAlign w:val="bottom"/>
            <w:gridSpan w:val="2"/>
          </w:tcPr>
          <w:p>
            <w:pPr>
              <w:spacing w:after="0"/>
              <w:rPr>
                <w:sz w:val="20"/>
                <w:szCs w:val="20"/>
                <w:color w:val="auto"/>
              </w:rPr>
            </w:pPr>
            <w:r>
              <w:rPr>
                <w:rFonts w:ascii="Arial" w:cs="Arial" w:eastAsia="Arial" w:hAnsi="Arial"/>
                <w:sz w:val="16"/>
                <w:szCs w:val="16"/>
                <w:color w:val="auto"/>
              </w:rPr>
              <w:t>In the presence of</w:t>
            </w: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20" w:type="dxa"/>
            <w:vAlign w:val="bottom"/>
          </w:tcPr>
          <w:p>
            <w:pPr>
              <w:spacing w:after="0" w:line="176" w:lineRule="exact"/>
              <w:rPr>
                <w:sz w:val="20"/>
                <w:szCs w:val="20"/>
                <w:color w:val="auto"/>
              </w:rPr>
            </w:pPr>
            <w:r>
              <w:rPr>
                <w:rFonts w:ascii="Arial" w:cs="Arial" w:eastAsia="Arial" w:hAnsi="Arial"/>
                <w:sz w:val="16"/>
                <w:szCs w:val="16"/>
                <w:color w:val="auto"/>
              </w:rPr>
              <w:t>Name of witness: [***]</w:t>
            </w:r>
          </w:p>
        </w:tc>
        <w:tc>
          <w:tcPr>
            <w:tcW w:w="2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40" w:type="dxa"/>
            <w:vAlign w:val="bottom"/>
            <w:gridSpan w:val="2"/>
          </w:tcPr>
          <w:p>
            <w:pPr>
              <w:spacing w:after="0"/>
              <w:rPr>
                <w:sz w:val="20"/>
                <w:szCs w:val="20"/>
                <w:color w:val="auto"/>
              </w:rPr>
            </w:pPr>
            <w:r>
              <w:rPr>
                <w:rFonts w:ascii="Arial" w:cs="Arial" w:eastAsia="Arial" w:hAnsi="Arial"/>
                <w:sz w:val="16"/>
                <w:szCs w:val="16"/>
                <w:color w:val="auto"/>
              </w:rPr>
              <w:t>Address: [***]</w:t>
            </w:r>
          </w:p>
        </w:tc>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40" w:type="dxa"/>
            <w:vAlign w:val="bottom"/>
            <w:gridSpan w:val="2"/>
          </w:tcPr>
          <w:p>
            <w:pPr>
              <w:spacing w:after="0"/>
              <w:rPr>
                <w:sz w:val="20"/>
                <w:szCs w:val="20"/>
                <w:color w:val="auto"/>
              </w:rPr>
            </w:pPr>
            <w:r>
              <w:rPr>
                <w:rFonts w:ascii="Arial" w:cs="Arial" w:eastAsia="Arial" w:hAnsi="Arial"/>
                <w:sz w:val="16"/>
                <w:szCs w:val="16"/>
                <w:color w:val="auto"/>
              </w:rPr>
              <w:t>Occupation: [***]</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5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2" w:right="199" w:bottom="1440" w:gutter="0" w:footer="0" w:header="0"/>
        </w:sectPr>
      </w:pPr>
    </w:p>
    <w:bookmarkStart w:id="617" w:name="page618"/>
    <w:bookmarkEnd w:id="617"/>
    <w:p>
      <w:pPr>
        <w:ind w:left="2" w:right="240" w:hanging="2"/>
        <w:spacing w:after="0" w:line="270" w:lineRule="auto"/>
        <w:tabs>
          <w:tab w:leader="none" w:pos="396" w:val="left"/>
        </w:tabs>
        <w:numPr>
          <w:ilvl w:val="0"/>
          <w:numId w:val="642"/>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5840" w:type="dxa"/>
            <w:vAlign w:val="bottom"/>
            <w:gridSpan w:val="2"/>
          </w:tcPr>
          <w:p>
            <w:pPr>
              <w:spacing w:after="0"/>
              <w:rPr>
                <w:sz w:val="20"/>
                <w:szCs w:val="20"/>
                <w:color w:val="auto"/>
              </w:rPr>
            </w:pPr>
            <w:r>
              <w:rPr>
                <w:rFonts w:ascii="Arial" w:cs="Arial" w:eastAsia="Arial" w:hAnsi="Arial"/>
                <w:sz w:val="16"/>
                <w:szCs w:val="16"/>
                <w:color w:val="auto"/>
              </w:rPr>
              <w:t xml:space="preserve">Executed as a </w:t>
            </w:r>
            <w:r>
              <w:rPr>
                <w:rFonts w:ascii="Arial" w:cs="Arial" w:eastAsia="Arial" w:hAnsi="Arial"/>
                <w:sz w:val="16"/>
                <w:szCs w:val="16"/>
                <w:b w:val="1"/>
                <w:bCs w:val="1"/>
                <w:color w:val="auto"/>
              </w:rPr>
              <w:t>DEED</w:t>
            </w:r>
            <w:r>
              <w:rPr>
                <w:rFonts w:ascii="Arial" w:cs="Arial" w:eastAsia="Arial" w:hAnsi="Arial"/>
                <w:sz w:val="16"/>
                <w:szCs w:val="16"/>
                <w:color w:val="auto"/>
              </w:rPr>
              <w:t xml:space="preserve"> by </w:t>
            </w:r>
            <w:r>
              <w:rPr>
                <w:rFonts w:ascii="Arial" w:cs="Arial" w:eastAsia="Arial" w:hAnsi="Arial"/>
                <w:sz w:val="16"/>
                <w:szCs w:val="16"/>
                <w:b w:val="1"/>
                <w:bCs w:val="1"/>
                <w:color w:val="auto"/>
              </w:rPr>
              <w:t>CANCER</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4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 xml:space="preserve">RESEARCH UK </w:t>
            </w:r>
            <w:r>
              <w:rPr>
                <w:rFonts w:ascii="Arial" w:cs="Arial" w:eastAsia="Arial" w:hAnsi="Arial"/>
                <w:sz w:val="16"/>
                <w:szCs w:val="16"/>
                <w:color w:val="auto"/>
              </w:rPr>
              <w:t>acting by its duly</w:t>
            </w:r>
          </w:p>
        </w:tc>
        <w:tc>
          <w:tcPr>
            <w:tcW w:w="5600" w:type="dxa"/>
            <w:vAlign w:val="bottom"/>
          </w:tcPr>
          <w:p>
            <w:pPr>
              <w:spacing w:after="0" w:line="176" w:lineRule="exact"/>
              <w:rPr>
                <w:sz w:val="20"/>
                <w:szCs w:val="20"/>
                <w:color w:val="auto"/>
              </w:rPr>
            </w:pPr>
            <w:r>
              <w:rPr>
                <w:rFonts w:ascii="Arial" w:cs="Arial" w:eastAsia="Arial" w:hAnsi="Arial"/>
                <w:sz w:val="16"/>
                <w:szCs w:val="16"/>
                <w:color w:val="auto"/>
              </w:rPr>
              <w:t>Duly authorised signatory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40" w:type="dxa"/>
            <w:vAlign w:val="bottom"/>
            <w:gridSpan w:val="2"/>
          </w:tcPr>
          <w:p>
            <w:pPr>
              <w:spacing w:after="0"/>
              <w:rPr>
                <w:sz w:val="20"/>
                <w:szCs w:val="20"/>
                <w:color w:val="auto"/>
              </w:rPr>
            </w:pPr>
            <w:r>
              <w:rPr>
                <w:rFonts w:ascii="Arial" w:cs="Arial" w:eastAsia="Arial" w:hAnsi="Arial"/>
                <w:sz w:val="16"/>
                <w:szCs w:val="16"/>
                <w:color w:val="auto"/>
              </w:rPr>
              <w:t>authorised signatory</w:t>
            </w:r>
          </w:p>
        </w:tc>
        <w:tc>
          <w:tcPr>
            <w:tcW w:w="5600" w:type="dxa"/>
            <w:vAlign w:val="bottom"/>
            <w:vMerge w:val="restart"/>
          </w:tcPr>
          <w:p>
            <w:pP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Name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3"/>
        </w:trPr>
        <w:tc>
          <w:tcPr>
            <w:tcW w:w="5840" w:type="dxa"/>
            <w:vAlign w:val="bottom"/>
            <w:gridSpan w:val="2"/>
          </w:tcPr>
          <w:p>
            <w:pPr>
              <w:spacing w:after="0"/>
              <w:rPr>
                <w:sz w:val="20"/>
                <w:szCs w:val="20"/>
                <w:color w:val="auto"/>
              </w:rPr>
            </w:pPr>
            <w:r>
              <w:rPr>
                <w:rFonts w:ascii="Arial" w:cs="Arial" w:eastAsia="Arial" w:hAnsi="Arial"/>
                <w:sz w:val="16"/>
                <w:szCs w:val="16"/>
                <w:color w:val="auto"/>
              </w:rPr>
              <w:t>In the presence of</w:t>
            </w: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40" w:type="dxa"/>
            <w:vAlign w:val="bottom"/>
            <w:gridSpan w:val="2"/>
          </w:tcPr>
          <w:p>
            <w:pPr>
              <w:spacing w:after="0"/>
              <w:rPr>
                <w:sz w:val="20"/>
                <w:szCs w:val="20"/>
                <w:color w:val="auto"/>
              </w:rPr>
            </w:pPr>
            <w:r>
              <w:rPr>
                <w:rFonts w:ascii="Arial" w:cs="Arial" w:eastAsia="Arial" w:hAnsi="Arial"/>
                <w:sz w:val="16"/>
                <w:szCs w:val="16"/>
                <w:color w:val="auto"/>
              </w:rPr>
              <w:t>/s/ [***]</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2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Name of witness: [***]</w:t>
            </w:r>
          </w:p>
        </w:tc>
        <w:tc>
          <w:tcPr>
            <w:tcW w:w="2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40" w:type="dxa"/>
            <w:vAlign w:val="bottom"/>
            <w:gridSpan w:val="2"/>
          </w:tcPr>
          <w:p>
            <w:pPr>
              <w:spacing w:after="0"/>
              <w:rPr>
                <w:sz w:val="20"/>
                <w:szCs w:val="20"/>
                <w:color w:val="auto"/>
              </w:rPr>
            </w:pPr>
            <w:r>
              <w:rPr>
                <w:rFonts w:ascii="Arial" w:cs="Arial" w:eastAsia="Arial" w:hAnsi="Arial"/>
                <w:sz w:val="16"/>
                <w:szCs w:val="16"/>
                <w:color w:val="auto"/>
              </w:rPr>
              <w:t>Address: [***]</w:t>
            </w:r>
          </w:p>
        </w:tc>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40" w:type="dxa"/>
            <w:vAlign w:val="bottom"/>
            <w:gridSpan w:val="2"/>
          </w:tcPr>
          <w:p>
            <w:pPr>
              <w:spacing w:after="0"/>
              <w:rPr>
                <w:sz w:val="20"/>
                <w:szCs w:val="20"/>
                <w:color w:val="auto"/>
              </w:rPr>
            </w:pPr>
            <w:r>
              <w:rPr>
                <w:rFonts w:ascii="Arial" w:cs="Arial" w:eastAsia="Arial" w:hAnsi="Arial"/>
                <w:sz w:val="16"/>
                <w:szCs w:val="16"/>
                <w:color w:val="auto"/>
              </w:rPr>
              <w:t>Occupation: [***]</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5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4" w:right="199" w:bottom="1440" w:gutter="0" w:footer="0" w:header="0"/>
        </w:sectPr>
      </w:pPr>
    </w:p>
    <w:bookmarkStart w:id="618" w:name="page619"/>
    <w:bookmarkEnd w:id="618"/>
    <w:p>
      <w:pPr>
        <w:ind w:left="2" w:right="240" w:hanging="2"/>
        <w:spacing w:after="0" w:line="270" w:lineRule="auto"/>
        <w:tabs>
          <w:tab w:leader="none" w:pos="396" w:val="left"/>
        </w:tabs>
        <w:numPr>
          <w:ilvl w:val="0"/>
          <w:numId w:val="643"/>
        </w:numPr>
        <w:rPr>
          <w:rFonts w:ascii="Arial" w:cs="Arial" w:eastAsia="Arial" w:hAnsi="Arial"/>
          <w:sz w:val="16"/>
          <w:szCs w:val="16"/>
          <w:color w:val="auto"/>
        </w:rPr>
      </w:pPr>
      <w:r>
        <w:rPr>
          <w:rFonts w:ascii="Arial" w:cs="Arial" w:eastAsia="Arial" w:hAnsi="Arial"/>
          <w:sz w:val="16"/>
          <w:szCs w:val="16"/>
          <w:color w:val="auto"/>
        </w:rPr>
        <w:t>INDICATES MATERIAL THAT HAS BEEN OMITTED AND FOR WHICH CONFIDENTIAL TREATMENT HAS BEEN REQUESTED. ALL SUCH OMITTED MATERIAL HAS BEEN FILED WITH THE SECURITIES AND EXCHANGE COMMISSION PURSUANT TO RULE 406 PROMULGATED UNDER THE SECURITIES ACT OF 1933, AS AMENDED</w:t>
      </w: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5840" w:type="dxa"/>
            <w:vAlign w:val="bottom"/>
            <w:gridSpan w:val="2"/>
          </w:tcPr>
          <w:p>
            <w:pPr>
              <w:spacing w:after="0"/>
              <w:rPr>
                <w:sz w:val="20"/>
                <w:szCs w:val="20"/>
                <w:color w:val="auto"/>
              </w:rPr>
            </w:pPr>
            <w:r>
              <w:rPr>
                <w:rFonts w:ascii="Arial" w:cs="Arial" w:eastAsia="Arial" w:hAnsi="Arial"/>
                <w:sz w:val="16"/>
                <w:szCs w:val="16"/>
                <w:color w:val="auto"/>
              </w:rPr>
              <w:t xml:space="preserve">Executed as a </w:t>
            </w:r>
            <w:r>
              <w:rPr>
                <w:rFonts w:ascii="Arial" w:cs="Arial" w:eastAsia="Arial" w:hAnsi="Arial"/>
                <w:sz w:val="16"/>
                <w:szCs w:val="16"/>
                <w:b w:val="1"/>
                <w:bCs w:val="1"/>
                <w:color w:val="auto"/>
              </w:rPr>
              <w:t>DEED</w:t>
            </w:r>
            <w:r>
              <w:rPr>
                <w:rFonts w:ascii="Arial" w:cs="Arial" w:eastAsia="Arial" w:hAnsi="Arial"/>
                <w:sz w:val="16"/>
                <w:szCs w:val="16"/>
                <w:color w:val="auto"/>
              </w:rPr>
              <w:t xml:space="preserve"> by </w:t>
            </w:r>
            <w:r>
              <w:rPr>
                <w:rFonts w:ascii="Arial" w:cs="Arial" w:eastAsia="Arial" w:hAnsi="Arial"/>
                <w:sz w:val="16"/>
                <w:szCs w:val="16"/>
                <w:b w:val="1"/>
                <w:bCs w:val="1"/>
                <w:color w:val="auto"/>
              </w:rPr>
              <w:t>CANCER</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4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RESEARCH TECHNOLOGY LIMITED</w:t>
            </w:r>
          </w:p>
        </w:tc>
        <w:tc>
          <w:tcPr>
            <w:tcW w:w="5600" w:type="dxa"/>
            <w:vAlign w:val="bottom"/>
          </w:tcPr>
          <w:p>
            <w:pPr>
              <w:spacing w:after="0" w:line="176" w:lineRule="exact"/>
              <w:rPr>
                <w:sz w:val="20"/>
                <w:szCs w:val="20"/>
                <w:color w:val="auto"/>
              </w:rPr>
            </w:pPr>
            <w:r>
              <w:rPr>
                <w:rFonts w:ascii="Arial" w:cs="Arial" w:eastAsia="Arial" w:hAnsi="Arial"/>
                <w:sz w:val="16"/>
                <w:szCs w:val="16"/>
                <w:color w:val="auto"/>
              </w:rPr>
              <w:t>Duly authorised signatory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840" w:type="dxa"/>
            <w:vAlign w:val="bottom"/>
            <w:gridSpan w:val="2"/>
          </w:tcPr>
          <w:p>
            <w:pPr>
              <w:spacing w:after="0"/>
              <w:rPr>
                <w:sz w:val="20"/>
                <w:szCs w:val="20"/>
                <w:color w:val="auto"/>
              </w:rPr>
            </w:pPr>
            <w:r>
              <w:rPr>
                <w:rFonts w:ascii="Arial" w:cs="Arial" w:eastAsia="Arial" w:hAnsi="Arial"/>
                <w:sz w:val="16"/>
                <w:szCs w:val="16"/>
                <w:color w:val="auto"/>
              </w:rPr>
              <w:t>acting by its duly authorised signatory</w:t>
            </w:r>
          </w:p>
        </w:tc>
        <w:tc>
          <w:tcPr>
            <w:tcW w:w="5600" w:type="dxa"/>
            <w:vAlign w:val="bottom"/>
            <w:vMerge w:val="restart"/>
          </w:tcPr>
          <w:p>
            <w:pP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Name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3"/>
        </w:trPr>
        <w:tc>
          <w:tcPr>
            <w:tcW w:w="5840" w:type="dxa"/>
            <w:vAlign w:val="bottom"/>
            <w:gridSpan w:val="2"/>
          </w:tcPr>
          <w:p>
            <w:pPr>
              <w:spacing w:after="0"/>
              <w:rPr>
                <w:sz w:val="20"/>
                <w:szCs w:val="20"/>
                <w:color w:val="auto"/>
              </w:rPr>
            </w:pPr>
            <w:r>
              <w:rPr>
                <w:rFonts w:ascii="Arial" w:cs="Arial" w:eastAsia="Arial" w:hAnsi="Arial"/>
                <w:sz w:val="16"/>
                <w:szCs w:val="16"/>
                <w:color w:val="auto"/>
              </w:rPr>
              <w:t>In the presence of</w:t>
            </w: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40" w:type="dxa"/>
            <w:vAlign w:val="bottom"/>
            <w:gridSpan w:val="2"/>
          </w:tcPr>
          <w:p>
            <w:pPr>
              <w:spacing w:after="0"/>
              <w:rPr>
                <w:sz w:val="20"/>
                <w:szCs w:val="20"/>
                <w:color w:val="auto"/>
              </w:rPr>
            </w:pPr>
            <w:r>
              <w:rPr>
                <w:rFonts w:ascii="Arial" w:cs="Arial" w:eastAsia="Arial" w:hAnsi="Arial"/>
                <w:sz w:val="16"/>
                <w:szCs w:val="16"/>
                <w:color w:val="auto"/>
              </w:rPr>
              <w:t>/s/ [***]</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2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Name of witness: [***]</w:t>
            </w:r>
          </w:p>
        </w:tc>
        <w:tc>
          <w:tcPr>
            <w:tcW w:w="2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40" w:type="dxa"/>
            <w:vAlign w:val="bottom"/>
            <w:gridSpan w:val="2"/>
          </w:tcPr>
          <w:p>
            <w:pPr>
              <w:spacing w:after="0"/>
              <w:rPr>
                <w:sz w:val="20"/>
                <w:szCs w:val="20"/>
                <w:color w:val="auto"/>
              </w:rPr>
            </w:pPr>
            <w:r>
              <w:rPr>
                <w:rFonts w:ascii="Arial" w:cs="Arial" w:eastAsia="Arial" w:hAnsi="Arial"/>
                <w:sz w:val="16"/>
                <w:szCs w:val="16"/>
                <w:color w:val="auto"/>
              </w:rPr>
              <w:t>Address: [***]</w:t>
            </w:r>
          </w:p>
        </w:tc>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40" w:type="dxa"/>
            <w:vAlign w:val="bottom"/>
            <w:gridSpan w:val="2"/>
          </w:tcPr>
          <w:p>
            <w:pPr>
              <w:spacing w:after="0"/>
              <w:rPr>
                <w:sz w:val="20"/>
                <w:szCs w:val="20"/>
                <w:color w:val="auto"/>
              </w:rPr>
            </w:pPr>
            <w:r>
              <w:rPr>
                <w:rFonts w:ascii="Arial" w:cs="Arial" w:eastAsia="Arial" w:hAnsi="Arial"/>
                <w:sz w:val="16"/>
                <w:szCs w:val="16"/>
                <w:color w:val="auto"/>
              </w:rPr>
              <w:t>Occupation: [***]</w:t>
            </w: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5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2"/>
          </w:cols>
          <w:pgMar w:left="238" w:top="323" w:right="199" w:bottom="1440" w:gutter="0" w:footer="0" w:header="0"/>
        </w:sectPr>
      </w:pPr>
    </w:p>
    <w:bookmarkStart w:id="619" w:name="page620"/>
    <w:bookmarkEnd w:id="619"/>
    <w:p>
      <w:pPr>
        <w:ind w:left="10580"/>
        <w:spacing w:after="0"/>
        <w:rPr>
          <w:sz w:val="20"/>
          <w:szCs w:val="20"/>
          <w:color w:val="auto"/>
        </w:rPr>
      </w:pPr>
      <w:r>
        <w:rPr>
          <w:rFonts w:ascii="Arial" w:cs="Arial" w:eastAsia="Arial" w:hAnsi="Arial"/>
          <w:sz w:val="15"/>
          <w:szCs w:val="15"/>
          <w:b w:val="1"/>
          <w:bCs w:val="1"/>
          <w:color w:val="auto"/>
        </w:rPr>
        <w:t>Exhibit 21.1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80" w:type="dxa"/>
            <w:vAlign w:val="bottom"/>
          </w:tcPr>
          <w:p>
            <w:pPr>
              <w:spacing w:after="0"/>
              <w:rPr>
                <w:sz w:val="18"/>
                <w:szCs w:val="18"/>
                <w:color w:val="auto"/>
              </w:rPr>
            </w:pPr>
          </w:p>
        </w:tc>
        <w:tc>
          <w:tcPr>
            <w:tcW w:w="7060" w:type="dxa"/>
            <w:vAlign w:val="bottom"/>
            <w:gridSpan w:val="3"/>
          </w:tcPr>
          <w:p>
            <w:pPr>
              <w:ind w:left="760"/>
              <w:spacing w:after="0"/>
              <w:rPr>
                <w:sz w:val="20"/>
                <w:szCs w:val="20"/>
                <w:color w:val="auto"/>
              </w:rPr>
            </w:pPr>
            <w:r>
              <w:rPr>
                <w:rFonts w:ascii="Arial" w:cs="Arial" w:eastAsia="Arial" w:hAnsi="Arial"/>
                <w:sz w:val="16"/>
                <w:szCs w:val="16"/>
                <w:b w:val="1"/>
                <w:bCs w:val="1"/>
                <w:color w:val="auto"/>
              </w:rPr>
              <w:t>SUBSIDIARIES</w:t>
            </w:r>
          </w:p>
        </w:tc>
        <w:tc>
          <w:tcPr>
            <w:tcW w:w="20" w:type="dxa"/>
            <w:vAlign w:val="bottom"/>
          </w:tcPr>
          <w:p>
            <w:pPr>
              <w:spacing w:after="0"/>
              <w:rPr>
                <w:sz w:val="18"/>
                <w:szCs w:val="18"/>
                <w:color w:val="auto"/>
              </w:rPr>
            </w:pPr>
          </w:p>
        </w:tc>
      </w:tr>
      <w:tr>
        <w:trPr>
          <w:trHeight w:val="331"/>
        </w:trPr>
        <w:tc>
          <w:tcPr>
            <w:tcW w:w="4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Subsidiary</w:t>
            </w: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Jurisdiction of Incorporation</w:t>
            </w:r>
          </w:p>
        </w:tc>
        <w:tc>
          <w:tcPr>
            <w:tcW w:w="20" w:type="dxa"/>
            <w:vAlign w:val="bottom"/>
          </w:tcPr>
          <w:p>
            <w:pPr>
              <w:spacing w:after="0"/>
              <w:rPr>
                <w:sz w:val="24"/>
                <w:szCs w:val="24"/>
                <w:color w:val="auto"/>
              </w:rPr>
            </w:pPr>
          </w:p>
        </w:tc>
      </w:tr>
      <w:tr>
        <w:trPr>
          <w:trHeight w:val="188"/>
        </w:trPr>
        <w:tc>
          <w:tcPr>
            <w:tcW w:w="4380" w:type="dxa"/>
            <w:vAlign w:val="bottom"/>
            <w:shd w:val="clear" w:color="auto" w:fill="CCEEFF"/>
          </w:tcPr>
          <w:p>
            <w:pPr>
              <w:jc w:val="center"/>
              <w:ind w:left="1143"/>
              <w:spacing w:after="0"/>
              <w:rPr>
                <w:sz w:val="20"/>
                <w:szCs w:val="20"/>
                <w:color w:val="auto"/>
              </w:rPr>
            </w:pPr>
            <w:r>
              <w:rPr>
                <w:rFonts w:ascii="Arial" w:cs="Arial" w:eastAsia="Arial" w:hAnsi="Arial"/>
                <w:sz w:val="16"/>
                <w:szCs w:val="16"/>
                <w:color w:val="auto"/>
                <w:w w:val="99"/>
              </w:rPr>
              <w:t>BicycleTx Limited</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UK</w:t>
            </w:r>
          </w:p>
        </w:tc>
        <w:tc>
          <w:tcPr>
            <w:tcW w:w="20" w:type="dxa"/>
            <w:vAlign w:val="bottom"/>
          </w:tcPr>
          <w:p>
            <w:pPr>
              <w:spacing w:after="0"/>
              <w:rPr>
                <w:sz w:val="16"/>
                <w:szCs w:val="16"/>
                <w:color w:val="auto"/>
              </w:rPr>
            </w:pPr>
          </w:p>
        </w:tc>
      </w:tr>
      <w:tr>
        <w:trPr>
          <w:trHeight w:val="196"/>
        </w:trPr>
        <w:tc>
          <w:tcPr>
            <w:tcW w:w="4380" w:type="dxa"/>
            <w:vAlign w:val="bottom"/>
          </w:tcPr>
          <w:p>
            <w:pPr>
              <w:jc w:val="center"/>
              <w:ind w:left="1143"/>
              <w:spacing w:after="0"/>
              <w:rPr>
                <w:sz w:val="20"/>
                <w:szCs w:val="20"/>
                <w:color w:val="auto"/>
              </w:rPr>
            </w:pPr>
            <w:r>
              <w:rPr>
                <w:rFonts w:ascii="Arial" w:cs="Arial" w:eastAsia="Arial" w:hAnsi="Arial"/>
                <w:sz w:val="16"/>
                <w:szCs w:val="16"/>
                <w:color w:val="auto"/>
                <w:w w:val="94"/>
              </w:rPr>
              <w:t>Bicycle Therapeutics Inc.</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1"/>
              </w:rPr>
              <w:t>Delaware</w:t>
            </w:r>
          </w:p>
        </w:tc>
        <w:tc>
          <w:tcPr>
            <w:tcW w:w="20" w:type="dxa"/>
            <w:vAlign w:val="bottom"/>
          </w:tcPr>
          <w:p>
            <w:pPr>
              <w:spacing w:after="0"/>
              <w:rPr>
                <w:sz w:val="17"/>
                <w:szCs w:val="17"/>
                <w:color w:val="auto"/>
              </w:rPr>
            </w:pPr>
          </w:p>
        </w:tc>
      </w:tr>
      <w:tr>
        <w:trPr>
          <w:trHeight w:val="196"/>
        </w:trPr>
        <w:tc>
          <w:tcPr>
            <w:tcW w:w="4380" w:type="dxa"/>
            <w:vAlign w:val="bottom"/>
            <w:shd w:val="clear" w:color="auto" w:fill="CCEEFF"/>
          </w:tcPr>
          <w:p>
            <w:pPr>
              <w:jc w:val="center"/>
              <w:ind w:left="1143"/>
              <w:spacing w:after="0"/>
              <w:rPr>
                <w:sz w:val="20"/>
                <w:szCs w:val="20"/>
                <w:color w:val="auto"/>
              </w:rPr>
            </w:pPr>
            <w:r>
              <w:rPr>
                <w:rFonts w:ascii="Arial" w:cs="Arial" w:eastAsia="Arial" w:hAnsi="Arial"/>
                <w:sz w:val="16"/>
                <w:szCs w:val="16"/>
                <w:color w:val="auto"/>
                <w:w w:val="98"/>
              </w:rPr>
              <w:t>BicycleRD Limited</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UK</w:t>
            </w:r>
          </w:p>
        </w:tc>
        <w:tc>
          <w:tcPr>
            <w:tcW w:w="20" w:type="dxa"/>
            <w:vAlign w:val="bottom"/>
          </w:tcPr>
          <w:p>
            <w:pPr>
              <w:spacing w:after="0"/>
              <w:rPr>
                <w:sz w:val="17"/>
                <w:szCs w:val="17"/>
                <w:color w:val="auto"/>
              </w:rPr>
            </w:pPr>
          </w:p>
        </w:tc>
      </w:tr>
      <w:tr>
        <w:trPr>
          <w:trHeight w:val="314"/>
        </w:trPr>
        <w:tc>
          <w:tcPr>
            <w:tcW w:w="43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-27305</wp:posOffset>
            </wp:positionV>
            <wp:extent cx="12700" cy="2794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43" w:right="199" w:bottom="1440" w:gutter="0" w:footer="0" w:header="0"/>
        </w:sectPr>
      </w:pPr>
    </w:p>
    <w:bookmarkStart w:id="620" w:name="page621"/>
    <w:bookmarkEnd w:id="620"/>
    <w:p>
      <w:pPr>
        <w:spacing w:after="0"/>
        <w:rPr>
          <w:rFonts w:ascii="Arial" w:cs="Arial" w:eastAsia="Arial" w:hAnsi="Arial"/>
          <w:sz w:val="20"/>
          <w:szCs w:val="20"/>
          <w:color w:val="0000EE"/>
        </w:rPr>
      </w:pPr>
      <w:hyperlink w:anchor="page622">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23.1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5" w:lineRule="exact"/>
        <w:rPr>
          <w:sz w:val="20"/>
          <w:szCs w:val="20"/>
          <w:color w:val="auto"/>
        </w:rPr>
      </w:pPr>
    </w:p>
    <w:p>
      <w:pPr>
        <w:ind w:right="380"/>
        <w:spacing w:after="0" w:line="244" w:lineRule="auto"/>
        <w:rPr>
          <w:sz w:val="20"/>
          <w:szCs w:val="20"/>
          <w:color w:val="auto"/>
        </w:rPr>
      </w:pPr>
      <w:r>
        <w:rPr>
          <w:rFonts w:ascii="Arial" w:cs="Arial" w:eastAsia="Arial" w:hAnsi="Arial"/>
          <w:sz w:val="16"/>
          <w:szCs w:val="16"/>
          <w:color w:val="auto"/>
        </w:rPr>
        <w:t>We hereby consent to the use in this Registration Statement on Form S-1 of Bicycle Therapeutics Limited of our report dated March 22, 2019 relating to the financial statements of Bicycle Therapeutics Limited,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rPr>
          <w:sz w:val="20"/>
          <w:szCs w:val="20"/>
          <w:color w:val="auto"/>
        </w:rPr>
      </w:pPr>
      <w:r>
        <w:rPr>
          <w:rFonts w:ascii="Arial" w:cs="Arial" w:eastAsia="Arial" w:hAnsi="Arial"/>
          <w:sz w:val="16"/>
          <w:szCs w:val="16"/>
          <w:color w:val="auto"/>
        </w:rPr>
        <w:t>Cambridge, United Kingdom</w:t>
      </w:r>
    </w:p>
    <w:p>
      <w:pPr>
        <w:spacing w:after="0"/>
        <w:rPr>
          <w:sz w:val="20"/>
          <w:szCs w:val="20"/>
          <w:color w:val="auto"/>
        </w:rPr>
      </w:pPr>
      <w:r>
        <w:rPr>
          <w:rFonts w:ascii="Arial" w:cs="Arial" w:eastAsia="Arial" w:hAnsi="Arial"/>
          <w:sz w:val="16"/>
          <w:szCs w:val="16"/>
          <w:color w:val="auto"/>
        </w:rPr>
        <w:t>April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4400" cy="203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21" w:name="page622"/>
    <w:bookmarkEnd w:id="621"/>
    <w:p>
      <w:pPr>
        <w:spacing w:after="0"/>
        <w:rPr>
          <w:sz w:val="20"/>
          <w:szCs w:val="20"/>
          <w:color w:val="auto"/>
        </w:rPr>
      </w:pPr>
      <w:r>
        <w:rPr>
          <w:rFonts w:ascii="Arial" w:cs="Arial" w:eastAsia="Arial" w:hAnsi="Arial"/>
          <w:sz w:val="20"/>
          <w:szCs w:val="20"/>
          <w:color w:val="auto"/>
        </w:rPr>
        <w:t>QuickLinks</w:t>
      </w:r>
    </w:p>
    <w:p>
      <w:pPr>
        <w:spacing w:after="0" w:line="208" w:lineRule="exact"/>
        <w:rPr>
          <w:sz w:val="20"/>
          <w:szCs w:val="20"/>
          <w:color w:val="auto"/>
        </w:rPr>
      </w:pPr>
    </w:p>
    <w:p>
      <w:pPr>
        <w:ind w:left="480"/>
        <w:spacing w:after="0"/>
        <w:rPr>
          <w:rFonts w:ascii="Arial" w:cs="Arial" w:eastAsia="Arial" w:hAnsi="Arial"/>
          <w:sz w:val="16"/>
          <w:szCs w:val="16"/>
          <w:u w:val="single" w:color="auto"/>
          <w:color w:val="0000EE"/>
        </w:rPr>
      </w:pPr>
      <w:hyperlink w:anchor="page621">
        <w:r>
          <w:rPr>
            <w:rFonts w:ascii="Arial" w:cs="Arial" w:eastAsia="Arial" w:hAnsi="Arial"/>
            <w:sz w:val="16"/>
            <w:szCs w:val="16"/>
            <w:u w:val="single" w:color="auto"/>
            <w:color w:val="0000EE"/>
          </w:rPr>
          <w:t>Exhibit 23.1</w:t>
        </w:r>
      </w:hyperlink>
    </w:p>
    <w:p>
      <w:pPr>
        <w:spacing w:after="0" w:line="195" w:lineRule="exact"/>
        <w:rPr>
          <w:sz w:val="20"/>
          <w:szCs w:val="20"/>
          <w:color w:val="auto"/>
        </w:rPr>
      </w:pPr>
    </w:p>
    <w:p>
      <w:pPr>
        <w:spacing w:after="0"/>
        <w:rPr>
          <w:rFonts w:ascii="Arial" w:cs="Arial" w:eastAsia="Arial" w:hAnsi="Arial"/>
          <w:sz w:val="15"/>
          <w:szCs w:val="15"/>
          <w:u w:val="single" w:color="auto"/>
          <w:color w:val="0000EE"/>
        </w:rPr>
      </w:pPr>
      <w:hyperlink w:anchor="page621">
        <w:r>
          <w:rPr>
            <w:rFonts w:ascii="Arial" w:cs="Arial" w:eastAsia="Arial" w:hAnsi="Arial"/>
            <w:sz w:val="15"/>
            <w:szCs w:val="15"/>
            <w:u w:val="single" w:color="auto"/>
            <w:color w:val="0000EE"/>
          </w:rPr>
          <w:t>CONSENT OF INDEPENDENT REGISTERED PUBLIC ACCOUNTING FIRM</w:t>
        </w:r>
      </w:hyperlink>
    </w:p>
    <w:sectPr>
      <w:pgSz w:w="11900" w:h="16838" w:orient="portrait"/>
      <w:cols w:equalWidth="0" w:num="1">
        <w:col w:w="10219"/>
      </w:cols>
      <w:pgMar w:left="240" w:top="7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DA00ED"/>
    <w:multiLevelType w:val="hybridMultilevel"/>
    <w:lvl w:ilvl="0">
      <w:lvlJc w:val="left"/>
      <w:lvlText w:val="(%1)"/>
      <w:numFmt w:val="decimal"/>
      <w:start w:val="1"/>
    </w:lvl>
  </w:abstractNum>
  <w:abstractNum w:abstractNumId="1">
    <w:nsid w:val="73209072"/>
    <w:multiLevelType w:val="hybridMultilevel"/>
    <w:lvl w:ilvl="0">
      <w:lvlJc w:val="left"/>
      <w:lvlText w:val="*"/>
      <w:numFmt w:val="bullet"/>
      <w:start w:val="1"/>
    </w:lvl>
  </w:abstractNum>
  <w:abstractNum w:abstractNumId="2">
    <w:nsid w:val="5FB29816"/>
    <w:multiLevelType w:val="hybridMultilevel"/>
    <w:lvl w:ilvl="0">
      <w:lvlJc w:val="left"/>
      <w:lvlText w:val="(%1)"/>
      <w:numFmt w:val="decimal"/>
      <w:start w:val="1"/>
    </w:lvl>
  </w:abstractNum>
  <w:abstractNum w:abstractNumId="3">
    <w:nsid w:val="3CE732EC"/>
    <w:multiLevelType w:val="hybridMultilevel"/>
    <w:lvl w:ilvl="0">
      <w:lvlJc w:val="left"/>
      <w:lvlText w:val="•"/>
      <w:numFmt w:val="bullet"/>
      <w:start w:val="1"/>
    </w:lvl>
  </w:abstractNum>
  <w:abstractNum w:abstractNumId="4">
    <w:nsid w:val="22F13DF3"/>
    <w:multiLevelType w:val="hybridMultilevel"/>
    <w:lvl w:ilvl="0">
      <w:lvlJc w:val="left"/>
      <w:lvlText w:val="•"/>
      <w:numFmt w:val="bullet"/>
      <w:start w:val="1"/>
    </w:lvl>
  </w:abstractNum>
  <w:abstractNum w:abstractNumId="5">
    <w:nsid w:val="792B8401"/>
    <w:multiLevelType w:val="hybridMultilevel"/>
    <w:lvl w:ilvl="0">
      <w:lvlJc w:val="left"/>
      <w:lvlText w:val="•"/>
      <w:numFmt w:val="bullet"/>
      <w:start w:val="1"/>
    </w:lvl>
  </w:abstractNum>
  <w:abstractNum w:abstractNumId="6">
    <w:nsid w:val="FA85F4D"/>
    <w:multiLevelType w:val="hybridMultilevel"/>
    <w:lvl w:ilvl="0">
      <w:lvlJc w:val="left"/>
      <w:lvlText w:val="•"/>
      <w:numFmt w:val="bullet"/>
      <w:start w:val="1"/>
    </w:lvl>
  </w:abstractNum>
  <w:abstractNum w:abstractNumId="7">
    <w:nsid w:val="6ECE91F0"/>
    <w:multiLevelType w:val="hybridMultilevel"/>
    <w:lvl w:ilvl="0">
      <w:lvlJc w:val="left"/>
      <w:lvlText w:val="•"/>
      <w:numFmt w:val="bullet"/>
      <w:start w:val="1"/>
    </w:lvl>
  </w:abstractNum>
  <w:abstractNum w:abstractNumId="8">
    <w:nsid w:val="4FC4D600"/>
    <w:multiLevelType w:val="hybridMultilevel"/>
    <w:lvl w:ilvl="0">
      <w:lvlJc w:val="left"/>
      <w:lvlText w:val="•"/>
      <w:numFmt w:val="bullet"/>
      <w:start w:val="1"/>
    </w:lvl>
  </w:abstractNum>
  <w:abstractNum w:abstractNumId="9">
    <w:nsid w:val="5BFD4210"/>
    <w:multiLevelType w:val="hybridMultilevel"/>
    <w:lvl w:ilvl="0">
      <w:lvlJc w:val="left"/>
      <w:lvlText w:val="•"/>
      <w:numFmt w:val="bullet"/>
      <w:start w:val="1"/>
    </w:lvl>
  </w:abstractNum>
  <w:abstractNum w:abstractNumId="10">
    <w:nsid w:val="76574F8B"/>
    <w:multiLevelType w:val="hybridMultilevel"/>
    <w:lvl w:ilvl="0">
      <w:lvlJc w:val="left"/>
      <w:lvlText w:val="(%1)"/>
      <w:numFmt w:val="decimal"/>
      <w:start w:val="1"/>
    </w:lvl>
  </w:abstractNum>
  <w:abstractNum w:abstractNumId="11">
    <w:nsid w:val="178F7B67"/>
    <w:multiLevelType w:val="hybridMultilevel"/>
    <w:lvl w:ilvl="0">
      <w:lvlJc w:val="left"/>
      <w:lvlText w:val="(%1)"/>
      <w:numFmt w:val="decimal"/>
      <w:start w:val="3"/>
    </w:lvl>
  </w:abstractNum>
  <w:abstractNum w:abstractNumId="12">
    <w:nsid w:val="2421DFCF"/>
    <w:multiLevelType w:val="hybridMultilevel"/>
    <w:lvl w:ilvl="0">
      <w:lvlJc w:val="left"/>
      <w:lvlText w:val="•"/>
      <w:numFmt w:val="bullet"/>
      <w:start w:val="1"/>
    </w:lvl>
  </w:abstractNum>
  <w:abstractNum w:abstractNumId="13">
    <w:nsid w:val="1565AC99"/>
    <w:multiLevelType w:val="hybridMultilevel"/>
    <w:lvl w:ilvl="0">
      <w:lvlJc w:val="left"/>
      <w:lvlText w:val="•"/>
      <w:numFmt w:val="bullet"/>
      <w:start w:val="1"/>
    </w:lvl>
  </w:abstractNum>
  <w:abstractNum w:abstractNumId="14">
    <w:nsid w:val="19FB2650"/>
    <w:multiLevelType w:val="hybridMultilevel"/>
    <w:lvl w:ilvl="0">
      <w:lvlJc w:val="left"/>
      <w:lvlText w:val="•"/>
      <w:numFmt w:val="bullet"/>
      <w:start w:val="1"/>
    </w:lvl>
  </w:abstractNum>
  <w:abstractNum w:abstractNumId="15">
    <w:nsid w:val="5024DE5B"/>
    <w:multiLevelType w:val="hybridMultilevel"/>
    <w:lvl w:ilvl="0">
      <w:lvlJc w:val="left"/>
      <w:lvlText w:val="•"/>
      <w:numFmt w:val="bullet"/>
      <w:start w:val="1"/>
    </w:lvl>
  </w:abstractNum>
  <w:abstractNum w:abstractNumId="16">
    <w:nsid w:val="168EFE17"/>
    <w:multiLevelType w:val="hybridMultilevel"/>
    <w:lvl w:ilvl="0">
      <w:lvlJc w:val="left"/>
      <w:lvlText w:val="•"/>
      <w:numFmt w:val="bullet"/>
      <w:start w:val="1"/>
    </w:lvl>
  </w:abstractNum>
  <w:abstractNum w:abstractNumId="17">
    <w:nsid w:val="1036B29F"/>
    <w:multiLevelType w:val="hybridMultilevel"/>
    <w:lvl w:ilvl="0">
      <w:lvlJc w:val="left"/>
      <w:lvlText w:val="•"/>
      <w:numFmt w:val="bullet"/>
      <w:start w:val="1"/>
    </w:lvl>
  </w:abstractNum>
  <w:abstractNum w:abstractNumId="18">
    <w:nsid w:val="1D206B8E"/>
    <w:multiLevelType w:val="hybridMultilevel"/>
    <w:lvl w:ilvl="0">
      <w:lvlJc w:val="left"/>
      <w:lvlText w:val="•"/>
      <w:numFmt w:val="bullet"/>
      <w:start w:val="1"/>
    </w:lvl>
  </w:abstractNum>
  <w:abstractNum w:abstractNumId="19">
    <w:nsid w:val="7934D3D4"/>
    <w:multiLevelType w:val="hybridMultilevel"/>
    <w:lvl w:ilvl="0">
      <w:lvlJc w:val="left"/>
      <w:lvlText w:val="•"/>
      <w:numFmt w:val="bullet"/>
      <w:start w:val="1"/>
    </w:lvl>
  </w:abstractNum>
  <w:abstractNum w:abstractNumId="20">
    <w:nsid w:val="1C65E98"/>
    <w:multiLevelType w:val="hybridMultilevel"/>
    <w:lvl w:ilvl="0">
      <w:lvlJc w:val="left"/>
      <w:lvlText w:val="•"/>
      <w:numFmt w:val="bullet"/>
      <w:start w:val="1"/>
    </w:lvl>
  </w:abstractNum>
  <w:abstractNum w:abstractNumId="21">
    <w:nsid w:val="1495E50A"/>
    <w:multiLevelType w:val="hybridMultilevel"/>
    <w:lvl w:ilvl="0">
      <w:lvlJc w:val="left"/>
      <w:lvlText w:val="•"/>
      <w:numFmt w:val="bullet"/>
      <w:start w:val="1"/>
    </w:lvl>
  </w:abstractNum>
  <w:abstractNum w:abstractNumId="22">
    <w:nsid w:val="F5BCF61"/>
    <w:multiLevelType w:val="hybridMultilevel"/>
    <w:lvl w:ilvl="0">
      <w:lvlJc w:val="left"/>
      <w:lvlText w:val="•"/>
      <w:numFmt w:val="bullet"/>
      <w:start w:val="1"/>
    </w:lvl>
  </w:abstractNum>
  <w:abstractNum w:abstractNumId="23">
    <w:nsid w:val="3B1DD403"/>
    <w:multiLevelType w:val="hybridMultilevel"/>
    <w:lvl w:ilvl="0">
      <w:lvlJc w:val="left"/>
      <w:lvlText w:val="•"/>
      <w:numFmt w:val="bullet"/>
      <w:start w:val="1"/>
    </w:lvl>
  </w:abstractNum>
  <w:abstractNum w:abstractNumId="24">
    <w:nsid w:val="530386D1"/>
    <w:multiLevelType w:val="hybridMultilevel"/>
    <w:lvl w:ilvl="0">
      <w:lvlJc w:val="left"/>
      <w:lvlText w:val="•"/>
      <w:numFmt w:val="bullet"/>
      <w:start w:val="1"/>
    </w:lvl>
  </w:abstractNum>
  <w:abstractNum w:abstractNumId="25">
    <w:nsid w:val="7525F2BC"/>
    <w:multiLevelType w:val="hybridMultilevel"/>
    <w:lvl w:ilvl="0">
      <w:lvlJc w:val="left"/>
      <w:lvlText w:val="(%1)"/>
      <w:numFmt w:val="decimal"/>
      <w:start w:val="2"/>
    </w:lvl>
  </w:abstractNum>
  <w:abstractNum w:abstractNumId="26">
    <w:nsid w:val="CE8E1A7"/>
    <w:multiLevelType w:val="hybridMultilevel"/>
    <w:lvl w:ilvl="0">
      <w:lvlJc w:val="left"/>
      <w:lvlText w:val="•"/>
      <w:numFmt w:val="bullet"/>
      <w:start w:val="1"/>
    </w:lvl>
  </w:abstractNum>
  <w:abstractNum w:abstractNumId="27">
    <w:nsid w:val="4E9EFB0D"/>
    <w:multiLevelType w:val="hybridMultilevel"/>
    <w:lvl w:ilvl="0">
      <w:lvlJc w:val="left"/>
      <w:lvlText w:val="•"/>
      <w:numFmt w:val="bullet"/>
      <w:start w:val="1"/>
    </w:lvl>
  </w:abstractNum>
  <w:abstractNum w:abstractNumId="28">
    <w:nsid w:val="90802BE"/>
    <w:multiLevelType w:val="hybridMultilevel"/>
    <w:lvl w:ilvl="0">
      <w:lvlJc w:val="left"/>
      <w:lvlText w:val="•"/>
      <w:numFmt w:val="bullet"/>
      <w:start w:val="1"/>
    </w:lvl>
  </w:abstractNum>
  <w:abstractNum w:abstractNumId="29">
    <w:nsid w:val="3266459B"/>
    <w:multiLevelType w:val="hybridMultilevel"/>
    <w:lvl w:ilvl="0">
      <w:lvlJc w:val="left"/>
      <w:lvlText w:val="•"/>
      <w:numFmt w:val="bullet"/>
      <w:start w:val="1"/>
    </w:lvl>
  </w:abstractNum>
  <w:abstractNum w:abstractNumId="30">
    <w:nsid w:val="3F8B0CBF"/>
    <w:multiLevelType w:val="hybridMultilevel"/>
    <w:lvl w:ilvl="0">
      <w:lvlJc w:val="left"/>
      <w:lvlText w:val="•"/>
      <w:numFmt w:val="bullet"/>
      <w:start w:val="1"/>
    </w:lvl>
  </w:abstractNum>
  <w:abstractNum w:abstractNumId="31">
    <w:nsid w:val="37E203AB"/>
    <w:multiLevelType w:val="hybridMultilevel"/>
    <w:lvl w:ilvl="0">
      <w:lvlJc w:val="left"/>
      <w:lvlText w:val="•"/>
      <w:numFmt w:val="bullet"/>
      <w:start w:val="1"/>
    </w:lvl>
  </w:abstractNum>
  <w:abstractNum w:abstractNumId="32">
    <w:nsid w:val="2586D60E"/>
    <w:multiLevelType w:val="hybridMultilevel"/>
    <w:lvl w:ilvl="0">
      <w:lvlJc w:val="left"/>
      <w:lvlText w:val="•"/>
      <w:numFmt w:val="bullet"/>
      <w:start w:val="1"/>
    </w:lvl>
  </w:abstractNum>
  <w:abstractNum w:abstractNumId="33">
    <w:nsid w:val="1F3DA4D5"/>
    <w:multiLevelType w:val="hybridMultilevel"/>
    <w:lvl w:ilvl="0">
      <w:lvlJc w:val="left"/>
      <w:lvlText w:val="•"/>
      <w:numFmt w:val="bullet"/>
      <w:start w:val="1"/>
    </w:lvl>
  </w:abstractNum>
  <w:abstractNum w:abstractNumId="34">
    <w:nsid w:val="74C93698"/>
    <w:multiLevelType w:val="hybridMultilevel"/>
    <w:lvl w:ilvl="0">
      <w:lvlJc w:val="left"/>
      <w:lvlText w:val="•"/>
      <w:numFmt w:val="bullet"/>
      <w:start w:val="1"/>
    </w:lvl>
  </w:abstractNum>
  <w:abstractNum w:abstractNumId="35">
    <w:nsid w:val="48781401"/>
    <w:multiLevelType w:val="hybridMultilevel"/>
    <w:lvl w:ilvl="0">
      <w:lvlJc w:val="left"/>
      <w:lvlText w:val="•"/>
      <w:numFmt w:val="bullet"/>
      <w:start w:val="1"/>
    </w:lvl>
  </w:abstractNum>
  <w:abstractNum w:abstractNumId="36">
    <w:nsid w:val="186928D6"/>
    <w:multiLevelType w:val="hybridMultilevel"/>
    <w:lvl w:ilvl="0">
      <w:lvlJc w:val="left"/>
      <w:lvlText w:val="•"/>
      <w:numFmt w:val="bullet"/>
      <w:start w:val="1"/>
    </w:lvl>
  </w:abstractNum>
  <w:abstractNum w:abstractNumId="37">
    <w:nsid w:val="47195E5"/>
    <w:multiLevelType w:val="hybridMultilevel"/>
    <w:lvl w:ilvl="0">
      <w:lvlJc w:val="left"/>
      <w:lvlText w:val="•"/>
      <w:numFmt w:val="bullet"/>
      <w:start w:val="1"/>
    </w:lvl>
  </w:abstractNum>
  <w:abstractNum w:abstractNumId="38">
    <w:nsid w:val="3746A5F2"/>
    <w:multiLevelType w:val="hybridMultilevel"/>
    <w:lvl w:ilvl="0">
      <w:lvlJc w:val="left"/>
      <w:lvlText w:val="•"/>
      <w:numFmt w:val="bullet"/>
      <w:start w:val="1"/>
    </w:lvl>
  </w:abstractNum>
  <w:abstractNum w:abstractNumId="39">
    <w:nsid w:val="682DFED6"/>
    <w:multiLevelType w:val="hybridMultilevel"/>
    <w:lvl w:ilvl="0">
      <w:lvlJc w:val="left"/>
      <w:lvlText w:val="•"/>
      <w:numFmt w:val="bullet"/>
      <w:start w:val="1"/>
    </w:lvl>
  </w:abstractNum>
  <w:abstractNum w:abstractNumId="40">
    <w:nsid w:val="606ED7F6"/>
    <w:multiLevelType w:val="hybridMultilevel"/>
    <w:lvl w:ilvl="0">
      <w:lvlJc w:val="left"/>
      <w:lvlText w:val="•"/>
      <w:numFmt w:val="bullet"/>
      <w:start w:val="1"/>
    </w:lvl>
  </w:abstractNum>
  <w:abstractNum w:abstractNumId="41">
    <w:nsid w:val="2D9DF57D"/>
    <w:multiLevelType w:val="hybridMultilevel"/>
    <w:lvl w:ilvl="0">
      <w:lvlJc w:val="left"/>
      <w:lvlText w:val="•"/>
      <w:numFmt w:val="bullet"/>
      <w:start w:val="1"/>
    </w:lvl>
  </w:abstractNum>
  <w:abstractNum w:abstractNumId="42">
    <w:nsid w:val="7FBD7A3E"/>
    <w:multiLevelType w:val="hybridMultilevel"/>
    <w:lvl w:ilvl="0">
      <w:lvlJc w:val="left"/>
      <w:lvlText w:val="•"/>
      <w:numFmt w:val="bullet"/>
      <w:start w:val="1"/>
    </w:lvl>
  </w:abstractNum>
  <w:abstractNum w:abstractNumId="43">
    <w:nsid w:val="490B7C5"/>
    <w:multiLevelType w:val="hybridMultilevel"/>
    <w:lvl w:ilvl="0">
      <w:lvlJc w:val="left"/>
      <w:lvlText w:val="•"/>
      <w:numFmt w:val="bullet"/>
      <w:start w:val="1"/>
    </w:lvl>
  </w:abstractNum>
  <w:abstractNum w:abstractNumId="44">
    <w:nsid w:val="4303A216"/>
    <w:multiLevelType w:val="hybridMultilevel"/>
    <w:lvl w:ilvl="0">
      <w:lvlJc w:val="left"/>
      <w:lvlText w:val="•"/>
      <w:numFmt w:val="bullet"/>
      <w:start w:val="1"/>
    </w:lvl>
  </w:abstractNum>
  <w:abstractNum w:abstractNumId="45">
    <w:nsid w:val="19B8A08E"/>
    <w:multiLevelType w:val="hybridMultilevel"/>
    <w:lvl w:ilvl="0">
      <w:lvlJc w:val="left"/>
      <w:lvlText w:val="•"/>
      <w:numFmt w:val="bullet"/>
      <w:start w:val="1"/>
    </w:lvl>
  </w:abstractNum>
  <w:abstractNum w:abstractNumId="46">
    <w:nsid w:val="54B59621"/>
    <w:multiLevelType w:val="hybridMultilevel"/>
    <w:lvl w:ilvl="0">
      <w:lvlJc w:val="left"/>
      <w:lvlText w:val="(%1)"/>
      <w:numFmt w:val="decimal"/>
      <w:start w:val="1"/>
    </w:lvl>
    <w:lvl w:ilvl="1">
      <w:lvlJc w:val="left"/>
      <w:lvlText w:val="•"/>
      <w:numFmt w:val="bullet"/>
      <w:start w:val="1"/>
    </w:lvl>
  </w:abstractNum>
  <w:abstractNum w:abstractNumId="47">
    <w:nsid w:val="5992A02E"/>
    <w:multiLevelType w:val="hybridMultilevel"/>
    <w:lvl w:ilvl="0">
      <w:lvlJc w:val="left"/>
      <w:lvlText w:val="(%1)"/>
      <w:numFmt w:val="lowerRoman"/>
      <w:start w:val="2"/>
    </w:lvl>
  </w:abstractNum>
  <w:abstractNum w:abstractNumId="48">
    <w:nsid w:val="29EF532D"/>
    <w:multiLevelType w:val="hybridMultilevel"/>
    <w:lvl w:ilvl="0">
      <w:lvlJc w:val="left"/>
      <w:lvlText w:val="(%1)"/>
      <w:numFmt w:val="lowerRoman"/>
      <w:start w:val="2"/>
    </w:lvl>
    <w:lvl w:ilvl="1">
      <w:lvlJc w:val="left"/>
      <w:lvlText w:val="•"/>
      <w:numFmt w:val="bullet"/>
      <w:start w:val="1"/>
    </w:lvl>
  </w:abstractNum>
  <w:abstractNum w:abstractNumId="49">
    <w:nsid w:val="71D601AF"/>
    <w:multiLevelType w:val="hybridMultilevel"/>
    <w:lvl w:ilvl="0">
      <w:lvlJc w:val="left"/>
      <w:lvlText w:val="•"/>
      <w:numFmt w:val="bullet"/>
      <w:start w:val="1"/>
    </w:lvl>
  </w:abstractNum>
  <w:abstractNum w:abstractNumId="50">
    <w:nsid w:val="52C77402"/>
    <w:multiLevelType w:val="hybridMultilevel"/>
    <w:lvl w:ilvl="0">
      <w:lvlJc w:val="left"/>
      <w:lvlText w:val="•"/>
      <w:numFmt w:val="bullet"/>
      <w:start w:val="1"/>
    </w:lvl>
  </w:abstractNum>
  <w:abstractNum w:abstractNumId="51">
    <w:nsid w:val="2BB5B1C6"/>
    <w:multiLevelType w:val="hybridMultilevel"/>
    <w:lvl w:ilvl="0">
      <w:lvlJc w:val="left"/>
      <w:lvlText w:val="•"/>
      <w:numFmt w:val="bullet"/>
      <w:start w:val="1"/>
    </w:lvl>
  </w:abstractNum>
  <w:abstractNum w:abstractNumId="52">
    <w:nsid w:val="66BE6B9"/>
    <w:multiLevelType w:val="hybridMultilevel"/>
    <w:lvl w:ilvl="0">
      <w:lvlJc w:val="left"/>
      <w:lvlText w:val="•"/>
      <w:numFmt w:val="bullet"/>
      <w:start w:val="1"/>
    </w:lvl>
  </w:abstractNum>
  <w:abstractNum w:abstractNumId="53">
    <w:nsid w:val="62234363"/>
    <w:multiLevelType w:val="hybridMultilevel"/>
    <w:lvl w:ilvl="0">
      <w:lvlJc w:val="left"/>
      <w:lvlText w:val="(%1)"/>
      <w:numFmt w:val="lowerRoman"/>
      <w:start w:val="1"/>
    </w:lvl>
  </w:abstractNum>
  <w:abstractNum w:abstractNumId="54">
    <w:nsid w:val="66D385C9"/>
    <w:multiLevelType w:val="hybridMultilevel"/>
    <w:lvl w:ilvl="0">
      <w:lvlJc w:val="left"/>
      <w:lvlText w:val="•"/>
      <w:numFmt w:val="bullet"/>
      <w:start w:val="1"/>
    </w:lvl>
  </w:abstractNum>
  <w:abstractNum w:abstractNumId="55">
    <w:nsid w:val="596F6D8A"/>
    <w:multiLevelType w:val="hybridMultilevel"/>
    <w:lvl w:ilvl="0">
      <w:lvlJc w:val="left"/>
      <w:lvlText w:val="•"/>
      <w:numFmt w:val="bullet"/>
      <w:start w:val="1"/>
    </w:lvl>
  </w:abstractNum>
  <w:abstractNum w:abstractNumId="56">
    <w:nsid w:val="5749361F"/>
    <w:multiLevelType w:val="hybridMultilevel"/>
    <w:lvl w:ilvl="0">
      <w:lvlJc w:val="left"/>
      <w:lvlText w:val="•"/>
      <w:numFmt w:val="bullet"/>
      <w:start w:val="1"/>
    </w:lvl>
  </w:abstractNum>
  <w:abstractNum w:abstractNumId="57">
    <w:nsid w:val="73BC6770"/>
    <w:multiLevelType w:val="hybridMultilevel"/>
    <w:lvl w:ilvl="0">
      <w:lvlJc w:val="left"/>
      <w:lvlText w:val="•"/>
      <w:numFmt w:val="bullet"/>
      <w:start w:val="1"/>
    </w:lvl>
  </w:abstractNum>
  <w:abstractNum w:abstractNumId="58">
    <w:nsid w:val="280E6897"/>
    <w:multiLevelType w:val="hybridMultilevel"/>
    <w:lvl w:ilvl="0">
      <w:lvlJc w:val="left"/>
      <w:lvlText w:val="•"/>
      <w:numFmt w:val="bullet"/>
      <w:start w:val="1"/>
    </w:lvl>
  </w:abstractNum>
  <w:abstractNum w:abstractNumId="59">
    <w:nsid w:val="605138DE"/>
    <w:multiLevelType w:val="hybridMultilevel"/>
    <w:lvl w:ilvl="0">
      <w:lvlJc w:val="left"/>
      <w:lvlText w:val="•"/>
      <w:numFmt w:val="bullet"/>
      <w:start w:val="1"/>
    </w:lvl>
  </w:abstractNum>
  <w:abstractNum w:abstractNumId="60">
    <w:nsid w:val="2622AD0C"/>
    <w:multiLevelType w:val="hybridMultilevel"/>
    <w:lvl w:ilvl="0">
      <w:lvlJc w:val="left"/>
      <w:lvlText w:val="(%1)"/>
      <w:numFmt w:val="decimal"/>
      <w:start w:val="1"/>
    </w:lvl>
  </w:abstractNum>
  <w:abstractNum w:abstractNumId="61">
    <w:nsid w:val="67997556"/>
    <w:multiLevelType w:val="hybridMultilevel"/>
    <w:lvl w:ilvl="0">
      <w:lvlJc w:val="left"/>
      <w:lvlText w:val="•"/>
      <w:numFmt w:val="bullet"/>
      <w:start w:val="1"/>
    </w:lvl>
  </w:abstractNum>
  <w:abstractNum w:abstractNumId="62">
    <w:nsid w:val="18333C89"/>
    <w:multiLevelType w:val="hybridMultilevel"/>
    <w:lvl w:ilvl="0">
      <w:lvlJc w:val="left"/>
      <w:lvlText w:val="•"/>
      <w:numFmt w:val="bullet"/>
      <w:start w:val="1"/>
    </w:lvl>
  </w:abstractNum>
  <w:abstractNum w:abstractNumId="63">
    <w:nsid w:val="4BA9831A"/>
    <w:multiLevelType w:val="hybridMultilevel"/>
    <w:lvl w:ilvl="0">
      <w:lvlJc w:val="left"/>
      <w:lvlText w:val="(%1)"/>
      <w:numFmt w:val="decimal"/>
      <w:start w:val="1"/>
    </w:lvl>
  </w:abstractNum>
  <w:abstractNum w:abstractNumId="64">
    <w:nsid w:val="6D71A2B"/>
    <w:multiLevelType w:val="hybridMultilevel"/>
    <w:lvl w:ilvl="0">
      <w:lvlJc w:val="left"/>
      <w:lvlText w:val="(%1)"/>
      <w:numFmt w:val="lowerLetter"/>
      <w:start w:val="2"/>
    </w:lvl>
  </w:abstractNum>
  <w:abstractNum w:abstractNumId="65">
    <w:nsid w:val="CFC7321"/>
    <w:multiLevelType w:val="hybridMultilevel"/>
    <w:lvl w:ilvl="0">
      <w:lvlJc w:val="left"/>
      <w:lvlText w:val="•"/>
      <w:numFmt w:val="bullet"/>
      <w:start w:val="1"/>
    </w:lvl>
  </w:abstractNum>
  <w:abstractNum w:abstractNumId="66">
    <w:nsid w:val="1421971B"/>
    <w:multiLevelType w:val="hybridMultilevel"/>
    <w:lvl w:ilvl="0">
      <w:lvlJc w:val="left"/>
      <w:lvlText w:val="•"/>
      <w:numFmt w:val="bullet"/>
      <w:start w:val="1"/>
    </w:lvl>
  </w:abstractNum>
  <w:abstractNum w:abstractNumId="67">
    <w:nsid w:val="1F404301"/>
    <w:multiLevelType w:val="hybridMultilevel"/>
    <w:lvl w:ilvl="0">
      <w:lvlJc w:val="left"/>
      <w:lvlText w:val="•"/>
      <w:numFmt w:val="bullet"/>
      <w:start w:val="1"/>
    </w:lvl>
  </w:abstractNum>
  <w:abstractNum w:abstractNumId="68">
    <w:nsid w:val="116E0907"/>
    <w:multiLevelType w:val="hybridMultilevel"/>
    <w:lvl w:ilvl="0">
      <w:lvlJc w:val="left"/>
      <w:lvlText w:val="•"/>
      <w:numFmt w:val="bullet"/>
      <w:start w:val="1"/>
    </w:lvl>
  </w:abstractNum>
  <w:abstractNum w:abstractNumId="69">
    <w:nsid w:val="4B683D0D"/>
    <w:multiLevelType w:val="hybridMultilevel"/>
    <w:lvl w:ilvl="0">
      <w:lvlJc w:val="left"/>
      <w:lvlText w:val="%1)"/>
      <w:numFmt w:val="decimal"/>
      <w:start w:val="24"/>
    </w:lvl>
  </w:abstractNum>
  <w:abstractNum w:abstractNumId="70">
    <w:nsid w:val="76E41D8"/>
    <w:multiLevelType w:val="hybridMultilevel"/>
    <w:lvl w:ilvl="0">
      <w:lvlJc w:val="left"/>
      <w:lvlText w:val="•"/>
      <w:numFmt w:val="bullet"/>
      <w:start w:val="1"/>
    </w:lvl>
  </w:abstractNum>
  <w:abstractNum w:abstractNumId="71">
    <w:nsid w:val="71DCE0FD"/>
    <w:multiLevelType w:val="hybridMultilevel"/>
    <w:lvl w:ilvl="0">
      <w:lvlJc w:val="left"/>
      <w:lvlText w:val="•"/>
      <w:numFmt w:val="bullet"/>
      <w:start w:val="1"/>
    </w:lvl>
  </w:abstractNum>
  <w:abstractNum w:abstractNumId="72">
    <w:nsid w:val="7906328B"/>
    <w:multiLevelType w:val="hybridMultilevel"/>
    <w:lvl w:ilvl="0">
      <w:lvlJc w:val="left"/>
      <w:lvlText w:val="•"/>
      <w:numFmt w:val="bullet"/>
      <w:start w:val="1"/>
    </w:lvl>
  </w:abstractNum>
  <w:abstractNum w:abstractNumId="73">
    <w:nsid w:val="72BBC16"/>
    <w:multiLevelType w:val="hybridMultilevel"/>
    <w:lvl w:ilvl="0">
      <w:lvlJc w:val="left"/>
      <w:lvlText w:val="•"/>
      <w:numFmt w:val="bullet"/>
      <w:start w:val="1"/>
    </w:lvl>
  </w:abstractNum>
  <w:abstractNum w:abstractNumId="74">
    <w:nsid w:val="766D98C2"/>
    <w:multiLevelType w:val="hybridMultilevel"/>
    <w:lvl w:ilvl="0">
      <w:lvlJc w:val="left"/>
      <w:lvlText w:val="•"/>
      <w:numFmt w:val="bullet"/>
      <w:start w:val="1"/>
    </w:lvl>
  </w:abstractNum>
  <w:abstractNum w:abstractNumId="75">
    <w:nsid w:val="3C09D4A1"/>
    <w:multiLevelType w:val="hybridMultilevel"/>
    <w:lvl w:ilvl="0">
      <w:lvlJc w:val="left"/>
      <w:lvlText w:val="•"/>
      <w:numFmt w:val="bullet"/>
      <w:start w:val="1"/>
    </w:lvl>
  </w:abstractNum>
  <w:abstractNum w:abstractNumId="76">
    <w:nsid w:val="20E45CA4"/>
    <w:multiLevelType w:val="hybridMultilevel"/>
    <w:lvl w:ilvl="0">
      <w:lvlJc w:val="left"/>
      <w:lvlText w:val="•"/>
      <w:numFmt w:val="bullet"/>
      <w:start w:val="1"/>
    </w:lvl>
  </w:abstractNum>
  <w:abstractNum w:abstractNumId="77">
    <w:nsid w:val="4B232EE3"/>
    <w:multiLevelType w:val="hybridMultilevel"/>
    <w:lvl w:ilvl="0">
      <w:lvlJc w:val="left"/>
      <w:lvlText w:val="•"/>
      <w:numFmt w:val="bullet"/>
      <w:start w:val="1"/>
    </w:lvl>
  </w:abstractNum>
  <w:abstractNum w:abstractNumId="78">
    <w:nsid w:val="159C74CF"/>
    <w:multiLevelType w:val="hybridMultilevel"/>
    <w:lvl w:ilvl="0">
      <w:lvlJc w:val="left"/>
      <w:lvlText w:val="•"/>
      <w:numFmt w:val="bullet"/>
      <w:start w:val="1"/>
    </w:lvl>
  </w:abstractNum>
  <w:abstractNum w:abstractNumId="79">
    <w:nsid w:val="4AD3AFD2"/>
    <w:multiLevelType w:val="hybridMultilevel"/>
    <w:lvl w:ilvl="0">
      <w:lvlJc w:val="left"/>
      <w:lvlText w:val="(%1)"/>
      <w:numFmt w:val="decimal"/>
      <w:start w:val="1"/>
    </w:lvl>
  </w:abstractNum>
  <w:abstractNum w:abstractNumId="80">
    <w:nsid w:val="3CF93092"/>
    <w:multiLevelType w:val="hybridMultilevel"/>
    <w:lvl w:ilvl="0">
      <w:lvlJc w:val="left"/>
      <w:lvlText w:val="•"/>
      <w:numFmt w:val="bullet"/>
      <w:start w:val="1"/>
    </w:lvl>
  </w:abstractNum>
  <w:abstractNum w:abstractNumId="81">
    <w:nsid w:val="6863E8D2"/>
    <w:multiLevelType w:val="hybridMultilevel"/>
    <w:lvl w:ilvl="0">
      <w:lvlJc w:val="left"/>
      <w:lvlText w:val="•"/>
      <w:numFmt w:val="bullet"/>
      <w:start w:val="1"/>
    </w:lvl>
  </w:abstractNum>
  <w:abstractNum w:abstractNumId="82">
    <w:nsid w:val="76896198"/>
    <w:multiLevelType w:val="hybridMultilevel"/>
    <w:lvl w:ilvl="0">
      <w:lvlJc w:val="left"/>
      <w:lvlText w:val="•"/>
      <w:numFmt w:val="bullet"/>
      <w:start w:val="1"/>
    </w:lvl>
  </w:abstractNum>
  <w:abstractNum w:abstractNumId="83">
    <w:nsid w:val="4365174B"/>
    <w:multiLevelType w:val="hybridMultilevel"/>
    <w:lvl w:ilvl="0">
      <w:lvlJc w:val="left"/>
      <w:lvlText w:val="•"/>
      <w:numFmt w:val="bullet"/>
      <w:start w:val="1"/>
    </w:lvl>
  </w:abstractNum>
  <w:abstractNum w:abstractNumId="84">
    <w:nsid w:val="4A872C35"/>
    <w:multiLevelType w:val="hybridMultilevel"/>
    <w:lvl w:ilvl="0">
      <w:lvlJc w:val="left"/>
      <w:lvlText w:val="•"/>
      <w:numFmt w:val="bullet"/>
      <w:start w:val="1"/>
    </w:lvl>
  </w:abstractNum>
  <w:abstractNum w:abstractNumId="85">
    <w:nsid w:val="5D5CE761"/>
    <w:multiLevelType w:val="hybridMultilevel"/>
    <w:lvl w:ilvl="0">
      <w:lvlJc w:val="left"/>
      <w:lvlText w:val="•"/>
      <w:numFmt w:val="bullet"/>
      <w:start w:val="1"/>
    </w:lvl>
  </w:abstractNum>
  <w:abstractNum w:abstractNumId="86">
    <w:nsid w:val="1CD484D5"/>
    <w:multiLevelType w:val="hybridMultilevel"/>
    <w:lvl w:ilvl="0">
      <w:lvlJc w:val="left"/>
      <w:lvlText w:val="(%1)"/>
      <w:numFmt w:val="decimal"/>
      <w:start w:val="1"/>
    </w:lvl>
  </w:abstractNum>
  <w:abstractNum w:abstractNumId="87">
    <w:nsid w:val="21D06255"/>
    <w:multiLevelType w:val="hybridMultilevel"/>
    <w:lvl w:ilvl="0">
      <w:lvlJc w:val="left"/>
      <w:lvlText w:val="(%1)"/>
      <w:numFmt w:val="decimal"/>
      <w:start w:val="3"/>
    </w:lvl>
  </w:abstractNum>
  <w:abstractNum w:abstractNumId="88">
    <w:nsid w:val="51194ED1"/>
    <w:multiLevelType w:val="hybridMultilevel"/>
    <w:lvl w:ilvl="0">
      <w:lvlJc w:val="left"/>
      <w:lvlText w:val="(%1)"/>
      <w:numFmt w:val="decimal"/>
      <w:start w:val="1"/>
    </w:lvl>
  </w:abstractNum>
  <w:abstractNum w:abstractNumId="89">
    <w:nsid w:val="44E2ED6C"/>
    <w:multiLevelType w:val="hybridMultilevel"/>
    <w:lvl w:ilvl="0">
      <w:lvlJc w:val="left"/>
      <w:lvlText w:val="(%1)"/>
      <w:numFmt w:val="decimal"/>
      <w:start w:val="1"/>
    </w:lvl>
  </w:abstractNum>
  <w:abstractNum w:abstractNumId="90">
    <w:nsid w:val="2219B33"/>
    <w:multiLevelType w:val="hybridMultilevel"/>
    <w:lvl w:ilvl="0">
      <w:lvlJc w:val="left"/>
      <w:lvlText w:val="$"/>
      <w:numFmt w:val="bullet"/>
      <w:start w:val="1"/>
    </w:lvl>
  </w:abstractNum>
  <w:abstractNum w:abstractNumId="91">
    <w:nsid w:val="773BFBDD"/>
    <w:multiLevelType w:val="hybridMultilevel"/>
    <w:lvl w:ilvl="0">
      <w:lvlJc w:val="left"/>
      <w:lvlText w:val="•"/>
      <w:numFmt w:val="bullet"/>
      <w:start w:val="1"/>
    </w:lvl>
  </w:abstractNum>
  <w:abstractNum w:abstractNumId="92">
    <w:nsid w:val="2C7C62C2"/>
    <w:multiLevelType w:val="hybridMultilevel"/>
    <w:lvl w:ilvl="0">
      <w:lvlJc w:val="left"/>
      <w:lvlText w:val="(%1)"/>
      <w:numFmt w:val="decimal"/>
      <w:start w:val="1"/>
    </w:lvl>
  </w:abstractNum>
  <w:abstractNum w:abstractNumId="93">
    <w:nsid w:val="1A54D7BC"/>
    <w:multiLevelType w:val="hybridMultilevel"/>
    <w:lvl w:ilvl="0">
      <w:lvlJc w:val="left"/>
      <w:lvlText w:val="(%1)"/>
      <w:numFmt w:val="decimal"/>
      <w:start w:val="1"/>
    </w:lvl>
  </w:abstractNum>
  <w:abstractNum w:abstractNumId="94">
    <w:nsid w:val="42E57EF7"/>
    <w:multiLevelType w:val="hybridMultilevel"/>
    <w:lvl w:ilvl="0">
      <w:lvlJc w:val="left"/>
      <w:lvlText w:val="(%1)"/>
      <w:numFmt w:val="decimal"/>
      <w:start w:val="2"/>
    </w:lvl>
  </w:abstractNum>
  <w:abstractNum w:abstractNumId="95">
    <w:nsid w:val="33537CED"/>
    <w:multiLevelType w:val="hybridMultilevel"/>
    <w:lvl w:ilvl="0">
      <w:lvlJc w:val="left"/>
      <w:lvlText w:val="(%1)"/>
      <w:numFmt w:val="decimal"/>
      <w:start w:val="1"/>
    </w:lvl>
  </w:abstractNum>
  <w:abstractNum w:abstractNumId="96">
    <w:nsid w:val="27514ADE"/>
    <w:multiLevelType w:val="hybridMultilevel"/>
    <w:lvl w:ilvl="0">
      <w:lvlJc w:val="left"/>
      <w:lvlText w:val="(%1)"/>
      <w:numFmt w:val="decimal"/>
      <w:start w:val="1"/>
    </w:lvl>
  </w:abstractNum>
  <w:abstractNum w:abstractNumId="97">
    <w:nsid w:val="57071613"/>
    <w:multiLevelType w:val="hybridMultilevel"/>
    <w:lvl w:ilvl="0">
      <w:lvlJc w:val="left"/>
      <w:lvlText w:val="(%1)"/>
      <w:numFmt w:val="decimal"/>
      <w:start w:val="1"/>
    </w:lvl>
  </w:abstractNum>
  <w:abstractNum w:abstractNumId="98">
    <w:nsid w:val="5293BFEF"/>
    <w:multiLevelType w:val="hybridMultilevel"/>
    <w:lvl w:ilvl="0">
      <w:lvlJc w:val="left"/>
      <w:lvlText w:val="•"/>
      <w:numFmt w:val="bullet"/>
      <w:start w:val="1"/>
    </w:lvl>
  </w:abstractNum>
  <w:abstractNum w:abstractNumId="99">
    <w:nsid w:val="38BF53E5"/>
    <w:multiLevelType w:val="hybridMultilevel"/>
    <w:lvl w:ilvl="0">
      <w:lvlJc w:val="left"/>
      <w:lvlText w:val="*"/>
      <w:numFmt w:val="bullet"/>
      <w:start w:val="1"/>
    </w:lvl>
  </w:abstractNum>
  <w:abstractNum w:abstractNumId="100">
    <w:nsid w:val="226F5320"/>
    <w:multiLevelType w:val="hybridMultilevel"/>
    <w:lvl w:ilvl="0">
      <w:lvlJc w:val="left"/>
      <w:lvlText w:val="(%1)"/>
      <w:numFmt w:val="decimal"/>
      <w:start w:val="1"/>
    </w:lvl>
  </w:abstractNum>
  <w:abstractNum w:abstractNumId="101">
    <w:nsid w:val="5A0201C7"/>
    <w:multiLevelType w:val="hybridMultilevel"/>
    <w:lvl w:ilvl="0">
      <w:lvlJc w:val="left"/>
      <w:lvlText w:val="(%1)"/>
      <w:numFmt w:val="decimal"/>
      <w:start w:val="4"/>
    </w:lvl>
  </w:abstractNum>
  <w:abstractNum w:abstractNumId="102">
    <w:nsid w:val="2A9C34E2"/>
    <w:multiLevelType w:val="hybridMultilevel"/>
    <w:lvl w:ilvl="0">
      <w:lvlJc w:val="left"/>
      <w:lvlText w:val="•"/>
      <w:numFmt w:val="bullet"/>
      <w:start w:val="1"/>
    </w:lvl>
  </w:abstractNum>
  <w:abstractNum w:abstractNumId="103">
    <w:nsid w:val="1B7585AB"/>
    <w:multiLevelType w:val="hybridMultilevel"/>
    <w:lvl w:ilvl="0">
      <w:lvlJc w:val="left"/>
      <w:lvlText w:val="•"/>
      <w:numFmt w:val="bullet"/>
      <w:start w:val="1"/>
    </w:lvl>
  </w:abstractNum>
  <w:abstractNum w:abstractNumId="104">
    <w:nsid w:val="612DBDDD"/>
    <w:multiLevelType w:val="hybridMultilevel"/>
    <w:lvl w:ilvl="0">
      <w:lvlJc w:val="left"/>
      <w:lvlText w:val="•"/>
      <w:numFmt w:val="bullet"/>
      <w:start w:val="1"/>
    </w:lvl>
  </w:abstractNum>
  <w:abstractNum w:abstractNumId="105">
    <w:nsid w:val="2109CDA4"/>
    <w:multiLevelType w:val="hybridMultilevel"/>
    <w:lvl w:ilvl="0">
      <w:lvlJc w:val="left"/>
      <w:lvlText w:val="•"/>
      <w:numFmt w:val="bullet"/>
      <w:start w:val="1"/>
    </w:lvl>
  </w:abstractNum>
  <w:abstractNum w:abstractNumId="106">
    <w:nsid w:val="577F5A4D"/>
    <w:multiLevelType w:val="hybridMultilevel"/>
    <w:lvl w:ilvl="0">
      <w:lvlJc w:val="left"/>
      <w:lvlText w:val="•"/>
      <w:numFmt w:val="bullet"/>
      <w:start w:val="1"/>
    </w:lvl>
  </w:abstractNum>
  <w:abstractNum w:abstractNumId="107">
    <w:nsid w:val="2121A81"/>
    <w:multiLevelType w:val="hybridMultilevel"/>
    <w:lvl w:ilvl="0">
      <w:lvlJc w:val="left"/>
      <w:lvlText w:val="•"/>
      <w:numFmt w:val="bullet"/>
      <w:start w:val="1"/>
    </w:lvl>
  </w:abstractNum>
  <w:abstractNum w:abstractNumId="108">
    <w:nsid w:val="6C2CFC88"/>
    <w:multiLevelType w:val="hybridMultilevel"/>
    <w:lvl w:ilvl="0">
      <w:lvlJc w:val="left"/>
      <w:lvlText w:val="(%1)"/>
      <w:numFmt w:val="lowerRoman"/>
      <w:start w:val="1"/>
    </w:lvl>
  </w:abstractNum>
  <w:abstractNum w:abstractNumId="109">
    <w:nsid w:val="6D1BCF1C"/>
    <w:multiLevelType w:val="hybridMultilevel"/>
    <w:lvl w:ilvl="0">
      <w:lvlJc w:val="left"/>
      <w:lvlText w:val="(%1)"/>
      <w:numFmt w:val="lowerRoman"/>
      <w:start w:val="3"/>
    </w:lvl>
  </w:abstractNum>
  <w:abstractNum w:abstractNumId="110">
    <w:nsid w:val="4CE5CA53"/>
    <w:multiLevelType w:val="hybridMultilevel"/>
    <w:lvl w:ilvl="0">
      <w:lvlJc w:val="left"/>
      <w:lvlText w:val="(%1)"/>
      <w:numFmt w:val="lowerRoman"/>
      <w:start w:val="1"/>
    </w:lvl>
  </w:abstractNum>
  <w:abstractNum w:abstractNumId="111">
    <w:nsid w:val="29262D1A"/>
    <w:multiLevelType w:val="hybridMultilevel"/>
    <w:lvl w:ilvl="0">
      <w:lvlJc w:val="left"/>
      <w:lvlText w:val="(%1)"/>
      <w:numFmt w:val="lowerRoman"/>
      <w:start w:val="3"/>
    </w:lvl>
  </w:abstractNum>
  <w:abstractNum w:abstractNumId="112">
    <w:nsid w:val="557FB7EE"/>
    <w:multiLevelType w:val="hybridMultilevel"/>
    <w:lvl w:ilvl="0">
      <w:lvlJc w:val="left"/>
      <w:lvlText w:val="(%1)"/>
      <w:numFmt w:val="lowerLetter"/>
      <w:start w:val="1"/>
    </w:lvl>
  </w:abstractNum>
  <w:abstractNum w:abstractNumId="113">
    <w:nsid w:val="436F2BEB"/>
    <w:multiLevelType w:val="hybridMultilevel"/>
    <w:lvl w:ilvl="0">
      <w:lvlJc w:val="left"/>
      <w:lvlText w:val="(%1)"/>
      <w:numFmt w:val="lowerLetter"/>
      <w:start w:val="9"/>
    </w:lvl>
    <w:lvl w:ilvl="1">
      <w:lvlJc w:val="left"/>
      <w:lvlText w:val="(%2)"/>
      <w:numFmt w:val="lowerLetter"/>
      <w:start w:val="1"/>
    </w:lvl>
  </w:abstractNum>
  <w:abstractNum w:abstractNumId="114">
    <w:nsid w:val="6C8B4466"/>
    <w:multiLevelType w:val="hybridMultilevel"/>
    <w:lvl w:ilvl="0">
      <w:lvlJc w:val="left"/>
      <w:lvlText w:val="(%1)"/>
      <w:numFmt w:val="lowerRoman"/>
      <w:start w:val="2"/>
    </w:lvl>
  </w:abstractNum>
  <w:abstractNum w:abstractNumId="115">
    <w:nsid w:val="2006E424"/>
    <w:multiLevelType w:val="hybridMultilevel"/>
    <w:lvl w:ilvl="0">
      <w:lvlJc w:val="left"/>
      <w:lvlText w:val="(%1)"/>
      <w:numFmt w:val="lowerRoman"/>
      <w:start w:val="1"/>
    </w:lvl>
  </w:abstractNum>
  <w:abstractNum w:abstractNumId="116">
    <w:nsid w:val="20CC134C"/>
    <w:multiLevelType w:val="hybridMultilevel"/>
    <w:lvl w:ilvl="0">
      <w:lvlJc w:val="left"/>
      <w:lvlText w:val="(%1)"/>
      <w:numFmt w:val="lowerRoman"/>
      <w:start w:val="2"/>
    </w:lvl>
  </w:abstractNum>
  <w:abstractNum w:abstractNumId="117">
    <w:nsid w:val="95FC93B"/>
    <w:multiLevelType w:val="hybridMultilevel"/>
    <w:lvl w:ilvl="0">
      <w:lvlJc w:val="left"/>
      <w:lvlText w:val="(%1)"/>
      <w:numFmt w:val="lowerRoman"/>
      <w:start w:val="1"/>
    </w:lvl>
  </w:abstractNum>
  <w:abstractNum w:abstractNumId="118">
    <w:nsid w:val="41D74679"/>
    <w:multiLevelType w:val="hybridMultilevel"/>
    <w:lvl w:ilvl="0">
      <w:lvlJc w:val="left"/>
      <w:lvlText w:val="•"/>
      <w:numFmt w:val="bullet"/>
      <w:start w:val="1"/>
    </w:lvl>
  </w:abstractNum>
  <w:abstractNum w:abstractNumId="119">
    <w:nsid w:val="71E5621E"/>
    <w:multiLevelType w:val="hybridMultilevel"/>
    <w:lvl w:ilvl="0">
      <w:lvlJc w:val="left"/>
      <w:lvlText w:val="•"/>
      <w:numFmt w:val="bullet"/>
      <w:start w:val="1"/>
    </w:lvl>
  </w:abstractNum>
  <w:abstractNum w:abstractNumId="120">
    <w:nsid w:val="4E42B6A8"/>
    <w:multiLevelType w:val="hybridMultilevel"/>
    <w:lvl w:ilvl="0">
      <w:lvlJc w:val="left"/>
      <w:lvlText w:val="•"/>
      <w:numFmt w:val="bullet"/>
      <w:start w:val="1"/>
    </w:lvl>
  </w:abstractNum>
  <w:abstractNum w:abstractNumId="121">
    <w:nsid w:val="43F8E1AC"/>
    <w:multiLevelType w:val="hybridMultilevel"/>
    <w:lvl w:ilvl="0">
      <w:lvlJc w:val="left"/>
      <w:lvlText w:val="•"/>
      <w:numFmt w:val="bullet"/>
      <w:start w:val="1"/>
    </w:lvl>
  </w:abstractNum>
  <w:abstractNum w:abstractNumId="122">
    <w:nsid w:val="69215DFB"/>
    <w:multiLevelType w:val="hybridMultilevel"/>
    <w:lvl w:ilvl="0">
      <w:lvlJc w:val="left"/>
      <w:lvlText w:val="•"/>
      <w:numFmt w:val="bullet"/>
      <w:start w:val="1"/>
    </w:lvl>
  </w:abstractNum>
  <w:abstractNum w:abstractNumId="123">
    <w:nsid w:val="7ABF196A"/>
    <w:multiLevelType w:val="hybridMultilevel"/>
    <w:lvl w:ilvl="0">
      <w:lvlJc w:val="left"/>
      <w:lvlText w:val="•"/>
      <w:numFmt w:val="bullet"/>
      <w:start w:val="1"/>
    </w:lvl>
  </w:abstractNum>
  <w:abstractNum w:abstractNumId="124">
    <w:nsid w:val="5E4DB968"/>
    <w:multiLevelType w:val="hybridMultilevel"/>
    <w:lvl w:ilvl="0">
      <w:lvlJc w:val="left"/>
      <w:lvlText w:val="•"/>
      <w:numFmt w:val="bullet"/>
      <w:start w:val="1"/>
    </w:lvl>
  </w:abstractNum>
  <w:abstractNum w:abstractNumId="125">
    <w:nsid w:val="2C06DCF3"/>
    <w:multiLevelType w:val="hybridMultilevel"/>
    <w:lvl w:ilvl="0">
      <w:lvlJc w:val="left"/>
      <w:lvlText w:val="•"/>
      <w:numFmt w:val="bullet"/>
      <w:start w:val="1"/>
    </w:lvl>
  </w:abstractNum>
  <w:abstractNum w:abstractNumId="126">
    <w:nsid w:val="2E129658"/>
    <w:multiLevelType w:val="hybridMultilevel"/>
    <w:lvl w:ilvl="0">
      <w:lvlJc w:val="left"/>
      <w:lvlText w:val="•"/>
      <w:numFmt w:val="bullet"/>
      <w:start w:val="1"/>
    </w:lvl>
  </w:abstractNum>
  <w:abstractNum w:abstractNumId="127">
    <w:nsid w:val="59F0446"/>
    <w:multiLevelType w:val="hybridMultilevel"/>
    <w:lvl w:ilvl="0">
      <w:lvlJc w:val="left"/>
      <w:lvlText w:val="•"/>
      <w:numFmt w:val="bullet"/>
      <w:start w:val="1"/>
    </w:lvl>
  </w:abstractNum>
  <w:abstractNum w:abstractNumId="128">
    <w:nsid w:val="30DF306"/>
    <w:multiLevelType w:val="hybridMultilevel"/>
    <w:lvl w:ilvl="0">
      <w:lvlJc w:val="left"/>
      <w:lvlText w:val="•"/>
      <w:numFmt w:val="bullet"/>
      <w:start w:val="1"/>
    </w:lvl>
  </w:abstractNum>
  <w:abstractNum w:abstractNumId="129">
    <w:nsid w:val="A65647"/>
    <w:multiLevelType w:val="hybridMultilevel"/>
    <w:lvl w:ilvl="0">
      <w:lvlJc w:val="left"/>
      <w:lvlText w:val="•"/>
      <w:numFmt w:val="bullet"/>
      <w:start w:val="1"/>
    </w:lvl>
  </w:abstractNum>
  <w:abstractNum w:abstractNumId="130">
    <w:nsid w:val="3E5E582B"/>
    <w:multiLevelType w:val="hybridMultilevel"/>
    <w:lvl w:ilvl="0">
      <w:lvlJc w:val="left"/>
      <w:lvlText w:val="•"/>
      <w:numFmt w:val="bullet"/>
      <w:start w:val="1"/>
    </w:lvl>
  </w:abstractNum>
  <w:abstractNum w:abstractNumId="131">
    <w:nsid w:val="257D4626"/>
    <w:multiLevelType w:val="hybridMultilevel"/>
    <w:lvl w:ilvl="0">
      <w:lvlJc w:val="left"/>
      <w:lvlText w:val="•"/>
      <w:numFmt w:val="bullet"/>
      <w:start w:val="1"/>
    </w:lvl>
  </w:abstractNum>
  <w:abstractNum w:abstractNumId="132">
    <w:nsid w:val="5AA8580E"/>
    <w:multiLevelType w:val="hybridMultilevel"/>
    <w:lvl w:ilvl="0">
      <w:lvlJc w:val="left"/>
      <w:lvlText w:val="•"/>
      <w:numFmt w:val="bullet"/>
      <w:start w:val="1"/>
    </w:lvl>
  </w:abstractNum>
  <w:abstractNum w:abstractNumId="133">
    <w:nsid w:val="68FA8D0D"/>
    <w:multiLevelType w:val="hybridMultilevel"/>
    <w:lvl w:ilvl="0">
      <w:lvlJc w:val="left"/>
      <w:lvlText w:val="•"/>
      <w:numFmt w:val="bullet"/>
      <w:start w:val="1"/>
    </w:lvl>
  </w:abstractNum>
  <w:abstractNum w:abstractNumId="134">
    <w:nsid w:val="40F2CBD2"/>
    <w:multiLevelType w:val="hybridMultilevel"/>
    <w:lvl w:ilvl="0">
      <w:lvlJc w:val="left"/>
      <w:lvlText w:val="•"/>
      <w:numFmt w:val="bullet"/>
      <w:start w:val="1"/>
    </w:lvl>
  </w:abstractNum>
  <w:abstractNum w:abstractNumId="135">
    <w:nsid w:val="3BD615EB"/>
    <w:multiLevelType w:val="hybridMultilevel"/>
    <w:lvl w:ilvl="0">
      <w:lvlJc w:val="left"/>
      <w:lvlText w:val="•"/>
      <w:numFmt w:val="bullet"/>
      <w:start w:val="1"/>
    </w:lvl>
  </w:abstractNum>
  <w:abstractNum w:abstractNumId="136">
    <w:nsid w:val="A045AB2"/>
    <w:multiLevelType w:val="hybridMultilevel"/>
    <w:lvl w:ilvl="0">
      <w:lvlJc w:val="left"/>
      <w:lvlText w:val="•"/>
      <w:numFmt w:val="bullet"/>
      <w:start w:val="1"/>
    </w:lvl>
  </w:abstractNum>
  <w:abstractNum w:abstractNumId="137">
    <w:nsid w:val="1872261F"/>
    <w:multiLevelType w:val="hybridMultilevel"/>
    <w:lvl w:ilvl="0">
      <w:lvlJc w:val="left"/>
      <w:lvlText w:val="(%1)"/>
      <w:numFmt w:val="lowerRoman"/>
      <w:start w:val="1"/>
    </w:lvl>
  </w:abstractNum>
  <w:abstractNum w:abstractNumId="138">
    <w:nsid w:val="3DE8306C"/>
    <w:multiLevelType w:val="hybridMultilevel"/>
    <w:lvl w:ilvl="0">
      <w:lvlJc w:val="left"/>
      <w:lvlText w:val="•"/>
      <w:numFmt w:val="bullet"/>
      <w:start w:val="1"/>
    </w:lvl>
  </w:abstractNum>
  <w:abstractNum w:abstractNumId="139">
    <w:nsid w:val="7631573A"/>
    <w:multiLevelType w:val="hybridMultilevel"/>
    <w:lvl w:ilvl="0">
      <w:lvlJc w:val="left"/>
      <w:lvlText w:val="•"/>
      <w:numFmt w:val="bullet"/>
      <w:start w:val="1"/>
    </w:lvl>
  </w:abstractNum>
  <w:abstractNum w:abstractNumId="140">
    <w:nsid w:val="58DF53B"/>
    <w:multiLevelType w:val="hybridMultilevel"/>
    <w:lvl w:ilvl="0">
      <w:lvlJc w:val="left"/>
      <w:lvlText w:val="•"/>
      <w:numFmt w:val="bullet"/>
      <w:start w:val="1"/>
    </w:lvl>
  </w:abstractNum>
  <w:abstractNum w:abstractNumId="141">
    <w:nsid w:val="ACDFAC0"/>
    <w:multiLevelType w:val="hybridMultilevel"/>
    <w:lvl w:ilvl="0">
      <w:lvlJc w:val="left"/>
      <w:lvlText w:val="•"/>
      <w:numFmt w:val="bullet"/>
      <w:start w:val="1"/>
    </w:lvl>
  </w:abstractNum>
  <w:abstractNum w:abstractNumId="142">
    <w:nsid w:val="1F578454"/>
    <w:multiLevelType w:val="hybridMultilevel"/>
    <w:lvl w:ilvl="0">
      <w:lvlJc w:val="left"/>
      <w:lvlText w:val="(%1)"/>
      <w:numFmt w:val="decimal"/>
      <w:start w:val="2"/>
    </w:lvl>
  </w:abstractNum>
  <w:abstractNum w:abstractNumId="143">
    <w:nsid w:val="5B0DAD2A"/>
    <w:multiLevelType w:val="hybridMultilevel"/>
    <w:lvl w:ilvl="0">
      <w:lvlJc w:val="left"/>
      <w:lvlText w:val="•"/>
      <w:numFmt w:val="bullet"/>
      <w:start w:val="1"/>
    </w:lvl>
  </w:abstractNum>
  <w:abstractNum w:abstractNumId="144">
    <w:nsid w:val="4E3D26AB"/>
    <w:multiLevelType w:val="hybridMultilevel"/>
    <w:lvl w:ilvl="0">
      <w:lvlJc w:val="left"/>
      <w:lvlText w:val="•"/>
      <w:numFmt w:val="bullet"/>
      <w:start w:val="1"/>
    </w:lvl>
  </w:abstractNum>
  <w:abstractNum w:abstractNumId="145">
    <w:nsid w:val="BE2C8BA"/>
    <w:multiLevelType w:val="hybridMultilevel"/>
    <w:lvl w:ilvl="0">
      <w:lvlJc w:val="left"/>
      <w:lvlText w:val="•"/>
      <w:numFmt w:val="bullet"/>
      <w:start w:val="1"/>
    </w:lvl>
  </w:abstractNum>
  <w:abstractNum w:abstractNumId="146">
    <w:nsid w:val="7B14914E"/>
    <w:multiLevelType w:val="hybridMultilevel"/>
    <w:lvl w:ilvl="0">
      <w:lvlJc w:val="left"/>
      <w:lvlText w:val="•"/>
      <w:numFmt w:val="bullet"/>
      <w:start w:val="1"/>
    </w:lvl>
  </w:abstractNum>
  <w:abstractNum w:abstractNumId="147">
    <w:nsid w:val="6F0939F8"/>
    <w:multiLevelType w:val="hybridMultilevel"/>
    <w:lvl w:ilvl="0">
      <w:lvlJc w:val="left"/>
      <w:lvlText w:val="%1."/>
      <w:numFmt w:val="decimal"/>
      <w:start w:val="1"/>
    </w:lvl>
    <w:lvl w:ilvl="1">
      <w:lvlJc w:val="left"/>
      <w:lvlText w:val="•"/>
      <w:numFmt w:val="bullet"/>
      <w:start w:val="1"/>
    </w:lvl>
  </w:abstractNum>
  <w:abstractNum w:abstractNumId="148">
    <w:nsid w:val="154291F6"/>
    <w:multiLevelType w:val="hybridMultilevel"/>
    <w:lvl w:ilvl="0">
      <w:lvlJc w:val="left"/>
      <w:lvlText w:val="%1."/>
      <w:numFmt w:val="decimal"/>
      <w:start w:val="1"/>
    </w:lvl>
  </w:abstractNum>
  <w:abstractNum w:abstractNumId="149">
    <w:nsid w:val="3CEBD7C7"/>
    <w:multiLevelType w:val="hybridMultilevel"/>
    <w:lvl w:ilvl="0">
      <w:lvlJc w:val="left"/>
      <w:lvlText w:val="•"/>
      <w:numFmt w:val="bullet"/>
      <w:start w:val="1"/>
    </w:lvl>
  </w:abstractNum>
  <w:abstractNum w:abstractNumId="150">
    <w:nsid w:val="60EE9C16"/>
    <w:multiLevelType w:val="hybridMultilevel"/>
    <w:lvl w:ilvl="0">
      <w:lvlJc w:val="left"/>
      <w:lvlText w:val="•"/>
      <w:numFmt w:val="bullet"/>
      <w:start w:val="1"/>
    </w:lvl>
  </w:abstractNum>
  <w:abstractNum w:abstractNumId="151">
    <w:nsid w:val="6385489E"/>
    <w:multiLevelType w:val="hybridMultilevel"/>
    <w:lvl w:ilvl="0">
      <w:lvlJc w:val="left"/>
      <w:lvlText w:val="(%1)"/>
      <w:numFmt w:val="lowerRoman"/>
      <w:start w:val="1"/>
    </w:lvl>
  </w:abstractNum>
  <w:abstractNum w:abstractNumId="152">
    <w:nsid w:val="E4B973"/>
    <w:multiLevelType w:val="hybridMultilevel"/>
    <w:lvl w:ilvl="0">
      <w:lvlJc w:val="left"/>
      <w:lvlText w:val="(%1)"/>
      <w:numFmt w:val="lowerRoman"/>
      <w:start w:val="4"/>
    </w:lvl>
  </w:abstractNum>
  <w:abstractNum w:abstractNumId="153">
    <w:nsid w:val="4A0FFA11"/>
    <w:multiLevelType w:val="hybridMultilevel"/>
    <w:lvl w:ilvl="0">
      <w:lvlJc w:val="left"/>
      <w:lvlText w:val="(%1)"/>
      <w:numFmt w:val="decimal"/>
      <w:start w:val="1"/>
    </w:lvl>
  </w:abstractNum>
  <w:abstractNum w:abstractNumId="154">
    <w:nsid w:val="5E446208"/>
    <w:multiLevelType w:val="hybridMultilevel"/>
    <w:lvl w:ilvl="0">
      <w:lvlJc w:val="left"/>
      <w:lvlText w:val="(%1)"/>
      <w:numFmt w:val="lowerRoman"/>
      <w:start w:val="1"/>
    </w:lvl>
  </w:abstractNum>
  <w:abstractNum w:abstractNumId="155">
    <w:nsid w:val="5F3272DB"/>
    <w:multiLevelType w:val="hybridMultilevel"/>
    <w:lvl w:ilvl="0">
      <w:lvlJc w:val="left"/>
      <w:lvlText w:val="(%1)"/>
      <w:numFmt w:val="lowerRoman"/>
      <w:start w:val="1"/>
    </w:lvl>
  </w:abstractNum>
  <w:abstractNum w:abstractNumId="156">
    <w:nsid w:val="7616D704"/>
    <w:multiLevelType w:val="hybridMultilevel"/>
    <w:lvl w:ilvl="0">
      <w:lvlJc w:val="left"/>
      <w:lvlText w:val="(%1)"/>
      <w:numFmt w:val="lowerRoman"/>
      <w:start w:val="1"/>
    </w:lvl>
  </w:abstractNum>
  <w:abstractNum w:abstractNumId="157">
    <w:nsid w:val="C56F860"/>
    <w:multiLevelType w:val="hybridMultilevel"/>
    <w:lvl w:ilvl="0">
      <w:lvlJc w:val="left"/>
      <w:lvlText w:val="(%1)"/>
      <w:numFmt w:val="lowerRoman"/>
      <w:start w:val="2"/>
    </w:lvl>
  </w:abstractNum>
  <w:abstractNum w:abstractNumId="158">
    <w:nsid w:val="64D17722"/>
    <w:multiLevelType w:val="hybridMultilevel"/>
    <w:lvl w:ilvl="0">
      <w:lvlJc w:val="left"/>
      <w:lvlText w:val="(%1)"/>
      <w:numFmt w:val="lowerRoman"/>
      <w:start w:val="1"/>
    </w:lvl>
  </w:abstractNum>
  <w:abstractNum w:abstractNumId="159">
    <w:nsid w:val="7924CA0A"/>
    <w:multiLevelType w:val="hybridMultilevel"/>
    <w:lvl w:ilvl="0">
      <w:lvlJc w:val="left"/>
      <w:lvlText w:val="*"/>
      <w:numFmt w:val="bullet"/>
      <w:start w:val="1"/>
    </w:lvl>
  </w:abstractNum>
  <w:abstractNum w:abstractNumId="160">
    <w:nsid w:val="CFD4EA7"/>
    <w:multiLevelType w:val="hybridMultilevel"/>
    <w:lvl w:ilvl="0">
      <w:lvlJc w:val="left"/>
      <w:lvlText w:val="(%1)"/>
      <w:numFmt w:val="lowerRoman"/>
      <w:start w:val="1"/>
    </w:lvl>
  </w:abstractNum>
  <w:abstractNum w:abstractNumId="161">
    <w:nsid w:val="232FCF4D"/>
    <w:multiLevelType w:val="hybridMultilevel"/>
    <w:lvl w:ilvl="0">
      <w:lvlJc w:val="left"/>
      <w:lvlText w:val="(%1)"/>
      <w:numFmt w:val="lowerLetter"/>
      <w:start w:val="1"/>
    </w:lvl>
  </w:abstractNum>
  <w:abstractNum w:abstractNumId="162">
    <w:nsid w:val="1EA21031"/>
    <w:multiLevelType w:val="hybridMultilevel"/>
    <w:lvl w:ilvl="0">
      <w:lvlJc w:val="left"/>
      <w:lvlText w:val="(%1)"/>
      <w:numFmt w:val="lowerLetter"/>
      <w:start w:val="2"/>
    </w:lvl>
  </w:abstractNum>
  <w:abstractNum w:abstractNumId="163">
    <w:nsid w:val="67A5A6B5"/>
    <w:multiLevelType w:val="hybridMultilevel"/>
    <w:lvl w:ilvl="0">
      <w:lvlJc w:val="left"/>
      <w:lvlText w:val="(%1)"/>
      <w:numFmt w:val="lowerLetter"/>
      <w:start w:val="1"/>
    </w:lvl>
  </w:abstractNum>
  <w:abstractNum w:abstractNumId="164">
    <w:nsid w:val="C2A5C5B"/>
    <w:multiLevelType w:val="hybridMultilevel"/>
    <w:lvl w:ilvl="0">
      <w:lvlJc w:val="left"/>
      <w:lvlText w:val="*"/>
      <w:numFmt w:val="bullet"/>
      <w:start w:val="1"/>
    </w:lvl>
  </w:abstractNum>
  <w:abstractNum w:abstractNumId="165">
    <w:nsid w:val="5F94DC03"/>
    <w:multiLevelType w:val="hybridMultilevel"/>
    <w:lvl w:ilvl="0">
      <w:lvlJc w:val="left"/>
      <w:lvlText w:val="#"/>
      <w:numFmt w:val="bullet"/>
      <w:start w:val="1"/>
    </w:lvl>
  </w:abstractNum>
  <w:abstractNum w:abstractNumId="166">
    <w:nsid w:val="237BBCA0"/>
    <w:multiLevelType w:val="hybridMultilevel"/>
    <w:lvl w:ilvl="0">
      <w:lvlJc w:val="left"/>
      <w:lvlText w:val="(%1)"/>
      <w:numFmt w:val="lowerLetter"/>
      <w:start w:val="1"/>
    </w:lvl>
    <w:lvl w:ilvl="1">
      <w:lvlJc w:val="left"/>
      <w:lvlText w:val="+"/>
      <w:numFmt w:val="bullet"/>
      <w:start w:val="1"/>
    </w:lvl>
  </w:abstractNum>
  <w:abstractNum w:abstractNumId="167">
    <w:nsid w:val="162EB70D"/>
    <w:multiLevelType w:val="hybridMultilevel"/>
    <w:lvl w:ilvl="0">
      <w:lvlJc w:val="left"/>
      <w:lvlText w:val="(%1)"/>
      <w:numFmt w:val="lowerLetter"/>
      <w:start w:val="1"/>
    </w:lvl>
  </w:abstractNum>
  <w:abstractNum w:abstractNumId="168">
    <w:nsid w:val="78070222"/>
    <w:multiLevelType w:val="hybridMultilevel"/>
    <w:lvl w:ilvl="0">
      <w:lvlJc w:val="left"/>
      <w:lvlText w:val="%1."/>
      <w:numFmt w:val="decimal"/>
      <w:start w:val="1"/>
    </w:lvl>
  </w:abstractNum>
  <w:abstractNum w:abstractNumId="169">
    <w:nsid w:val="6163ED0D"/>
    <w:multiLevelType w:val="hybridMultilevel"/>
    <w:lvl w:ilvl="0">
      <w:lvlJc w:val="left"/>
      <w:lvlText w:val="(%1)"/>
      <w:numFmt w:val="lowerLetter"/>
      <w:start w:val="1"/>
    </w:lvl>
  </w:abstractNum>
  <w:abstractNum w:abstractNumId="170">
    <w:nsid w:val="C600E47"/>
    <w:multiLevelType w:val="hybridMultilevel"/>
    <w:lvl w:ilvl="0">
      <w:lvlJc w:val="left"/>
      <w:lvlText w:val="(%1)"/>
      <w:numFmt w:val="lowerLetter"/>
      <w:start w:val="1"/>
    </w:lvl>
  </w:abstractNum>
  <w:abstractNum w:abstractNumId="171">
    <w:nsid w:val="7D94F75D"/>
    <w:multiLevelType w:val="hybridMultilevel"/>
    <w:lvl w:ilvl="0">
      <w:lvlJc w:val="left"/>
      <w:lvlText w:val="%1."/>
      <w:numFmt w:val="decimal"/>
      <w:start w:val="2"/>
    </w:lvl>
  </w:abstractNum>
  <w:abstractNum w:abstractNumId="172">
    <w:nsid w:val="6C31E7CD"/>
    <w:multiLevelType w:val="hybridMultilevel"/>
    <w:lvl w:ilvl="0">
      <w:lvlJc w:val="left"/>
      <w:lvlText w:val="%1."/>
      <w:numFmt w:val="decimal"/>
      <w:start w:val="4"/>
    </w:lvl>
  </w:abstractNum>
  <w:abstractNum w:abstractNumId="173">
    <w:nsid w:val="2BB7929B"/>
    <w:multiLevelType w:val="hybridMultilevel"/>
    <w:lvl w:ilvl="0">
      <w:lvlJc w:val="left"/>
      <w:lvlText w:val="%1."/>
      <w:numFmt w:val="decimal"/>
      <w:start w:val="5"/>
    </w:lvl>
  </w:abstractNum>
  <w:abstractNum w:abstractNumId="174">
    <w:nsid w:val="58A2A487"/>
    <w:multiLevelType w:val="hybridMultilevel"/>
    <w:lvl w:ilvl="0">
      <w:lvlJc w:val="left"/>
      <w:lvlText w:val="(%1)"/>
      <w:numFmt w:val="lowerLetter"/>
      <w:start w:val="1"/>
    </w:lvl>
  </w:abstractNum>
  <w:abstractNum w:abstractNumId="175">
    <w:nsid w:val="3A6F0E78"/>
    <w:multiLevelType w:val="hybridMultilevel"/>
    <w:lvl w:ilvl="0">
      <w:lvlJc w:val="left"/>
      <w:lvlText w:val="(%1)"/>
      <w:numFmt w:val="lowerLetter"/>
      <w:start w:val="1"/>
    </w:lvl>
  </w:abstractNum>
  <w:abstractNum w:abstractNumId="176">
    <w:nsid w:val="379A5B56"/>
    <w:multiLevelType w:val="hybridMultilevel"/>
    <w:lvl w:ilvl="0">
      <w:lvlJc w:val="left"/>
      <w:lvlText w:val="%1."/>
      <w:numFmt w:val="decimal"/>
      <w:start w:val="6"/>
    </w:lvl>
  </w:abstractNum>
  <w:abstractNum w:abstractNumId="177">
    <w:nsid w:val="53B735D5"/>
    <w:multiLevelType w:val="hybridMultilevel"/>
    <w:lvl w:ilvl="0">
      <w:lvlJc w:val="left"/>
      <w:lvlText w:val="(%1)"/>
      <w:numFmt w:val="lowerLetter"/>
      <w:start w:val="1"/>
    </w:lvl>
  </w:abstractNum>
  <w:abstractNum w:abstractNumId="178">
    <w:nsid w:val="29784870"/>
    <w:multiLevelType w:val="hybridMultilevel"/>
    <w:lvl w:ilvl="0">
      <w:lvlJc w:val="left"/>
      <w:lvlText w:val="%1."/>
      <w:numFmt w:val="decimal"/>
      <w:start w:val="7"/>
    </w:lvl>
  </w:abstractNum>
  <w:abstractNum w:abstractNumId="179">
    <w:nsid w:val="4CDCED4C"/>
    <w:multiLevelType w:val="hybridMultilevel"/>
    <w:lvl w:ilvl="0">
      <w:lvlJc w:val="left"/>
      <w:lvlText w:val="(%1)"/>
      <w:numFmt w:val="lowerLetter"/>
      <w:start w:val="1"/>
    </w:lvl>
  </w:abstractNum>
  <w:abstractNum w:abstractNumId="180">
    <w:nsid w:val="10A30D9C"/>
    <w:multiLevelType w:val="hybridMultilevel"/>
    <w:lvl w:ilvl="0">
      <w:lvlJc w:val="left"/>
      <w:lvlText w:val="%1."/>
      <w:numFmt w:val="decimal"/>
      <w:start w:val="8"/>
    </w:lvl>
  </w:abstractNum>
  <w:abstractNum w:abstractNumId="181">
    <w:nsid w:val="A66E486"/>
    <w:multiLevelType w:val="hybridMultilevel"/>
    <w:lvl w:ilvl="0">
      <w:lvlJc w:val="left"/>
      <w:lvlText w:val="(%1)"/>
      <w:numFmt w:val="lowerLetter"/>
      <w:start w:val="1"/>
    </w:lvl>
  </w:abstractNum>
  <w:abstractNum w:abstractNumId="182">
    <w:nsid w:val="306235EA"/>
    <w:multiLevelType w:val="hybridMultilevel"/>
    <w:lvl w:ilvl="0">
      <w:lvlJc w:val="left"/>
      <w:lvlText w:val="(%1)"/>
      <w:numFmt w:val="lowerLetter"/>
      <w:start w:val="1"/>
    </w:lvl>
  </w:abstractNum>
  <w:abstractNum w:abstractNumId="183">
    <w:nsid w:val="1187C70F"/>
    <w:multiLevelType w:val="hybridMultilevel"/>
    <w:lvl w:ilvl="0">
      <w:lvlJc w:val="left"/>
      <w:lvlText w:val="(%1)"/>
      <w:numFmt w:val="lowerLetter"/>
      <w:start w:val="1"/>
    </w:lvl>
  </w:abstractNum>
  <w:abstractNum w:abstractNumId="184">
    <w:nsid w:val="5476DE98"/>
    <w:multiLevelType w:val="hybridMultilevel"/>
    <w:lvl w:ilvl="0">
      <w:lvlJc w:val="left"/>
      <w:lvlText w:val="(%1)"/>
      <w:numFmt w:val="lowerLetter"/>
      <w:start w:val="1"/>
    </w:lvl>
  </w:abstractNum>
  <w:abstractNum w:abstractNumId="185">
    <w:nsid w:val="EA697F2"/>
    <w:multiLevelType w:val="hybridMultilevel"/>
    <w:lvl w:ilvl="0">
      <w:lvlJc w:val="left"/>
      <w:lvlText w:val="(%1)"/>
      <w:numFmt w:val="lowerLetter"/>
      <w:start w:val="3"/>
    </w:lvl>
  </w:abstractNum>
  <w:abstractNum w:abstractNumId="186">
    <w:nsid w:val="70BA39EB"/>
    <w:multiLevelType w:val="hybridMultilevel"/>
    <w:lvl w:ilvl="0">
      <w:lvlJc w:val="left"/>
      <w:lvlText w:val="%1."/>
      <w:numFmt w:val="decimal"/>
      <w:start w:val="9"/>
    </w:lvl>
    <w:lvl w:ilvl="1">
      <w:lvlJc w:val="left"/>
      <w:lvlText w:val="(%2)"/>
      <w:numFmt w:val="lowerLetter"/>
      <w:start w:val="1"/>
    </w:lvl>
  </w:abstractNum>
  <w:abstractNum w:abstractNumId="187">
    <w:nsid w:val="4A8DB59C"/>
    <w:multiLevelType w:val="hybridMultilevel"/>
    <w:lvl w:ilvl="0">
      <w:lvlJc w:val="left"/>
      <w:lvlText w:val="(%1)"/>
      <w:numFmt w:val="lowerLetter"/>
      <w:start w:val="1"/>
    </w:lvl>
  </w:abstractNum>
  <w:abstractNum w:abstractNumId="188">
    <w:nsid w:val="1AFD9053"/>
    <w:multiLevelType w:val="hybridMultilevel"/>
    <w:lvl w:ilvl="0">
      <w:lvlJc w:val="left"/>
      <w:lvlText w:val="(%1)"/>
      <w:numFmt w:val="lowerLetter"/>
      <w:start w:val="1"/>
    </w:lvl>
  </w:abstractNum>
  <w:abstractNum w:abstractNumId="189">
    <w:nsid w:val="558BB10D"/>
    <w:multiLevelType w:val="hybridMultilevel"/>
    <w:lvl w:ilvl="0">
      <w:lvlJc w:val="left"/>
      <w:lvlText w:val="(%1)"/>
      <w:numFmt w:val="lowerLetter"/>
      <w:start w:val="2"/>
    </w:lvl>
  </w:abstractNum>
  <w:abstractNum w:abstractNumId="190">
    <w:nsid w:val="43B27FA7"/>
    <w:multiLevelType w:val="hybridMultilevel"/>
    <w:lvl w:ilvl="0">
      <w:lvlJc w:val="left"/>
      <w:lvlText w:val="(%1)"/>
      <w:numFmt w:val="lowerLetter"/>
      <w:start w:val="1"/>
    </w:lvl>
  </w:abstractNum>
  <w:abstractNum w:abstractNumId="191">
    <w:nsid w:val="27FADEFA"/>
    <w:multiLevelType w:val="hybridMultilevel"/>
    <w:lvl w:ilvl="0">
      <w:lvlJc w:val="left"/>
      <w:lvlText w:val="(%1)"/>
      <w:numFmt w:val="lowerLetter"/>
      <w:start w:val="1"/>
    </w:lvl>
  </w:abstractNum>
  <w:abstractNum w:abstractNumId="192">
    <w:nsid w:val="78BB805A"/>
    <w:multiLevelType w:val="hybridMultilevel"/>
    <w:lvl w:ilvl="0">
      <w:lvlJc w:val="left"/>
      <w:lvlText w:val="%1."/>
      <w:numFmt w:val="decimal"/>
      <w:start w:val="11"/>
    </w:lvl>
  </w:abstractNum>
  <w:abstractNum w:abstractNumId="193">
    <w:nsid w:val="62548FD8"/>
    <w:multiLevelType w:val="hybridMultilevel"/>
    <w:lvl w:ilvl="0">
      <w:lvlJc w:val="left"/>
      <w:lvlText w:val="(%1)"/>
      <w:numFmt w:val="lowerLetter"/>
      <w:start w:val="1"/>
    </w:lvl>
  </w:abstractNum>
  <w:abstractNum w:abstractNumId="194">
    <w:nsid w:val="FA085B0"/>
    <w:multiLevelType w:val="hybridMultilevel"/>
    <w:lvl w:ilvl="0">
      <w:lvlJc w:val="left"/>
      <w:lvlText w:val="(%1)"/>
      <w:numFmt w:val="lowerLetter"/>
      <w:start w:val="1"/>
    </w:lvl>
    <w:lvl w:ilvl="1">
      <w:lvlJc w:val="left"/>
      <w:lvlText w:val="(%2)"/>
      <w:numFmt w:val="lowerRoman"/>
      <w:start w:val="1"/>
    </w:lvl>
  </w:abstractNum>
  <w:abstractNum w:abstractNumId="195">
    <w:nsid w:val="4E5DCB5"/>
    <w:multiLevelType w:val="hybridMultilevel"/>
    <w:lvl w:ilvl="0">
      <w:lvlJc w:val="left"/>
      <w:lvlText w:val="(%1)"/>
      <w:numFmt w:val="decimal"/>
      <w:start w:val="10"/>
    </w:lvl>
  </w:abstractNum>
  <w:abstractNum w:abstractNumId="196">
    <w:nsid w:val="41E96BDB"/>
    <w:multiLevelType w:val="hybridMultilevel"/>
    <w:lvl w:ilvl="0">
      <w:lvlJc w:val="left"/>
      <w:lvlText w:val="%1"/>
      <w:numFmt w:val="decimal"/>
      <w:start w:val="1"/>
    </w:lvl>
    <w:lvl w:ilvl="1">
      <w:lvlJc w:val="left"/>
      <w:lvlText w:val="(%2)"/>
      <w:numFmt w:val="lowerLetter"/>
      <w:start w:val="1"/>
    </w:lvl>
  </w:abstractNum>
  <w:abstractNum w:abstractNumId="197">
    <w:nsid w:val="331C4250"/>
    <w:multiLevelType w:val="hybridMultilevel"/>
    <w:lvl w:ilvl="0">
      <w:lvlJc w:val="left"/>
      <w:lvlText w:val="%1."/>
      <w:numFmt w:val="decimal"/>
      <w:start w:val="13"/>
    </w:lvl>
    <w:lvl w:ilvl="1">
      <w:lvlJc w:val="left"/>
      <w:lvlText w:val="%2"/>
      <w:numFmt w:val="lowerLetter"/>
      <w:start w:val="1"/>
    </w:lvl>
  </w:abstractNum>
  <w:abstractNum w:abstractNumId="198">
    <w:nsid w:val="1B1493C2"/>
    <w:multiLevelType w:val="hybridMultilevel"/>
    <w:lvl w:ilvl="0">
      <w:lvlJc w:val="left"/>
      <w:lvlText w:val="(%1)"/>
      <w:numFmt w:val="lowerLetter"/>
      <w:start w:val="1"/>
    </w:lvl>
  </w:abstractNum>
  <w:abstractNum w:abstractNumId="199">
    <w:nsid w:val="39F06DFD"/>
    <w:multiLevelType w:val="hybridMultilevel"/>
    <w:lvl w:ilvl="0">
      <w:lvlJc w:val="left"/>
      <w:lvlText w:val="(%1)"/>
      <w:numFmt w:val="lowerLetter"/>
      <w:start w:val="1"/>
    </w:lvl>
  </w:abstractNum>
  <w:abstractNum w:abstractNumId="200">
    <w:nsid w:val="14802F5D"/>
    <w:multiLevelType w:val="hybridMultilevel"/>
    <w:lvl w:ilvl="0">
      <w:lvlJc w:val="left"/>
      <w:lvlText w:val="%1."/>
      <w:numFmt w:val="decimal"/>
      <w:start w:val="14"/>
    </w:lvl>
  </w:abstractNum>
  <w:abstractNum w:abstractNumId="201">
    <w:nsid w:val="2774A209"/>
    <w:multiLevelType w:val="hybridMultilevel"/>
    <w:lvl w:ilvl="0">
      <w:lvlJc w:val="left"/>
      <w:lvlText w:val="(%1)"/>
      <w:numFmt w:val="lowerLetter"/>
      <w:start w:val="1"/>
    </w:lvl>
  </w:abstractNum>
  <w:abstractNum w:abstractNumId="202">
    <w:nsid w:val="3785655A"/>
    <w:multiLevelType w:val="hybridMultilevel"/>
    <w:lvl w:ilvl="0">
      <w:lvlJc w:val="left"/>
      <w:lvlText w:val="(%1)"/>
      <w:numFmt w:val="lowerLetter"/>
      <w:start w:val="3"/>
    </w:lvl>
  </w:abstractNum>
  <w:abstractNum w:abstractNumId="203">
    <w:nsid w:val="B2172A"/>
    <w:multiLevelType w:val="hybridMultilevel"/>
    <w:lvl w:ilvl="0">
      <w:lvlJc w:val="left"/>
      <w:lvlText w:val="(%1)"/>
      <w:numFmt w:val="lowerLetter"/>
      <w:start w:val="1"/>
    </w:lvl>
  </w:abstractNum>
  <w:abstractNum w:abstractNumId="204">
    <w:nsid w:val="532C34A5"/>
    <w:multiLevelType w:val="hybridMultilevel"/>
    <w:lvl w:ilvl="0">
      <w:lvlJc w:val="left"/>
      <w:lvlText w:val="(%1)"/>
      <w:numFmt w:val="lowerLetter"/>
      <w:start w:val="1"/>
    </w:lvl>
  </w:abstractNum>
  <w:abstractNum w:abstractNumId="205">
    <w:nsid w:val="102809E2"/>
    <w:multiLevelType w:val="hybridMultilevel"/>
    <w:lvl w:ilvl="0">
      <w:lvlJc w:val="left"/>
      <w:lvlText w:val="(%1)"/>
      <w:numFmt w:val="lowerLetter"/>
      <w:start w:val="5"/>
    </w:lvl>
  </w:abstractNum>
  <w:abstractNum w:abstractNumId="206">
    <w:nsid w:val="3B2125A3"/>
    <w:multiLevelType w:val="hybridMultilevel"/>
    <w:lvl w:ilvl="0">
      <w:lvlJc w:val="left"/>
      <w:lvlText w:val="(%1)"/>
      <w:numFmt w:val="lowerLetter"/>
      <w:start w:val="1"/>
    </w:lvl>
  </w:abstractNum>
  <w:abstractNum w:abstractNumId="207">
    <w:nsid w:val="AC68FFB"/>
    <w:multiLevelType w:val="hybridMultilevel"/>
    <w:lvl w:ilvl="0">
      <w:lvlJc w:val="left"/>
      <w:lvlText w:val="(%1)"/>
      <w:numFmt w:val="lowerLetter"/>
      <w:start w:val="1"/>
    </w:lvl>
    <w:lvl w:ilvl="1">
      <w:lvlJc w:val="left"/>
      <w:lvlText w:val="(%2)"/>
      <w:numFmt w:val="lowerLetter"/>
      <w:start w:val="9"/>
    </w:lvl>
  </w:abstractNum>
  <w:abstractNum w:abstractNumId="208">
    <w:nsid w:val="63DF3FB7"/>
    <w:multiLevelType w:val="hybridMultilevel"/>
    <w:lvl w:ilvl="0">
      <w:lvlJc w:val="left"/>
      <w:lvlText w:val="(%1)"/>
      <w:numFmt w:val="lowerRoman"/>
      <w:start w:val="2"/>
    </w:lvl>
  </w:abstractNum>
  <w:abstractNum w:abstractNumId="209">
    <w:nsid w:val="64996E1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10">
    <w:nsid w:val="57A37D47"/>
    <w:multiLevelType w:val="hybridMultilevel"/>
    <w:lvl w:ilvl="0">
      <w:lvlJc w:val="left"/>
      <w:lvlText w:val="%1"/>
      <w:numFmt w:val="decimal"/>
      <w:start w:val="1"/>
    </w:lvl>
    <w:lvl w:ilvl="1">
      <w:lvlJc w:val="left"/>
      <w:lvlText w:val="(%2)"/>
      <w:numFmt w:val="lowerRoman"/>
      <w:start w:val="3"/>
    </w:lvl>
  </w:abstractNum>
  <w:abstractNum w:abstractNumId="211">
    <w:nsid w:val="74824D54"/>
    <w:multiLevelType w:val="hybridMultilevel"/>
    <w:lvl w:ilvl="0">
      <w:lvlJc w:val="left"/>
      <w:lvlText w:val="%1."/>
      <w:numFmt w:val="decimal"/>
      <w:start w:val="15"/>
    </w:lvl>
    <w:lvl w:ilvl="1">
      <w:lvlJc w:val="left"/>
      <w:lvlText w:val="%2"/>
      <w:numFmt w:val="lowerRoman"/>
      <w:start w:val="1"/>
    </w:lvl>
  </w:abstractNum>
  <w:abstractNum w:abstractNumId="212">
    <w:nsid w:val="6F00529A"/>
    <w:multiLevelType w:val="hybridMultilevel"/>
    <w:lvl w:ilvl="0">
      <w:lvlJc w:val="left"/>
      <w:lvlText w:val="(%1)"/>
      <w:numFmt w:val="lowerLetter"/>
      <w:start w:val="1"/>
    </w:lvl>
  </w:abstractNum>
  <w:abstractNum w:abstractNumId="213">
    <w:nsid w:val="805B331"/>
    <w:multiLevelType w:val="hybridMultilevel"/>
    <w:lvl w:ilvl="0">
      <w:lvlJc w:val="left"/>
      <w:lvlText w:val="%1."/>
      <w:numFmt w:val="decimal"/>
      <w:start w:val="16"/>
    </w:lvl>
  </w:abstractNum>
  <w:abstractNum w:abstractNumId="214">
    <w:nsid w:val="60A1463"/>
    <w:multiLevelType w:val="hybridMultilevel"/>
    <w:lvl w:ilvl="0">
      <w:lvlJc w:val="left"/>
      <w:lvlText w:val="(%1)"/>
      <w:numFmt w:val="lowerLetter"/>
      <w:start w:val="1"/>
    </w:lvl>
  </w:abstractNum>
  <w:abstractNum w:abstractNumId="215">
    <w:nsid w:val="43773132"/>
    <w:multiLevelType w:val="hybridMultilevel"/>
    <w:lvl w:ilvl="0">
      <w:lvlJc w:val="left"/>
      <w:lvlText w:val="%1"/>
      <w:numFmt w:val="decimal"/>
      <w:start w:val="1"/>
    </w:lvl>
    <w:lvl w:ilvl="1">
      <w:lvlJc w:val="left"/>
      <w:lvlText w:val="(%2)"/>
      <w:numFmt w:val="lowerLetter"/>
      <w:start w:val="1"/>
    </w:lvl>
  </w:abstractNum>
  <w:abstractNum w:abstractNumId="216">
    <w:nsid w:val="16AC4B23"/>
    <w:multiLevelType w:val="hybridMultilevel"/>
    <w:lvl w:ilvl="0">
      <w:lvlJc w:val="left"/>
      <w:lvlText w:val="%1."/>
      <w:numFmt w:val="decimal"/>
      <w:start w:val="17"/>
    </w:lvl>
    <w:lvl w:ilvl="1">
      <w:lvlJc w:val="left"/>
      <w:lvlText w:val="%2"/>
      <w:numFmt w:val="lowerLetter"/>
      <w:start w:val="1"/>
    </w:lvl>
  </w:abstractNum>
  <w:abstractNum w:abstractNumId="217">
    <w:nsid w:val="76C44E4E"/>
    <w:multiLevelType w:val="hybridMultilevel"/>
    <w:lvl w:ilvl="0">
      <w:lvlJc w:val="left"/>
      <w:lvlText w:val="(%1)"/>
      <w:numFmt w:val="decimal"/>
      <w:start w:val="5"/>
    </w:lvl>
  </w:abstractNum>
  <w:abstractNum w:abstractNumId="218">
    <w:nsid w:val="E04E6CE"/>
    <w:multiLevelType w:val="hybridMultilevel"/>
    <w:lvl w:ilvl="0">
      <w:lvlJc w:val="left"/>
      <w:lvlText w:val="%1."/>
      <w:numFmt w:val="decimal"/>
      <w:start w:val="18"/>
    </w:lvl>
    <w:lvl w:ilvl="1">
      <w:lvlJc w:val="left"/>
      <w:lvlText w:val="(%2)"/>
      <w:numFmt w:val="lowerLetter"/>
      <w:start w:val="1"/>
    </w:lvl>
  </w:abstractNum>
  <w:abstractNum w:abstractNumId="219">
    <w:nsid w:val="31A9DB76"/>
    <w:multiLevelType w:val="hybridMultilevel"/>
    <w:lvl w:ilvl="0">
      <w:lvlJc w:val="left"/>
      <w:lvlText w:val="%1."/>
      <w:numFmt w:val="decimal"/>
      <w:start w:val="20"/>
    </w:lvl>
  </w:abstractNum>
  <w:abstractNum w:abstractNumId="220">
    <w:nsid w:val="4C4FFF5B"/>
    <w:multiLevelType w:val="hybridMultilevel"/>
    <w:lvl w:ilvl="0">
      <w:lvlJc w:val="left"/>
      <w:lvlText w:val="%1."/>
      <w:numFmt w:val="decimal"/>
      <w:start w:val="22"/>
    </w:lvl>
  </w:abstractNum>
  <w:abstractNum w:abstractNumId="221">
    <w:nsid w:val="51B76675"/>
    <w:multiLevelType w:val="hybridMultilevel"/>
    <w:lvl w:ilvl="0">
      <w:lvlJc w:val="left"/>
      <w:lvlText w:val="%1."/>
      <w:numFmt w:val="decimal"/>
      <w:start w:val="24"/>
    </w:lvl>
  </w:abstractNum>
  <w:abstractNum w:abstractNumId="222">
    <w:nsid w:val="59A4BA71"/>
    <w:multiLevelType w:val="hybridMultilevel"/>
    <w:lvl w:ilvl="0">
      <w:lvlJc w:val="left"/>
      <w:lvlText w:val="(%1)"/>
      <w:numFmt w:val="lowerLetter"/>
      <w:start w:val="1"/>
    </w:lvl>
  </w:abstractNum>
  <w:abstractNum w:abstractNumId="223">
    <w:nsid w:val="450B7FB6"/>
    <w:multiLevelType w:val="hybridMultilevel"/>
    <w:lvl w:ilvl="0">
      <w:lvlJc w:val="left"/>
      <w:lvlText w:val="(%1)"/>
      <w:numFmt w:val="lowerLetter"/>
      <w:start w:val="4"/>
    </w:lvl>
  </w:abstractNum>
  <w:abstractNum w:abstractNumId="224">
    <w:nsid w:val="340BF64D"/>
    <w:multiLevelType w:val="hybridMultilevel"/>
    <w:lvl w:ilvl="0">
      <w:lvlJc w:val="left"/>
      <w:lvlText w:val="(%1)"/>
      <w:numFmt w:val="lowerLetter"/>
      <w:start w:val="1"/>
    </w:lvl>
  </w:abstractNum>
  <w:abstractNum w:abstractNumId="225">
    <w:nsid w:val="69454021"/>
    <w:multiLevelType w:val="hybridMultilevel"/>
    <w:lvl w:ilvl="0">
      <w:lvlJc w:val="left"/>
      <w:lvlText w:val="(%1)"/>
      <w:numFmt w:val="lowerLetter"/>
      <w:start w:val="2"/>
    </w:lvl>
  </w:abstractNum>
  <w:abstractNum w:abstractNumId="226">
    <w:nsid w:val="49F15C6B"/>
    <w:multiLevelType w:val="hybridMultilevel"/>
    <w:lvl w:ilvl="0">
      <w:lvlJc w:val="left"/>
      <w:lvlText w:val="%1."/>
      <w:numFmt w:val="decimal"/>
      <w:start w:val="25"/>
    </w:lvl>
  </w:abstractNum>
  <w:abstractNum w:abstractNumId="227">
    <w:nsid w:val="75F56228"/>
    <w:multiLevelType w:val="hybridMultilevel"/>
    <w:lvl w:ilvl="0">
      <w:lvlJc w:val="left"/>
      <w:lvlText w:val="%1."/>
      <w:numFmt w:val="decimal"/>
      <w:start w:val="26"/>
    </w:lvl>
  </w:abstractNum>
  <w:abstractNum w:abstractNumId="228">
    <w:nsid w:val="1C618271"/>
    <w:multiLevelType w:val="hybridMultilevel"/>
    <w:lvl w:ilvl="0">
      <w:lvlJc w:val="left"/>
      <w:lvlText w:val="(%1)"/>
      <w:numFmt w:val="lowerLetter"/>
      <w:start w:val="1"/>
    </w:lvl>
  </w:abstractNum>
  <w:abstractNum w:abstractNumId="229">
    <w:nsid w:val="6505F02E"/>
    <w:multiLevelType w:val="hybridMultilevel"/>
    <w:lvl w:ilvl="0">
      <w:lvlJc w:val="left"/>
      <w:lvlText w:val="(%1)"/>
      <w:numFmt w:val="lowerLetter"/>
      <w:start w:val="1"/>
    </w:lvl>
  </w:abstractNum>
  <w:abstractNum w:abstractNumId="230">
    <w:nsid w:val="2FE5D025"/>
    <w:multiLevelType w:val="hybridMultilevel"/>
    <w:lvl w:ilvl="0">
      <w:lvlJc w:val="left"/>
      <w:lvlText w:val="%1."/>
      <w:numFmt w:val="decimal"/>
      <w:start w:val="27"/>
    </w:lvl>
  </w:abstractNum>
  <w:abstractNum w:abstractNumId="231">
    <w:nsid w:val="30E1B1CF"/>
    <w:multiLevelType w:val="hybridMultilevel"/>
    <w:lvl w:ilvl="0">
      <w:lvlJc w:val="left"/>
      <w:lvlText w:val="(%1)"/>
      <w:numFmt w:val="lowerLetter"/>
      <w:start w:val="1"/>
    </w:lvl>
  </w:abstractNum>
  <w:abstractNum w:abstractNumId="232">
    <w:nsid w:val="C7A9237"/>
    <w:multiLevelType w:val="hybridMultilevel"/>
    <w:lvl w:ilvl="0">
      <w:lvlJc w:val="left"/>
      <w:lvlText w:val="%1."/>
      <w:numFmt w:val="decimal"/>
      <w:start w:val="28"/>
    </w:lvl>
    <w:lvl w:ilvl="1">
      <w:lvlJc w:val="left"/>
      <w:lvlText w:val="(%2)"/>
      <w:numFmt w:val="lowerLetter"/>
      <w:start w:val="1"/>
    </w:lvl>
  </w:abstractNum>
  <w:abstractNum w:abstractNumId="233">
    <w:nsid w:val="676B3580"/>
    <w:multiLevelType w:val="hybridMultilevel"/>
    <w:lvl w:ilvl="0">
      <w:lvlJc w:val="left"/>
      <w:lvlText w:val="(%1)"/>
      <w:numFmt w:val="lowerLetter"/>
      <w:start w:val="1"/>
    </w:lvl>
  </w:abstractNum>
  <w:abstractNum w:abstractNumId="234">
    <w:nsid w:val="3193C8F9"/>
    <w:multiLevelType w:val="hybridMultilevel"/>
    <w:lvl w:ilvl="0">
      <w:lvlJc w:val="left"/>
      <w:lvlText w:val="%1."/>
      <w:numFmt w:val="decimal"/>
      <w:start w:val="30"/>
    </w:lvl>
  </w:abstractNum>
  <w:abstractNum w:abstractNumId="235">
    <w:nsid w:val="5FA6C6DC"/>
    <w:multiLevelType w:val="hybridMultilevel"/>
    <w:lvl w:ilvl="0">
      <w:lvlJc w:val="left"/>
      <w:lvlText w:val="%1."/>
      <w:numFmt w:val="decimal"/>
      <w:start w:val="31"/>
    </w:lvl>
  </w:abstractNum>
  <w:abstractNum w:abstractNumId="236">
    <w:nsid w:val="77933F62"/>
    <w:multiLevelType w:val="hybridMultilevel"/>
    <w:lvl w:ilvl="0">
      <w:lvlJc w:val="left"/>
      <w:lvlText w:val="(%1)"/>
      <w:numFmt w:val="lowerLetter"/>
      <w:start w:val="1"/>
    </w:lvl>
  </w:abstractNum>
  <w:abstractNum w:abstractNumId="237">
    <w:nsid w:val="6CB4EE9C"/>
    <w:multiLevelType w:val="hybridMultilevel"/>
    <w:lvl w:ilvl="0">
      <w:lvlJc w:val="left"/>
      <w:lvlText w:val="(%1)"/>
      <w:numFmt w:val="lowerLetter"/>
      <w:start w:val="3"/>
    </w:lvl>
  </w:abstractNum>
  <w:abstractNum w:abstractNumId="238">
    <w:nsid w:val="6A6D56D7"/>
    <w:multiLevelType w:val="hybridMultilevel"/>
    <w:lvl w:ilvl="0">
      <w:lvlJc w:val="left"/>
      <w:lvlText w:val="%1."/>
      <w:numFmt w:val="decimal"/>
      <w:start w:val="33"/>
    </w:lvl>
  </w:abstractNum>
  <w:abstractNum w:abstractNumId="239">
    <w:nsid w:val="5B727F19"/>
    <w:multiLevelType w:val="hybridMultilevel"/>
    <w:lvl w:ilvl="0">
      <w:lvlJc w:val="left"/>
      <w:lvlText w:val="(%1)"/>
      <w:numFmt w:val="lowerLetter"/>
      <w:start w:val="1"/>
    </w:lvl>
  </w:abstractNum>
  <w:abstractNum w:abstractNumId="240">
    <w:nsid w:val="514E5CB0"/>
    <w:multiLevelType w:val="hybridMultilevel"/>
    <w:lvl w:ilvl="0">
      <w:lvlJc w:val="left"/>
      <w:lvlText w:val="%1"/>
      <w:numFmt w:val="decimal"/>
      <w:start w:val="1"/>
    </w:lvl>
    <w:lvl w:ilvl="1">
      <w:lvlJc w:val="left"/>
      <w:lvlText w:val="(%2)"/>
      <w:numFmt w:val="lowerLetter"/>
      <w:start w:val="1"/>
    </w:lvl>
  </w:abstractNum>
  <w:abstractNum w:abstractNumId="241">
    <w:nsid w:val="4210D41E"/>
    <w:multiLevelType w:val="hybridMultilevel"/>
    <w:lvl w:ilvl="0">
      <w:lvlJc w:val="left"/>
      <w:lvlText w:val="%1."/>
      <w:numFmt w:val="decimal"/>
      <w:start w:val="34"/>
    </w:lvl>
    <w:lvl w:ilvl="1">
      <w:lvlJc w:val="left"/>
      <w:lvlText w:val="%2"/>
      <w:numFmt w:val="lowerLetter"/>
      <w:start w:val="1"/>
    </w:lvl>
  </w:abstractNum>
  <w:abstractNum w:abstractNumId="242">
    <w:nsid w:val="4FF4CC6D"/>
    <w:multiLevelType w:val="hybridMultilevel"/>
    <w:lvl w:ilvl="0">
      <w:lvlJc w:val="left"/>
      <w:lvlText w:val="%1."/>
      <w:numFmt w:val="decimal"/>
      <w:start w:val="1"/>
    </w:lvl>
  </w:abstractNum>
  <w:abstractNum w:abstractNumId="243">
    <w:nsid w:val="404EAF4A"/>
    <w:multiLevelType w:val="hybridMultilevel"/>
    <w:lvl w:ilvl="0">
      <w:lvlJc w:val="left"/>
      <w:lvlText w:val="(%1)"/>
      <w:numFmt w:val="lowerLetter"/>
      <w:start w:val="1"/>
    </w:lvl>
  </w:abstractNum>
  <w:abstractNum w:abstractNumId="244">
    <w:nsid w:val="4A16874F"/>
    <w:multiLevelType w:val="hybridMultilevel"/>
    <w:lvl w:ilvl="0">
      <w:lvlJc w:val="left"/>
      <w:lvlText w:val="(%1)"/>
      <w:numFmt w:val="lowerLetter"/>
      <w:start w:val="7"/>
    </w:lvl>
  </w:abstractNum>
  <w:abstractNum w:abstractNumId="245">
    <w:nsid w:val="55FEE0D1"/>
    <w:multiLevelType w:val="hybridMultilevel"/>
    <w:lvl w:ilvl="0">
      <w:lvlJc w:val="left"/>
      <w:lvlText w:val="%1"/>
      <w:numFmt w:val="decimal"/>
      <w:start w:val="1"/>
    </w:lvl>
    <w:lvl w:ilvl="1">
      <w:lvlJc w:val="left"/>
      <w:lvlText w:val="(%2)"/>
      <w:numFmt w:val="lowerLetter"/>
      <w:start w:val="19"/>
    </w:lvl>
  </w:abstractNum>
  <w:abstractNum w:abstractNumId="246">
    <w:nsid w:val="3C5E07C"/>
    <w:multiLevelType w:val="hybridMultilevel"/>
    <w:lvl w:ilvl="0">
      <w:lvlJc w:val="left"/>
      <w:lvlText w:val="%1."/>
      <w:numFmt w:val="decimal"/>
      <w:start w:val="2"/>
    </w:lvl>
    <w:lvl w:ilvl="1">
      <w:lvlJc w:val="left"/>
      <w:lvlText w:val="%2"/>
      <w:numFmt w:val="lowerLetter"/>
      <w:start w:val="1"/>
    </w:lvl>
  </w:abstractNum>
  <w:abstractNum w:abstractNumId="247">
    <w:nsid w:val="60C2D273"/>
    <w:multiLevelType w:val="hybridMultilevel"/>
    <w:lvl w:ilvl="0">
      <w:lvlJc w:val="left"/>
      <w:lvlText w:val="(%1)"/>
      <w:numFmt w:val="lowerLetter"/>
      <w:start w:val="1"/>
    </w:lvl>
    <w:lvl w:ilvl="1">
      <w:lvlJc w:val="left"/>
      <w:lvlText w:val="(%2)"/>
      <w:numFmt w:val="lowerRoman"/>
      <w:start w:val="1"/>
    </w:lvl>
  </w:abstractNum>
  <w:abstractNum w:abstractNumId="248">
    <w:nsid w:val="4CC32F1F"/>
    <w:multiLevelType w:val="hybridMultilevel"/>
    <w:lvl w:ilvl="0">
      <w:lvlJc w:val="left"/>
      <w:lvlText w:val="(%1)"/>
      <w:numFmt w:val="lowerRoman"/>
      <w:start w:val="4"/>
    </w:lvl>
  </w:abstractNum>
  <w:abstractNum w:abstractNumId="249">
    <w:nsid w:val="11CAC74A"/>
    <w:multiLevelType w:val="hybridMultilevel"/>
    <w:lvl w:ilvl="0">
      <w:lvlJc w:val="left"/>
      <w:lvlText w:val="(%1)"/>
      <w:numFmt w:val="lowerLetter"/>
      <w:start w:val="1"/>
    </w:lvl>
    <w:lvl w:ilvl="1">
      <w:lvlJc w:val="left"/>
      <w:lvlText w:val="(%2)"/>
      <w:numFmt w:val="lowerRoman"/>
      <w:start w:val="1"/>
    </w:lvl>
  </w:abstractNum>
  <w:abstractNum w:abstractNumId="250">
    <w:nsid w:val="126CADE9"/>
    <w:multiLevelType w:val="hybridMultilevel"/>
    <w:lvl w:ilvl="0">
      <w:lvlJc w:val="left"/>
      <w:lvlText w:val="(%1)"/>
      <w:numFmt w:val="lowerLetter"/>
      <w:start w:val="3"/>
    </w:lvl>
  </w:abstractNum>
  <w:abstractNum w:abstractNumId="251">
    <w:nsid w:val="19132E7B"/>
    <w:multiLevelType w:val="hybridMultilevel"/>
    <w:lvl w:ilvl="0">
      <w:lvlJc w:val="left"/>
      <w:lvlText w:val="(%1)"/>
      <w:numFmt w:val="lowerLetter"/>
      <w:start w:val="1"/>
    </w:lvl>
  </w:abstractNum>
  <w:abstractNum w:abstractNumId="252">
    <w:nsid w:val="63822DC0"/>
    <w:multiLevelType w:val="hybridMultilevel"/>
    <w:lvl w:ilvl="0">
      <w:lvlJc w:val="left"/>
      <w:lvlText w:val="(%1)"/>
      <w:numFmt w:val="lowerLetter"/>
      <w:start w:val="2"/>
    </w:lvl>
  </w:abstractNum>
  <w:abstractNum w:abstractNumId="253">
    <w:nsid w:val="6C11685A"/>
    <w:multiLevelType w:val="hybridMultilevel"/>
    <w:lvl w:ilvl="0">
      <w:lvlJc w:val="left"/>
      <w:lvlText w:val="(%1)"/>
      <w:numFmt w:val="lowerLetter"/>
      <w:start w:val="1"/>
    </w:lvl>
  </w:abstractNum>
  <w:abstractNum w:abstractNumId="254">
    <w:nsid w:val="5E1EAE31"/>
    <w:multiLevelType w:val="hybridMultilevel"/>
    <w:lvl w:ilvl="0">
      <w:lvlJc w:val="left"/>
      <w:lvlText w:val="%1."/>
      <w:numFmt w:val="decimal"/>
      <w:start w:val="3"/>
    </w:lvl>
  </w:abstractNum>
  <w:abstractNum w:abstractNumId="255">
    <w:nsid w:val="178E240D"/>
    <w:multiLevelType w:val="hybridMultilevel"/>
    <w:lvl w:ilvl="0">
      <w:lvlJc w:val="left"/>
      <w:lvlText w:val="(%1)"/>
      <w:numFmt w:val="decimal"/>
      <w:start w:val="1"/>
    </w:lvl>
  </w:abstractNum>
  <w:abstractNum w:abstractNumId="256">
    <w:nsid w:val="5556A87B"/>
    <w:multiLevelType w:val="hybridMultilevel"/>
    <w:lvl w:ilvl="0">
      <w:lvlJc w:val="left"/>
      <w:lvlText w:val="%1."/>
      <w:numFmt w:val="decimal"/>
      <w:start w:val="1"/>
    </w:lvl>
  </w:abstractNum>
  <w:abstractNum w:abstractNumId="257">
    <w:nsid w:val="28100A9C"/>
    <w:multiLevelType w:val="hybridMultilevel"/>
    <w:lvl w:ilvl="0">
      <w:lvlJc w:val="left"/>
      <w:lvlText w:val="(%1)"/>
      <w:numFmt w:val="lowerLetter"/>
      <w:start w:val="5"/>
    </w:lvl>
  </w:abstractNum>
  <w:abstractNum w:abstractNumId="258">
    <w:nsid w:val="D838636"/>
    <w:multiLevelType w:val="hybridMultilevel"/>
    <w:lvl w:ilvl="0">
      <w:lvlJc w:val="left"/>
      <w:lvlText w:val="%1."/>
      <w:numFmt w:val="decimal"/>
      <w:start w:val="2"/>
    </w:lvl>
  </w:abstractNum>
  <w:abstractNum w:abstractNumId="259">
    <w:nsid w:val="71B82AED"/>
    <w:multiLevelType w:val="hybridMultilevel"/>
    <w:lvl w:ilvl="0">
      <w:lvlJc w:val="left"/>
      <w:lvlText w:val="%1."/>
      <w:numFmt w:val="decimal"/>
      <w:start w:val="3"/>
    </w:lvl>
  </w:abstractNum>
  <w:abstractNum w:abstractNumId="260">
    <w:nsid w:val="D15FACA"/>
    <w:multiLevelType w:val="hybridMultilevel"/>
    <w:lvl w:ilvl="0">
      <w:lvlJc w:val="left"/>
      <w:lvlText w:val="%1."/>
      <w:numFmt w:val="decimal"/>
      <w:start w:val="4"/>
    </w:lvl>
  </w:abstractNum>
  <w:abstractNum w:abstractNumId="261">
    <w:nsid w:val="3D69565B"/>
    <w:multiLevelType w:val="hybridMultilevel"/>
    <w:lvl w:ilvl="0">
      <w:lvlJc w:val="left"/>
      <w:lvlText w:val="%1."/>
      <w:numFmt w:val="decimal"/>
      <w:start w:val="5"/>
    </w:lvl>
  </w:abstractNum>
  <w:abstractNum w:abstractNumId="262">
    <w:nsid w:val="2299DCBC"/>
    <w:multiLevelType w:val="hybridMultilevel"/>
    <w:lvl w:ilvl="0">
      <w:lvlJc w:val="left"/>
      <w:lvlText w:val="%1."/>
      <w:numFmt w:val="decimal"/>
      <w:start w:val="6"/>
    </w:lvl>
  </w:abstractNum>
  <w:abstractNum w:abstractNumId="263">
    <w:nsid w:val="19908D02"/>
    <w:multiLevelType w:val="hybridMultilevel"/>
    <w:lvl w:ilvl="0">
      <w:lvlJc w:val="left"/>
      <w:lvlText w:val="%1."/>
      <w:numFmt w:val="decimal"/>
      <w:start w:val="7"/>
    </w:lvl>
  </w:abstractNum>
  <w:abstractNum w:abstractNumId="264">
    <w:nsid w:val="24D48BDB"/>
    <w:multiLevelType w:val="hybridMultilevel"/>
    <w:lvl w:ilvl="0">
      <w:lvlJc w:val="left"/>
      <w:lvlText w:val="%1."/>
      <w:numFmt w:val="decimal"/>
      <w:start w:val="8"/>
    </w:lvl>
  </w:abstractNum>
  <w:abstractNum w:abstractNumId="265">
    <w:nsid w:val="542DA5B5"/>
    <w:multiLevelType w:val="hybridMultilevel"/>
    <w:lvl w:ilvl="0">
      <w:lvlJc w:val="left"/>
      <w:lvlText w:val="%1."/>
      <w:numFmt w:val="decimal"/>
      <w:start w:val="9"/>
    </w:lvl>
  </w:abstractNum>
  <w:abstractNum w:abstractNumId="266">
    <w:nsid w:val="793753DE"/>
    <w:multiLevelType w:val="hybridMultilevel"/>
    <w:lvl w:ilvl="0">
      <w:lvlJc w:val="left"/>
      <w:lvlText w:val="(%1)"/>
      <w:numFmt w:val="lowerLetter"/>
      <w:start w:val="1"/>
    </w:lvl>
  </w:abstractNum>
  <w:abstractNum w:abstractNumId="267">
    <w:nsid w:val="1C67CB3D"/>
    <w:multiLevelType w:val="hybridMultilevel"/>
    <w:lvl w:ilvl="0">
      <w:lvlJc w:val="left"/>
      <w:lvlText w:val="(%1)"/>
      <w:numFmt w:val="lowerLetter"/>
      <w:start w:val="1"/>
    </w:lvl>
  </w:abstractNum>
  <w:abstractNum w:abstractNumId="268">
    <w:nsid w:val="40E29452"/>
    <w:multiLevelType w:val="hybridMultilevel"/>
    <w:lvl w:ilvl="0">
      <w:lvlJc w:val="left"/>
      <w:lvlText w:val="%1."/>
      <w:numFmt w:val="decimal"/>
      <w:start w:val="10"/>
    </w:lvl>
  </w:abstractNum>
  <w:abstractNum w:abstractNumId="269">
    <w:nsid w:val="63A4AAB6"/>
    <w:multiLevelType w:val="hybridMultilevel"/>
    <w:lvl w:ilvl="0">
      <w:lvlJc w:val="left"/>
      <w:lvlText w:val="%1."/>
      <w:numFmt w:val="decimal"/>
      <w:start w:val="11"/>
    </w:lvl>
  </w:abstractNum>
  <w:abstractNum w:abstractNumId="270">
    <w:nsid w:val="77DA4A57"/>
    <w:multiLevelType w:val="hybridMultilevel"/>
    <w:lvl w:ilvl="0">
      <w:lvlJc w:val="left"/>
      <w:lvlText w:val="(%1)"/>
      <w:numFmt w:val="lowerLetter"/>
      <w:start w:val="1"/>
    </w:lvl>
  </w:abstractNum>
  <w:abstractNum w:abstractNumId="271">
    <w:nsid w:val="1230F102"/>
    <w:multiLevelType w:val="hybridMultilevel"/>
    <w:lvl w:ilvl="0">
      <w:lvlJc w:val="left"/>
      <w:lvlText w:val="(%1)"/>
      <w:numFmt w:val="lowerRoman"/>
      <w:start w:val="1"/>
    </w:lvl>
  </w:abstractNum>
  <w:abstractNum w:abstractNumId="272">
    <w:nsid w:val="25B57ED4"/>
    <w:multiLevelType w:val="hybridMultilevel"/>
    <w:lvl w:ilvl="0">
      <w:lvlJc w:val="left"/>
      <w:lvlText w:val="%1."/>
      <w:numFmt w:val="decimal"/>
      <w:start w:val="12"/>
    </w:lvl>
  </w:abstractNum>
  <w:abstractNum w:abstractNumId="273">
    <w:nsid w:val="47CF16C4"/>
    <w:multiLevelType w:val="hybridMultilevel"/>
    <w:lvl w:ilvl="0">
      <w:lvlJc w:val="left"/>
      <w:lvlText w:val="%1."/>
      <w:numFmt w:val="decimal"/>
      <w:start w:val="13"/>
    </w:lvl>
  </w:abstractNum>
  <w:abstractNum w:abstractNumId="274">
    <w:nsid w:val="527FA04C"/>
    <w:multiLevelType w:val="hybridMultilevel"/>
    <w:lvl w:ilvl="0">
      <w:lvlJc w:val="left"/>
      <w:lvlText w:val="(%1)"/>
      <w:numFmt w:val="lowerLetter"/>
      <w:start w:val="1"/>
    </w:lvl>
  </w:abstractNum>
  <w:abstractNum w:abstractNumId="275">
    <w:nsid w:val="6FCC0624"/>
    <w:multiLevelType w:val="hybridMultilevel"/>
    <w:lvl w:ilvl="0">
      <w:lvlJc w:val="left"/>
      <w:lvlText w:val="(%1)"/>
      <w:numFmt w:val="lowerLetter"/>
      <w:start w:val="1"/>
    </w:lvl>
  </w:abstractNum>
  <w:abstractNum w:abstractNumId="276">
    <w:nsid w:val="1DCDF795"/>
    <w:multiLevelType w:val="hybridMultilevel"/>
    <w:lvl w:ilvl="0">
      <w:lvlJc w:val="left"/>
      <w:lvlText w:val="%1."/>
      <w:numFmt w:val="decimal"/>
      <w:start w:val="14"/>
    </w:lvl>
  </w:abstractNum>
  <w:abstractNum w:abstractNumId="277">
    <w:nsid w:val="564580C8"/>
    <w:multiLevelType w:val="hybridMultilevel"/>
    <w:lvl w:ilvl="0">
      <w:lvlJc w:val="left"/>
      <w:lvlText w:val="%1."/>
      <w:numFmt w:val="decimal"/>
      <w:start w:val="1"/>
    </w:lvl>
  </w:abstractNum>
  <w:abstractNum w:abstractNumId="278">
    <w:nsid w:val="508ED897"/>
    <w:multiLevelType w:val="hybridMultilevel"/>
    <w:lvl w:ilvl="0">
      <w:lvlJc w:val="left"/>
      <w:lvlText w:val="%1."/>
      <w:numFmt w:val="decimal"/>
      <w:start w:val="1"/>
    </w:lvl>
  </w:abstractNum>
  <w:abstractNum w:abstractNumId="279">
    <w:nsid w:val="6A9126B5"/>
    <w:multiLevelType w:val="hybridMultilevel"/>
    <w:lvl w:ilvl="0">
      <w:lvlJc w:val="left"/>
      <w:lvlText w:val="%1."/>
      <w:numFmt w:val="decimal"/>
      <w:start w:val="2"/>
    </w:lvl>
  </w:abstractNum>
  <w:abstractNum w:abstractNumId="280">
    <w:nsid w:val="68104812"/>
    <w:multiLevelType w:val="hybridMultilevel"/>
    <w:lvl w:ilvl="0">
      <w:lvlJc w:val="left"/>
      <w:lvlText w:val="(%1)"/>
      <w:numFmt w:val="decimal"/>
      <w:start w:val="1"/>
    </w:lvl>
  </w:abstractNum>
  <w:abstractNum w:abstractNumId="281">
    <w:nsid w:val="62FB8680"/>
    <w:multiLevelType w:val="hybridMultilevel"/>
    <w:lvl w:ilvl="0">
      <w:lvlJc w:val="left"/>
      <w:lvlText w:val="%1."/>
      <w:numFmt w:val="decimal"/>
      <w:start w:val="1"/>
    </w:lvl>
  </w:abstractNum>
  <w:abstractNum w:abstractNumId="282">
    <w:nsid w:val="3A45530"/>
    <w:multiLevelType w:val="hybridMultilevel"/>
    <w:lvl w:ilvl="0">
      <w:lvlJc w:val="left"/>
      <w:lvlText w:val="%1."/>
      <w:numFmt w:val="decimal"/>
      <w:start w:val="2"/>
    </w:lvl>
  </w:abstractNum>
  <w:abstractNum w:abstractNumId="283">
    <w:nsid w:val="4B9275D2"/>
    <w:multiLevelType w:val="hybridMultilevel"/>
    <w:lvl w:ilvl="0">
      <w:lvlJc w:val="left"/>
      <w:lvlText w:val="%1."/>
      <w:numFmt w:val="decimal"/>
      <w:start w:val="3"/>
    </w:lvl>
  </w:abstractNum>
  <w:abstractNum w:abstractNumId="284">
    <w:nsid w:val="4F0CEEDB"/>
    <w:multiLevelType w:val="hybridMultilevel"/>
    <w:lvl w:ilvl="0">
      <w:lvlJc w:val="left"/>
      <w:lvlText w:val="%1."/>
      <w:numFmt w:val="decimal"/>
      <w:start w:val="4"/>
    </w:lvl>
  </w:abstractNum>
  <w:abstractNum w:abstractNumId="285">
    <w:nsid w:val="61C30361"/>
    <w:multiLevelType w:val="hybridMultilevel"/>
    <w:lvl w:ilvl="0">
      <w:lvlJc w:val="left"/>
      <w:lvlText w:val="%1."/>
      <w:numFmt w:val="decimal"/>
      <w:start w:val="5"/>
    </w:lvl>
  </w:abstractNum>
  <w:abstractNum w:abstractNumId="286">
    <w:nsid w:val="632099E0"/>
    <w:multiLevelType w:val="hybridMultilevel"/>
    <w:lvl w:ilvl="0">
      <w:lvlJc w:val="left"/>
      <w:lvlText w:val="%1."/>
      <w:numFmt w:val="decimal"/>
      <w:start w:val="6"/>
    </w:lvl>
  </w:abstractNum>
  <w:abstractNum w:abstractNumId="287">
    <w:nsid w:val="24639756"/>
    <w:multiLevelType w:val="hybridMultilevel"/>
    <w:lvl w:ilvl="0">
      <w:lvlJc w:val="left"/>
      <w:lvlText w:val="%1."/>
      <w:numFmt w:val="decimal"/>
      <w:start w:val="7"/>
    </w:lvl>
  </w:abstractNum>
  <w:abstractNum w:abstractNumId="288">
    <w:nsid w:val="9D30DFD"/>
    <w:multiLevelType w:val="hybridMultilevel"/>
    <w:lvl w:ilvl="0">
      <w:lvlJc w:val="left"/>
      <w:lvlText w:val="%1."/>
      <w:numFmt w:val="decimal"/>
      <w:start w:val="8"/>
    </w:lvl>
  </w:abstractNum>
  <w:abstractNum w:abstractNumId="289">
    <w:nsid w:val="70A42016"/>
    <w:multiLevelType w:val="hybridMultilevel"/>
    <w:lvl w:ilvl="0">
      <w:lvlJc w:val="left"/>
      <w:lvlText w:val="%1."/>
      <w:numFmt w:val="decimal"/>
      <w:start w:val="9"/>
    </w:lvl>
  </w:abstractNum>
  <w:abstractNum w:abstractNumId="290">
    <w:nsid w:val="161BC243"/>
    <w:multiLevelType w:val="hybridMultilevel"/>
    <w:lvl w:ilvl="0">
      <w:lvlJc w:val="left"/>
      <w:lvlText w:val="%1."/>
      <w:numFmt w:val="decimal"/>
      <w:start w:val="10"/>
    </w:lvl>
  </w:abstractNum>
  <w:abstractNum w:abstractNumId="291">
    <w:nsid w:val="16E908C8"/>
    <w:multiLevelType w:val="hybridMultilevel"/>
    <w:lvl w:ilvl="0">
      <w:lvlJc w:val="left"/>
      <w:lvlText w:val="%1."/>
      <w:numFmt w:val="decimal"/>
      <w:start w:val="11"/>
    </w:lvl>
  </w:abstractNum>
  <w:abstractNum w:abstractNumId="292">
    <w:nsid w:val="2E0D7671"/>
    <w:multiLevelType w:val="hybridMultilevel"/>
    <w:lvl w:ilvl="0">
      <w:lvlJc w:val="left"/>
      <w:lvlText w:val="(%1)"/>
      <w:numFmt w:val="lowerLetter"/>
      <w:start w:val="1"/>
    </w:lvl>
  </w:abstractNum>
  <w:abstractNum w:abstractNumId="293">
    <w:nsid w:val="38B59EFF"/>
    <w:multiLevelType w:val="hybridMultilevel"/>
    <w:lvl w:ilvl="0">
      <w:lvlJc w:val="left"/>
      <w:lvlText w:val="%1."/>
      <w:numFmt w:val="decimal"/>
      <w:start w:val="12"/>
    </w:lvl>
  </w:abstractNum>
  <w:abstractNum w:abstractNumId="294">
    <w:nsid w:val="307995CA"/>
    <w:multiLevelType w:val="hybridMultilevel"/>
    <w:lvl w:ilvl="0">
      <w:lvlJc w:val="left"/>
      <w:lvlText w:val="%1."/>
      <w:numFmt w:val="decimal"/>
      <w:start w:val="13"/>
    </w:lvl>
  </w:abstractNum>
  <w:abstractNum w:abstractNumId="295">
    <w:nsid w:val="52E2024D"/>
    <w:multiLevelType w:val="hybridMultilevel"/>
    <w:lvl w:ilvl="0">
      <w:lvlJc w:val="left"/>
      <w:lvlText w:val="%1."/>
      <w:numFmt w:val="decimal"/>
      <w:start w:val="14"/>
    </w:lvl>
  </w:abstractNum>
  <w:abstractNum w:abstractNumId="296">
    <w:nsid w:val="CE344B5"/>
    <w:multiLevelType w:val="hybridMultilevel"/>
    <w:lvl w:ilvl="0">
      <w:lvlJc w:val="left"/>
      <w:lvlText w:val="%1."/>
      <w:numFmt w:val="decimal"/>
      <w:start w:val="1"/>
    </w:lvl>
  </w:abstractNum>
  <w:abstractNum w:abstractNumId="297">
    <w:nsid w:val="29B0E9A8"/>
    <w:multiLevelType w:val="hybridMultilevel"/>
    <w:lvl w:ilvl="0">
      <w:lvlJc w:val="left"/>
      <w:lvlText w:val="%1."/>
      <w:numFmt w:val="decimal"/>
      <w:start w:val="1"/>
    </w:lvl>
  </w:abstractNum>
  <w:abstractNum w:abstractNumId="298">
    <w:nsid w:val="6F49CD8A"/>
    <w:multiLevelType w:val="hybridMultilevel"/>
    <w:lvl w:ilvl="0">
      <w:lvlJc w:val="left"/>
      <w:lvlText w:val="%1."/>
      <w:numFmt w:val="decimal"/>
      <w:start w:val="2"/>
    </w:lvl>
  </w:abstractNum>
  <w:abstractNum w:abstractNumId="299">
    <w:nsid w:val="4DC5D907"/>
    <w:multiLevelType w:val="hybridMultilevel"/>
    <w:lvl w:ilvl="0">
      <w:lvlJc w:val="left"/>
      <w:lvlText w:val="(%1)"/>
      <w:numFmt w:val="decimal"/>
      <w:start w:val="1"/>
    </w:lvl>
  </w:abstractNum>
  <w:abstractNum w:abstractNumId="300">
    <w:nsid w:val="D55945E"/>
    <w:multiLevelType w:val="hybridMultilevel"/>
    <w:lvl w:ilvl="0">
      <w:lvlJc w:val="left"/>
      <w:lvlText w:val="%1."/>
      <w:numFmt w:val="decimal"/>
      <w:start w:val="1"/>
    </w:lvl>
  </w:abstractNum>
  <w:abstractNum w:abstractNumId="301">
    <w:nsid w:val="672417E1"/>
    <w:multiLevelType w:val="hybridMultilevel"/>
    <w:lvl w:ilvl="0">
      <w:lvlJc w:val="left"/>
      <w:lvlText w:val="%1."/>
      <w:numFmt w:val="decimal"/>
      <w:start w:val="2"/>
    </w:lvl>
  </w:abstractNum>
  <w:abstractNum w:abstractNumId="302">
    <w:nsid w:val="5FF6CA09"/>
    <w:multiLevelType w:val="hybridMultilevel"/>
    <w:lvl w:ilvl="0">
      <w:lvlJc w:val="left"/>
      <w:lvlText w:val="%1."/>
      <w:numFmt w:val="decimal"/>
      <w:start w:val="3"/>
    </w:lvl>
  </w:abstractNum>
  <w:abstractNum w:abstractNumId="303">
    <w:nsid w:val="330B1333"/>
    <w:multiLevelType w:val="hybridMultilevel"/>
    <w:lvl w:ilvl="0">
      <w:lvlJc w:val="left"/>
      <w:lvlText w:val="%1."/>
      <w:numFmt w:val="decimal"/>
      <w:start w:val="7"/>
    </w:lvl>
  </w:abstractNum>
  <w:abstractNum w:abstractNumId="304">
    <w:nsid w:val="2EF32EA6"/>
    <w:multiLevelType w:val="hybridMultilevel"/>
    <w:lvl w:ilvl="0">
      <w:lvlJc w:val="left"/>
      <w:lvlText w:val="%1."/>
      <w:numFmt w:val="decimal"/>
      <w:start w:val="8"/>
    </w:lvl>
  </w:abstractNum>
  <w:abstractNum w:abstractNumId="305">
    <w:nsid w:val="32766A55"/>
    <w:multiLevelType w:val="hybridMultilevel"/>
    <w:lvl w:ilvl="0">
      <w:lvlJc w:val="left"/>
      <w:lvlText w:val="(%1)"/>
      <w:numFmt w:val="lowerLetter"/>
      <w:start w:val="1"/>
    </w:lvl>
  </w:abstractNum>
  <w:abstractNum w:abstractNumId="306">
    <w:nsid w:val="22D71957"/>
    <w:multiLevelType w:val="hybridMultilevel"/>
    <w:lvl w:ilvl="0">
      <w:lvlJc w:val="left"/>
      <w:lvlText w:val="%1."/>
      <w:numFmt w:val="decimal"/>
      <w:start w:val="1"/>
    </w:lvl>
  </w:abstractNum>
  <w:abstractNum w:abstractNumId="307">
    <w:nsid w:val="4CC1263B"/>
    <w:multiLevelType w:val="hybridMultilevel"/>
    <w:lvl w:ilvl="0">
      <w:lvlJc w:val="left"/>
      <w:lvlText w:val="%1."/>
      <w:numFmt w:val="decimal"/>
      <w:start w:val="1"/>
    </w:lvl>
  </w:abstractNum>
  <w:abstractNum w:abstractNumId="308">
    <w:nsid w:val="8BBEB1D"/>
    <w:multiLevelType w:val="hybridMultilevel"/>
    <w:lvl w:ilvl="0">
      <w:lvlJc w:val="left"/>
      <w:lvlText w:val="%1."/>
      <w:numFmt w:val="decimal"/>
      <w:start w:val="6"/>
    </w:lvl>
  </w:abstractNum>
  <w:abstractNum w:abstractNumId="309">
    <w:nsid w:val="7365F1EE"/>
    <w:multiLevelType w:val="hybridMultilevel"/>
    <w:lvl w:ilvl="0">
      <w:lvlJc w:val="left"/>
      <w:lvlText w:val="%1."/>
      <w:numFmt w:val="decimal"/>
      <w:start w:val="7"/>
    </w:lvl>
  </w:abstractNum>
  <w:abstractNum w:abstractNumId="310">
    <w:nsid w:val="37524CF0"/>
    <w:multiLevelType w:val="hybridMultilevel"/>
    <w:lvl w:ilvl="0">
      <w:lvlJc w:val="left"/>
      <w:lvlText w:val="%1."/>
      <w:numFmt w:val="decimal"/>
      <w:start w:val="1"/>
    </w:lvl>
  </w:abstractNum>
  <w:abstractNum w:abstractNumId="311">
    <w:nsid w:val="70CC332F"/>
    <w:multiLevelType w:val="hybridMultilevel"/>
    <w:lvl w:ilvl="0">
      <w:lvlJc w:val="left"/>
      <w:lvlText w:val="%1."/>
      <w:numFmt w:val="decimal"/>
      <w:start w:val="2"/>
    </w:lvl>
  </w:abstractNum>
  <w:abstractNum w:abstractNumId="312">
    <w:nsid w:val="5661786E"/>
    <w:multiLevelType w:val="hybridMultilevel"/>
    <w:lvl w:ilvl="0">
      <w:lvlJc w:val="left"/>
      <w:lvlText w:val="%1."/>
      <w:numFmt w:val="decimal"/>
      <w:start w:val="3"/>
    </w:lvl>
  </w:abstractNum>
  <w:abstractNum w:abstractNumId="313">
    <w:nsid w:val="3AF6A220"/>
    <w:multiLevelType w:val="hybridMultilevel"/>
    <w:lvl w:ilvl="0">
      <w:lvlJc w:val="left"/>
      <w:lvlText w:val="%1."/>
      <w:numFmt w:val="decimal"/>
      <w:start w:val="1"/>
    </w:lvl>
  </w:abstractNum>
  <w:abstractNum w:abstractNumId="314">
    <w:nsid w:val="3C5EA902"/>
    <w:multiLevelType w:val="hybridMultilevel"/>
    <w:lvl w:ilvl="0">
      <w:lvlJc w:val="left"/>
      <w:lvlText w:val="%1."/>
      <w:numFmt w:val="decimal"/>
      <w:start w:val="2"/>
    </w:lvl>
  </w:abstractNum>
  <w:abstractNum w:abstractNumId="315">
    <w:nsid w:val="256E6749"/>
    <w:multiLevelType w:val="hybridMultilevel"/>
    <w:lvl w:ilvl="0">
      <w:lvlJc w:val="left"/>
      <w:lvlText w:val="%1."/>
      <w:numFmt w:val="decimal"/>
      <w:start w:val="3"/>
    </w:lvl>
  </w:abstractNum>
  <w:abstractNum w:abstractNumId="316">
    <w:nsid w:val="1CB9A581"/>
    <w:multiLevelType w:val="hybridMultilevel"/>
    <w:lvl w:ilvl="0">
      <w:lvlJc w:val="left"/>
      <w:lvlText w:val="%1."/>
      <w:numFmt w:val="decimal"/>
      <w:start w:val="4"/>
    </w:lvl>
  </w:abstractNum>
  <w:abstractNum w:abstractNumId="317">
    <w:nsid w:val="1F7F42E2"/>
    <w:multiLevelType w:val="hybridMultilevel"/>
    <w:lvl w:ilvl="0">
      <w:lvlJc w:val="left"/>
      <w:lvlText w:val="%1."/>
      <w:numFmt w:val="decimal"/>
      <w:start w:val="6"/>
    </w:lvl>
  </w:abstractNum>
  <w:abstractNum w:abstractNumId="318">
    <w:nsid w:val="49D1FEA0"/>
    <w:multiLevelType w:val="hybridMultilevel"/>
    <w:lvl w:ilvl="0">
      <w:lvlJc w:val="left"/>
      <w:lvlText w:val="(%1)"/>
      <w:numFmt w:val="lowerLetter"/>
      <w:start w:val="1"/>
    </w:lvl>
  </w:abstractNum>
  <w:abstractNum w:abstractNumId="319">
    <w:nsid w:val="268CB37F"/>
    <w:multiLevelType w:val="hybridMultilevel"/>
    <w:lvl w:ilvl="0">
      <w:lvlJc w:val="left"/>
      <w:lvlText w:val="%1."/>
      <w:numFmt w:val="decimal"/>
      <w:start w:val="8"/>
    </w:lvl>
  </w:abstractNum>
  <w:abstractNum w:abstractNumId="320">
    <w:nsid w:val="102362F8"/>
    <w:multiLevelType w:val="hybridMultilevel"/>
    <w:lvl w:ilvl="0">
      <w:lvlJc w:val="left"/>
      <w:lvlText w:val="%1."/>
      <w:numFmt w:val="decimal"/>
      <w:start w:val="9"/>
    </w:lvl>
  </w:abstractNum>
  <w:abstractNum w:abstractNumId="321">
    <w:nsid w:val="5FEDC0E3"/>
    <w:multiLevelType w:val="hybridMultilevel"/>
    <w:lvl w:ilvl="0">
      <w:lvlJc w:val="left"/>
      <w:lvlText w:val="%1."/>
      <w:numFmt w:val="decimal"/>
      <w:start w:val="11"/>
    </w:lvl>
  </w:abstractNum>
  <w:abstractNum w:abstractNumId="322">
    <w:nsid w:val="3D75BC47"/>
    <w:multiLevelType w:val="hybridMultilevel"/>
    <w:lvl w:ilvl="0">
      <w:lvlJc w:val="left"/>
      <w:lvlText w:val="%1."/>
      <w:numFmt w:val="decimal"/>
      <w:start w:val="12"/>
    </w:lvl>
  </w:abstractNum>
  <w:abstractNum w:abstractNumId="323">
    <w:nsid w:val="3E30D969"/>
    <w:multiLevelType w:val="hybridMultilevel"/>
    <w:lvl w:ilvl="0">
      <w:lvlJc w:val="left"/>
      <w:lvlText w:val="%1."/>
      <w:numFmt w:val="decimal"/>
      <w:start w:val="13"/>
    </w:lvl>
  </w:abstractNum>
  <w:abstractNum w:abstractNumId="324">
    <w:nsid w:val="18A35FE3"/>
    <w:multiLevelType w:val="hybridMultilevel"/>
    <w:lvl w:ilvl="0">
      <w:lvlJc w:val="left"/>
      <w:lvlText w:val="%1."/>
      <w:numFmt w:val="decimal"/>
      <w:start w:val="14"/>
    </w:lvl>
  </w:abstractNum>
  <w:abstractNum w:abstractNumId="325">
    <w:nsid w:val="6DEF5211"/>
    <w:multiLevelType w:val="hybridMultilevel"/>
    <w:lvl w:ilvl="0">
      <w:lvlJc w:val="left"/>
      <w:lvlText w:val="%1."/>
      <w:numFmt w:val="decimal"/>
      <w:start w:val="16"/>
    </w:lvl>
  </w:abstractNum>
  <w:abstractNum w:abstractNumId="326">
    <w:nsid w:val="1112DBB6"/>
    <w:multiLevelType w:val="hybridMultilevel"/>
    <w:lvl w:ilvl="0">
      <w:lvlJc w:val="left"/>
      <w:lvlText w:val="(%1)"/>
      <w:numFmt w:val="lowerLetter"/>
      <w:start w:val="1"/>
    </w:lvl>
  </w:abstractNum>
  <w:abstractNum w:abstractNumId="327">
    <w:nsid w:val="2586A498"/>
    <w:multiLevelType w:val="hybridMultilevel"/>
    <w:lvl w:ilvl="0">
      <w:lvlJc w:val="left"/>
      <w:lvlText w:val="(%1)"/>
      <w:numFmt w:val="lowerLetter"/>
      <w:start w:val="1"/>
    </w:lvl>
  </w:abstractNum>
  <w:abstractNum w:abstractNumId="328">
    <w:nsid w:val="17A03BB9"/>
    <w:multiLevelType w:val="hybridMultilevel"/>
    <w:lvl w:ilvl="0">
      <w:lvlJc w:val="left"/>
      <w:lvlText w:val="(%1)"/>
      <w:numFmt w:val="lowerLetter"/>
      <w:start w:val="1"/>
    </w:lvl>
  </w:abstractNum>
  <w:abstractNum w:abstractNumId="329">
    <w:nsid w:val="5CA941"/>
    <w:multiLevelType w:val="hybridMultilevel"/>
    <w:lvl w:ilvl="0">
      <w:lvlJc w:val="left"/>
      <w:lvlText w:val="(%1)"/>
      <w:numFmt w:val="lowerLetter"/>
      <w:start w:val="1"/>
    </w:lvl>
  </w:abstractNum>
  <w:abstractNum w:abstractNumId="330">
    <w:nsid w:val="734C7D9F"/>
    <w:multiLevelType w:val="hybridMultilevel"/>
    <w:lvl w:ilvl="0">
      <w:lvlJc w:val="left"/>
      <w:lvlText w:val="(%1)"/>
      <w:numFmt w:val="lowerLetter"/>
      <w:start w:val="1"/>
    </w:lvl>
  </w:abstractNum>
  <w:abstractNum w:abstractNumId="331">
    <w:nsid w:val="24F5D018"/>
    <w:multiLevelType w:val="hybridMultilevel"/>
    <w:lvl w:ilvl="0">
      <w:lvlJc w:val="left"/>
      <w:lvlText w:val="(%1)"/>
      <w:numFmt w:val="lowerLetter"/>
      <w:start w:val="2"/>
    </w:lvl>
  </w:abstractNum>
  <w:abstractNum w:abstractNumId="332">
    <w:nsid w:val="6780C122"/>
    <w:multiLevelType w:val="hybridMultilevel"/>
    <w:lvl w:ilvl="0">
      <w:lvlJc w:val="left"/>
      <w:lvlText w:val="%1."/>
      <w:numFmt w:val="decimal"/>
      <w:start w:val="17"/>
    </w:lvl>
  </w:abstractNum>
  <w:abstractNum w:abstractNumId="333">
    <w:nsid w:val="534347A8"/>
    <w:multiLevelType w:val="hybridMultilevel"/>
    <w:lvl w:ilvl="0">
      <w:lvlJc w:val="left"/>
      <w:lvlText w:val="%1."/>
      <w:numFmt w:val="decimal"/>
      <w:start w:val="18"/>
    </w:lvl>
  </w:abstractNum>
  <w:abstractNum w:abstractNumId="334">
    <w:nsid w:val="5800E34B"/>
    <w:multiLevelType w:val="hybridMultilevel"/>
    <w:lvl w:ilvl="0">
      <w:lvlJc w:val="left"/>
      <w:lvlText w:val="%1."/>
      <w:numFmt w:val="decimal"/>
      <w:start w:val="19"/>
    </w:lvl>
  </w:abstractNum>
  <w:abstractNum w:abstractNumId="335">
    <w:nsid w:val="1673EFC8"/>
    <w:multiLevelType w:val="hybridMultilevel"/>
    <w:lvl w:ilvl="0">
      <w:lvlJc w:val="left"/>
      <w:lvlText w:val="%1."/>
      <w:numFmt w:val="decimal"/>
      <w:start w:val="20"/>
    </w:lvl>
  </w:abstractNum>
  <w:abstractNum w:abstractNumId="336">
    <w:nsid w:val="5B9B1FD"/>
    <w:multiLevelType w:val="hybridMultilevel"/>
    <w:lvl w:ilvl="0">
      <w:lvlJc w:val="left"/>
      <w:lvlText w:val="%1."/>
      <w:numFmt w:val="decimal"/>
      <w:start w:val="21"/>
    </w:lvl>
  </w:abstractNum>
  <w:abstractNum w:abstractNumId="337">
    <w:nsid w:val="7AD7FCA2"/>
    <w:multiLevelType w:val="hybridMultilevel"/>
    <w:lvl w:ilvl="0">
      <w:lvlJc w:val="left"/>
      <w:lvlText w:val="%1."/>
      <w:numFmt w:val="decimal"/>
      <w:start w:val="22"/>
    </w:lvl>
  </w:abstractNum>
  <w:abstractNum w:abstractNumId="338">
    <w:nsid w:val="63351604"/>
    <w:multiLevelType w:val="hybridMultilevel"/>
    <w:lvl w:ilvl="0">
      <w:lvlJc w:val="left"/>
      <w:lvlText w:val="%1."/>
      <w:numFmt w:val="decimal"/>
      <w:start w:val="23"/>
    </w:lvl>
  </w:abstractNum>
  <w:abstractNum w:abstractNumId="339">
    <w:nsid w:val="E759D1A"/>
    <w:multiLevelType w:val="hybridMultilevel"/>
    <w:lvl w:ilvl="0">
      <w:lvlJc w:val="left"/>
      <w:lvlText w:val="%1."/>
      <w:numFmt w:val="decimal"/>
      <w:start w:val="24"/>
    </w:lvl>
  </w:abstractNum>
  <w:abstractNum w:abstractNumId="340">
    <w:nsid w:val="6E3DEE90"/>
    <w:multiLevelType w:val="hybridMultilevel"/>
    <w:lvl w:ilvl="0">
      <w:lvlJc w:val="left"/>
      <w:lvlText w:val="%1."/>
      <w:numFmt w:val="decimal"/>
      <w:start w:val="29"/>
    </w:lvl>
  </w:abstractNum>
  <w:abstractNum w:abstractNumId="341">
    <w:nsid w:val="1A8762F4"/>
    <w:multiLevelType w:val="hybridMultilevel"/>
    <w:lvl w:ilvl="0">
      <w:lvlJc w:val="left"/>
      <w:lvlText w:val="%1."/>
      <w:numFmt w:val="decimal"/>
      <w:start w:val="30"/>
    </w:lvl>
  </w:abstractNum>
  <w:abstractNum w:abstractNumId="342">
    <w:nsid w:val="7F41D049"/>
    <w:multiLevelType w:val="hybridMultilevel"/>
    <w:lvl w:ilvl="0">
      <w:lvlJc w:val="left"/>
      <w:lvlText w:val="%1."/>
      <w:numFmt w:val="decimal"/>
      <w:start w:val="1"/>
    </w:lvl>
  </w:abstractNum>
  <w:abstractNum w:abstractNumId="343">
    <w:nsid w:val="449F66FE"/>
    <w:multiLevelType w:val="hybridMultilevel"/>
    <w:lvl w:ilvl="0">
      <w:lvlJc w:val="left"/>
      <w:lvlText w:val="5"/>
      <w:numFmt w:val="bullet"/>
      <w:start w:val="1"/>
    </w:lvl>
  </w:abstractNum>
  <w:abstractNum w:abstractNumId="344">
    <w:nsid w:val="557E0515"/>
    <w:multiLevelType w:val="hybridMultilevel"/>
    <w:lvl w:ilvl="0">
      <w:lvlJc w:val="left"/>
      <w:lvlText w:val="%1."/>
      <w:numFmt w:val="decimal"/>
      <w:start w:val="1"/>
    </w:lvl>
  </w:abstractNum>
  <w:abstractNum w:abstractNumId="345">
    <w:nsid w:val="3BA0794B"/>
    <w:multiLevelType w:val="hybridMultilevel"/>
    <w:lvl w:ilvl="0">
      <w:lvlJc w:val="left"/>
      <w:lvlText w:val="(%1)"/>
      <w:numFmt w:val="lowerLetter"/>
      <w:start w:val="1"/>
    </w:lvl>
  </w:abstractNum>
  <w:abstractNum w:abstractNumId="346">
    <w:nsid w:val="6A0DCE48"/>
    <w:multiLevelType w:val="hybridMultilevel"/>
    <w:lvl w:ilvl="0">
      <w:lvlJc w:val="left"/>
      <w:lvlText w:val="(%1)"/>
      <w:numFmt w:val="lowerLetter"/>
      <w:start w:val="1"/>
    </w:lvl>
  </w:abstractNum>
  <w:abstractNum w:abstractNumId="347">
    <w:nsid w:val="7237AA96"/>
    <w:multiLevelType w:val="hybridMultilevel"/>
    <w:lvl w:ilvl="0">
      <w:lvlJc w:val="left"/>
      <w:lvlText w:val="(%1)"/>
      <w:numFmt w:val="lowerLetter"/>
      <w:start w:val="1"/>
    </w:lvl>
  </w:abstractNum>
  <w:abstractNum w:abstractNumId="348">
    <w:nsid w:val="5B1FBC2D"/>
    <w:multiLevelType w:val="hybridMultilevel"/>
    <w:lvl w:ilvl="0">
      <w:lvlJc w:val="left"/>
      <w:lvlText w:val="%1."/>
      <w:numFmt w:val="decimal"/>
      <w:start w:val="2"/>
    </w:lvl>
  </w:abstractNum>
  <w:abstractNum w:abstractNumId="349">
    <w:nsid w:val="33DFCCE8"/>
    <w:multiLevelType w:val="hybridMultilevel"/>
    <w:lvl w:ilvl="0">
      <w:lvlJc w:val="left"/>
      <w:lvlText w:val="%1."/>
      <w:numFmt w:val="decimal"/>
      <w:start w:val="3"/>
    </w:lvl>
  </w:abstractNum>
  <w:abstractNum w:abstractNumId="350">
    <w:nsid w:val="18C45E15"/>
    <w:multiLevelType w:val="hybridMultilevel"/>
    <w:lvl w:ilvl="0">
      <w:lvlJc w:val="left"/>
      <w:lvlText w:val="%1."/>
      <w:numFmt w:val="decimal"/>
      <w:start w:val="6"/>
    </w:lvl>
  </w:abstractNum>
  <w:abstractNum w:abstractNumId="351">
    <w:nsid w:val="6B431F25"/>
    <w:multiLevelType w:val="hybridMultilevel"/>
    <w:lvl w:ilvl="0">
      <w:lvlJc w:val="left"/>
      <w:lvlText w:val="%1."/>
      <w:numFmt w:val="decimal"/>
      <w:start w:val="8"/>
    </w:lvl>
  </w:abstractNum>
  <w:abstractNum w:abstractNumId="352">
    <w:nsid w:val="13CD8DCB"/>
    <w:multiLevelType w:val="hybridMultilevel"/>
    <w:lvl w:ilvl="0">
      <w:lvlJc w:val="left"/>
      <w:lvlText w:val="%1."/>
      <w:numFmt w:val="decimal"/>
      <w:start w:val="9"/>
    </w:lvl>
  </w:abstractNum>
  <w:abstractNum w:abstractNumId="353">
    <w:nsid w:val="563A1A5C"/>
    <w:multiLevelType w:val="hybridMultilevel"/>
    <w:lvl w:ilvl="0">
      <w:lvlJc w:val="left"/>
      <w:lvlText w:val="%1."/>
      <w:numFmt w:val="decimal"/>
      <w:start w:val="1"/>
    </w:lvl>
  </w:abstractNum>
  <w:abstractNum w:abstractNumId="354">
    <w:nsid w:val="2973F88F"/>
    <w:multiLevelType w:val="hybridMultilevel"/>
    <w:lvl w:ilvl="0">
      <w:lvlJc w:val="left"/>
      <w:lvlText w:val="%1."/>
      <w:numFmt w:val="decimal"/>
      <w:start w:val="2"/>
    </w:lvl>
  </w:abstractNum>
  <w:abstractNum w:abstractNumId="355">
    <w:nsid w:val="2C70EDAE"/>
    <w:multiLevelType w:val="hybridMultilevel"/>
    <w:lvl w:ilvl="0">
      <w:lvlJc w:val="left"/>
      <w:lvlText w:val="%1."/>
      <w:numFmt w:val="decimal"/>
      <w:start w:val="4"/>
    </w:lvl>
  </w:abstractNum>
  <w:abstractNum w:abstractNumId="356">
    <w:nsid w:val="44296C6D"/>
    <w:multiLevelType w:val="hybridMultilevel"/>
    <w:lvl w:ilvl="0">
      <w:lvlJc w:val="left"/>
      <w:lvlText w:val="%1."/>
      <w:numFmt w:val="decimal"/>
      <w:start w:val="5"/>
    </w:lvl>
  </w:abstractNum>
  <w:abstractNum w:abstractNumId="357">
    <w:nsid w:val="3A86D445"/>
    <w:multiLevelType w:val="hybridMultilevel"/>
    <w:lvl w:ilvl="0">
      <w:lvlJc w:val="left"/>
      <w:lvlText w:val="%1."/>
      <w:numFmt w:val="decimal"/>
      <w:start w:val="8"/>
    </w:lvl>
  </w:abstractNum>
  <w:abstractNum w:abstractNumId="358">
    <w:nsid w:val="51F79246"/>
    <w:multiLevelType w:val="hybridMultilevel"/>
    <w:lvl w:ilvl="0">
      <w:lvlJc w:val="left"/>
      <w:lvlText w:val="1"/>
      <w:numFmt w:val="bullet"/>
      <w:start w:val="1"/>
    </w:lvl>
  </w:abstractNum>
  <w:abstractNum w:abstractNumId="359">
    <w:nsid w:val="5BC9A827"/>
    <w:multiLevelType w:val="hybridMultilevel"/>
    <w:lvl w:ilvl="0">
      <w:lvlJc w:val="left"/>
      <w:lvlText w:val="%1."/>
      <w:numFmt w:val="decimal"/>
      <w:start w:val="2"/>
    </w:lvl>
  </w:abstractNum>
  <w:abstractNum w:abstractNumId="360">
    <w:nsid w:val="3AE37D86"/>
    <w:multiLevelType w:val="hybridMultilevel"/>
    <w:lvl w:ilvl="0">
      <w:lvlJc w:val="left"/>
      <w:lvlText w:val="%1."/>
      <w:numFmt w:val="decimal"/>
      <w:start w:val="1"/>
    </w:lvl>
  </w:abstractNum>
  <w:abstractNum w:abstractNumId="361">
    <w:nsid w:val="45440FE5"/>
    <w:multiLevelType w:val="hybridMultilevel"/>
    <w:lvl w:ilvl="0">
      <w:lvlJc w:val="left"/>
      <w:lvlText w:val="%1."/>
      <w:numFmt w:val="decimal"/>
      <w:start w:val="8"/>
    </w:lvl>
  </w:abstractNum>
  <w:abstractNum w:abstractNumId="362">
    <w:nsid w:val="BF783F"/>
    <w:multiLevelType w:val="hybridMultilevel"/>
    <w:lvl w:ilvl="0">
      <w:lvlJc w:val="left"/>
      <w:lvlText w:val="%1."/>
      <w:numFmt w:val="decimal"/>
      <w:start w:val="1"/>
    </w:lvl>
    <w:lvl w:ilvl="1">
      <w:lvlJc w:val="left"/>
      <w:lvlText w:val="(%2)"/>
      <w:numFmt w:val="lowerLetter"/>
      <w:start w:val="1"/>
    </w:lvl>
  </w:abstractNum>
  <w:abstractNum w:abstractNumId="363">
    <w:nsid w:val="22643EA9"/>
    <w:multiLevelType w:val="hybridMultilevel"/>
    <w:lvl w:ilvl="0">
      <w:lvlJc w:val="left"/>
      <w:lvlText w:val="(%1)"/>
      <w:numFmt w:val="lowerRoman"/>
      <w:start w:val="1"/>
    </w:lvl>
  </w:abstractNum>
  <w:abstractNum w:abstractNumId="364">
    <w:nsid w:val="1887578D"/>
    <w:multiLevelType w:val="hybridMultilevel"/>
    <w:lvl w:ilvl="0">
      <w:lvlJc w:val="left"/>
      <w:lvlText w:val="(%1)"/>
      <w:numFmt w:val="lowerRoman"/>
      <w:start w:val="6"/>
    </w:lvl>
  </w:abstractNum>
  <w:abstractNum w:abstractNumId="365">
    <w:nsid w:val="58C05B8A"/>
    <w:multiLevelType w:val="hybridMultilevel"/>
    <w:lvl w:ilvl="0">
      <w:lvlJc w:val="left"/>
      <w:lvlText w:val="%1."/>
      <w:numFmt w:val="decimal"/>
      <w:start w:val="2"/>
    </w:lvl>
  </w:abstractNum>
  <w:abstractNum w:abstractNumId="366">
    <w:nsid w:val="38D82E71"/>
    <w:multiLevelType w:val="hybridMultilevel"/>
    <w:lvl w:ilvl="0">
      <w:lvlJc w:val="left"/>
      <w:lvlText w:val="%1."/>
      <w:numFmt w:val="decimal"/>
      <w:start w:val="3"/>
    </w:lvl>
  </w:abstractNum>
  <w:abstractNum w:abstractNumId="367">
    <w:nsid w:val="1E41098A"/>
    <w:multiLevelType w:val="hybridMultilevel"/>
    <w:lvl w:ilvl="0">
      <w:lvlJc w:val="left"/>
      <w:lvlText w:val="%1."/>
      <w:numFmt w:val="decimal"/>
      <w:start w:val="4"/>
    </w:lvl>
  </w:abstractNum>
  <w:abstractNum w:abstractNumId="368">
    <w:nsid w:val="5398582C"/>
    <w:multiLevelType w:val="hybridMultilevel"/>
    <w:lvl w:ilvl="0">
      <w:lvlJc w:val="left"/>
      <w:lvlText w:val="%1."/>
      <w:numFmt w:val="decimal"/>
      <w:start w:val="5"/>
    </w:lvl>
  </w:abstractNum>
  <w:abstractNum w:abstractNumId="369">
    <w:nsid w:val="1C0D4475"/>
    <w:multiLevelType w:val="hybridMultilevel"/>
    <w:lvl w:ilvl="0">
      <w:lvlJc w:val="left"/>
      <w:lvlText w:val="%1."/>
      <w:numFmt w:val="decimal"/>
      <w:start w:val="1"/>
    </w:lvl>
  </w:abstractNum>
  <w:abstractNum w:abstractNumId="370">
    <w:nsid w:val="2CB6A6A4"/>
    <w:multiLevelType w:val="hybridMultilevel"/>
    <w:lvl w:ilvl="0">
      <w:lvlJc w:val="left"/>
      <w:lvlText w:val="%1."/>
      <w:numFmt w:val="decimal"/>
      <w:start w:val="7"/>
    </w:lvl>
  </w:abstractNum>
  <w:abstractNum w:abstractNumId="371">
    <w:nsid w:val="41D646BC"/>
    <w:multiLevelType w:val="hybridMultilevel"/>
    <w:lvl w:ilvl="0">
      <w:lvlJc w:val="left"/>
      <w:lvlText w:val="%1."/>
      <w:numFmt w:val="decimal"/>
      <w:start w:val="1"/>
    </w:lvl>
  </w:abstractNum>
  <w:abstractNum w:abstractNumId="372">
    <w:nsid w:val="3694A76A"/>
    <w:multiLevelType w:val="hybridMultilevel"/>
    <w:lvl w:ilvl="0">
      <w:lvlJc w:val="left"/>
      <w:lvlText w:val="%1."/>
      <w:numFmt w:val="decimal"/>
      <w:start w:val="4"/>
    </w:lvl>
  </w:abstractNum>
  <w:abstractNum w:abstractNumId="373">
    <w:nsid w:val="2BF876EE"/>
    <w:multiLevelType w:val="hybridMultilevel"/>
    <w:lvl w:ilvl="0">
      <w:lvlJc w:val="left"/>
      <w:lvlText w:val="%1."/>
      <w:numFmt w:val="decimal"/>
      <w:start w:val="1"/>
    </w:lvl>
  </w:abstractNum>
  <w:abstractNum w:abstractNumId="374">
    <w:nsid w:val="675ADBA"/>
    <w:multiLevelType w:val="hybridMultilevel"/>
    <w:lvl w:ilvl="0">
      <w:lvlJc w:val="left"/>
      <w:lvlText w:val="%1."/>
      <w:numFmt w:val="decimal"/>
      <w:start w:val="11"/>
    </w:lvl>
  </w:abstractNum>
  <w:abstractNum w:abstractNumId="375">
    <w:nsid w:val="C12AC7F"/>
    <w:multiLevelType w:val="hybridMultilevel"/>
    <w:lvl w:ilvl="0">
      <w:lvlJc w:val="left"/>
      <w:lvlText w:val="%1."/>
      <w:numFmt w:val="decimal"/>
      <w:start w:val="1"/>
    </w:lvl>
  </w:abstractNum>
  <w:abstractNum w:abstractNumId="376">
    <w:nsid w:val="6798F039"/>
    <w:multiLevelType w:val="hybridMultilevel"/>
    <w:lvl w:ilvl="0">
      <w:lvlJc w:val="left"/>
      <w:lvlText w:val="(%1)"/>
      <w:numFmt w:val="lowerLetter"/>
      <w:start w:val="1"/>
    </w:lvl>
  </w:abstractNum>
  <w:abstractNum w:abstractNumId="377">
    <w:nsid w:val="70837C02"/>
    <w:multiLevelType w:val="hybridMultilevel"/>
    <w:lvl w:ilvl="0">
      <w:lvlJc w:val="left"/>
      <w:lvlText w:val="(%1)"/>
      <w:numFmt w:val="lowerLetter"/>
      <w:start w:val="1"/>
    </w:lvl>
  </w:abstractNum>
  <w:abstractNum w:abstractNumId="378">
    <w:nsid w:val="7E4A5715"/>
    <w:multiLevelType w:val="hybridMultilevel"/>
    <w:lvl w:ilvl="0">
      <w:lvlJc w:val="left"/>
      <w:lvlText w:val="(%1)"/>
      <w:numFmt w:val="lowerLetter"/>
      <w:start w:val="1"/>
    </w:lvl>
  </w:abstractNum>
  <w:abstractNum w:abstractNumId="379">
    <w:nsid w:val="42B8AC67"/>
    <w:multiLevelType w:val="hybridMultilevel"/>
    <w:lvl w:ilvl="0">
      <w:lvlJc w:val="left"/>
      <w:lvlText w:val="%1."/>
      <w:numFmt w:val="decimal"/>
      <w:start w:val="2"/>
    </w:lvl>
  </w:abstractNum>
  <w:abstractNum w:abstractNumId="380">
    <w:nsid w:val="246348EA"/>
    <w:multiLevelType w:val="hybridMultilevel"/>
    <w:lvl w:ilvl="0">
      <w:lvlJc w:val="left"/>
      <w:lvlText w:val="%1."/>
      <w:numFmt w:val="decimal"/>
      <w:start w:val="3"/>
    </w:lvl>
  </w:abstractNum>
  <w:abstractNum w:abstractNumId="381">
    <w:nsid w:val="170EB52B"/>
    <w:multiLevelType w:val="hybridMultilevel"/>
    <w:lvl w:ilvl="0">
      <w:lvlJc w:val="left"/>
      <w:lvlText w:val="%1."/>
      <w:numFmt w:val="decimal"/>
      <w:start w:val="4"/>
    </w:lvl>
  </w:abstractNum>
  <w:abstractNum w:abstractNumId="382">
    <w:nsid w:val="2DFBCB8C"/>
    <w:multiLevelType w:val="hybridMultilevel"/>
    <w:lvl w:ilvl="0">
      <w:lvlJc w:val="left"/>
      <w:lvlText w:val="%1."/>
      <w:numFmt w:val="decimal"/>
      <w:start w:val="5"/>
    </w:lvl>
  </w:abstractNum>
  <w:abstractNum w:abstractNumId="383">
    <w:nsid w:val="3830D6B6"/>
    <w:multiLevelType w:val="hybridMultilevel"/>
    <w:lvl w:ilvl="0">
      <w:lvlJc w:val="left"/>
      <w:lvlText w:val="%1."/>
      <w:numFmt w:val="decimal"/>
      <w:start w:val="6"/>
    </w:lvl>
  </w:abstractNum>
  <w:abstractNum w:abstractNumId="384">
    <w:nsid w:val="6D48CF87"/>
    <w:multiLevelType w:val="hybridMultilevel"/>
    <w:lvl w:ilvl="0">
      <w:lvlJc w:val="left"/>
      <w:lvlText w:val="(%1)"/>
      <w:numFmt w:val="decimal"/>
      <w:start w:val="1"/>
    </w:lvl>
  </w:abstractNum>
  <w:abstractNum w:abstractNumId="385">
    <w:nsid w:val="576FC41B"/>
    <w:multiLevelType w:val="hybridMultilevel"/>
    <w:lvl w:ilvl="0">
      <w:lvlJc w:val="left"/>
      <w:lvlText w:val="%1."/>
      <w:numFmt w:val="decimal"/>
      <w:start w:val="1"/>
    </w:lvl>
  </w:abstractNum>
  <w:abstractNum w:abstractNumId="386">
    <w:nsid w:val="64A1C464"/>
    <w:multiLevelType w:val="hybridMultilevel"/>
    <w:lvl w:ilvl="0">
      <w:lvlJc w:val="left"/>
      <w:lvlText w:val="·"/>
      <w:numFmt w:val="bullet"/>
      <w:start w:val="1"/>
    </w:lvl>
  </w:abstractNum>
  <w:abstractNum w:abstractNumId="387">
    <w:nsid w:val="31723BF5"/>
    <w:multiLevelType w:val="hybridMultilevel"/>
    <w:lvl w:ilvl="0">
      <w:lvlJc w:val="left"/>
      <w:lvlText w:val="·"/>
      <w:numFmt w:val="bullet"/>
      <w:start w:val="1"/>
    </w:lvl>
    <w:lvl w:ilvl="1">
      <w:lvlJc w:val="left"/>
      <w:lvlText w:val="%2)"/>
      <w:numFmt w:val="lowerLetter"/>
      <w:start w:val="1"/>
    </w:lvl>
  </w:abstractNum>
  <w:abstractNum w:abstractNumId="388">
    <w:nsid w:val="11F69861"/>
    <w:multiLevelType w:val="hybridMultilevel"/>
    <w:lvl w:ilvl="0">
      <w:lvlJc w:val="left"/>
      <w:lvlText w:val="%1."/>
      <w:numFmt w:val="decimal"/>
      <w:start w:val="2"/>
    </w:lvl>
  </w:abstractNum>
  <w:abstractNum w:abstractNumId="389">
    <w:nsid w:val="369956AB"/>
    <w:multiLevelType w:val="hybridMultilevel"/>
    <w:lvl w:ilvl="0">
      <w:lvlJc w:val="left"/>
      <w:lvlText w:val="(%1)"/>
      <w:numFmt w:val="lowerLetter"/>
      <w:start w:val="1"/>
    </w:lvl>
  </w:abstractNum>
  <w:abstractNum w:abstractNumId="390">
    <w:nsid w:val="D3BE41C"/>
    <w:multiLevelType w:val="hybridMultilevel"/>
    <w:lvl w:ilvl="0">
      <w:lvlJc w:val="left"/>
      <w:lvlText w:val="%1"/>
      <w:numFmt w:val="decimal"/>
      <w:start w:val="1"/>
    </w:lvl>
    <w:lvl w:ilvl="1">
      <w:lvlJc w:val="left"/>
      <w:lvlText w:val="(%2)"/>
      <w:numFmt w:val="lowerLetter"/>
      <w:start w:val="1"/>
    </w:lvl>
  </w:abstractNum>
  <w:abstractNum w:abstractNumId="391">
    <w:nsid w:val="4CDA15E7"/>
    <w:multiLevelType w:val="hybridMultilevel"/>
    <w:lvl w:ilvl="0">
      <w:lvlJc w:val="left"/>
      <w:lvlText w:val="%1."/>
      <w:numFmt w:val="decimal"/>
      <w:start w:val="3"/>
    </w:lvl>
    <w:lvl w:ilvl="1">
      <w:lvlJc w:val="left"/>
      <w:lvlText w:val="%2"/>
      <w:numFmt w:val="lowerLetter"/>
      <w:start w:val="1"/>
    </w:lvl>
  </w:abstractNum>
  <w:abstractNum w:abstractNumId="392">
    <w:nsid w:val="7BDD6690"/>
    <w:multiLevelType w:val="hybridMultilevel"/>
    <w:lvl w:ilvl="0">
      <w:lvlJc w:val="left"/>
      <w:lvlText w:val="(%1)"/>
      <w:numFmt w:val="lowerLetter"/>
      <w:start w:val="1"/>
    </w:lvl>
  </w:abstractNum>
  <w:abstractNum w:abstractNumId="393">
    <w:nsid w:val="DFB5C5B"/>
    <w:multiLevelType w:val="hybridMultilevel"/>
    <w:lvl w:ilvl="0">
      <w:lvlJc w:val="left"/>
      <w:lvlText w:val="(%1)"/>
      <w:numFmt w:val="lowerLetter"/>
      <w:start w:val="1"/>
    </w:lvl>
  </w:abstractNum>
  <w:abstractNum w:abstractNumId="394">
    <w:nsid w:val="6F3E5490"/>
    <w:multiLevelType w:val="hybridMultilevel"/>
    <w:lvl w:ilvl="0">
      <w:lvlJc w:val="left"/>
      <w:lvlText w:val="%1."/>
      <w:numFmt w:val="decimal"/>
      <w:start w:val="4"/>
    </w:lvl>
  </w:abstractNum>
  <w:abstractNum w:abstractNumId="395">
    <w:nsid w:val="1464BE1E"/>
    <w:multiLevelType w:val="hybridMultilevel"/>
    <w:lvl w:ilvl="0">
      <w:lvlJc w:val="left"/>
      <w:lvlText w:val="%1."/>
      <w:numFmt w:val="decimal"/>
      <w:start w:val="5"/>
    </w:lvl>
  </w:abstractNum>
  <w:abstractNum w:abstractNumId="396">
    <w:nsid w:val="66BBB7E5"/>
    <w:multiLevelType w:val="hybridMultilevel"/>
    <w:lvl w:ilvl="0">
      <w:lvlJc w:val="left"/>
      <w:lvlText w:val="(%1)"/>
      <w:numFmt w:val="lowerLetter"/>
      <w:start w:val="1"/>
    </w:lvl>
  </w:abstractNum>
  <w:abstractNum w:abstractNumId="397">
    <w:nsid w:val="28168302"/>
    <w:multiLevelType w:val="hybridMultilevel"/>
    <w:lvl w:ilvl="0">
      <w:lvlJc w:val="left"/>
      <w:lvlText w:val="(%1)"/>
      <w:numFmt w:val="lowerLetter"/>
      <w:start w:val="1"/>
    </w:lvl>
  </w:abstractNum>
  <w:abstractNum w:abstractNumId="398">
    <w:nsid w:val="32A5C7A8"/>
    <w:multiLevelType w:val="hybridMultilevel"/>
    <w:lvl w:ilvl="0">
      <w:lvlJc w:val="left"/>
      <w:lvlText w:val="%1."/>
      <w:numFmt w:val="decimal"/>
      <w:start w:val="6"/>
    </w:lvl>
  </w:abstractNum>
  <w:abstractNum w:abstractNumId="399">
    <w:nsid w:val="3A541011"/>
    <w:multiLevelType w:val="hybridMultilevel"/>
    <w:lvl w:ilvl="0">
      <w:lvlJc w:val="left"/>
      <w:lvlText w:val="%1."/>
      <w:numFmt w:val="decimal"/>
      <w:start w:val="7"/>
    </w:lvl>
  </w:abstractNum>
  <w:abstractNum w:abstractNumId="400">
    <w:nsid w:val="4423C777"/>
    <w:multiLevelType w:val="hybridMultilevel"/>
    <w:lvl w:ilvl="0">
      <w:lvlJc w:val="left"/>
      <w:lvlText w:val="%1."/>
      <w:numFmt w:val="decimal"/>
      <w:start w:val="8"/>
    </w:lvl>
  </w:abstractNum>
  <w:abstractNum w:abstractNumId="401">
    <w:nsid w:val="5F5C6E4D"/>
    <w:multiLevelType w:val="hybridMultilevel"/>
    <w:lvl w:ilvl="0">
      <w:lvlJc w:val="left"/>
      <w:lvlText w:val="%1."/>
      <w:numFmt w:val="decimal"/>
      <w:start w:val="9"/>
    </w:lvl>
  </w:abstractNum>
  <w:abstractNum w:abstractNumId="402">
    <w:nsid w:val="7C2A56CD"/>
    <w:multiLevelType w:val="hybridMultilevel"/>
    <w:lvl w:ilvl="0">
      <w:lvlJc w:val="left"/>
      <w:lvlText w:val="(%1)"/>
      <w:numFmt w:val="lowerLetter"/>
      <w:start w:val="1"/>
    </w:lvl>
  </w:abstractNum>
  <w:abstractNum w:abstractNumId="403">
    <w:nsid w:val="7AB86EE1"/>
    <w:multiLevelType w:val="hybridMultilevel"/>
    <w:lvl w:ilvl="0">
      <w:lvlJc w:val="left"/>
      <w:lvlText w:val="%1."/>
      <w:numFmt w:val="decimal"/>
      <w:start w:val="10"/>
    </w:lvl>
  </w:abstractNum>
  <w:abstractNum w:abstractNumId="404">
    <w:nsid w:val="B54E53B"/>
    <w:multiLevelType w:val="hybridMultilevel"/>
    <w:lvl w:ilvl="0">
      <w:lvlJc w:val="left"/>
      <w:lvlText w:val="(%1)"/>
      <w:numFmt w:val="lowerLetter"/>
      <w:start w:val="1"/>
    </w:lvl>
  </w:abstractNum>
  <w:abstractNum w:abstractNumId="405">
    <w:nsid w:val="2A00487"/>
    <w:multiLevelType w:val="hybridMultilevel"/>
    <w:lvl w:ilvl="0">
      <w:lvlJc w:val="left"/>
      <w:lvlText w:val="(%1)"/>
      <w:numFmt w:val="lowerLetter"/>
      <w:start w:val="1"/>
    </w:lvl>
  </w:abstractNum>
  <w:abstractNum w:abstractNumId="406">
    <w:nsid w:val="6CB1B60"/>
    <w:multiLevelType w:val="hybridMultilevel"/>
    <w:lvl w:ilvl="0">
      <w:lvlJc w:val="left"/>
      <w:lvlText w:val="(%1)"/>
      <w:numFmt w:val="lowerLetter"/>
      <w:start w:val="1"/>
    </w:lvl>
  </w:abstractNum>
  <w:abstractNum w:abstractNumId="407">
    <w:nsid w:val="72EDD574"/>
    <w:multiLevelType w:val="hybridMultilevel"/>
    <w:lvl w:ilvl="0">
      <w:lvlJc w:val="left"/>
      <w:lvlText w:val="%1."/>
      <w:numFmt w:val="decimal"/>
      <w:start w:val="11"/>
    </w:lvl>
  </w:abstractNum>
  <w:abstractNum w:abstractNumId="408">
    <w:nsid w:val="7323808A"/>
    <w:multiLevelType w:val="hybridMultilevel"/>
    <w:lvl w:ilvl="0">
      <w:lvlJc w:val="left"/>
      <w:lvlText w:val="%1."/>
      <w:numFmt w:val="decimal"/>
      <w:start w:val="12"/>
    </w:lvl>
  </w:abstractNum>
  <w:abstractNum w:abstractNumId="409">
    <w:nsid w:val="5157276"/>
    <w:multiLevelType w:val="hybridMultilevel"/>
    <w:lvl w:ilvl="0">
      <w:lvlJc w:val="left"/>
      <w:lvlText w:val="%1."/>
      <w:numFmt w:val="decimal"/>
      <w:start w:val="13"/>
    </w:lvl>
  </w:abstractNum>
  <w:abstractNum w:abstractNumId="410">
    <w:nsid w:val="35A681DB"/>
    <w:multiLevelType w:val="hybridMultilevel"/>
    <w:lvl w:ilvl="0">
      <w:lvlJc w:val="left"/>
      <w:lvlText w:val="%1."/>
      <w:numFmt w:val="decimal"/>
      <w:start w:val="14"/>
    </w:lvl>
  </w:abstractNum>
  <w:abstractNum w:abstractNumId="411">
    <w:nsid w:val="1786C974"/>
    <w:multiLevelType w:val="hybridMultilevel"/>
    <w:lvl w:ilvl="0">
      <w:lvlJc w:val="left"/>
      <w:lvlText w:val="·"/>
      <w:numFmt w:val="bullet"/>
      <w:start w:val="1"/>
    </w:lvl>
  </w:abstractNum>
  <w:abstractNum w:abstractNumId="412">
    <w:nsid w:val="1C2427A1"/>
    <w:multiLevelType w:val="hybridMultilevel"/>
    <w:lvl w:ilvl="0">
      <w:lvlJc w:val="left"/>
      <w:lvlText w:val="%1."/>
      <w:numFmt w:val="decimal"/>
      <w:start w:val="15"/>
    </w:lvl>
  </w:abstractNum>
  <w:abstractNum w:abstractNumId="413">
    <w:nsid w:val="63A24D68"/>
    <w:multiLevelType w:val="hybridMultilevel"/>
    <w:lvl w:ilvl="0">
      <w:lvlJc w:val="left"/>
      <w:lvlText w:val="%1."/>
      <w:numFmt w:val="decimal"/>
      <w:start w:val="16"/>
    </w:lvl>
  </w:abstractNum>
  <w:abstractNum w:abstractNumId="414">
    <w:nsid w:val="4FB7A02A"/>
    <w:multiLevelType w:val="hybridMultilevel"/>
    <w:lvl w:ilvl="0">
      <w:lvlJc w:val="left"/>
      <w:lvlText w:val="%1."/>
      <w:numFmt w:val="decimal"/>
      <w:start w:val="17"/>
    </w:lvl>
  </w:abstractNum>
  <w:abstractNum w:abstractNumId="415">
    <w:nsid w:val="96CF728"/>
    <w:multiLevelType w:val="hybridMultilevel"/>
    <w:lvl w:ilvl="0">
      <w:lvlJc w:val="left"/>
      <w:lvlText w:val="%1."/>
      <w:numFmt w:val="decimal"/>
      <w:start w:val="19"/>
    </w:lvl>
  </w:abstractNum>
  <w:abstractNum w:abstractNumId="416">
    <w:nsid w:val="3B121183"/>
    <w:multiLevelType w:val="hybridMultilevel"/>
    <w:lvl w:ilvl="0">
      <w:lvlJc w:val="left"/>
      <w:lvlText w:val="(%1)"/>
      <w:numFmt w:val="lowerLetter"/>
      <w:start w:val="1"/>
    </w:lvl>
  </w:abstractNum>
  <w:abstractNum w:abstractNumId="417">
    <w:nsid w:val="3459648F"/>
    <w:multiLevelType w:val="hybridMultilevel"/>
    <w:lvl w:ilvl="0">
      <w:lvlJc w:val="left"/>
      <w:lvlText w:val="%1."/>
      <w:numFmt w:val="decimal"/>
      <w:start w:val="20"/>
    </w:lvl>
  </w:abstractNum>
  <w:abstractNum w:abstractNumId="418">
    <w:nsid w:val="3ADF331D"/>
    <w:multiLevelType w:val="hybridMultilevel"/>
    <w:lvl w:ilvl="0">
      <w:lvlJc w:val="left"/>
      <w:lvlText w:val="(%1)"/>
      <w:numFmt w:val="lowerLetter"/>
      <w:start w:val="1"/>
    </w:lvl>
  </w:abstractNum>
  <w:abstractNum w:abstractNumId="419">
    <w:nsid w:val="4D08A9E4"/>
    <w:multiLevelType w:val="hybridMultilevel"/>
    <w:lvl w:ilvl="0">
      <w:lvlJc w:val="left"/>
      <w:lvlText w:val="(%1)"/>
      <w:numFmt w:val="lowerLetter"/>
      <w:start w:val="1"/>
    </w:lvl>
  </w:abstractNum>
  <w:abstractNum w:abstractNumId="420">
    <w:nsid w:val="6AF2BB3A"/>
    <w:multiLevelType w:val="hybridMultilevel"/>
    <w:lvl w:ilvl="0">
      <w:lvlJc w:val="left"/>
      <w:lvlText w:val="(%1)"/>
      <w:numFmt w:val="lowerLetter"/>
      <w:start w:val="2"/>
    </w:lvl>
  </w:abstractNum>
  <w:abstractNum w:abstractNumId="421">
    <w:nsid w:val="481B1739"/>
    <w:multiLevelType w:val="hybridMultilevel"/>
    <w:lvl w:ilvl="0">
      <w:lvlJc w:val="left"/>
      <w:lvlText w:val="(%1)"/>
      <w:numFmt w:val="lowerLetter"/>
      <w:start w:val="1"/>
    </w:lvl>
  </w:abstractNum>
  <w:abstractNum w:abstractNumId="422">
    <w:nsid w:val="19E2BFCC"/>
    <w:multiLevelType w:val="hybridMultilevel"/>
    <w:lvl w:ilvl="0">
      <w:lvlJc w:val="left"/>
      <w:lvlText w:val="(%1)"/>
      <w:numFmt w:val="lowerLetter"/>
      <w:start w:val="1"/>
    </w:lvl>
  </w:abstractNum>
  <w:abstractNum w:abstractNumId="423">
    <w:nsid w:val="66D021CA"/>
    <w:multiLevelType w:val="hybridMultilevel"/>
    <w:lvl w:ilvl="0">
      <w:lvlJc w:val="left"/>
      <w:lvlText w:val="(%1)"/>
      <w:numFmt w:val="lowerLetter"/>
      <w:start w:val="1"/>
    </w:lvl>
  </w:abstractNum>
  <w:abstractNum w:abstractNumId="424">
    <w:nsid w:val="56167394"/>
    <w:multiLevelType w:val="hybridMultilevel"/>
    <w:lvl w:ilvl="0">
      <w:lvlJc w:val="left"/>
      <w:lvlText w:val="(%1)"/>
      <w:numFmt w:val="lowerLetter"/>
      <w:start w:val="3"/>
    </w:lvl>
  </w:abstractNum>
  <w:abstractNum w:abstractNumId="425">
    <w:nsid w:val="921145C"/>
    <w:multiLevelType w:val="hybridMultilevel"/>
    <w:lvl w:ilvl="0">
      <w:lvlJc w:val="left"/>
      <w:lvlText w:val="%1."/>
      <w:numFmt w:val="decimal"/>
      <w:start w:val="21"/>
    </w:lvl>
  </w:abstractNum>
  <w:abstractNum w:abstractNumId="426">
    <w:nsid w:val="7B34DFE8"/>
    <w:multiLevelType w:val="hybridMultilevel"/>
    <w:lvl w:ilvl="0">
      <w:lvlJc w:val="left"/>
      <w:lvlText w:val="%1."/>
      <w:numFmt w:val="decimal"/>
      <w:start w:val="22"/>
    </w:lvl>
  </w:abstractNum>
  <w:abstractNum w:abstractNumId="427">
    <w:nsid w:val="3CD22B79"/>
    <w:multiLevelType w:val="hybridMultilevel"/>
    <w:lvl w:ilvl="0">
      <w:lvlJc w:val="left"/>
      <w:lvlText w:val="%1."/>
      <w:numFmt w:val="decimal"/>
      <w:start w:val="23"/>
    </w:lvl>
  </w:abstractNum>
  <w:abstractNum w:abstractNumId="428">
    <w:nsid w:val="3137975E"/>
    <w:multiLevelType w:val="hybridMultilevel"/>
    <w:lvl w:ilvl="0">
      <w:lvlJc w:val="left"/>
      <w:lvlText w:val="%1."/>
      <w:numFmt w:val="decimal"/>
      <w:start w:val="1"/>
    </w:lvl>
    <w:lvl w:ilvl="1">
      <w:lvlJc w:val="left"/>
      <w:lvlText w:val="(%2)"/>
      <w:numFmt w:val="lowerLetter"/>
      <w:start w:val="1"/>
    </w:lvl>
  </w:abstractNum>
  <w:abstractNum w:abstractNumId="429">
    <w:nsid w:val="2DDAA791"/>
    <w:multiLevelType w:val="hybridMultilevel"/>
    <w:lvl w:ilvl="0">
      <w:lvlJc w:val="left"/>
      <w:lvlText w:val="%1."/>
      <w:numFmt w:val="decimal"/>
      <w:start w:val="1"/>
    </w:lvl>
  </w:abstractNum>
  <w:abstractNum w:abstractNumId="430">
    <w:nsid w:val="77263B8A"/>
    <w:multiLevelType w:val="hybridMultilevel"/>
    <w:lvl w:ilvl="0">
      <w:lvlJc w:val="left"/>
      <w:lvlText w:val="(%1)"/>
      <w:numFmt w:val="lowerLetter"/>
      <w:start w:val="1"/>
    </w:lvl>
  </w:abstractNum>
  <w:abstractNum w:abstractNumId="431">
    <w:nsid w:val="755B5ED6"/>
    <w:multiLevelType w:val="hybridMultilevel"/>
    <w:lvl w:ilvl="0">
      <w:lvlJc w:val="left"/>
      <w:lvlText w:val="(%1)"/>
      <w:numFmt w:val="decimal"/>
      <w:start w:val="10"/>
    </w:lvl>
    <w:lvl w:ilvl="1">
      <w:lvlJc w:val="left"/>
      <w:lvlText w:val="(%2)"/>
      <w:numFmt w:val="lowerLetter"/>
      <w:start w:val="3"/>
    </w:lvl>
  </w:abstractNum>
  <w:abstractNum w:abstractNumId="432">
    <w:nsid w:val="D3715DE"/>
    <w:multiLevelType w:val="hybridMultilevel"/>
    <w:lvl w:ilvl="0">
      <w:lvlJc w:val="left"/>
      <w:lvlText w:val="(%1)"/>
      <w:numFmt w:val="lowerLetter"/>
      <w:start w:val="1"/>
    </w:lvl>
  </w:abstractNum>
  <w:abstractNum w:abstractNumId="433">
    <w:nsid w:val="73509257"/>
    <w:multiLevelType w:val="hybridMultilevel"/>
    <w:lvl w:ilvl="0">
      <w:lvlJc w:val="left"/>
      <w:lvlText w:val="(%1)"/>
      <w:numFmt w:val="lowerLetter"/>
      <w:start w:val="61"/>
    </w:lvl>
    <w:lvl w:ilvl="1">
      <w:lvlJc w:val="left"/>
      <w:lvlText w:val="(%2)"/>
      <w:numFmt w:val="lowerLetter"/>
      <w:start w:val="2"/>
    </w:lvl>
  </w:abstractNum>
  <w:abstractNum w:abstractNumId="434">
    <w:nsid w:val="7013CDB7"/>
    <w:multiLevelType w:val="hybridMultilevel"/>
    <w:lvl w:ilvl="0">
      <w:lvlJc w:val="left"/>
      <w:lvlText w:val="(%1)"/>
      <w:numFmt w:val="lowerLetter"/>
      <w:start w:val="1"/>
    </w:lvl>
  </w:abstractNum>
  <w:abstractNum w:abstractNumId="435">
    <w:nsid w:val="188BFB19"/>
    <w:multiLevelType w:val="hybridMultilevel"/>
    <w:lvl w:ilvl="0">
      <w:lvlJc w:val="left"/>
      <w:lvlText w:val="%1."/>
      <w:numFmt w:val="decimal"/>
      <w:start w:val="2"/>
    </w:lvl>
  </w:abstractNum>
  <w:abstractNum w:abstractNumId="436">
    <w:nsid w:val="75F096DF"/>
    <w:multiLevelType w:val="hybridMultilevel"/>
    <w:lvl w:ilvl="0">
      <w:lvlJc w:val="left"/>
      <w:lvlText w:val="%1"/>
      <w:numFmt w:val="lowerLetter"/>
      <w:start w:val="1"/>
    </w:lvl>
    <w:lvl w:ilvl="1">
      <w:lvlJc w:val="left"/>
      <w:lvlText w:val="(%2)"/>
      <w:numFmt w:val="lowerLetter"/>
      <w:start w:val="1"/>
    </w:lvl>
  </w:abstractNum>
  <w:abstractNum w:abstractNumId="437">
    <w:nsid w:val="76DEE918"/>
    <w:multiLevelType w:val="hybridMultilevel"/>
    <w:lvl w:ilvl="0">
      <w:lvlJc w:val="left"/>
      <w:lvlText w:val="(%1)"/>
      <w:numFmt w:val="lowerLetter"/>
      <w:start w:val="25"/>
    </w:lvl>
    <w:lvl w:ilvl="1">
      <w:lvlJc w:val="left"/>
      <w:lvlText w:val="%2"/>
      <w:numFmt w:val="lowerLetter"/>
      <w:start w:val="1"/>
    </w:lvl>
  </w:abstractNum>
  <w:abstractNum w:abstractNumId="438">
    <w:nsid w:val="B79D08D"/>
    <w:multiLevelType w:val="hybridMultilevel"/>
    <w:lvl w:ilvl="0">
      <w:lvlJc w:val="left"/>
      <w:lvlText w:val="(%1)"/>
      <w:numFmt w:val="lowerLetter"/>
      <w:start w:val="22"/>
    </w:lvl>
    <w:lvl w:ilvl="1">
      <w:lvlJc w:val="left"/>
      <w:lvlText w:val="%2"/>
      <w:numFmt w:val="lowerLetter"/>
      <w:start w:val="1"/>
    </w:lvl>
  </w:abstractNum>
  <w:abstractNum w:abstractNumId="439">
    <w:nsid w:val="69141769"/>
    <w:multiLevelType w:val="hybridMultilevel"/>
    <w:lvl w:ilvl="0">
      <w:lvlJc w:val="left"/>
      <w:lvlText w:val="(%1)"/>
      <w:numFmt w:val="lowerLetter"/>
      <w:start w:val="3"/>
    </w:lvl>
  </w:abstractNum>
  <w:abstractNum w:abstractNumId="440">
    <w:nsid w:val="7BF45B8E"/>
    <w:multiLevelType w:val="hybridMultilevel"/>
    <w:lvl w:ilvl="0">
      <w:lvlJc w:val="left"/>
      <w:lvlText w:val="%1."/>
      <w:numFmt w:val="decimal"/>
      <w:start w:val="3"/>
    </w:lvl>
    <w:lvl w:ilvl="1">
      <w:lvlJc w:val="left"/>
      <w:lvlText w:val="(%2)"/>
      <w:numFmt w:val="lowerLetter"/>
      <w:start w:val="1"/>
    </w:lvl>
  </w:abstractNum>
  <w:abstractNum w:abstractNumId="441">
    <w:nsid w:val="41205269"/>
    <w:multiLevelType w:val="hybridMultilevel"/>
    <w:lvl w:ilvl="0">
      <w:lvlJc w:val="left"/>
      <w:lvlText w:val="(%1)"/>
      <w:numFmt w:val="lowerLetter"/>
      <w:start w:val="2"/>
    </w:lvl>
  </w:abstractNum>
  <w:abstractNum w:abstractNumId="442">
    <w:nsid w:val="9AE0DD"/>
    <w:multiLevelType w:val="hybridMultilevel"/>
    <w:lvl w:ilvl="0">
      <w:lvlJc w:val="left"/>
      <w:lvlText w:val="(%1)"/>
      <w:numFmt w:val="lowerLetter"/>
      <w:start w:val="24"/>
    </w:lvl>
  </w:abstractNum>
  <w:abstractNum w:abstractNumId="443">
    <w:nsid w:val="1818832F"/>
    <w:multiLevelType w:val="hybridMultilevel"/>
    <w:lvl w:ilvl="0">
      <w:lvlJc w:val="left"/>
      <w:lvlText w:val="%1."/>
      <w:numFmt w:val="decimal"/>
      <w:start w:val="4"/>
    </w:lvl>
  </w:abstractNum>
  <w:abstractNum w:abstractNumId="444">
    <w:nsid w:val="24C29FD1"/>
    <w:multiLevelType w:val="hybridMultilevel"/>
    <w:lvl w:ilvl="0">
      <w:lvlJc w:val="left"/>
      <w:lvlText w:val="(%1)"/>
      <w:numFmt w:val="lowerLetter"/>
      <w:start w:val="1"/>
    </w:lvl>
  </w:abstractNum>
  <w:abstractNum w:abstractNumId="445">
    <w:nsid w:val="50528108"/>
    <w:multiLevelType w:val="hybridMultilevel"/>
    <w:lvl w:ilvl="0">
      <w:lvlJc w:val="left"/>
      <w:lvlText w:val="%1"/>
      <w:numFmt w:val="lowerLetter"/>
      <w:start w:val="1"/>
    </w:lvl>
    <w:lvl w:ilvl="1">
      <w:lvlJc w:val="left"/>
      <w:lvlText w:val="(%2)"/>
      <w:numFmt w:val="lowerLetter"/>
      <w:start w:val="2"/>
    </w:lvl>
  </w:abstractNum>
  <w:abstractNum w:abstractNumId="446">
    <w:nsid w:val="21857A57"/>
    <w:multiLevelType w:val="hybridMultilevel"/>
    <w:lvl w:ilvl="0">
      <w:lvlJc w:val="left"/>
      <w:lvlText w:val="(%1)"/>
      <w:numFmt w:val="lowerLetter"/>
      <w:start w:val="22"/>
    </w:lvl>
    <w:lvl w:ilvl="1">
      <w:lvlJc w:val="left"/>
      <w:lvlText w:val="(%2)"/>
      <w:numFmt w:val="lowerLetter"/>
      <w:start w:val="3"/>
    </w:lvl>
  </w:abstractNum>
  <w:abstractNum w:abstractNumId="447">
    <w:nsid w:val="5FD4B154"/>
    <w:multiLevelType w:val="hybridMultilevel"/>
    <w:lvl w:ilvl="0">
      <w:lvlJc w:val="left"/>
      <w:lvlText w:val="%1."/>
      <w:numFmt w:val="decimal"/>
      <w:start w:val="5"/>
    </w:lvl>
    <w:lvl w:ilvl="1">
      <w:lvlJc w:val="left"/>
      <w:lvlText w:val="(%2)"/>
      <w:numFmt w:val="lowerLetter"/>
      <w:start w:val="1"/>
    </w:lvl>
  </w:abstractNum>
  <w:abstractNum w:abstractNumId="448">
    <w:nsid w:val="4ABE597"/>
    <w:multiLevelType w:val="hybridMultilevel"/>
    <w:lvl w:ilvl="0">
      <w:lvlJc w:val="left"/>
      <w:lvlText w:val="(%1)"/>
      <w:numFmt w:val="lowerLetter"/>
      <w:start w:val="1"/>
    </w:lvl>
  </w:abstractNum>
  <w:abstractNum w:abstractNumId="449">
    <w:nsid w:val="5C64AD75"/>
    <w:multiLevelType w:val="hybridMultilevel"/>
    <w:lvl w:ilvl="0">
      <w:lvlJc w:val="left"/>
      <w:lvlText w:val="%1"/>
      <w:numFmt w:val="lowerLetter"/>
      <w:start w:val="1"/>
    </w:lvl>
    <w:lvl w:ilvl="1">
      <w:lvlJc w:val="left"/>
      <w:lvlText w:val="(%2)"/>
      <w:numFmt w:val="lowerLetter"/>
      <w:start w:val="2"/>
    </w:lvl>
  </w:abstractNum>
  <w:abstractNum w:abstractNumId="450">
    <w:nsid w:val="2CDD5B39"/>
    <w:multiLevelType w:val="hybridMultilevel"/>
    <w:lvl w:ilvl="0">
      <w:lvlJc w:val="left"/>
      <w:lvlText w:val="(%1)"/>
      <w:numFmt w:val="lowerLetter"/>
      <w:start w:val="35"/>
    </w:lvl>
    <w:lvl w:ilvl="1">
      <w:lvlJc w:val="left"/>
      <w:lvlText w:val="%2"/>
      <w:numFmt w:val="lowerLetter"/>
      <w:start w:val="1"/>
    </w:lvl>
  </w:abstractNum>
  <w:abstractNum w:abstractNumId="451">
    <w:nsid w:val="6F9EA0D1"/>
    <w:multiLevelType w:val="hybridMultilevel"/>
    <w:lvl w:ilvl="0">
      <w:lvlJc w:val="left"/>
      <w:lvlText w:val="(%1)"/>
      <w:numFmt w:val="lowerRoman"/>
      <w:start w:val="23"/>
    </w:lvl>
  </w:abstractNum>
  <w:abstractNum w:abstractNumId="452">
    <w:nsid w:val="247FC4AE"/>
    <w:multiLevelType w:val="hybridMultilevel"/>
    <w:lvl w:ilvl="0">
      <w:lvlJc w:val="left"/>
      <w:lvlText w:val="(%1)"/>
      <w:numFmt w:val="lowerLetter"/>
      <w:start w:val="3"/>
    </w:lvl>
  </w:abstractNum>
  <w:abstractNum w:abstractNumId="453">
    <w:nsid w:val="46C01B05"/>
    <w:multiLevelType w:val="hybridMultilevel"/>
    <w:lvl w:ilvl="0">
      <w:lvlJc w:val="left"/>
      <w:lvlText w:val="%1"/>
      <w:numFmt w:val="decimal"/>
      <w:start w:val="1"/>
    </w:lvl>
    <w:lvl w:ilvl="1">
      <w:lvlJc w:val="left"/>
      <w:lvlText w:val="(%2)"/>
      <w:numFmt w:val="lowerLetter"/>
      <w:start w:val="4"/>
    </w:lvl>
  </w:abstractNum>
  <w:abstractNum w:abstractNumId="454">
    <w:nsid w:val="566EC29B"/>
    <w:multiLevelType w:val="hybridMultilevel"/>
    <w:lvl w:ilvl="0">
      <w:lvlJc w:val="left"/>
      <w:lvlText w:val="(%1)"/>
      <w:numFmt w:val="decimal"/>
      <w:start w:val="1"/>
    </w:lvl>
    <w:lvl w:ilvl="1">
      <w:lvlJc w:val="left"/>
      <w:lvlText w:val="(%2)"/>
      <w:numFmt w:val="lowerLetter"/>
      <w:start w:val="5"/>
    </w:lvl>
  </w:abstractNum>
  <w:abstractNum w:abstractNumId="455">
    <w:nsid w:val="7A963843"/>
    <w:multiLevelType w:val="hybridMultilevel"/>
    <w:lvl w:ilvl="0">
      <w:lvlJc w:val="left"/>
      <w:lvlText w:val="%1"/>
      <w:numFmt w:val="decimal"/>
      <w:start w:val="1"/>
    </w:lvl>
    <w:lvl w:ilvl="1">
      <w:lvlJc w:val="left"/>
      <w:lvlText w:val="(%2)"/>
      <w:numFmt w:val="lowerLetter"/>
      <w:start w:val="7"/>
    </w:lvl>
  </w:abstractNum>
  <w:abstractNum w:abstractNumId="456">
    <w:nsid w:val="4FE12F61"/>
    <w:multiLevelType w:val="hybridMultilevel"/>
    <w:lvl w:ilvl="0">
      <w:lvlJc w:val="left"/>
      <w:lvlText w:val="(%1)"/>
      <w:numFmt w:val="decimal"/>
      <w:start w:val="90"/>
    </w:lvl>
    <w:lvl w:ilvl="1">
      <w:lvlJc w:val="left"/>
      <w:lvlText w:val="%2"/>
      <w:numFmt w:val="lowerLetter"/>
      <w:start w:val="1"/>
    </w:lvl>
  </w:abstractNum>
  <w:abstractNum w:abstractNumId="457">
    <w:nsid w:val="51A3A284"/>
    <w:multiLevelType w:val="hybridMultilevel"/>
    <w:lvl w:ilvl="0">
      <w:lvlJc w:val="left"/>
      <w:lvlText w:val="(%1)"/>
      <w:numFmt w:val="lowerLetter"/>
      <w:start w:val="1"/>
    </w:lvl>
  </w:abstractNum>
  <w:abstractNum w:abstractNumId="458">
    <w:nsid w:val="376863BC"/>
    <w:multiLevelType w:val="hybridMultilevel"/>
    <w:lvl w:ilvl="0">
      <w:lvlJc w:val="left"/>
      <w:lvlText w:val="%1"/>
      <w:numFmt w:val="decimal"/>
      <w:start w:val="1"/>
    </w:lvl>
    <w:lvl w:ilvl="1">
      <w:lvlJc w:val="left"/>
      <w:lvlText w:val="(%2)"/>
      <w:numFmt w:val="lowerLetter"/>
      <w:start w:val="2"/>
    </w:lvl>
  </w:abstractNum>
  <w:abstractNum w:abstractNumId="459">
    <w:nsid w:val="118C6C0"/>
    <w:multiLevelType w:val="hybridMultilevel"/>
    <w:lvl w:ilvl="0">
      <w:lvlJc w:val="left"/>
      <w:lvlText w:val="(%1)"/>
      <w:numFmt w:val="decimal"/>
      <w:start w:val="30"/>
    </w:lvl>
    <w:lvl w:ilvl="1">
      <w:lvlJc w:val="left"/>
      <w:lvlText w:val="%2"/>
      <w:numFmt w:val="lowerLetter"/>
      <w:start w:val="1"/>
    </w:lvl>
  </w:abstractNum>
  <w:abstractNum w:abstractNumId="460">
    <w:nsid w:val="7F7E4A15"/>
    <w:multiLevelType w:val="hybridMultilevel"/>
    <w:lvl w:ilvl="0">
      <w:lvlJc w:val="left"/>
      <w:lvlText w:val="(%1)"/>
      <w:numFmt w:val="lowerLetter"/>
      <w:start w:val="4"/>
    </w:lvl>
  </w:abstractNum>
  <w:abstractNum w:abstractNumId="461">
    <w:nsid w:val="2E8E9F47"/>
    <w:multiLevelType w:val="hybridMultilevel"/>
    <w:lvl w:ilvl="0">
      <w:lvlJc w:val="left"/>
      <w:lvlText w:val="(%1)"/>
      <w:numFmt w:val="lowerLetter"/>
      <w:start w:val="1"/>
    </w:lvl>
  </w:abstractNum>
  <w:abstractNum w:abstractNumId="462">
    <w:nsid w:val="76742596"/>
    <w:multiLevelType w:val="hybridMultilevel"/>
    <w:lvl w:ilvl="0">
      <w:lvlJc w:val="left"/>
      <w:lvlText w:val="(%1)"/>
      <w:numFmt w:val="lowerLetter"/>
      <w:start w:val="5"/>
    </w:lvl>
  </w:abstractNum>
  <w:abstractNum w:abstractNumId="463">
    <w:nsid w:val="CB55FF3"/>
    <w:multiLevelType w:val="hybridMultilevel"/>
    <w:lvl w:ilvl="0">
      <w:lvlJc w:val="left"/>
      <w:lvlText w:val="%1."/>
      <w:numFmt w:val="decimal"/>
      <w:start w:val="6"/>
    </w:lvl>
  </w:abstractNum>
  <w:abstractNum w:abstractNumId="464">
    <w:nsid w:val="21DF319E"/>
    <w:multiLevelType w:val="hybridMultilevel"/>
    <w:lvl w:ilvl="0">
      <w:lvlJc w:val="left"/>
      <w:lvlText w:val="%1."/>
      <w:numFmt w:val="decimal"/>
      <w:start w:val="7"/>
    </w:lvl>
  </w:abstractNum>
  <w:abstractNum w:abstractNumId="465">
    <w:nsid w:val="6687F34D"/>
    <w:multiLevelType w:val="hybridMultilevel"/>
    <w:lvl w:ilvl="0">
      <w:lvlJc w:val="left"/>
      <w:lvlText w:val="(%1)"/>
      <w:numFmt w:val="decimal"/>
      <w:start w:val="1"/>
    </w:lvl>
  </w:abstractNum>
  <w:abstractNum w:abstractNumId="466">
    <w:nsid w:val="25415B0C"/>
    <w:multiLevelType w:val="hybridMultilevel"/>
    <w:lvl w:ilvl="0">
      <w:lvlJc w:val="left"/>
      <w:lvlText w:val="(%1)"/>
      <w:numFmt w:val="lowerLetter"/>
      <w:start w:val="1"/>
    </w:lvl>
  </w:abstractNum>
  <w:abstractNum w:abstractNumId="467">
    <w:nsid w:val="17CFC87D"/>
    <w:multiLevelType w:val="hybridMultilevel"/>
    <w:lvl w:ilvl="0">
      <w:lvlJc w:val="left"/>
      <w:lvlText w:val="%1."/>
      <w:numFmt w:val="decimal"/>
      <w:start w:val="8"/>
    </w:lvl>
  </w:abstractNum>
  <w:abstractNum w:abstractNumId="468">
    <w:nsid w:val="5D66DC65"/>
    <w:multiLevelType w:val="hybridMultilevel"/>
    <w:lvl w:ilvl="0">
      <w:lvlJc w:val="left"/>
      <w:lvlText w:val="%1."/>
      <w:numFmt w:val="decimal"/>
      <w:start w:val="9"/>
    </w:lvl>
  </w:abstractNum>
  <w:abstractNum w:abstractNumId="469">
    <w:nsid w:val="30BB2B99"/>
    <w:multiLevelType w:val="hybridMultilevel"/>
    <w:lvl w:ilvl="0">
      <w:lvlJc w:val="left"/>
      <w:lvlText w:val="%1."/>
      <w:numFmt w:val="decimal"/>
      <w:start w:val="10"/>
    </w:lvl>
  </w:abstractNum>
  <w:abstractNum w:abstractNumId="470">
    <w:nsid w:val="E3DFE6"/>
    <w:multiLevelType w:val="hybridMultilevel"/>
    <w:lvl w:ilvl="0">
      <w:lvlJc w:val="left"/>
      <w:lvlText w:val="%1"/>
      <w:numFmt w:val="decimal"/>
      <w:start w:val="1"/>
    </w:lvl>
    <w:lvl w:ilvl="1">
      <w:lvlJc w:val="left"/>
      <w:lvlText w:val="(%2)"/>
      <w:numFmt w:val="lowerLetter"/>
      <w:start w:val="1"/>
    </w:lvl>
  </w:abstractNum>
  <w:abstractNum w:abstractNumId="471">
    <w:nsid w:val="595B37F3"/>
    <w:multiLevelType w:val="hybridMultilevel"/>
    <w:lvl w:ilvl="0">
      <w:lvlJc w:val="left"/>
      <w:lvlText w:val="(%1)"/>
      <w:numFmt w:val="decimal"/>
      <w:start w:val="90"/>
    </w:lvl>
    <w:lvl w:ilvl="1">
      <w:lvlJc w:val="left"/>
      <w:lvlText w:val="%2"/>
      <w:numFmt w:val="lowerLetter"/>
      <w:start w:val="1"/>
    </w:lvl>
  </w:abstractNum>
  <w:abstractNum w:abstractNumId="472">
    <w:nsid w:val="71DB7E02"/>
    <w:multiLevelType w:val="hybridMultilevel"/>
    <w:lvl w:ilvl="0">
      <w:lvlJc w:val="left"/>
      <w:lvlText w:val="%1"/>
      <w:numFmt w:val="decimal"/>
      <w:start w:val="1"/>
    </w:lvl>
    <w:lvl w:ilvl="1">
      <w:lvlJc w:val="left"/>
      <w:lvlText w:val="(%2)"/>
      <w:numFmt w:val="lowerLetter"/>
      <w:start w:val="3"/>
    </w:lvl>
  </w:abstractNum>
  <w:abstractNum w:abstractNumId="473">
    <w:nsid w:val="17EC0C4"/>
    <w:multiLevelType w:val="hybridMultilevel"/>
    <w:lvl w:ilvl="0">
      <w:lvlJc w:val="left"/>
      <w:lvlText w:val="%1."/>
      <w:numFmt w:val="decimal"/>
      <w:start w:val="11"/>
    </w:lvl>
    <w:lvl w:ilvl="1">
      <w:lvlJc w:val="left"/>
      <w:lvlText w:val="(%2)"/>
      <w:numFmt w:val="lowerLetter"/>
      <w:start w:val="1"/>
    </w:lvl>
  </w:abstractNum>
  <w:abstractNum w:abstractNumId="474">
    <w:nsid w:val="7173BB22"/>
    <w:multiLevelType w:val="hybridMultilevel"/>
    <w:lvl w:ilvl="0">
      <w:lvlJc w:val="left"/>
      <w:lvlText w:val="(%1)"/>
      <w:numFmt w:val="lowerLetter"/>
      <w:start w:val="2"/>
    </w:lvl>
  </w:abstractNum>
  <w:abstractNum w:abstractNumId="475">
    <w:nsid w:val="169E1DD3"/>
    <w:multiLevelType w:val="hybridMultilevel"/>
    <w:lvl w:ilvl="0">
      <w:lvlJc w:val="left"/>
      <w:lvlText w:val="%1."/>
      <w:numFmt w:val="decimal"/>
      <w:start w:val="12"/>
    </w:lvl>
  </w:abstractNum>
  <w:abstractNum w:abstractNumId="476">
    <w:nsid w:val="51D141CC"/>
    <w:multiLevelType w:val="hybridMultilevel"/>
    <w:lvl w:ilvl="0">
      <w:lvlJc w:val="left"/>
      <w:lvlText w:val="%1."/>
      <w:numFmt w:val="decimal"/>
      <w:start w:val="13"/>
    </w:lvl>
  </w:abstractNum>
  <w:abstractNum w:abstractNumId="477">
    <w:nsid w:val="12F9357A"/>
    <w:multiLevelType w:val="hybridMultilevel"/>
    <w:lvl w:ilvl="0">
      <w:lvlJc w:val="left"/>
      <w:lvlText w:val="%1"/>
      <w:numFmt w:val="lowerLetter"/>
      <w:start w:val="1"/>
    </w:lvl>
    <w:lvl w:ilvl="1">
      <w:lvlJc w:val="left"/>
      <w:lvlText w:val="(%2)"/>
      <w:numFmt w:val="lowerLetter"/>
      <w:start w:val="1"/>
    </w:lvl>
  </w:abstractNum>
  <w:abstractNum w:abstractNumId="478">
    <w:nsid w:val="7672CF28"/>
    <w:multiLevelType w:val="hybridMultilevel"/>
    <w:lvl w:ilvl="0">
      <w:lvlJc w:val="left"/>
      <w:lvlText w:val="(%1)"/>
      <w:numFmt w:val="lowerLetter"/>
      <w:start w:val="61"/>
    </w:lvl>
    <w:lvl w:ilvl="1">
      <w:lvlJc w:val="left"/>
      <w:lvlText w:val="(%2)"/>
      <w:numFmt w:val="lowerLetter"/>
      <w:start w:val="2"/>
    </w:lvl>
  </w:abstractNum>
  <w:abstractNum w:abstractNumId="479">
    <w:nsid w:val="567D2763"/>
    <w:multiLevelType w:val="hybridMultilevel"/>
    <w:lvl w:ilvl="0">
      <w:lvlJc w:val="left"/>
      <w:lvlText w:val="%1."/>
      <w:numFmt w:val="decimal"/>
      <w:start w:val="14"/>
    </w:lvl>
    <w:lvl w:ilvl="1">
      <w:lvlJc w:val="left"/>
      <w:lvlText w:val="(%2)"/>
      <w:numFmt w:val="lowerLetter"/>
      <w:start w:val="1"/>
    </w:lvl>
  </w:abstractNum>
  <w:abstractNum w:abstractNumId="480">
    <w:nsid w:val="6F5DE2EF"/>
    <w:multiLevelType w:val="hybridMultilevel"/>
    <w:lvl w:ilvl="0">
      <w:lvlJc w:val="left"/>
      <w:lvlText w:val="(%1)"/>
      <w:numFmt w:val="lowerLetter"/>
      <w:start w:val="1"/>
    </w:lvl>
  </w:abstractNum>
  <w:abstractNum w:abstractNumId="481">
    <w:nsid w:val="23502A61"/>
    <w:multiLevelType w:val="hybridMultilevel"/>
    <w:lvl w:ilvl="0">
      <w:lvlJc w:val="left"/>
      <w:lvlText w:val="%1."/>
      <w:numFmt w:val="decimal"/>
      <w:start w:val="15"/>
    </w:lvl>
  </w:abstractNum>
  <w:abstractNum w:abstractNumId="482">
    <w:nsid w:val="461BC834"/>
    <w:multiLevelType w:val="hybridMultilevel"/>
    <w:lvl w:ilvl="0">
      <w:lvlJc w:val="left"/>
      <w:lvlText w:val="(%1)"/>
      <w:numFmt w:val="lowerLetter"/>
      <w:start w:val="1"/>
    </w:lvl>
    <w:lvl w:ilvl="1">
      <w:lvlJc w:val="left"/>
      <w:lvlText w:val="(%2)"/>
      <w:numFmt w:val="lowerRoman"/>
      <w:start w:val="1"/>
    </w:lvl>
  </w:abstractNum>
  <w:abstractNum w:abstractNumId="483">
    <w:nsid w:val="13DDA79D"/>
    <w:multiLevelType w:val="hybridMultilevel"/>
    <w:lvl w:ilvl="0">
      <w:lvlJc w:val="left"/>
      <w:lvlText w:val="(%1)"/>
      <w:numFmt w:val="lowerLetter"/>
      <w:start w:val="3"/>
    </w:lvl>
    <w:lvl w:ilvl="1">
      <w:lvlJc w:val="left"/>
      <w:lvlText w:val="(%2)"/>
      <w:numFmt w:val="lowerRoman"/>
      <w:start w:val="1"/>
    </w:lvl>
  </w:abstractNum>
  <w:abstractNum w:abstractNumId="484">
    <w:nsid w:val="6A104566"/>
    <w:multiLevelType w:val="hybridMultilevel"/>
    <w:lvl w:ilvl="0">
      <w:lvlJc w:val="left"/>
      <w:lvlText w:val="%1."/>
      <w:numFmt w:val="decimal"/>
      <w:start w:val="16"/>
    </w:lvl>
  </w:abstractNum>
  <w:abstractNum w:abstractNumId="485">
    <w:nsid w:val="1C8A8ACF"/>
    <w:multiLevelType w:val="hybridMultilevel"/>
    <w:lvl w:ilvl="0">
      <w:lvlJc w:val="left"/>
      <w:lvlText w:val="%1."/>
      <w:numFmt w:val="decimal"/>
      <w:start w:val="17"/>
    </w:lvl>
  </w:abstractNum>
  <w:abstractNum w:abstractNumId="486">
    <w:nsid w:val="E73DFE0"/>
    <w:multiLevelType w:val="hybridMultilevel"/>
    <w:lvl w:ilvl="0">
      <w:lvlJc w:val="left"/>
      <w:lvlText w:val="(%1)"/>
      <w:numFmt w:val="lowerLetter"/>
      <w:start w:val="1"/>
    </w:lvl>
  </w:abstractNum>
  <w:abstractNum w:abstractNumId="487">
    <w:nsid w:val="39F174C7"/>
    <w:multiLevelType w:val="hybridMultilevel"/>
    <w:lvl w:ilvl="0">
      <w:lvlJc w:val="left"/>
      <w:lvlText w:val="(%1)"/>
      <w:numFmt w:val="lowerLetter"/>
      <w:start w:val="2"/>
    </w:lvl>
  </w:abstractNum>
  <w:abstractNum w:abstractNumId="488">
    <w:nsid w:val="6E2E2D53"/>
    <w:multiLevelType w:val="hybridMultilevel"/>
    <w:lvl w:ilvl="0">
      <w:lvlJc w:val="left"/>
      <w:lvlText w:val="(%1)"/>
      <w:numFmt w:val="lowerRoman"/>
      <w:start w:val="1"/>
    </w:lvl>
  </w:abstractNum>
  <w:abstractNum w:abstractNumId="489">
    <w:nsid w:val="45DC439D"/>
    <w:multiLevelType w:val="hybridMultilevel"/>
    <w:lvl w:ilvl="0">
      <w:lvlJc w:val="left"/>
      <w:lvlText w:val="(%1)"/>
      <w:numFmt w:val="lowerLetter"/>
      <w:start w:val="3"/>
    </w:lvl>
    <w:lvl w:ilvl="1">
      <w:lvlJc w:val="left"/>
      <w:lvlText w:val="(%2)"/>
      <w:numFmt w:val="lowerRoman"/>
      <w:start w:val="1"/>
    </w:lvl>
  </w:abstractNum>
  <w:abstractNum w:abstractNumId="490">
    <w:nsid w:val="3B0A3B87"/>
    <w:multiLevelType w:val="hybridMultilevel"/>
    <w:lvl w:ilvl="0">
      <w:lvlJc w:val="left"/>
      <w:lvlText w:val="(%1)"/>
      <w:numFmt w:val="upperLetter"/>
      <w:start w:val="2"/>
    </w:lvl>
  </w:abstractNum>
  <w:abstractNum w:abstractNumId="491">
    <w:nsid w:val="6DAC7768"/>
    <w:multiLevelType w:val="hybridMultilevel"/>
    <w:lvl w:ilvl="0">
      <w:lvlJc w:val="left"/>
      <w:lvlText w:val="(%1)"/>
      <w:numFmt w:val="lowerLetter"/>
      <w:start w:val="4"/>
    </w:lvl>
  </w:abstractNum>
  <w:abstractNum w:abstractNumId="492">
    <w:nsid w:val="746AE2E4"/>
    <w:multiLevelType w:val="hybridMultilevel"/>
    <w:lvl w:ilvl="0">
      <w:lvlJc w:val="left"/>
      <w:lvlText w:val="(%1)"/>
      <w:numFmt w:val="lowerLetter"/>
      <w:start w:val="1"/>
    </w:lvl>
  </w:abstractNum>
  <w:abstractNum w:abstractNumId="493">
    <w:nsid w:val="317E611D"/>
    <w:multiLevelType w:val="hybridMultilevel"/>
    <w:lvl w:ilvl="0">
      <w:lvlJc w:val="left"/>
      <w:lvlText w:val="(%1)"/>
      <w:numFmt w:val="lowerLetter"/>
      <w:start w:val="2"/>
    </w:lvl>
  </w:abstractNum>
  <w:abstractNum w:abstractNumId="494">
    <w:nsid w:val="7A61D75B"/>
    <w:multiLevelType w:val="hybridMultilevel"/>
    <w:lvl w:ilvl="0">
      <w:lvlJc w:val="left"/>
      <w:lvlText w:val="(%1)"/>
      <w:numFmt w:val="lowerLetter"/>
      <w:start w:val="5"/>
    </w:lvl>
  </w:abstractNum>
  <w:abstractNum w:abstractNumId="495">
    <w:nsid w:val="164A1482"/>
    <w:multiLevelType w:val="hybridMultilevel"/>
    <w:lvl w:ilvl="0">
      <w:lvlJc w:val="left"/>
      <w:lvlText w:val="%1."/>
      <w:numFmt w:val="decimal"/>
      <w:start w:val="18"/>
    </w:lvl>
  </w:abstractNum>
  <w:abstractNum w:abstractNumId="496">
    <w:nsid w:val="1806546B"/>
    <w:multiLevelType w:val="hybridMultilevel"/>
    <w:lvl w:ilvl="0">
      <w:lvlJc w:val="left"/>
      <w:lvlText w:val="(%1)"/>
      <w:numFmt w:val="lowerRoman"/>
      <w:start w:val="2"/>
    </w:lvl>
  </w:abstractNum>
  <w:abstractNum w:abstractNumId="497">
    <w:nsid w:val="1FA33267"/>
    <w:multiLevelType w:val="hybridMultilevel"/>
    <w:lvl w:ilvl="0">
      <w:lvlJc w:val="left"/>
      <w:lvlText w:val="%1."/>
      <w:numFmt w:val="decimal"/>
      <w:start w:val="19"/>
    </w:lvl>
    <w:lvl w:ilvl="1">
      <w:lvlJc w:val="left"/>
      <w:lvlText w:val="(%2)"/>
      <w:numFmt w:val="lowerLetter"/>
      <w:start w:val="1"/>
    </w:lvl>
  </w:abstractNum>
  <w:abstractNum w:abstractNumId="498">
    <w:nsid w:val="2E19DD00"/>
    <w:multiLevelType w:val="hybridMultilevel"/>
    <w:lvl w:ilvl="0">
      <w:lvlJc w:val="left"/>
      <w:lvlText w:val="(%1)"/>
      <w:numFmt w:val="lowerLetter"/>
      <w:start w:val="2"/>
    </w:lvl>
  </w:abstractNum>
  <w:abstractNum w:abstractNumId="499">
    <w:nsid w:val="756D30D0"/>
    <w:multiLevelType w:val="hybridMultilevel"/>
    <w:lvl w:ilvl="0">
      <w:lvlJc w:val="left"/>
      <w:lvlText w:val="%1."/>
      <w:numFmt w:val="decimal"/>
      <w:start w:val="20"/>
    </w:lvl>
    <w:lvl w:ilvl="1">
      <w:lvlJc w:val="left"/>
      <w:lvlText w:val="(%2)"/>
      <w:numFmt w:val="lowerLetter"/>
      <w:start w:val="1"/>
    </w:lvl>
  </w:abstractNum>
  <w:abstractNum w:abstractNumId="500">
    <w:nsid w:val="505E5E01"/>
    <w:multiLevelType w:val="hybridMultilevel"/>
    <w:lvl w:ilvl="0">
      <w:lvlJc w:val="left"/>
      <w:lvlText w:val="(%1)"/>
      <w:numFmt w:val="lowerLetter"/>
      <w:start w:val="4"/>
    </w:lvl>
  </w:abstractNum>
  <w:abstractNum w:abstractNumId="501">
    <w:nsid w:val="2EFDBCE6"/>
    <w:multiLevelType w:val="hybridMultilevel"/>
    <w:lvl w:ilvl="0">
      <w:lvlJc w:val="left"/>
      <w:lvlText w:val="(%1)"/>
      <w:numFmt w:val="lowerLetter"/>
      <w:start w:val="5"/>
    </w:lvl>
  </w:abstractNum>
  <w:abstractNum w:abstractNumId="502">
    <w:nsid w:val="4EC868C4"/>
    <w:multiLevelType w:val="hybridMultilevel"/>
    <w:lvl w:ilvl="0">
      <w:lvlJc w:val="left"/>
      <w:lvlText w:val="(%1)"/>
      <w:numFmt w:val="lowerLetter"/>
      <w:start w:val="1"/>
    </w:lvl>
    <w:lvl w:ilvl="1">
      <w:lvlJc w:val="left"/>
      <w:lvlText w:val="(%2)"/>
      <w:numFmt w:val="lowerRoman"/>
      <w:start w:val="1"/>
    </w:lvl>
  </w:abstractNum>
  <w:abstractNum w:abstractNumId="503">
    <w:nsid w:val="4239DC03"/>
    <w:multiLevelType w:val="hybridMultilevel"/>
    <w:lvl w:ilvl="0">
      <w:lvlJc w:val="left"/>
      <w:lvlText w:val="(%1)"/>
      <w:numFmt w:val="lowerLetter"/>
      <w:start w:val="2"/>
    </w:lvl>
  </w:abstractNum>
  <w:abstractNum w:abstractNumId="504">
    <w:nsid w:val="307C7DAA"/>
    <w:multiLevelType w:val="hybridMultilevel"/>
    <w:lvl w:ilvl="0">
      <w:lvlJc w:val="left"/>
      <w:lvlText w:val="(%1)"/>
      <w:numFmt w:val="lowerLetter"/>
      <w:start w:val="1"/>
    </w:lvl>
  </w:abstractNum>
  <w:abstractNum w:abstractNumId="505">
    <w:nsid w:val="403C23E6"/>
    <w:multiLevelType w:val="hybridMultilevel"/>
    <w:lvl w:ilvl="0">
      <w:lvlJc w:val="left"/>
      <w:lvlText w:val="(%1)"/>
      <w:numFmt w:val="lowerLetter"/>
      <w:start w:val="2"/>
    </w:lvl>
  </w:abstractNum>
  <w:abstractNum w:abstractNumId="506">
    <w:nsid w:val="58D7F9D7"/>
    <w:multiLevelType w:val="hybridMultilevel"/>
    <w:lvl w:ilvl="0">
      <w:lvlJc w:val="left"/>
      <w:lvlText w:val="%1."/>
      <w:numFmt w:val="decimal"/>
      <w:start w:val="21"/>
    </w:lvl>
    <w:lvl w:ilvl="1">
      <w:lvlJc w:val="left"/>
      <w:lvlText w:val="(%2)"/>
      <w:numFmt w:val="lowerLetter"/>
      <w:start w:val="1"/>
    </w:lvl>
  </w:abstractNum>
  <w:abstractNum w:abstractNumId="507">
    <w:nsid w:val="24DBF76"/>
    <w:multiLevelType w:val="hybridMultilevel"/>
    <w:lvl w:ilvl="0">
      <w:lvlJc w:val="left"/>
      <w:lvlText w:val="(%1)"/>
      <w:numFmt w:val="lowerLetter"/>
      <w:start w:val="3"/>
    </w:lvl>
  </w:abstractNum>
  <w:abstractNum w:abstractNumId="508">
    <w:nsid w:val="53355960"/>
    <w:multiLevelType w:val="hybridMultilevel"/>
    <w:lvl w:ilvl="0">
      <w:lvlJc w:val="left"/>
      <w:lvlText w:val="%1."/>
      <w:numFmt w:val="decimal"/>
      <w:start w:val="22"/>
    </w:lvl>
  </w:abstractNum>
  <w:abstractNum w:abstractNumId="509">
    <w:nsid w:val="4F4AC8FF"/>
    <w:multiLevelType w:val="hybridMultilevel"/>
    <w:lvl w:ilvl="0">
      <w:lvlJc w:val="left"/>
      <w:lvlText w:val="(%1)"/>
      <w:numFmt w:val="lowerRoman"/>
      <w:start w:val="4"/>
    </w:lvl>
  </w:abstractNum>
  <w:abstractNum w:abstractNumId="510">
    <w:nsid w:val="58CAE6D9"/>
    <w:multiLevelType w:val="hybridMultilevel"/>
    <w:lvl w:ilvl="0">
      <w:lvlJc w:val="left"/>
      <w:lvlText w:val="%1."/>
      <w:numFmt w:val="decimal"/>
      <w:start w:val="23"/>
    </w:lvl>
  </w:abstractNum>
  <w:abstractNum w:abstractNumId="511">
    <w:nsid w:val="42933C4F"/>
    <w:multiLevelType w:val="hybridMultilevel"/>
    <w:lvl w:ilvl="0">
      <w:lvlJc w:val="left"/>
      <w:lvlText w:val="%1."/>
      <w:numFmt w:val="decimal"/>
      <w:start w:val="24"/>
    </w:lvl>
  </w:abstractNum>
  <w:abstractNum w:abstractNumId="512">
    <w:nsid w:val="729AF360"/>
    <w:multiLevelType w:val="hybridMultilevel"/>
    <w:lvl w:ilvl="0">
      <w:lvlJc w:val="left"/>
      <w:lvlText w:val="%1."/>
      <w:numFmt w:val="decimal"/>
      <w:start w:val="25"/>
    </w:lvl>
  </w:abstractNum>
  <w:abstractNum w:abstractNumId="513">
    <w:nsid w:val="1EE6AF0D"/>
    <w:multiLevelType w:val="hybridMultilevel"/>
    <w:lvl w:ilvl="0">
      <w:lvlJc w:val="left"/>
      <w:lvlText w:val="(%1)"/>
      <w:numFmt w:val="lowerLetter"/>
      <w:start w:val="1"/>
    </w:lvl>
  </w:abstractNum>
  <w:abstractNum w:abstractNumId="514">
    <w:nsid w:val="5670E3ED"/>
    <w:multiLevelType w:val="hybridMultilevel"/>
    <w:lvl w:ilvl="0">
      <w:lvlJc w:val="left"/>
      <w:lvlText w:val="(%1)"/>
      <w:numFmt w:val="lowerLetter"/>
      <w:start w:val="1"/>
    </w:lvl>
  </w:abstractNum>
  <w:abstractNum w:abstractNumId="515">
    <w:nsid w:val="5CAB38C6"/>
    <w:multiLevelType w:val="hybridMultilevel"/>
    <w:lvl w:ilvl="0">
      <w:lvlJc w:val="left"/>
      <w:lvlText w:val="(%1)"/>
      <w:numFmt w:val="lowerLetter"/>
      <w:start w:val="3"/>
    </w:lvl>
  </w:abstractNum>
  <w:abstractNum w:abstractNumId="516">
    <w:nsid w:val="3B7139DD"/>
    <w:multiLevelType w:val="hybridMultilevel"/>
    <w:lvl w:ilvl="0">
      <w:lvlJc w:val="left"/>
      <w:lvlText w:val="\rdblquote"/>
      <w:numFmt w:val="bullet"/>
      <w:start w:val="1"/>
    </w:lvl>
  </w:abstractNum>
  <w:abstractNum w:abstractNumId="517">
    <w:nsid w:val="64E4C3CD"/>
    <w:multiLevelType w:val="hybridMultilevel"/>
    <w:lvl w:ilvl="0">
      <w:lvlJc w:val="left"/>
      <w:lvlText w:val="%1."/>
      <w:numFmt w:val="upperLetter"/>
      <w:start w:val="1"/>
    </w:lvl>
  </w:abstractNum>
  <w:abstractNum w:abstractNumId="518">
    <w:nsid w:val="169CAD8D"/>
    <w:multiLevelType w:val="hybridMultilevel"/>
    <w:lvl w:ilvl="0">
      <w:lvlJc w:val="left"/>
      <w:lvlText w:val="%1."/>
      <w:numFmt w:val="decimal"/>
      <w:start w:val="1"/>
    </w:lvl>
  </w:abstractNum>
  <w:abstractNum w:abstractNumId="519">
    <w:nsid w:val="299F6730"/>
    <w:multiLevelType w:val="hybridMultilevel"/>
    <w:lvl w:ilvl="0">
      <w:lvlJc w:val="left"/>
      <w:lvlText w:val="%1."/>
      <w:numFmt w:val="decimal"/>
      <w:start w:val="13"/>
    </w:lvl>
  </w:abstractNum>
  <w:abstractNum w:abstractNumId="520">
    <w:nsid w:val="2AC1076A"/>
    <w:multiLevelType w:val="hybridMultilevel"/>
    <w:lvl w:ilvl="0">
      <w:lvlJc w:val="left"/>
      <w:lvlText w:val="%1."/>
      <w:numFmt w:val="decimal"/>
      <w:start w:val="23"/>
    </w:lvl>
  </w:abstractNum>
  <w:abstractNum w:abstractNumId="521">
    <w:nsid w:val="51A6E915"/>
    <w:multiLevelType w:val="hybridMultilevel"/>
    <w:lvl w:ilvl="0">
      <w:lvlJc w:val="left"/>
      <w:lvlText w:val="%1."/>
      <w:numFmt w:val="upperLetter"/>
      <w:start w:val="2"/>
    </w:lvl>
  </w:abstractNum>
  <w:abstractNum w:abstractNumId="522">
    <w:nsid w:val="174BDE99"/>
    <w:multiLevelType w:val="hybridMultilevel"/>
    <w:lvl w:ilvl="0">
      <w:lvlJc w:val="left"/>
      <w:lvlText w:val="%1."/>
      <w:numFmt w:val="decimal"/>
      <w:start w:val="1"/>
    </w:lvl>
  </w:abstractNum>
  <w:abstractNum w:abstractNumId="523">
    <w:nsid w:val="1F2BEA4E"/>
    <w:multiLevelType w:val="hybridMultilevel"/>
    <w:lvl w:ilvl="0">
      <w:lvlJc w:val="left"/>
      <w:lvlText w:val="%1."/>
      <w:numFmt w:val="upperLetter"/>
      <w:start w:val="3"/>
    </w:lvl>
  </w:abstractNum>
  <w:abstractNum w:abstractNumId="524">
    <w:nsid w:val="3254A32"/>
    <w:multiLevelType w:val="hybridMultilevel"/>
    <w:lvl w:ilvl="0">
      <w:lvlJc w:val="left"/>
      <w:lvlText w:val="%1."/>
      <w:numFmt w:val="decimal"/>
      <w:start w:val="1"/>
    </w:lvl>
  </w:abstractNum>
  <w:abstractNum w:abstractNumId="525">
    <w:nsid w:val="11ADB5F4"/>
    <w:multiLevelType w:val="hybridMultilevel"/>
    <w:lvl w:ilvl="0">
      <w:lvlJc w:val="left"/>
      <w:lvlText w:val="(%1)"/>
      <w:numFmt w:val="decimal"/>
      <w:start w:val="1"/>
    </w:lvl>
  </w:abstractNum>
  <w:abstractNum w:abstractNumId="526">
    <w:nsid w:val="3575FED1"/>
    <w:multiLevelType w:val="hybridMultilevel"/>
    <w:lvl w:ilvl="0">
      <w:lvlJc w:val="left"/>
      <w:lvlText w:val="(%1)"/>
      <w:numFmt w:val="decimal"/>
      <w:start w:val="2"/>
    </w:lvl>
  </w:abstractNum>
  <w:abstractNum w:abstractNumId="527">
    <w:nsid w:val="1B2B9E9D"/>
    <w:multiLevelType w:val="hybridMultilevel"/>
    <w:lvl w:ilvl="0">
      <w:lvlJc w:val="left"/>
      <w:lvlText w:val="(%1)"/>
      <w:numFmt w:val="lowerLetter"/>
      <w:start w:val="2"/>
    </w:lvl>
  </w:abstractNum>
  <w:abstractNum w:abstractNumId="528">
    <w:nsid w:val="3150E85C"/>
    <w:multiLevelType w:val="hybridMultilevel"/>
    <w:lvl w:ilvl="0">
      <w:lvlJc w:val="left"/>
      <w:lvlText w:val="(%1)"/>
      <w:numFmt w:val="decimal"/>
      <w:start w:val="3"/>
    </w:lvl>
  </w:abstractNum>
  <w:abstractNum w:abstractNumId="529">
    <w:nsid w:val="638FDBD1"/>
    <w:multiLevelType w:val="hybridMultilevel"/>
    <w:lvl w:ilvl="0">
      <w:lvlJc w:val="left"/>
      <w:lvlText w:val="·"/>
      <w:numFmt w:val="bullet"/>
      <w:start w:val="1"/>
    </w:lvl>
  </w:abstractNum>
  <w:abstractNum w:abstractNumId="530">
    <w:nsid w:val="1098CF6E"/>
    <w:multiLevelType w:val="hybridMultilevel"/>
    <w:lvl w:ilvl="0">
      <w:lvlJc w:val="left"/>
      <w:lvlText w:val="·"/>
      <w:numFmt w:val="bullet"/>
      <w:start w:val="1"/>
    </w:lvl>
  </w:abstractNum>
  <w:abstractNum w:abstractNumId="531">
    <w:nsid w:val="1AF465D"/>
    <w:multiLevelType w:val="hybridMultilevel"/>
    <w:lvl w:ilvl="0">
      <w:lvlJc w:val="left"/>
      <w:lvlText w:val="·"/>
      <w:numFmt w:val="bullet"/>
      <w:start w:val="1"/>
    </w:lvl>
  </w:abstractNum>
  <w:abstractNum w:abstractNumId="532">
    <w:nsid w:val="128D98B7"/>
    <w:multiLevelType w:val="hybridMultilevel"/>
    <w:lvl w:ilvl="0">
      <w:lvlJc w:val="left"/>
      <w:lvlText w:val="·"/>
      <w:numFmt w:val="bullet"/>
      <w:start w:val="1"/>
    </w:lvl>
  </w:abstractNum>
  <w:abstractNum w:abstractNumId="533">
    <w:nsid w:val="5F613832"/>
    <w:multiLevelType w:val="hybridMultilevel"/>
    <w:lvl w:ilvl="0">
      <w:lvlJc w:val="left"/>
      <w:lvlText w:val="*"/>
      <w:numFmt w:val="bullet"/>
      <w:start w:val="1"/>
    </w:lvl>
  </w:abstractNum>
  <w:abstractNum w:abstractNumId="534">
    <w:nsid w:val="43E92260"/>
    <w:multiLevelType w:val="hybridMultilevel"/>
    <w:lvl w:ilvl="0">
      <w:lvlJc w:val="left"/>
      <w:lvlText w:val="*"/>
      <w:numFmt w:val="bullet"/>
      <w:start w:val="1"/>
    </w:lvl>
  </w:abstractNum>
  <w:abstractNum w:abstractNumId="535">
    <w:nsid w:val="430A1662"/>
    <w:multiLevelType w:val="hybridMultilevel"/>
    <w:lvl w:ilvl="0">
      <w:lvlJc w:val="left"/>
      <w:lvlText w:val="*"/>
      <w:numFmt w:val="bullet"/>
      <w:start w:val="1"/>
    </w:lvl>
  </w:abstractNum>
  <w:abstractNum w:abstractNumId="536">
    <w:nsid w:val="1F9D5C18"/>
    <w:multiLevelType w:val="hybridMultilevel"/>
    <w:lvl w:ilvl="0">
      <w:lvlJc w:val="left"/>
      <w:lvlText w:val="[***]"/>
      <w:numFmt w:val="bullet"/>
      <w:start w:val="1"/>
    </w:lvl>
  </w:abstractNum>
  <w:abstractNum w:abstractNumId="537">
    <w:nsid w:val="1CC11C37"/>
    <w:multiLevelType w:val="hybridMultilevel"/>
    <w:lvl w:ilvl="0">
      <w:lvlJc w:val="left"/>
      <w:lvlText w:val="(%1)"/>
      <w:numFmt w:val="decimal"/>
      <w:start w:val="1"/>
    </w:lvl>
  </w:abstractNum>
  <w:abstractNum w:abstractNumId="538">
    <w:nsid w:val="4557D5D8"/>
    <w:multiLevelType w:val="hybridMultilevel"/>
    <w:lvl w:ilvl="0">
      <w:lvlJc w:val="left"/>
      <w:lvlText w:val="[***]"/>
      <w:numFmt w:val="bullet"/>
      <w:start w:val="1"/>
    </w:lvl>
  </w:abstractNum>
  <w:abstractNum w:abstractNumId="539">
    <w:nsid w:val="72D2B579"/>
    <w:multiLevelType w:val="hybridMultilevel"/>
    <w:lvl w:ilvl="0">
      <w:lvlJc w:val="left"/>
      <w:lvlText w:val="(%1)"/>
      <w:numFmt w:val="decimal"/>
      <w:start w:val="1"/>
    </w:lvl>
  </w:abstractNum>
  <w:abstractNum w:abstractNumId="540">
    <w:nsid w:val="6C0BE536"/>
    <w:multiLevelType w:val="hybridMultilevel"/>
    <w:lvl w:ilvl="0">
      <w:lvlJc w:val="left"/>
      <w:lvlText w:val="(%1)"/>
      <w:numFmt w:val="upperLetter"/>
      <w:start w:val="1"/>
    </w:lvl>
    <w:lvl w:ilvl="1">
      <w:lvlJc w:val="left"/>
      <w:lvlText w:val="(%2)"/>
      <w:numFmt w:val="lowerRoman"/>
      <w:start w:val="1"/>
    </w:lvl>
  </w:abstractNum>
  <w:abstractNum w:abstractNumId="541">
    <w:nsid w:val="1E22BCB2"/>
    <w:multiLevelType w:val="hybridMultilevel"/>
    <w:lvl w:ilvl="0">
      <w:lvlJc w:val="left"/>
      <w:lvlText w:val="%1."/>
      <w:numFmt w:val="decimal"/>
      <w:start w:val="1"/>
    </w:lvl>
  </w:abstractNum>
  <w:abstractNum w:abstractNumId="542">
    <w:nsid w:val="3565F1C8"/>
    <w:multiLevelType w:val="hybridMultilevel"/>
    <w:lvl w:ilvl="0">
      <w:lvlJc w:val="left"/>
      <w:lvlText w:val="%1."/>
      <w:numFmt w:val="decimal"/>
      <w:start w:val="2"/>
    </w:lvl>
  </w:abstractNum>
  <w:abstractNum w:abstractNumId="543">
    <w:nsid w:val="5EA6D896"/>
    <w:multiLevelType w:val="hybridMultilevel"/>
    <w:lvl w:ilvl="0">
      <w:lvlJc w:val="left"/>
      <w:lvlText w:val="[***]"/>
      <w:numFmt w:val="bullet"/>
      <w:start w:val="1"/>
    </w:lvl>
  </w:abstractNum>
  <w:abstractNum w:abstractNumId="544">
    <w:nsid w:val="3D096BBF"/>
    <w:multiLevelType w:val="hybridMultilevel"/>
    <w:lvl w:ilvl="0">
      <w:lvlJc w:val="left"/>
      <w:lvlText w:val="%1."/>
      <w:numFmt w:val="decimal"/>
      <w:start w:val="3"/>
    </w:lvl>
  </w:abstractNum>
  <w:abstractNum w:abstractNumId="545">
    <w:nsid w:val="BD6D5B5"/>
    <w:multiLevelType w:val="hybridMultilevel"/>
    <w:lvl w:ilvl="0">
      <w:lvlJc w:val="left"/>
      <w:lvlText w:val="[***]"/>
      <w:numFmt w:val="bullet"/>
      <w:start w:val="1"/>
    </w:lvl>
  </w:abstractNum>
  <w:abstractNum w:abstractNumId="546">
    <w:nsid w:val="3B52115C"/>
    <w:multiLevelType w:val="hybridMultilevel"/>
    <w:lvl w:ilvl="0">
      <w:lvlJc w:val="left"/>
      <w:lvlText w:val="[***]"/>
      <w:numFmt w:val="bullet"/>
      <w:start w:val="1"/>
    </w:lvl>
  </w:abstractNum>
  <w:abstractNum w:abstractNumId="547">
    <w:nsid w:val="787AA59C"/>
    <w:multiLevelType w:val="hybridMultilevel"/>
    <w:lvl w:ilvl="0">
      <w:lvlJc w:val="left"/>
      <w:lvlText w:val="[***]"/>
      <w:numFmt w:val="bullet"/>
      <w:start w:val="1"/>
    </w:lvl>
  </w:abstractNum>
  <w:abstractNum w:abstractNumId="548">
    <w:nsid w:val="70BB9983"/>
    <w:multiLevelType w:val="hybridMultilevel"/>
    <w:lvl w:ilvl="0">
      <w:lvlJc w:val="left"/>
      <w:lvlText w:val="[***]"/>
      <w:numFmt w:val="bullet"/>
      <w:start w:val="1"/>
    </w:lvl>
  </w:abstractNum>
  <w:abstractNum w:abstractNumId="549">
    <w:nsid w:val="51EEBEEA"/>
    <w:multiLevelType w:val="hybridMultilevel"/>
    <w:lvl w:ilvl="0">
      <w:lvlJc w:val="left"/>
      <w:lvlText w:val="[***]"/>
      <w:numFmt w:val="bullet"/>
      <w:start w:val="1"/>
    </w:lvl>
  </w:abstractNum>
  <w:abstractNum w:abstractNumId="550">
    <w:nsid w:val="221A0CCD"/>
    <w:multiLevelType w:val="hybridMultilevel"/>
    <w:lvl w:ilvl="0">
      <w:lvlJc w:val="left"/>
      <w:lvlText w:val="[***]"/>
      <w:numFmt w:val="bullet"/>
      <w:start w:val="1"/>
    </w:lvl>
  </w:abstractNum>
  <w:abstractNum w:abstractNumId="551">
    <w:nsid w:val="1B7CA0ED"/>
    <w:multiLevelType w:val="hybridMultilevel"/>
    <w:lvl w:ilvl="0">
      <w:lvlJc w:val="left"/>
      <w:lvlText w:val="%1."/>
      <w:numFmt w:val="decimal"/>
      <w:start w:val="1"/>
    </w:lvl>
  </w:abstractNum>
  <w:abstractNum w:abstractNumId="552">
    <w:nsid w:val="2395A7FF"/>
    <w:multiLevelType w:val="hybridMultilevel"/>
    <w:lvl w:ilvl="0">
      <w:lvlJc w:val="left"/>
      <w:lvlText w:val="3"/>
      <w:numFmt w:val="bullet"/>
      <w:start w:val="1"/>
    </w:lvl>
  </w:abstractNum>
  <w:abstractNum w:abstractNumId="553">
    <w:nsid w:val="3965EB66"/>
    <w:multiLevelType w:val="hybridMultilevel"/>
    <w:lvl w:ilvl="0">
      <w:lvlJc w:val="left"/>
      <w:lvlText w:val="4"/>
      <w:numFmt w:val="bullet"/>
      <w:start w:val="1"/>
    </w:lvl>
  </w:abstractNum>
  <w:abstractNum w:abstractNumId="554">
    <w:nsid w:val="3AA88B3C"/>
    <w:multiLevelType w:val="hybridMultilevel"/>
    <w:lvl w:ilvl="0">
      <w:lvlJc w:val="left"/>
      <w:lvlText w:val="[***]"/>
      <w:numFmt w:val="bullet"/>
      <w:start w:val="1"/>
    </w:lvl>
  </w:abstractNum>
  <w:abstractNum w:abstractNumId="555">
    <w:nsid w:val="26BAF231"/>
    <w:multiLevelType w:val="hybridMultilevel"/>
    <w:lvl w:ilvl="0">
      <w:lvlJc w:val="left"/>
      <w:lvlText w:val="5"/>
      <w:numFmt w:val="bullet"/>
      <w:start w:val="1"/>
    </w:lvl>
  </w:abstractNum>
  <w:abstractNum w:abstractNumId="556">
    <w:nsid w:val="4B13A15A"/>
    <w:multiLevelType w:val="hybridMultilevel"/>
    <w:lvl w:ilvl="0">
      <w:lvlJc w:val="left"/>
      <w:lvlText w:val="7"/>
      <w:numFmt w:val="bullet"/>
      <w:start w:val="1"/>
    </w:lvl>
  </w:abstractNum>
  <w:abstractNum w:abstractNumId="557">
    <w:nsid w:val="701E8A0D"/>
    <w:multiLevelType w:val="hybridMultilevel"/>
    <w:lvl w:ilvl="0">
      <w:lvlJc w:val="left"/>
      <w:lvlText w:val="[***]"/>
      <w:numFmt w:val="bullet"/>
      <w:start w:val="1"/>
    </w:lvl>
  </w:abstractNum>
  <w:abstractNum w:abstractNumId="558">
    <w:nsid w:val="41E690CF"/>
    <w:multiLevelType w:val="hybridMultilevel"/>
    <w:lvl w:ilvl="0">
      <w:lvlJc w:val="left"/>
      <w:lvlText w:val="[***]"/>
      <w:numFmt w:val="bullet"/>
      <w:start w:val="1"/>
    </w:lvl>
  </w:abstractNum>
  <w:abstractNum w:abstractNumId="559">
    <w:nsid w:val="7C6489B6"/>
    <w:multiLevelType w:val="hybridMultilevel"/>
    <w:lvl w:ilvl="0">
      <w:lvlJc w:val="left"/>
      <w:lvlText w:val="[***]"/>
      <w:numFmt w:val="bullet"/>
      <w:start w:val="1"/>
    </w:lvl>
  </w:abstractNum>
  <w:abstractNum w:abstractNumId="560">
    <w:nsid w:val="53AE65DE"/>
    <w:multiLevelType w:val="hybridMultilevel"/>
    <w:lvl w:ilvl="0">
      <w:lvlJc w:val="left"/>
      <w:lvlText w:val="[***]"/>
      <w:numFmt w:val="bullet"/>
      <w:start w:val="1"/>
    </w:lvl>
  </w:abstractNum>
  <w:abstractNum w:abstractNumId="561">
    <w:nsid w:val="527F603D"/>
    <w:multiLevelType w:val="hybridMultilevel"/>
    <w:lvl w:ilvl="0">
      <w:lvlJc w:val="left"/>
      <w:lvlText w:val="[***]"/>
      <w:numFmt w:val="bullet"/>
      <w:start w:val="1"/>
    </w:lvl>
  </w:abstractNum>
  <w:abstractNum w:abstractNumId="562">
    <w:nsid w:val="7E13D013"/>
    <w:multiLevelType w:val="hybridMultilevel"/>
    <w:lvl w:ilvl="0">
      <w:lvlJc w:val="left"/>
      <w:lvlText w:val="(%1)"/>
      <w:numFmt w:val="decimal"/>
      <w:start w:val="1"/>
    </w:lvl>
  </w:abstractNum>
  <w:abstractNum w:abstractNumId="563">
    <w:nsid w:val="663BFE95"/>
    <w:multiLevelType w:val="hybridMultilevel"/>
    <w:lvl w:ilvl="0">
      <w:lvlJc w:val="left"/>
      <w:lvlText w:val="(%1)"/>
      <w:numFmt w:val="decimal"/>
      <w:start w:val="3"/>
    </w:lvl>
  </w:abstractNum>
  <w:abstractNum w:abstractNumId="564">
    <w:nsid w:val="31E0986F"/>
    <w:multiLevelType w:val="hybridMultilevel"/>
    <w:lvl w:ilvl="0">
      <w:lvlJc w:val="left"/>
      <w:lvlText w:val="(%1)"/>
      <w:numFmt w:val="upperLetter"/>
      <w:start w:val="1"/>
    </w:lvl>
  </w:abstractNum>
  <w:abstractNum w:abstractNumId="565">
    <w:nsid w:val="41FCF274"/>
    <w:multiLevelType w:val="hybridMultilevel"/>
    <w:lvl w:ilvl="0">
      <w:lvlJc w:val="left"/>
      <w:lvlText w:val="[***]"/>
      <w:numFmt w:val="bullet"/>
      <w:start w:val="1"/>
    </w:lvl>
  </w:abstractNum>
  <w:abstractNum w:abstractNumId="566">
    <w:nsid w:val="294614F7"/>
    <w:multiLevelType w:val="hybridMultilevel"/>
    <w:lvl w:ilvl="0">
      <w:lvlJc w:val="left"/>
      <w:lvlText w:val="1"/>
      <w:numFmt w:val="bullet"/>
      <w:start w:val="1"/>
    </w:lvl>
  </w:abstractNum>
  <w:abstractNum w:abstractNumId="567">
    <w:nsid w:val="517DF487"/>
    <w:multiLevelType w:val="hybridMultilevel"/>
    <w:lvl w:ilvl="0">
      <w:lvlJc w:val="left"/>
      <w:lvlText w:val="[***]"/>
      <w:numFmt w:val="bullet"/>
      <w:start w:val="1"/>
    </w:lvl>
  </w:abstractNum>
  <w:abstractNum w:abstractNumId="568">
    <w:nsid w:val="5EBE0EAB"/>
    <w:multiLevelType w:val="hybridMultilevel"/>
    <w:lvl w:ilvl="0">
      <w:lvlJc w:val="left"/>
      <w:lvlText w:val="2"/>
      <w:numFmt w:val="bullet"/>
      <w:start w:val="1"/>
    </w:lvl>
  </w:abstractNum>
  <w:abstractNum w:abstractNumId="569">
    <w:nsid w:val="6E9DEAD0"/>
    <w:multiLevelType w:val="hybridMultilevel"/>
    <w:lvl w:ilvl="0">
      <w:lvlJc w:val="left"/>
      <w:lvlText w:val="[***]"/>
      <w:numFmt w:val="bullet"/>
      <w:start w:val="1"/>
    </w:lvl>
  </w:abstractNum>
  <w:abstractNum w:abstractNumId="570">
    <w:nsid w:val="4450AA00"/>
    <w:multiLevelType w:val="hybridMultilevel"/>
    <w:lvl w:ilvl="0">
      <w:lvlJc w:val="left"/>
      <w:lvlText w:val="[***]"/>
      <w:numFmt w:val="bullet"/>
      <w:start w:val="1"/>
    </w:lvl>
  </w:abstractNum>
  <w:abstractNum w:abstractNumId="571">
    <w:nsid w:val="4AC9F3E2"/>
    <w:multiLevelType w:val="hybridMultilevel"/>
    <w:lvl w:ilvl="0">
      <w:lvlJc w:val="left"/>
      <w:lvlText w:val="[***]"/>
      <w:numFmt w:val="bullet"/>
      <w:start w:val="1"/>
    </w:lvl>
  </w:abstractNum>
  <w:abstractNum w:abstractNumId="572">
    <w:nsid w:val="CC0A782"/>
    <w:multiLevelType w:val="hybridMultilevel"/>
    <w:lvl w:ilvl="0">
      <w:lvlJc w:val="left"/>
      <w:lvlText w:val="3"/>
      <w:numFmt w:val="bullet"/>
      <w:start w:val="1"/>
    </w:lvl>
  </w:abstractNum>
  <w:abstractNum w:abstractNumId="573">
    <w:nsid w:val="79B69BC9"/>
    <w:multiLevelType w:val="hybridMultilevel"/>
    <w:lvl w:ilvl="0">
      <w:lvlJc w:val="left"/>
      <w:lvlText w:val="[***]"/>
      <w:numFmt w:val="bullet"/>
      <w:start w:val="1"/>
    </w:lvl>
  </w:abstractNum>
  <w:abstractNum w:abstractNumId="574">
    <w:nsid w:val="2970CC78"/>
    <w:multiLevelType w:val="hybridMultilevel"/>
    <w:lvl w:ilvl="0">
      <w:lvlJc w:val="left"/>
      <w:lvlText w:val="[***]"/>
      <w:numFmt w:val="bullet"/>
      <w:start w:val="1"/>
    </w:lvl>
  </w:abstractNum>
  <w:abstractNum w:abstractNumId="575">
    <w:nsid w:val="49CA1341"/>
    <w:multiLevelType w:val="hybridMultilevel"/>
    <w:lvl w:ilvl="0">
      <w:lvlJc w:val="left"/>
      <w:lvlText w:val="[***]"/>
      <w:numFmt w:val="bullet"/>
      <w:start w:val="1"/>
    </w:lvl>
  </w:abstractNum>
  <w:abstractNum w:abstractNumId="576">
    <w:nsid w:val="58D717E"/>
    <w:multiLevelType w:val="hybridMultilevel"/>
    <w:lvl w:ilvl="0">
      <w:lvlJc w:val="left"/>
      <w:lvlText w:val="4"/>
      <w:numFmt w:val="bullet"/>
      <w:start w:val="1"/>
    </w:lvl>
  </w:abstractNum>
  <w:abstractNum w:abstractNumId="577">
    <w:nsid w:val="64C2DDD5"/>
    <w:multiLevelType w:val="hybridMultilevel"/>
    <w:lvl w:ilvl="0">
      <w:lvlJc w:val="left"/>
      <w:lvlText w:val="[***]"/>
      <w:numFmt w:val="bullet"/>
      <w:start w:val="1"/>
    </w:lvl>
  </w:abstractNum>
  <w:abstractNum w:abstractNumId="578">
    <w:nsid w:val="4244B8DE"/>
    <w:multiLevelType w:val="hybridMultilevel"/>
    <w:lvl w:ilvl="0">
      <w:lvlJc w:val="left"/>
      <w:lvlText w:val="5"/>
      <w:numFmt w:val="bullet"/>
      <w:start w:val="1"/>
    </w:lvl>
  </w:abstractNum>
  <w:abstractNum w:abstractNumId="579">
    <w:nsid w:val="76490B01"/>
    <w:multiLevelType w:val="hybridMultilevel"/>
    <w:lvl w:ilvl="0">
      <w:lvlJc w:val="left"/>
      <w:lvlText w:val="[***]"/>
      <w:numFmt w:val="bullet"/>
      <w:start w:val="1"/>
    </w:lvl>
  </w:abstractNum>
  <w:abstractNum w:abstractNumId="580">
    <w:nsid w:val="36B19CBF"/>
    <w:multiLevelType w:val="hybridMultilevel"/>
    <w:lvl w:ilvl="0">
      <w:lvlJc w:val="left"/>
      <w:lvlText w:val="[***]"/>
      <w:numFmt w:val="bullet"/>
      <w:start w:val="1"/>
    </w:lvl>
  </w:abstractNum>
  <w:abstractNum w:abstractNumId="581">
    <w:nsid w:val="645EC5AB"/>
    <w:multiLevelType w:val="hybridMultilevel"/>
    <w:lvl w:ilvl="0">
      <w:lvlJc w:val="left"/>
      <w:lvlText w:val="6"/>
      <w:numFmt w:val="bullet"/>
      <w:start w:val="1"/>
    </w:lvl>
  </w:abstractNum>
  <w:abstractNum w:abstractNumId="582">
    <w:nsid w:val="11C5ABEF"/>
    <w:multiLevelType w:val="hybridMultilevel"/>
    <w:lvl w:ilvl="0">
      <w:lvlJc w:val="left"/>
      <w:lvlText w:val="7"/>
      <w:numFmt w:val="bullet"/>
      <w:start w:val="1"/>
    </w:lvl>
  </w:abstractNum>
  <w:abstractNum w:abstractNumId="583">
    <w:nsid w:val="5A4744BE"/>
    <w:multiLevelType w:val="hybridMultilevel"/>
    <w:lvl w:ilvl="0">
      <w:lvlJc w:val="left"/>
      <w:lvlText w:val="[***]"/>
      <w:numFmt w:val="bullet"/>
      <w:start w:val="1"/>
    </w:lvl>
  </w:abstractNum>
  <w:abstractNum w:abstractNumId="584">
    <w:nsid w:val="1DC4B111"/>
    <w:multiLevelType w:val="hybridMultilevel"/>
    <w:lvl w:ilvl="0">
      <w:lvlJc w:val="left"/>
      <w:lvlText w:val="8"/>
      <w:numFmt w:val="bullet"/>
      <w:start w:val="1"/>
    </w:lvl>
  </w:abstractNum>
  <w:abstractNum w:abstractNumId="585">
    <w:nsid w:val="4C6E372B"/>
    <w:multiLevelType w:val="hybridMultilevel"/>
    <w:lvl w:ilvl="0">
      <w:lvlJc w:val="left"/>
      <w:lvlText w:val="[***]"/>
      <w:numFmt w:val="bullet"/>
      <w:start w:val="1"/>
    </w:lvl>
  </w:abstractNum>
  <w:abstractNum w:abstractNumId="586">
    <w:nsid w:val="10236EF"/>
    <w:multiLevelType w:val="hybridMultilevel"/>
    <w:lvl w:ilvl="0">
      <w:lvlJc w:val="left"/>
      <w:lvlText w:val="9"/>
      <w:numFmt w:val="bullet"/>
      <w:start w:val="1"/>
    </w:lvl>
  </w:abstractNum>
  <w:abstractNum w:abstractNumId="587">
    <w:nsid w:val="68D8526B"/>
    <w:multiLevelType w:val="hybridMultilevel"/>
    <w:lvl w:ilvl="0">
      <w:lvlJc w:val="left"/>
      <w:lvlText w:val="[***]"/>
      <w:numFmt w:val="bullet"/>
      <w:start w:val="1"/>
    </w:lvl>
  </w:abstractNum>
  <w:abstractNum w:abstractNumId="588">
    <w:nsid w:val="3C8CC138"/>
    <w:multiLevelType w:val="hybridMultilevel"/>
    <w:lvl w:ilvl="0">
      <w:lvlJc w:val="left"/>
      <w:lvlText w:val="%1"/>
      <w:numFmt w:val="decimal"/>
      <w:start w:val="10"/>
    </w:lvl>
  </w:abstractNum>
  <w:abstractNum w:abstractNumId="589">
    <w:nsid w:val="42E8C7BE"/>
    <w:multiLevelType w:val="hybridMultilevel"/>
    <w:lvl w:ilvl="0">
      <w:lvlJc w:val="left"/>
      <w:lvlText w:val="[***]"/>
      <w:numFmt w:val="bullet"/>
      <w:start w:val="1"/>
    </w:lvl>
  </w:abstractNum>
  <w:abstractNum w:abstractNumId="590">
    <w:nsid w:val="653CDC22"/>
    <w:multiLevelType w:val="hybridMultilevel"/>
    <w:lvl w:ilvl="0">
      <w:lvlJc w:val="left"/>
      <w:lvlText w:val="(%1)"/>
      <w:numFmt w:val="lowerLetter"/>
      <w:start w:val="1"/>
    </w:lvl>
  </w:abstractNum>
  <w:abstractNum w:abstractNumId="591">
    <w:nsid w:val="103B2716"/>
    <w:multiLevelType w:val="hybridMultilevel"/>
    <w:lvl w:ilvl="0">
      <w:lvlJc w:val="left"/>
      <w:lvlText w:val="[***]"/>
      <w:numFmt w:val="bullet"/>
      <w:start w:val="1"/>
    </w:lvl>
  </w:abstractNum>
  <w:abstractNum w:abstractNumId="592">
    <w:nsid w:val="156827FB"/>
    <w:multiLevelType w:val="hybridMultilevel"/>
    <w:lvl w:ilvl="0">
      <w:lvlJc w:val="left"/>
      <w:lvlText w:val="[***]"/>
      <w:numFmt w:val="bullet"/>
      <w:start w:val="1"/>
    </w:lvl>
  </w:abstractNum>
  <w:abstractNum w:abstractNumId="593">
    <w:nsid w:val="6350AC35"/>
    <w:multiLevelType w:val="hybridMultilevel"/>
    <w:lvl w:ilvl="0">
      <w:lvlJc w:val="left"/>
      <w:lvlText w:val="[***]"/>
      <w:numFmt w:val="bullet"/>
      <w:start w:val="1"/>
    </w:lvl>
  </w:abstractNum>
  <w:abstractNum w:abstractNumId="594">
    <w:nsid w:val="767725AB"/>
    <w:multiLevelType w:val="hybridMultilevel"/>
    <w:lvl w:ilvl="0">
      <w:lvlJc w:val="left"/>
      <w:lvlText w:val="[***]"/>
      <w:numFmt w:val="bullet"/>
      <w:start w:val="1"/>
    </w:lvl>
  </w:abstractNum>
  <w:abstractNum w:abstractNumId="595">
    <w:nsid w:val="4748C06A"/>
    <w:multiLevelType w:val="hybridMultilevel"/>
    <w:lvl w:ilvl="0">
      <w:lvlJc w:val="left"/>
      <w:lvlText w:val="(%1)"/>
      <w:numFmt w:val="lowerLetter"/>
      <w:start w:val="1"/>
    </w:lvl>
  </w:abstractNum>
  <w:abstractNum w:abstractNumId="596">
    <w:nsid w:val="254D9EA9"/>
    <w:multiLevelType w:val="hybridMultilevel"/>
    <w:lvl w:ilvl="0">
      <w:lvlJc w:val="left"/>
      <w:lvlText w:val="[***]"/>
      <w:numFmt w:val="bullet"/>
      <w:start w:val="1"/>
    </w:lvl>
  </w:abstractNum>
  <w:abstractNum w:abstractNumId="597">
    <w:nsid w:val="1FBD3AA3"/>
    <w:multiLevelType w:val="hybridMultilevel"/>
    <w:lvl w:ilvl="0">
      <w:lvlJc w:val="left"/>
      <w:lvlText w:val="(%1)"/>
      <w:numFmt w:val="lowerLetter"/>
      <w:start w:val="1"/>
    </w:lvl>
  </w:abstractNum>
  <w:abstractNum w:abstractNumId="598">
    <w:nsid w:val="18C6B4F2"/>
    <w:multiLevelType w:val="hybridMultilevel"/>
    <w:lvl w:ilvl="0">
      <w:lvlJc w:val="left"/>
      <w:lvlText w:val="[***]"/>
      <w:numFmt w:val="bullet"/>
      <w:start w:val="1"/>
    </w:lvl>
  </w:abstractNum>
  <w:abstractNum w:abstractNumId="599">
    <w:nsid w:val="40BAD55"/>
    <w:multiLevelType w:val="hybridMultilevel"/>
    <w:lvl w:ilvl="0">
      <w:lvlJc w:val="left"/>
      <w:lvlText w:val="%1"/>
      <w:numFmt w:val="decimal"/>
      <w:start w:val="15"/>
    </w:lvl>
  </w:abstractNum>
  <w:abstractNum w:abstractNumId="600">
    <w:nsid w:val="E5B2573"/>
    <w:multiLevelType w:val="hybridMultilevel"/>
    <w:lvl w:ilvl="0">
      <w:lvlJc w:val="left"/>
      <w:lvlText w:val="(%1)"/>
      <w:numFmt w:val="lowerLetter"/>
      <w:start w:val="1"/>
    </w:lvl>
  </w:abstractNum>
  <w:abstractNum w:abstractNumId="601">
    <w:nsid w:val="5D175EF2"/>
    <w:multiLevelType w:val="hybridMultilevel"/>
    <w:lvl w:ilvl="0">
      <w:lvlJc w:val="left"/>
      <w:lvlText w:val="(%1)"/>
      <w:numFmt w:val="lowerLetter"/>
      <w:start w:val="1"/>
    </w:lvl>
  </w:abstractNum>
  <w:abstractNum w:abstractNumId="602">
    <w:nsid w:val="4ED5A137"/>
    <w:multiLevelType w:val="hybridMultilevel"/>
    <w:lvl w:ilvl="0">
      <w:lvlJc w:val="left"/>
      <w:lvlText w:val="[***]"/>
      <w:numFmt w:val="bullet"/>
      <w:start w:val="1"/>
    </w:lvl>
    <w:lvl w:ilvl="1">
      <w:lvlJc w:val="left"/>
      <w:lvlText w:val="(%2)"/>
      <w:numFmt w:val="lowerLetter"/>
      <w:start w:val="2"/>
    </w:lvl>
  </w:abstractNum>
  <w:abstractNum w:abstractNumId="603">
    <w:nsid w:val="1B1BCCF5"/>
    <w:multiLevelType w:val="hybridMultilevel"/>
    <w:lvl w:ilvl="0">
      <w:lvlJc w:val="left"/>
      <w:lvlText w:val="%1"/>
      <w:numFmt w:val="decimal"/>
      <w:start w:val="16"/>
    </w:lvl>
  </w:abstractNum>
  <w:abstractNum w:abstractNumId="604">
    <w:nsid w:val="56CDFABB"/>
    <w:multiLevelType w:val="hybridMultilevel"/>
    <w:lvl w:ilvl="0">
      <w:lvlJc w:val="left"/>
      <w:lvlText w:val="[***]"/>
      <w:numFmt w:val="bullet"/>
      <w:start w:val="1"/>
    </w:lvl>
  </w:abstractNum>
  <w:abstractNum w:abstractNumId="605">
    <w:nsid w:val="78466DAF"/>
    <w:multiLevelType w:val="hybridMultilevel"/>
    <w:lvl w:ilvl="0">
      <w:lvlJc w:val="left"/>
      <w:lvlText w:val="[***]"/>
      <w:numFmt w:val="bullet"/>
      <w:start w:val="1"/>
    </w:lvl>
  </w:abstractNum>
  <w:abstractNum w:abstractNumId="606">
    <w:nsid w:val="64E5E036"/>
    <w:multiLevelType w:val="hybridMultilevel"/>
    <w:lvl w:ilvl="0">
      <w:lvlJc w:val="left"/>
      <w:lvlText w:val="[***]"/>
      <w:numFmt w:val="bullet"/>
      <w:start w:val="1"/>
    </w:lvl>
  </w:abstractNum>
  <w:abstractNum w:abstractNumId="607">
    <w:nsid w:val="5C5B6C3A"/>
    <w:multiLevelType w:val="hybridMultilevel"/>
    <w:lvl w:ilvl="0">
      <w:lvlJc w:val="left"/>
      <w:lvlText w:val="[***]"/>
      <w:numFmt w:val="bullet"/>
      <w:start w:val="1"/>
    </w:lvl>
  </w:abstractNum>
  <w:abstractNum w:abstractNumId="608">
    <w:nsid w:val="5D094B84"/>
    <w:multiLevelType w:val="hybridMultilevel"/>
    <w:lvl w:ilvl="0">
      <w:lvlJc w:val="left"/>
      <w:lvlText w:val="[***]"/>
      <w:numFmt w:val="bullet"/>
      <w:start w:val="1"/>
    </w:lvl>
  </w:abstractNum>
  <w:abstractNum w:abstractNumId="609">
    <w:nsid w:val="272A9914"/>
    <w:multiLevelType w:val="hybridMultilevel"/>
    <w:lvl w:ilvl="0">
      <w:lvlJc w:val="left"/>
      <w:lvlText w:val="[***]"/>
      <w:numFmt w:val="bullet"/>
      <w:start w:val="1"/>
    </w:lvl>
  </w:abstractNum>
  <w:abstractNum w:abstractNumId="610">
    <w:nsid w:val="52A4773B"/>
    <w:multiLevelType w:val="hybridMultilevel"/>
    <w:lvl w:ilvl="0">
      <w:lvlJc w:val="left"/>
      <w:lvlText w:val="[***]"/>
      <w:numFmt w:val="bullet"/>
      <w:start w:val="1"/>
    </w:lvl>
  </w:abstractNum>
  <w:abstractNum w:abstractNumId="611">
    <w:nsid w:val="13BAE843"/>
    <w:multiLevelType w:val="hybridMultilevel"/>
    <w:lvl w:ilvl="0">
      <w:lvlJc w:val="left"/>
      <w:lvlText w:val="(%1)"/>
      <w:numFmt w:val="lowerLetter"/>
      <w:start w:val="1"/>
    </w:lvl>
  </w:abstractNum>
  <w:abstractNum w:abstractNumId="612">
    <w:nsid w:val="B895EBF"/>
    <w:multiLevelType w:val="hybridMultilevel"/>
    <w:lvl w:ilvl="0">
      <w:lvlJc w:val="left"/>
      <w:lvlText w:val="(%1)"/>
      <w:numFmt w:val="lowerLetter"/>
      <w:start w:val="1"/>
    </w:lvl>
  </w:abstractNum>
  <w:abstractNum w:abstractNumId="613">
    <w:nsid w:val="646A232A"/>
    <w:multiLevelType w:val="hybridMultilevel"/>
    <w:lvl w:ilvl="0">
      <w:lvlJc w:val="left"/>
      <w:lvlText w:val="[***]"/>
      <w:numFmt w:val="bullet"/>
      <w:start w:val="1"/>
    </w:lvl>
  </w:abstractNum>
  <w:abstractNum w:abstractNumId="614">
    <w:nsid w:val="6E022D01"/>
    <w:multiLevelType w:val="hybridMultilevel"/>
    <w:lvl w:ilvl="0">
      <w:lvlJc w:val="left"/>
      <w:lvlText w:val="(%1)"/>
      <w:numFmt w:val="lowerLetter"/>
      <w:start w:val="2"/>
    </w:lvl>
  </w:abstractNum>
  <w:abstractNum w:abstractNumId="615">
    <w:nsid w:val="294E0FD0"/>
    <w:multiLevelType w:val="hybridMultilevel"/>
    <w:lvl w:ilvl="0">
      <w:lvlJc w:val="left"/>
      <w:lvlText w:val="[***]"/>
      <w:numFmt w:val="bullet"/>
      <w:start w:val="1"/>
    </w:lvl>
  </w:abstractNum>
  <w:abstractNum w:abstractNumId="616">
    <w:nsid w:val="30D85A55"/>
    <w:multiLevelType w:val="hybridMultilevel"/>
    <w:lvl w:ilvl="0">
      <w:lvlJc w:val="left"/>
      <w:lvlText w:val="[***]"/>
      <w:numFmt w:val="bullet"/>
      <w:start w:val="1"/>
    </w:lvl>
  </w:abstractNum>
  <w:abstractNum w:abstractNumId="617">
    <w:nsid w:val="6F0463F1"/>
    <w:multiLevelType w:val="hybridMultilevel"/>
    <w:lvl w:ilvl="0">
      <w:lvlJc w:val="left"/>
      <w:lvlText w:val="[***]"/>
      <w:numFmt w:val="bullet"/>
      <w:start w:val="1"/>
    </w:lvl>
  </w:abstractNum>
  <w:abstractNum w:abstractNumId="618">
    <w:nsid w:val="1226623C"/>
    <w:multiLevelType w:val="hybridMultilevel"/>
    <w:lvl w:ilvl="0">
      <w:lvlJc w:val="left"/>
      <w:lvlText w:val="[***]"/>
      <w:numFmt w:val="bullet"/>
      <w:start w:val="1"/>
    </w:lvl>
  </w:abstractNum>
  <w:abstractNum w:abstractNumId="619">
    <w:nsid w:val="6D651B8D"/>
    <w:multiLevelType w:val="hybridMultilevel"/>
    <w:lvl w:ilvl="0">
      <w:lvlJc w:val="left"/>
      <w:lvlText w:val="[***]"/>
      <w:numFmt w:val="bullet"/>
      <w:start w:val="1"/>
    </w:lvl>
    <w:lvl w:ilvl="1">
      <w:lvlJc w:val="left"/>
      <w:lvlText w:val="%2)"/>
      <w:numFmt w:val="lowerLetter"/>
      <w:start w:val="3"/>
    </w:lvl>
  </w:abstractNum>
  <w:abstractNum w:abstractNumId="620">
    <w:nsid w:val="31ED2BAF"/>
    <w:multiLevelType w:val="hybridMultilevel"/>
    <w:lvl w:ilvl="0">
      <w:lvlJc w:val="left"/>
      <w:lvlText w:val="[***]"/>
      <w:numFmt w:val="bullet"/>
      <w:start w:val="1"/>
    </w:lvl>
  </w:abstractNum>
  <w:abstractNum w:abstractNumId="621">
    <w:nsid w:val="77633E5E"/>
    <w:multiLevelType w:val="hybridMultilevel"/>
    <w:lvl w:ilvl="0">
      <w:lvlJc w:val="left"/>
      <w:lvlText w:val="[***]"/>
      <w:numFmt w:val="bullet"/>
      <w:start w:val="1"/>
    </w:lvl>
    <w:lvl w:ilvl="1">
      <w:lvlJc w:val="left"/>
      <w:lvlText w:val="%2)"/>
      <w:numFmt w:val="lowerLetter"/>
      <w:start w:val="4"/>
    </w:lvl>
  </w:abstractNum>
  <w:abstractNum w:abstractNumId="622">
    <w:nsid w:val="7DA042A3"/>
    <w:multiLevelType w:val="hybridMultilevel"/>
    <w:lvl w:ilvl="0">
      <w:lvlJc w:val="left"/>
      <w:lvlText w:val="[***]"/>
      <w:numFmt w:val="bullet"/>
      <w:start w:val="1"/>
    </w:lvl>
  </w:abstractNum>
  <w:abstractNum w:abstractNumId="623">
    <w:nsid w:val="475553AB"/>
    <w:multiLevelType w:val="hybridMultilevel"/>
    <w:lvl w:ilvl="0">
      <w:lvlJc w:val="left"/>
      <w:lvlText w:val="[***]"/>
      <w:numFmt w:val="bullet"/>
      <w:start w:val="1"/>
    </w:lvl>
  </w:abstractNum>
  <w:abstractNum w:abstractNumId="624">
    <w:nsid w:val="5AB3EA93"/>
    <w:multiLevelType w:val="hybridMultilevel"/>
    <w:lvl w:ilvl="0">
      <w:lvlJc w:val="left"/>
      <w:lvlText w:val="[***]"/>
      <w:numFmt w:val="bullet"/>
      <w:start w:val="1"/>
    </w:lvl>
  </w:abstractNum>
  <w:abstractNum w:abstractNumId="625">
    <w:nsid w:val="7417684F"/>
    <w:multiLevelType w:val="hybridMultilevel"/>
    <w:lvl w:ilvl="0">
      <w:lvlJc w:val="left"/>
      <w:lvlText w:val="[***]"/>
      <w:numFmt w:val="bullet"/>
      <w:start w:val="1"/>
    </w:lvl>
  </w:abstractNum>
  <w:abstractNum w:abstractNumId="626">
    <w:nsid w:val="E9E1415"/>
    <w:multiLevelType w:val="hybridMultilevel"/>
    <w:lvl w:ilvl="0">
      <w:lvlJc w:val="left"/>
      <w:lvlText w:val="[***]"/>
      <w:numFmt w:val="bullet"/>
      <w:start w:val="1"/>
    </w:lvl>
  </w:abstractNum>
  <w:abstractNum w:abstractNumId="627">
    <w:nsid w:val="1893D"/>
    <w:multiLevelType w:val="hybridMultilevel"/>
    <w:lvl w:ilvl="0">
      <w:lvlJc w:val="left"/>
      <w:lvlText w:val="[***]"/>
      <w:numFmt w:val="bullet"/>
      <w:start w:val="1"/>
    </w:lvl>
  </w:abstractNum>
  <w:abstractNum w:abstractNumId="628">
    <w:nsid w:val="13D4A2F2"/>
    <w:multiLevelType w:val="hybridMultilevel"/>
    <w:lvl w:ilvl="0">
      <w:lvlJc w:val="left"/>
      <w:lvlText w:val="·"/>
      <w:numFmt w:val="bullet"/>
      <w:start w:val="1"/>
    </w:lvl>
  </w:abstractNum>
  <w:abstractNum w:abstractNumId="629">
    <w:nsid w:val="2764C907"/>
    <w:multiLevelType w:val="hybridMultilevel"/>
    <w:lvl w:ilvl="0">
      <w:lvlJc w:val="left"/>
      <w:lvlText w:val="[***]"/>
      <w:numFmt w:val="bullet"/>
      <w:start w:val="1"/>
    </w:lvl>
  </w:abstractNum>
  <w:abstractNum w:abstractNumId="630">
    <w:nsid w:val="40D3692"/>
    <w:multiLevelType w:val="hybridMultilevel"/>
    <w:lvl w:ilvl="0">
      <w:lvlJc w:val="left"/>
      <w:lvlText w:val="·"/>
      <w:numFmt w:val="bullet"/>
      <w:start w:val="1"/>
    </w:lvl>
    <w:lvl w:ilvl="1">
      <w:lvlJc w:val="left"/>
      <w:lvlText w:val="·"/>
      <w:numFmt w:val="bullet"/>
      <w:start w:val="1"/>
    </w:lvl>
  </w:abstractNum>
  <w:abstractNum w:abstractNumId="631">
    <w:nsid w:val="222FC865"/>
    <w:multiLevelType w:val="hybridMultilevel"/>
    <w:lvl w:ilvl="0">
      <w:lvlJc w:val="left"/>
      <w:lvlText w:val="[***]"/>
      <w:numFmt w:val="bullet"/>
      <w:start w:val="1"/>
    </w:lvl>
  </w:abstractNum>
  <w:abstractNum w:abstractNumId="632">
    <w:nsid w:val="47C27FA"/>
    <w:multiLevelType w:val="hybridMultilevel"/>
    <w:lvl w:ilvl="0">
      <w:lvlJc w:val="left"/>
      <w:lvlText w:val="(%1)"/>
      <w:numFmt w:val="decimal"/>
      <w:start w:val="1"/>
    </w:lvl>
  </w:abstractNum>
  <w:abstractNum w:abstractNumId="633">
    <w:nsid w:val="52E2D7C9"/>
    <w:multiLevelType w:val="hybridMultilevel"/>
    <w:lvl w:ilvl="0">
      <w:lvlJc w:val="left"/>
      <w:lvlText w:val="[***]"/>
      <w:numFmt w:val="bullet"/>
      <w:start w:val="1"/>
    </w:lvl>
  </w:abstractNum>
  <w:abstractNum w:abstractNumId="634">
    <w:nsid w:val="3D4B955A"/>
    <w:multiLevelType w:val="hybridMultilevel"/>
    <w:lvl w:ilvl="0">
      <w:lvlJc w:val="left"/>
      <w:lvlText w:val="(%1)"/>
      <w:numFmt w:val="decimal"/>
      <w:start w:val="1"/>
    </w:lvl>
  </w:abstractNum>
  <w:abstractNum w:abstractNumId="635">
    <w:nsid w:val="5B4A22B5"/>
    <w:multiLevelType w:val="hybridMultilevel"/>
    <w:lvl w:ilvl="0">
      <w:lvlJc w:val="left"/>
      <w:lvlText w:val="(%1)"/>
      <w:numFmt w:val="upperLetter"/>
      <w:start w:val="1"/>
    </w:lvl>
  </w:abstractNum>
  <w:abstractNum w:abstractNumId="636">
    <w:nsid w:val="4B294578"/>
    <w:multiLevelType w:val="hybridMultilevel"/>
    <w:lvl w:ilvl="0">
      <w:lvlJc w:val="left"/>
      <w:lvlText w:val="%1."/>
      <w:numFmt w:val="decimal"/>
      <w:start w:val="1"/>
    </w:lvl>
  </w:abstractNum>
  <w:abstractNum w:abstractNumId="637">
    <w:nsid w:val="22317590"/>
    <w:multiLevelType w:val="hybridMultilevel"/>
    <w:lvl w:ilvl="0">
      <w:lvlJc w:val="left"/>
      <w:lvlText w:val="[***]"/>
      <w:numFmt w:val="bullet"/>
      <w:start w:val="1"/>
    </w:lvl>
  </w:abstractNum>
  <w:abstractNum w:abstractNumId="638">
    <w:nsid w:val="37A58EEF"/>
    <w:multiLevelType w:val="hybridMultilevel"/>
    <w:lvl w:ilvl="0">
      <w:lvlJc w:val="left"/>
      <w:lvlText w:val="[***]"/>
      <w:numFmt w:val="bullet"/>
      <w:start w:val="1"/>
    </w:lvl>
  </w:abstractNum>
  <w:abstractNum w:abstractNumId="639">
    <w:nsid w:val="283290FD"/>
    <w:multiLevelType w:val="hybridMultilevel"/>
    <w:lvl w:ilvl="0">
      <w:lvlJc w:val="left"/>
      <w:lvlText w:val="%1."/>
      <w:numFmt w:val="decimal"/>
      <w:start w:val="3"/>
    </w:lvl>
  </w:abstractNum>
  <w:abstractNum w:abstractNumId="640">
    <w:nsid w:val="495C0EA5"/>
    <w:multiLevelType w:val="hybridMultilevel"/>
    <w:lvl w:ilvl="0">
      <w:lvlJc w:val="left"/>
      <w:lvlText w:val="[***]"/>
      <w:numFmt w:val="bullet"/>
      <w:start w:val="1"/>
    </w:lvl>
  </w:abstractNum>
  <w:abstractNum w:abstractNumId="641">
    <w:nsid w:val="A4A062B"/>
    <w:multiLevelType w:val="hybridMultilevel"/>
    <w:lvl w:ilvl="0">
      <w:lvlJc w:val="left"/>
      <w:lvlText w:val="[***]"/>
      <w:numFmt w:val="bullet"/>
      <w:start w:val="1"/>
    </w:lvl>
  </w:abstractNum>
  <w:abstractNum w:abstractNumId="642">
    <w:nsid w:val="3BED794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jpe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jpe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jpeg"/><Relationship Id="rId736" Type="http://schemas.openxmlformats.org/officeDocument/2006/relationships/image" Target="media/image729.png"/><Relationship Id="rId737" Type="http://schemas.openxmlformats.org/officeDocument/2006/relationships/image" Target="media/image730.jpe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2019-12-03T03:13:02Z</dcterms:created>
  <dcterms:modified xsi:type="dcterms:W3CDTF">2019-12-03T03:13:02Z</dcterms:modified>
</cp:coreProperties>
</file>