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October 30, 2019</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18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Bicycle Therapeutics plc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544" w:right="239" w:bottom="1440" w:gutter="0" w:footer="0" w:header="0"/>
        </w:sectPr>
      </w:pPr>
    </w:p>
    <w:p>
      <w:pPr>
        <w:spacing w:after="0" w:line="205" w:lineRule="exact"/>
        <w:rPr>
          <w:sz w:val="24"/>
          <w:szCs w:val="24"/>
          <w:color w:val="auto"/>
        </w:rPr>
      </w:pPr>
    </w:p>
    <w:p>
      <w:pPr>
        <w:ind w:left="1100"/>
        <w:spacing w:after="0"/>
        <w:rPr>
          <w:sz w:val="20"/>
          <w:szCs w:val="20"/>
          <w:color w:val="auto"/>
        </w:rPr>
      </w:pPr>
      <w:r>
        <w:rPr>
          <w:rFonts w:ascii="Arial" w:cs="Arial" w:eastAsia="Arial" w:hAnsi="Arial"/>
          <w:sz w:val="18"/>
          <w:szCs w:val="18"/>
          <w:b w:val="1"/>
          <w:bCs w:val="1"/>
          <w:color w:val="auto"/>
        </w:rPr>
        <w:t>England and Wales</w:t>
      </w:r>
    </w:p>
    <w:p>
      <w:pPr>
        <w:spacing w:after="0" w:line="27" w:lineRule="exact"/>
        <w:rPr>
          <w:sz w:val="24"/>
          <w:szCs w:val="24"/>
          <w:color w:val="auto"/>
        </w:rPr>
      </w:pPr>
    </w:p>
    <w:p>
      <w:pPr>
        <w:ind w:left="90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22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980"/>
        <w:spacing w:after="0"/>
        <w:rPr>
          <w:sz w:val="20"/>
          <w:szCs w:val="20"/>
          <w:color w:val="auto"/>
        </w:rPr>
      </w:pPr>
      <w:r>
        <w:rPr>
          <w:rFonts w:ascii="Arial" w:cs="Arial" w:eastAsia="Arial" w:hAnsi="Arial"/>
          <w:sz w:val="18"/>
          <w:szCs w:val="18"/>
          <w:b w:val="1"/>
          <w:bCs w:val="1"/>
          <w:color w:val="auto"/>
        </w:rPr>
        <w:t>001-38916</w:t>
      </w:r>
    </w:p>
    <w:p>
      <w:pPr>
        <w:spacing w:after="0" w:line="27" w:lineRule="exact"/>
        <w:rPr>
          <w:sz w:val="24"/>
          <w:szCs w:val="24"/>
          <w:color w:val="auto"/>
        </w:rPr>
      </w:pPr>
    </w:p>
    <w:p>
      <w:pPr>
        <w:jc w:val="center"/>
        <w:ind w:right="1980"/>
        <w:spacing w:after="0"/>
        <w:rPr>
          <w:sz w:val="20"/>
          <w:szCs w:val="20"/>
          <w:color w:val="auto"/>
        </w:rPr>
      </w:pPr>
      <w:r>
        <w:rPr>
          <w:rFonts w:ascii="Arial" w:cs="Arial" w:eastAsia="Arial" w:hAnsi="Arial"/>
          <w:sz w:val="16"/>
          <w:szCs w:val="16"/>
          <w:color w:val="auto"/>
        </w:rPr>
        <w:t>(Commission</w:t>
      </w:r>
    </w:p>
    <w:p>
      <w:pPr>
        <w:spacing w:after="0" w:line="32" w:lineRule="exact"/>
        <w:rPr>
          <w:sz w:val="24"/>
          <w:szCs w:val="24"/>
          <w:color w:val="auto"/>
        </w:rPr>
      </w:pPr>
    </w:p>
    <w:p>
      <w:pPr>
        <w:jc w:val="center"/>
        <w:ind w:right="1980"/>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160"/>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16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16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520" w:space="720"/>
            <w:col w:w="2960" w:space="720"/>
            <w:col w:w="2500"/>
          </w:cols>
          <w:pgMar w:left="240" w:top="544" w:right="239" w:bottom="1440" w:gutter="0" w:footer="0" w:header="0"/>
          <w:type w:val="continuous"/>
        </w:sectPr>
      </w:pPr>
    </w:p>
    <w:p>
      <w:pPr>
        <w:spacing w:after="0" w:line="7" w:lineRule="exact"/>
        <w:rPr>
          <w:sz w:val="24"/>
          <w:szCs w:val="24"/>
          <w:color w:val="auto"/>
        </w:rPr>
      </w:pPr>
    </w:p>
    <w:p>
      <w:pPr>
        <w:jc w:val="center"/>
        <w:ind w:right="1700"/>
        <w:spacing w:after="0"/>
        <w:rPr>
          <w:sz w:val="20"/>
          <w:szCs w:val="20"/>
          <w:color w:val="auto"/>
        </w:rPr>
      </w:pPr>
      <w:r>
        <w:rPr>
          <w:rFonts w:ascii="Arial" w:cs="Arial" w:eastAsia="Arial" w:hAnsi="Arial"/>
          <w:sz w:val="16"/>
          <w:szCs w:val="16"/>
          <w:b w:val="1"/>
          <w:bCs w:val="1"/>
          <w:color w:val="auto"/>
        </w:rPr>
        <w:t>B900, Babraham Research Campus</w:t>
      </w:r>
    </w:p>
    <w:p>
      <w:pPr>
        <w:spacing w:after="0" w:line="50" w:lineRule="exact"/>
        <w:rPr>
          <w:sz w:val="24"/>
          <w:szCs w:val="24"/>
          <w:color w:val="auto"/>
        </w:rPr>
      </w:pPr>
    </w:p>
    <w:p>
      <w:pPr>
        <w:jc w:val="center"/>
        <w:ind w:right="1700"/>
        <w:spacing w:after="0"/>
        <w:rPr>
          <w:sz w:val="20"/>
          <w:szCs w:val="20"/>
          <w:color w:val="auto"/>
        </w:rPr>
      </w:pPr>
      <w:r>
        <w:rPr>
          <w:rFonts w:ascii="Arial" w:cs="Arial" w:eastAsia="Arial" w:hAnsi="Arial"/>
          <w:sz w:val="18"/>
          <w:szCs w:val="18"/>
          <w:b w:val="1"/>
          <w:bCs w:val="1"/>
          <w:color w:val="auto"/>
        </w:rPr>
        <w:t>Cambridge CB22 3AT</w:t>
      </w:r>
    </w:p>
    <w:p>
      <w:pPr>
        <w:spacing w:after="0" w:line="9" w:lineRule="exact"/>
        <w:rPr>
          <w:sz w:val="24"/>
          <w:szCs w:val="24"/>
          <w:color w:val="auto"/>
        </w:rPr>
      </w:pPr>
    </w:p>
    <w:p>
      <w:pPr>
        <w:jc w:val="center"/>
        <w:ind w:right="1700"/>
        <w:spacing w:after="0"/>
        <w:rPr>
          <w:sz w:val="20"/>
          <w:szCs w:val="20"/>
          <w:color w:val="auto"/>
        </w:rPr>
      </w:pPr>
      <w:r>
        <w:rPr>
          <w:rFonts w:ascii="Arial" w:cs="Arial" w:eastAsia="Arial" w:hAnsi="Arial"/>
          <w:sz w:val="18"/>
          <w:szCs w:val="18"/>
          <w:b w:val="1"/>
          <w:bCs w:val="1"/>
          <w:color w:val="auto"/>
        </w:rPr>
        <w:t>United Kingdom</w:t>
      </w:r>
    </w:p>
    <w:p>
      <w:pPr>
        <w:spacing w:after="0" w:line="9" w:lineRule="exact"/>
        <w:rPr>
          <w:sz w:val="24"/>
          <w:szCs w:val="24"/>
          <w:color w:val="auto"/>
        </w:rPr>
      </w:pPr>
    </w:p>
    <w:p>
      <w:pPr>
        <w:jc w:val="center"/>
        <w:ind w:right="170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9" w:lineRule="exact"/>
        <w:rPr>
          <w:sz w:val="24"/>
          <w:szCs w:val="24"/>
          <w:color w:val="auto"/>
        </w:rPr>
      </w:pPr>
    </w:p>
    <w:p>
      <w:pPr>
        <w:jc w:val="center"/>
        <w:ind w:right="2220"/>
        <w:spacing w:after="0"/>
        <w:rPr>
          <w:sz w:val="20"/>
          <w:szCs w:val="20"/>
          <w:color w:val="auto"/>
        </w:rPr>
      </w:pPr>
      <w:r>
        <w:rPr>
          <w:rFonts w:ascii="Arial" w:cs="Arial" w:eastAsia="Arial" w:hAnsi="Arial"/>
          <w:sz w:val="16"/>
          <w:szCs w:val="16"/>
          <w:b w:val="1"/>
          <w:bCs w:val="1"/>
          <w:color w:val="auto"/>
        </w:rPr>
        <w:t>Not Applicable</w:t>
      </w:r>
    </w:p>
    <w:p>
      <w:pPr>
        <w:spacing w:after="0" w:line="50" w:lineRule="exact"/>
        <w:rPr>
          <w:sz w:val="24"/>
          <w:szCs w:val="24"/>
          <w:color w:val="auto"/>
        </w:rPr>
      </w:pPr>
    </w:p>
    <w:p>
      <w:pPr>
        <w:jc w:val="center"/>
        <w:ind w:right="2220"/>
        <w:spacing w:after="0"/>
        <w:rPr>
          <w:sz w:val="20"/>
          <w:szCs w:val="20"/>
          <w:color w:val="auto"/>
        </w:rPr>
      </w:pPr>
      <w:r>
        <w:rPr>
          <w:rFonts w:ascii="Arial" w:cs="Arial" w:eastAsia="Arial" w:hAnsi="Arial"/>
          <w:sz w:val="18"/>
          <w:szCs w:val="18"/>
          <w:color w:val="auto"/>
        </w:rPr>
        <w:t>(Zip Code)</w:t>
      </w:r>
    </w:p>
    <w:p>
      <w:pPr>
        <w:spacing w:after="0" w:line="200" w:lineRule="exact"/>
        <w:rPr>
          <w:sz w:val="24"/>
          <w:szCs w:val="24"/>
          <w:color w:val="auto"/>
        </w:rPr>
      </w:pPr>
    </w:p>
    <w:p>
      <w:pPr>
        <w:sectPr>
          <w:pgSz w:w="11900" w:h="16838" w:orient="portrait"/>
          <w:cols w:equalWidth="0" w:num="2">
            <w:col w:w="7320" w:space="720"/>
            <w:col w:w="3380"/>
          </w:cols>
          <w:pgMar w:left="240" w:top="544" w:right="239" w:bottom="1440" w:gutter="0" w:footer="0" w:header="0"/>
          <w:type w:val="continuous"/>
        </w:sectPr>
      </w:pP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+44 1223 261503</w:t>
      </w:r>
    </w:p>
    <w:p>
      <w:pPr>
        <w:spacing w:after="0" w:line="229"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right="3120" w:firstLine="8"/>
        <w:spacing w:after="0" w:line="496" w:lineRule="auto"/>
        <w:tabs>
          <w:tab w:leader="none" w:pos="252"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240" w:type="dxa"/>
            <w:vAlign w:val="bottom"/>
            <w:gridSpan w:val="2"/>
          </w:tcPr>
          <w:p>
            <w:pPr>
              <w:ind w:left="1960"/>
              <w:spacing w:after="0"/>
              <w:rPr>
                <w:sz w:val="20"/>
                <w:szCs w:val="20"/>
                <w:color w:val="auto"/>
              </w:rPr>
            </w:pPr>
            <w:r>
              <w:rPr>
                <w:rFonts w:ascii="Arial" w:cs="Arial" w:eastAsia="Arial" w:hAnsi="Arial"/>
                <w:sz w:val="14"/>
                <w:szCs w:val="14"/>
                <w:b w:val="1"/>
                <w:bCs w:val="1"/>
                <w:color w:val="auto"/>
              </w:rPr>
              <w:t>Title of each class</w:t>
            </w:r>
          </w:p>
        </w:tc>
        <w:tc>
          <w:tcPr>
            <w:tcW w:w="580" w:type="dxa"/>
            <w:vAlign w:val="bottom"/>
          </w:tcPr>
          <w:p>
            <w:pPr>
              <w:spacing w:after="0"/>
              <w:rPr>
                <w:sz w:val="14"/>
                <w:szCs w:val="14"/>
                <w:color w:val="auto"/>
              </w:rPr>
            </w:pPr>
          </w:p>
        </w:tc>
        <w:tc>
          <w:tcPr>
            <w:tcW w:w="2160" w:type="dxa"/>
            <w:vAlign w:val="bottom"/>
            <w:gridSpan w:val="2"/>
          </w:tcPr>
          <w:p>
            <w:pPr>
              <w:ind w:left="100"/>
              <w:spacing w:after="0"/>
              <w:rPr>
                <w:sz w:val="20"/>
                <w:szCs w:val="20"/>
                <w:color w:val="auto"/>
              </w:rPr>
            </w:pPr>
            <w:r>
              <w:rPr>
                <w:rFonts w:ascii="Arial" w:cs="Arial" w:eastAsia="Arial" w:hAnsi="Arial"/>
                <w:sz w:val="14"/>
                <w:szCs w:val="14"/>
                <w:b w:val="1"/>
                <w:bCs w:val="1"/>
                <w:color w:val="auto"/>
              </w:rPr>
              <w:t>Trading Symbol(s)</w:t>
            </w:r>
          </w:p>
        </w:tc>
        <w:tc>
          <w:tcPr>
            <w:tcW w:w="3420" w:type="dxa"/>
            <w:vAlign w:val="bottom"/>
          </w:tcPr>
          <w:p>
            <w:pPr>
              <w:ind w:left="380"/>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195"/>
        </w:trPr>
        <w:tc>
          <w:tcPr>
            <w:tcW w:w="20" w:type="dxa"/>
            <w:vAlign w:val="bottom"/>
          </w:tcPr>
          <w:p>
            <w:pPr>
              <w:spacing w:after="0"/>
              <w:rPr>
                <w:sz w:val="16"/>
                <w:szCs w:val="16"/>
                <w:color w:val="auto"/>
              </w:rPr>
            </w:pPr>
          </w:p>
        </w:tc>
        <w:tc>
          <w:tcPr>
            <w:tcW w:w="50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Ordinary shares, nominal value £0.01 per share</w:t>
            </w:r>
          </w:p>
        </w:tc>
        <w:tc>
          <w:tcPr>
            <w:tcW w:w="220" w:type="dxa"/>
            <w:vAlign w:val="bottom"/>
          </w:tcPr>
          <w:p>
            <w:pPr>
              <w:spacing w:after="0"/>
              <w:rPr>
                <w:sz w:val="16"/>
                <w:szCs w:val="16"/>
                <w:color w:val="auto"/>
              </w:rPr>
            </w:pPr>
          </w:p>
        </w:tc>
        <w:tc>
          <w:tcPr>
            <w:tcW w:w="5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w:t>
            </w:r>
          </w:p>
        </w:tc>
        <w:tc>
          <w:tcPr>
            <w:tcW w:w="19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34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The Nasdaq Stock Market LLC*</w:t>
            </w:r>
          </w:p>
        </w:tc>
      </w:tr>
      <w:tr>
        <w:trPr>
          <w:trHeight w:val="216"/>
        </w:trPr>
        <w:tc>
          <w:tcPr>
            <w:tcW w:w="5260" w:type="dxa"/>
            <w:vAlign w:val="bottom"/>
            <w:gridSpan w:val="3"/>
          </w:tcPr>
          <w:p>
            <w:pPr>
              <w:spacing w:after="0"/>
              <w:rPr>
                <w:sz w:val="20"/>
                <w:szCs w:val="20"/>
                <w:color w:val="auto"/>
              </w:rPr>
            </w:pPr>
            <w:r>
              <w:rPr>
                <w:rFonts w:ascii="Arial" w:cs="Arial" w:eastAsia="Arial" w:hAnsi="Arial"/>
                <w:sz w:val="18"/>
                <w:szCs w:val="18"/>
                <w:color w:val="auto"/>
                <w:w w:val="96"/>
              </w:rPr>
              <w:t>American Depositary Shares, each representing one ordinary share,</w:t>
            </w:r>
          </w:p>
        </w:tc>
        <w:tc>
          <w:tcPr>
            <w:tcW w:w="580" w:type="dxa"/>
            <w:vAlign w:val="bottom"/>
          </w:tcPr>
          <w:p>
            <w:pPr>
              <w:spacing w:after="0"/>
              <w:rPr>
                <w:sz w:val="20"/>
                <w:szCs w:val="20"/>
                <w:color w:val="auto"/>
              </w:rPr>
            </w:pPr>
            <w:r>
              <w:rPr>
                <w:rFonts w:ascii="Arial" w:cs="Arial" w:eastAsia="Arial" w:hAnsi="Arial"/>
                <w:sz w:val="18"/>
                <w:szCs w:val="18"/>
                <w:color w:val="auto"/>
              </w:rPr>
              <w:t>BCYC</w:t>
            </w:r>
          </w:p>
        </w:tc>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The Nasdaq Stock Market LLC</w:t>
            </w:r>
          </w:p>
        </w:tc>
      </w:tr>
      <w:tr>
        <w:trPr>
          <w:trHeight w:val="230"/>
        </w:trPr>
        <w:tc>
          <w:tcPr>
            <w:tcW w:w="5260" w:type="dxa"/>
            <w:vAlign w:val="bottom"/>
            <w:gridSpan w:val="3"/>
          </w:tcPr>
          <w:p>
            <w:pPr>
              <w:spacing w:after="0"/>
              <w:rPr>
                <w:sz w:val="20"/>
                <w:szCs w:val="20"/>
                <w:color w:val="auto"/>
              </w:rPr>
            </w:pPr>
            <w:r>
              <w:rPr>
                <w:rFonts w:ascii="Arial" w:cs="Arial" w:eastAsia="Arial" w:hAnsi="Arial"/>
                <w:sz w:val="18"/>
                <w:szCs w:val="18"/>
                <w:color w:val="auto"/>
              </w:rPr>
              <w:t>nominal value £0.01 per share</w:t>
            </w:r>
          </w:p>
        </w:tc>
        <w:tc>
          <w:tcPr>
            <w:tcW w:w="58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2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ind w:left="640" w:hanging="140"/>
        <w:spacing w:after="0"/>
        <w:tabs>
          <w:tab w:leader="none" w:pos="64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Not for trading, but only in connection with the listing of the American Depositary Shares on The Nasdaq Stock Market LLC.</w:t>
      </w:r>
    </w:p>
    <w:p>
      <w:pPr>
        <w:spacing w:after="0" w:line="225" w:lineRule="exact"/>
        <w:rPr>
          <w:sz w:val="24"/>
          <w:szCs w:val="24"/>
          <w:color w:val="auto"/>
        </w:rPr>
      </w:pPr>
    </w:p>
    <w:p>
      <w:pPr>
        <w:ind w:right="160" w:firstLine="492"/>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70" w:lineRule="exact"/>
        <w:rPr>
          <w:sz w:val="24"/>
          <w:szCs w:val="24"/>
          <w:color w:val="auto"/>
        </w:rPr>
      </w:pPr>
    </w:p>
    <w:p>
      <w:pPr>
        <w:ind w:left="9220"/>
        <w:spacing w:after="0"/>
        <w:rPr>
          <w:sz w:val="20"/>
          <w:szCs w:val="20"/>
          <w:color w:val="auto"/>
        </w:rPr>
      </w:pPr>
      <w:r>
        <w:rPr>
          <w:rFonts w:ascii="Arial" w:cs="Arial" w:eastAsia="Arial" w:hAnsi="Arial"/>
          <w:sz w:val="16"/>
          <w:szCs w:val="16"/>
          <w:color w:val="auto"/>
        </w:rPr>
        <w:t>Emerging growth company  x</w:t>
      </w:r>
    </w:p>
    <w:p>
      <w:pPr>
        <w:spacing w:after="0" w:line="248" w:lineRule="exact"/>
        <w:rPr>
          <w:sz w:val="24"/>
          <w:szCs w:val="24"/>
          <w:color w:val="auto"/>
        </w:rPr>
      </w:pPr>
    </w:p>
    <w:p>
      <w:pPr>
        <w:ind w:right="200" w:firstLine="492"/>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398145</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type w:val="continuous"/>
        </w:sectPr>
      </w:pPr>
    </w:p>
    <w:bookmarkStart w:id="1" w:name="page2"/>
    <w:bookmarkEnd w:id="1"/>
    <w:p>
      <w:pPr>
        <w:ind w:right="46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66"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On October 30, 2019, the Board of Directors (the “Board”) of Bicycle Therapeutics plc (the “Company”), upon the recommendation of the Nominating &amp; Corporate Governance Committee of the Board, voted to elect Veronica Jordan to the Board, effective immediately. Dr. Jordan will serve as a Class I director whose term will expire at the Company’s 2020 annual general meeting of shareholders. Dr. Jordan will also serve as Chair of the Compensation Committee of the Board, replacing Richard Kender, who served as interim Chair of the Compensation Committee since July 18, 2019, and who will, along with Janice Bourque, remain a member of the Compensation Committee.</w:t>
      </w:r>
    </w:p>
    <w:p>
      <w:pPr>
        <w:spacing w:after="0" w:line="18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There are no arrangements or understandings between Dr. Jordan and any other person pursuant to which Dr. Jordan was elected as a director. Dr. Jordan does not have any family relationships with any of the Company’s directors or executive officers, and she does not have a direct or indirect material interest in any transaction required to be disclosed pursuant to Item 404(a) of Regulation S-K.</w:t>
      </w:r>
    </w:p>
    <w:p>
      <w:pPr>
        <w:spacing w:after="0" w:line="18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Dr. Jordan will receive (i) annual cash compensation of $40,000 for her service as a director and (ii) annual cash compensation of $13,000 for her service as Chair of the Compensation Committee.</w:t>
      </w:r>
    </w:p>
    <w:p>
      <w:pPr>
        <w:spacing w:after="0" w:line="170"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Additionally, Dr. Jordan is also eligible for an equity award of 23,798 ordinary shares, nominal value £0.01 per share, of the Company (the “Initial Grant”), which will be granted at a future meeting of the Board. The Initial Grant will vest in equal monthly installments over three years from the date of grant, subject to continued service as a director through the applicable vesting dates. The Initial Grant is subject to full accelerated vesting upon the sale of Company. The Company will also reimburse reasonable out-of-pocket expenses incurred by Dr. Jordan for her attendance at meetings of the Board or any committee thereof.</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her appointment to the Board, Dr. Jordan has entered into the Company’s standard form of deed of indemnity, a copy of which was filed as Exhibit 10.12 to Amendment No. 1 to the Registration Statement on Form S-1 (File No. 333-231076) filed with the Securities and Exchange Commission on May 13, 2019.</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2" w:name="page3"/>
    <w:bookmarkEnd w:id="2"/>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660" w:firstLine="51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20" w:type="dxa"/>
            <w:vAlign w:val="bottom"/>
          </w:tcPr>
          <w:p>
            <w:pPr>
              <w:spacing w:after="0"/>
              <w:rPr>
                <w:sz w:val="20"/>
                <w:szCs w:val="20"/>
                <w:color w:val="auto"/>
              </w:rPr>
            </w:pPr>
            <w:r>
              <w:rPr>
                <w:rFonts w:ascii="Arial" w:cs="Arial" w:eastAsia="Arial" w:hAnsi="Arial"/>
                <w:sz w:val="18"/>
                <w:szCs w:val="18"/>
                <w:color w:val="auto"/>
              </w:rPr>
              <w:t>Date: November 5, 2019</w:t>
            </w:r>
          </w:p>
        </w:tc>
        <w:tc>
          <w:tcPr>
            <w:tcW w:w="7700" w:type="dxa"/>
            <w:vAlign w:val="bottom"/>
            <w:gridSpan w:val="2"/>
          </w:tcPr>
          <w:p>
            <w:pPr>
              <w:ind w:left="2000"/>
              <w:spacing w:after="0"/>
              <w:rPr>
                <w:sz w:val="20"/>
                <w:szCs w:val="20"/>
                <w:color w:val="auto"/>
              </w:rPr>
            </w:pPr>
            <w:r>
              <w:rPr>
                <w:rFonts w:ascii="Arial" w:cs="Arial" w:eastAsia="Arial" w:hAnsi="Arial"/>
                <w:sz w:val="18"/>
                <w:szCs w:val="18"/>
                <w:b w:val="1"/>
                <w:bCs w:val="1"/>
                <w:color w:val="auto"/>
              </w:rPr>
              <w:t>BICYCLE THERAPEUTICS PLC</w:t>
            </w:r>
          </w:p>
        </w:tc>
        <w:tc>
          <w:tcPr>
            <w:tcW w:w="40" w:type="dxa"/>
            <w:vAlign w:val="bottom"/>
          </w:tcPr>
          <w:p>
            <w:pPr>
              <w:spacing w:after="0"/>
              <w:rPr>
                <w:sz w:val="20"/>
                <w:szCs w:val="20"/>
                <w:color w:val="auto"/>
              </w:rPr>
            </w:pPr>
          </w:p>
        </w:tc>
      </w:tr>
      <w:tr>
        <w:trPr>
          <w:trHeight w:val="432"/>
        </w:trPr>
        <w:tc>
          <w:tcPr>
            <w:tcW w:w="3720" w:type="dxa"/>
            <w:vAlign w:val="bottom"/>
          </w:tcPr>
          <w:p>
            <w:pPr>
              <w:spacing w:after="0"/>
              <w:rPr>
                <w:sz w:val="24"/>
                <w:szCs w:val="24"/>
                <w:color w:val="auto"/>
              </w:rPr>
            </w:pPr>
          </w:p>
        </w:tc>
        <w:tc>
          <w:tcPr>
            <w:tcW w:w="2740" w:type="dxa"/>
            <w:vAlign w:val="bottom"/>
          </w:tcPr>
          <w:p>
            <w:pPr>
              <w:ind w:left="2000"/>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Lee Kalowski</w:t>
            </w:r>
          </w:p>
        </w:tc>
        <w:tc>
          <w:tcPr>
            <w:tcW w:w="40" w:type="dxa"/>
            <w:vAlign w:val="bottom"/>
          </w:tcPr>
          <w:p>
            <w:pPr>
              <w:spacing w:after="0"/>
              <w:rPr>
                <w:sz w:val="24"/>
                <w:szCs w:val="24"/>
                <w:color w:val="auto"/>
              </w:rPr>
            </w:pPr>
          </w:p>
        </w:tc>
      </w:tr>
      <w:tr>
        <w:trPr>
          <w:trHeight w:val="411"/>
        </w:trPr>
        <w:tc>
          <w:tcPr>
            <w:tcW w:w="3720" w:type="dxa"/>
            <w:vAlign w:val="bottom"/>
          </w:tcPr>
          <w:p>
            <w:pPr>
              <w:spacing w:after="0"/>
              <w:rPr>
                <w:sz w:val="24"/>
                <w:szCs w:val="24"/>
                <w:color w:val="auto"/>
              </w:rPr>
            </w:pPr>
          </w:p>
        </w:tc>
        <w:tc>
          <w:tcPr>
            <w:tcW w:w="2740" w:type="dxa"/>
            <w:vAlign w:val="bottom"/>
          </w:tcPr>
          <w:p>
            <w:pPr>
              <w:ind w:left="2000"/>
              <w:spacing w:after="0"/>
              <w:rPr>
                <w:sz w:val="20"/>
                <w:szCs w:val="20"/>
                <w:color w:val="auto"/>
              </w:rPr>
            </w:pPr>
            <w:r>
              <w:rPr>
                <w:rFonts w:ascii="Arial" w:cs="Arial" w:eastAsia="Arial" w:hAnsi="Arial"/>
                <w:sz w:val="18"/>
                <w:szCs w:val="18"/>
                <w:color w:val="auto"/>
              </w:rPr>
              <w:t>Name:</w:t>
            </w:r>
          </w:p>
        </w:tc>
        <w:tc>
          <w:tcPr>
            <w:tcW w:w="4960" w:type="dxa"/>
            <w:vAlign w:val="bottom"/>
          </w:tcPr>
          <w:p>
            <w:pPr>
              <w:spacing w:after="0"/>
              <w:rPr>
                <w:sz w:val="20"/>
                <w:szCs w:val="20"/>
                <w:color w:val="auto"/>
              </w:rPr>
            </w:pPr>
            <w:r>
              <w:rPr>
                <w:rFonts w:ascii="Arial" w:cs="Arial" w:eastAsia="Arial" w:hAnsi="Arial"/>
                <w:sz w:val="18"/>
                <w:szCs w:val="18"/>
                <w:color w:val="auto"/>
              </w:rPr>
              <w:t>Lee Kalowski</w:t>
            </w:r>
          </w:p>
        </w:tc>
        <w:tc>
          <w:tcPr>
            <w:tcW w:w="40" w:type="dxa"/>
            <w:vAlign w:val="bottom"/>
          </w:tcPr>
          <w:p>
            <w:pPr>
              <w:spacing w:after="0"/>
              <w:rPr>
                <w:sz w:val="24"/>
                <w:szCs w:val="24"/>
                <w:color w:val="auto"/>
              </w:rPr>
            </w:pPr>
          </w:p>
        </w:tc>
      </w:tr>
      <w:tr>
        <w:trPr>
          <w:trHeight w:val="230"/>
        </w:trPr>
        <w:tc>
          <w:tcPr>
            <w:tcW w:w="3720" w:type="dxa"/>
            <w:vAlign w:val="bottom"/>
          </w:tcPr>
          <w:p>
            <w:pPr>
              <w:spacing w:after="0"/>
              <w:rPr>
                <w:sz w:val="20"/>
                <w:szCs w:val="20"/>
                <w:color w:val="auto"/>
              </w:rPr>
            </w:pPr>
          </w:p>
        </w:tc>
        <w:tc>
          <w:tcPr>
            <w:tcW w:w="2740" w:type="dxa"/>
            <w:vAlign w:val="bottom"/>
          </w:tcPr>
          <w:p>
            <w:pPr>
              <w:ind w:left="2000"/>
              <w:spacing w:after="0"/>
              <w:rPr>
                <w:sz w:val="20"/>
                <w:szCs w:val="20"/>
                <w:color w:val="auto"/>
              </w:rPr>
            </w:pPr>
            <w:r>
              <w:rPr>
                <w:rFonts w:ascii="Arial" w:cs="Arial" w:eastAsia="Arial" w:hAnsi="Arial"/>
                <w:sz w:val="18"/>
                <w:szCs w:val="18"/>
                <w:color w:val="auto"/>
              </w:rPr>
              <w:t>Title:</w:t>
            </w:r>
          </w:p>
        </w:tc>
        <w:tc>
          <w:tcPr>
            <w:tcW w:w="496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40" w:type="dxa"/>
            <w:vAlign w:val="bottom"/>
          </w:tcPr>
          <w:p>
            <w:pPr>
              <w:spacing w:after="0"/>
              <w:rPr>
                <w:sz w:val="20"/>
                <w:szCs w:val="20"/>
                <w:color w:val="auto"/>
              </w:rPr>
            </w:pPr>
          </w:p>
        </w:tc>
      </w:tr>
      <w:tr>
        <w:trPr>
          <w:trHeight w:val="432"/>
        </w:trPr>
        <w:tc>
          <w:tcPr>
            <w:tcW w:w="3720" w:type="dxa"/>
            <w:vAlign w:val="bottom"/>
          </w:tcPr>
          <w:p>
            <w:pPr>
              <w:spacing w:after="0"/>
              <w:rPr>
                <w:sz w:val="24"/>
                <w:szCs w:val="24"/>
                <w:color w:val="auto"/>
              </w:rPr>
            </w:pPr>
          </w:p>
        </w:tc>
        <w:tc>
          <w:tcPr>
            <w:tcW w:w="2740" w:type="dxa"/>
            <w:vAlign w:val="bottom"/>
          </w:tcPr>
          <w:p>
            <w:pPr>
              <w:ind w:left="1940"/>
              <w:spacing w:after="0"/>
              <w:rPr>
                <w:sz w:val="20"/>
                <w:szCs w:val="20"/>
                <w:color w:val="auto"/>
              </w:rPr>
            </w:pPr>
            <w:r>
              <w:rPr>
                <w:rFonts w:ascii="Arial" w:cs="Arial" w:eastAsia="Arial" w:hAnsi="Arial"/>
                <w:sz w:val="18"/>
                <w:szCs w:val="18"/>
                <w:color w:val="auto"/>
              </w:rPr>
              <w:t>3</w:t>
            </w:r>
          </w:p>
        </w:tc>
        <w:tc>
          <w:tcPr>
            <w:tcW w:w="49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720" w:type="dxa"/>
            <w:vAlign w:val="bottom"/>
            <w:tcBorders>
              <w:bottom w:val="single" w:sz="8" w:color="808080"/>
            </w:tcBorders>
          </w:tcPr>
          <w:p>
            <w:pPr>
              <w:spacing w:after="0"/>
              <w:rPr>
                <w:sz w:val="11"/>
                <w:szCs w:val="11"/>
                <w:color w:val="auto"/>
              </w:rPr>
            </w:pPr>
          </w:p>
        </w:tc>
        <w:tc>
          <w:tcPr>
            <w:tcW w:w="2740" w:type="dxa"/>
            <w:vAlign w:val="bottom"/>
            <w:tcBorders>
              <w:bottom w:val="single" w:sz="8" w:color="808080"/>
            </w:tcBorders>
          </w:tcPr>
          <w:p>
            <w:pPr>
              <w:spacing w:after="0"/>
              <w:rPr>
                <w:sz w:val="11"/>
                <w:szCs w:val="11"/>
                <w:color w:val="auto"/>
              </w:rPr>
            </w:pPr>
          </w:p>
        </w:tc>
        <w:tc>
          <w:tcPr>
            <w:tcW w:w="49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337"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2019-12-04T22:52:01Z</dcterms:created>
  <dcterms:modified xsi:type="dcterms:W3CDTF">2019-12-04T22:52:01Z</dcterms:modified>
</cp:coreProperties>
</file>