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left"/>
              <w:rPr/>
            </w:pPr>
            <w:r>
              <w:rPr/>
              <w:t xml:space="preserve">UNDER THE SECURITIES EXCHANGE ACT OF 1934 </w:t>
            </w:r>
          </w:p>
        </w:tc>
      </w:tr>
      <w:tr>
        <w:trPr/>
        <w:tc>
          <w:tcPr>
            <w:tcW w:w="10205"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Bicycle Therapeutics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American Depositary Shares, each representing one ordinary share, nominal value 0.01 euro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Armistice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3,398,000.00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3,398,000.00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3,398,000.00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Boyd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3,398,000.00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3,398,000.00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3,398,000.00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Bicycle Therapeutics plc</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BLOCKS A &amp; B, PORTWAY BUILDING, GRANTA PARK, GREAT ABINGTON, CAMBRIDGE, United Kingdom, CB21 6GS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Armistice Capital, LLC Steven Boyd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Armistice Capital, LLC 510 Madison Avenue, 7th Floor New York, New York 10022 United States of America Steven Boyd c/o Armistice Capital, LLC 510 Madison Avenue, 7th Floor New York, New York 10022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Armistice Capital, LLC - Delaware; Steven Boyd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American Depositary Shares, each representing one ordinary share, nominal value 0.01 euro per share</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3,398,000</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6.72%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3,398,000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3,398,000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Master Fund, a Cayman Islands exempted company that is an investment advisory client of Armistice Capital, has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Armistice Capital, LLC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Steven Boyd</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Steven Boyd - 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Steven Boyd</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Steven Boyd</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Steven Boyd</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14, 2026 Armistice Capital, LLC By: /s/ Steven Boyd Steven Boyd - Managing Member Steven Boyd By: /s/ Steven Boyd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1329</Words>
  <Characters>6884</Characters>
  <CharactersWithSpaces>8182</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