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83820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 One</w:t>
      </w:r>
      <w:r>
        <w:rPr>
          <w:rFonts w:ascii="Times New Roman" w:cs="Times New Roman" w:eastAsia="Times New Roman" w:hAnsi="Times New Roman"/>
          <w:sz w:val="16"/>
          <w:szCs w:val="16"/>
          <w:color w:val="auto"/>
        </w:rPr>
        <w:t>)</w:t>
      </w:r>
    </w:p>
    <w:p>
      <w:pPr>
        <w:spacing w:after="0" w:line="59" w:lineRule="exact"/>
        <w:rPr>
          <w:sz w:val="24"/>
          <w:szCs w:val="24"/>
          <w:color w:val="auto"/>
        </w:rPr>
      </w:pPr>
    </w:p>
    <w:p>
      <w:pPr>
        <w:ind w:left="3490" w:right="1680" w:hanging="3490"/>
        <w:spacing w:after="0" w:line="325" w:lineRule="auto"/>
        <w:tabs>
          <w:tab w:leader="none" w:pos="332" w:val="left"/>
        </w:tabs>
        <w:numPr>
          <w:ilvl w:val="0"/>
          <w:numId w:val="1"/>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4" w:lineRule="exact"/>
        <w:rPr>
          <w:sz w:val="24"/>
          <w:szCs w:val="24"/>
          <w:color w:val="auto"/>
        </w:rPr>
      </w:pPr>
    </w:p>
    <w:p>
      <w:pPr>
        <w:ind w:left="330" w:hanging="330"/>
        <w:spacing w:after="0"/>
        <w:tabs>
          <w:tab w:leader="none" w:pos="330" w:val="left"/>
        </w:tabs>
        <w:numPr>
          <w:ilvl w:val="0"/>
          <w:numId w:val="2"/>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8" w:lineRule="exact"/>
        <w:rPr>
          <w:sz w:val="24"/>
          <w:szCs w:val="24"/>
          <w:color w:val="auto"/>
        </w:rPr>
      </w:pPr>
    </w:p>
    <w:p>
      <w:pPr>
        <w:ind w:left="337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001-38916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133350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1"/>
          <w:szCs w:val="41"/>
          <w:b w:val="1"/>
          <w:bCs w:val="1"/>
          <w:color w:val="auto"/>
        </w:rPr>
        <w:t>Bicycle Therapeutics plc</w:t>
      </w:r>
    </w:p>
    <w:p>
      <w:pPr>
        <w:spacing w:after="0" w:line="6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282" w:lineRule="exact"/>
        <w:rPr>
          <w:sz w:val="24"/>
          <w:szCs w:val="24"/>
          <w:color w:val="auto"/>
        </w:rPr>
      </w:pPr>
    </w:p>
    <w:p>
      <w:pPr>
        <w:ind w:left="1830"/>
        <w:spacing w:after="0"/>
        <w:rPr>
          <w:sz w:val="20"/>
          <w:szCs w:val="20"/>
          <w:color w:val="auto"/>
        </w:rPr>
      </w:pPr>
      <w:r>
        <w:rPr>
          <w:rFonts w:ascii="Times New Roman" w:cs="Times New Roman" w:eastAsia="Times New Roman" w:hAnsi="Times New Roman"/>
          <w:sz w:val="16"/>
          <w:szCs w:val="16"/>
          <w:b w:val="1"/>
          <w:bCs w:val="1"/>
          <w:color w:val="auto"/>
        </w:rPr>
        <w:t>England and Wales</w:t>
      </w:r>
    </w:p>
    <w:p>
      <w:pPr>
        <w:spacing w:after="0" w:line="28" w:lineRule="exact"/>
        <w:rPr>
          <w:sz w:val="24"/>
          <w:szCs w:val="24"/>
          <w:color w:val="auto"/>
        </w:rPr>
      </w:pPr>
    </w:p>
    <w:p>
      <w:pPr>
        <w:ind w:left="157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53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90" w:lineRule="exact"/>
        <w:rPr>
          <w:sz w:val="24"/>
          <w:szCs w:val="24"/>
          <w:color w:val="auto"/>
        </w:rPr>
      </w:pPr>
    </w:p>
    <w:p>
      <w:pPr>
        <w:sectPr>
          <w:pgSz w:w="11900" w:h="16838" w:orient="portrait"/>
          <w:cols w:equalWidth="0" w:num="3">
            <w:col w:w="4370" w:space="720"/>
            <w:col w:w="1300" w:space="720"/>
            <w:col w:w="3120"/>
          </w:cols>
          <w:pgMar w:left="830" w:top="661" w:right="839" w:bottom="1440" w:gutter="0" w:footer="0" w:header="0"/>
          <w:type w:val="continuous"/>
        </w:sectPr>
      </w:pPr>
    </w:p>
    <w:p>
      <w:pPr>
        <w:jc w:val="center"/>
        <w:ind w:right="1610"/>
        <w:spacing w:after="0"/>
        <w:rPr>
          <w:sz w:val="20"/>
          <w:szCs w:val="20"/>
          <w:color w:val="auto"/>
        </w:rPr>
      </w:pPr>
      <w:r>
        <w:rPr>
          <w:rFonts w:ascii="Times New Roman" w:cs="Times New Roman" w:eastAsia="Times New Roman" w:hAnsi="Times New Roman"/>
          <w:sz w:val="16"/>
          <w:szCs w:val="16"/>
          <w:b w:val="1"/>
          <w:bCs w:val="1"/>
          <w:color w:val="auto"/>
        </w:rPr>
        <w:t>Blocks A &amp; B, Portway Building, Granta Park</w:t>
      </w:r>
    </w:p>
    <w:p>
      <w:pPr>
        <w:spacing w:after="0" w:line="28" w:lineRule="exact"/>
        <w:rPr>
          <w:sz w:val="24"/>
          <w:szCs w:val="24"/>
          <w:color w:val="auto"/>
        </w:rPr>
      </w:pPr>
    </w:p>
    <w:p>
      <w:pPr>
        <w:jc w:val="center"/>
        <w:ind w:right="1610"/>
        <w:spacing w:after="0"/>
        <w:rPr>
          <w:sz w:val="20"/>
          <w:szCs w:val="20"/>
          <w:color w:val="auto"/>
        </w:rPr>
      </w:pPr>
      <w:r>
        <w:rPr>
          <w:rFonts w:ascii="Times New Roman" w:cs="Times New Roman" w:eastAsia="Times New Roman" w:hAnsi="Times New Roman"/>
          <w:sz w:val="16"/>
          <w:szCs w:val="16"/>
          <w:b w:val="1"/>
          <w:bCs w:val="1"/>
          <w:color w:val="auto"/>
        </w:rPr>
        <w:t>Great Abington, Cambridge, United Kingdom</w:t>
      </w:r>
    </w:p>
    <w:p>
      <w:pPr>
        <w:spacing w:after="0" w:line="19" w:lineRule="exact"/>
        <w:rPr>
          <w:sz w:val="24"/>
          <w:szCs w:val="24"/>
          <w:color w:val="auto"/>
        </w:rPr>
      </w:pPr>
    </w:p>
    <w:p>
      <w:pPr>
        <w:jc w:val="center"/>
        <w:ind w:right="16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CB21 6GS</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(Zip Code)</w:t>
      </w:r>
    </w:p>
    <w:p>
      <w:pPr>
        <w:spacing w:after="0" w:line="90" w:lineRule="exact"/>
        <w:rPr>
          <w:sz w:val="24"/>
          <w:szCs w:val="24"/>
          <w:color w:val="auto"/>
        </w:rPr>
      </w:pPr>
    </w:p>
    <w:p>
      <w:pPr>
        <w:sectPr>
          <w:pgSz w:w="11900" w:h="16838" w:orient="portrait"/>
          <w:cols w:equalWidth="0" w:num="2">
            <w:col w:w="6630" w:space="720"/>
            <w:col w:w="2880"/>
          </w:cols>
          <w:pgMar w:left="830" w:top="661" w:right="839" w:bottom="1440" w:gutter="0" w:footer="0" w:header="0"/>
          <w:type w:val="continuous"/>
        </w:sectPr>
      </w:pPr>
    </w:p>
    <w:p>
      <w:pPr>
        <w:ind w:left="281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+44 1223 261503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the Act</w:t>
      </w:r>
      <w:r>
        <w:rPr>
          <w:rFonts w:ascii="Times New Roman" w:cs="Times New Roman" w:eastAsia="Times New Roman" w:hAnsi="Times New Roman"/>
          <w:sz w:val="16"/>
          <w:szCs w:val="16"/>
          <w:color w:val="auto"/>
        </w:rPr>
        <w: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2"/>
        </w:trPr>
        <w:tc>
          <w:tcPr>
            <w:tcW w:w="20" w:type="dxa"/>
            <w:vAlign w:val="bottom"/>
          </w:tcPr>
          <w:p>
            <w:pPr>
              <w:spacing w:after="0"/>
              <w:rPr>
                <w:sz w:val="15"/>
                <w:szCs w:val="15"/>
                <w:color w:val="auto"/>
              </w:rPr>
            </w:pPr>
          </w:p>
        </w:tc>
        <w:tc>
          <w:tcPr>
            <w:tcW w:w="3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Ordinary shares, nominal value £0.01 per share*</w:t>
            </w:r>
          </w:p>
        </w:tc>
        <w:tc>
          <w:tcPr>
            <w:tcW w:w="200" w:type="dxa"/>
            <w:vAlign w:val="bottom"/>
          </w:tcPr>
          <w:p>
            <w:pPr>
              <w:spacing w:after="0"/>
              <w:rPr>
                <w:sz w:val="15"/>
                <w:szCs w:val="15"/>
                <w:color w:val="auto"/>
              </w:rPr>
            </w:pPr>
          </w:p>
        </w:tc>
        <w:tc>
          <w:tcPr>
            <w:tcW w:w="2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5"/>
                <w:szCs w:val="15"/>
                <w:color w:val="auto"/>
              </w:rPr>
            </w:pPr>
          </w:p>
        </w:tc>
        <w:tc>
          <w:tcPr>
            <w:tcW w:w="3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American Depositary Shares, each representing one</w:t>
            </w:r>
          </w:p>
        </w:tc>
        <w:tc>
          <w:tcPr>
            <w:tcW w:w="2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BCYC</w:t>
            </w:r>
          </w:p>
        </w:tc>
        <w:tc>
          <w:tcPr>
            <w:tcW w:w="2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ordinary share, nominal value £0.01 per share</w:t>
            </w:r>
          </w:p>
        </w:tc>
        <w:tc>
          <w:tcPr>
            <w:tcW w:w="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73" w:lineRule="exact"/>
        <w:rPr>
          <w:sz w:val="24"/>
          <w:szCs w:val="24"/>
          <w:color w:val="auto"/>
        </w:rPr>
      </w:pPr>
    </w:p>
    <w:p>
      <w:pPr>
        <w:ind w:left="130" w:hanging="130"/>
        <w:spacing w:after="0"/>
        <w:tabs>
          <w:tab w:leader="none" w:pos="13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for trading, but only in connection with the listing of the American Depositary Shares on the Nasdaq Global Select Market.</w:t>
      </w:r>
    </w:p>
    <w:p>
      <w:pPr>
        <w:spacing w:after="0" w:line="100" w:lineRule="exact"/>
        <w:rPr>
          <w:sz w:val="24"/>
          <w:szCs w:val="24"/>
          <w:color w:val="auto"/>
        </w:rPr>
      </w:pPr>
    </w:p>
    <w:p>
      <w:pPr>
        <w:ind w:left="10" w:right="38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6" w:lineRule="exact"/>
        <w:rPr>
          <w:sz w:val="24"/>
          <w:szCs w:val="24"/>
          <w:color w:val="auto"/>
        </w:rPr>
      </w:pPr>
    </w:p>
    <w:p>
      <w:pPr>
        <w:ind w:left="10" w:right="1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left="10" w:right="5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20"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42"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ind w:left="720"/>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3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ind w:left="4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51" w:lineRule="exact"/>
        <w:rPr>
          <w:sz w:val="24"/>
          <w:szCs w:val="24"/>
          <w:color w:val="auto"/>
        </w:rPr>
      </w:pPr>
    </w:p>
    <w:p>
      <w:pPr>
        <w:sectPr>
          <w:pgSz w:w="11900" w:h="16838" w:orient="portrait"/>
          <w:cols w:equalWidth="0" w:num="2">
            <w:col w:w="7510" w:space="720"/>
            <w:col w:w="2000"/>
          </w:cols>
          <w:pgMar w:left="830" w:top="661" w:right="839" w:bottom="1440" w:gutter="0" w:footer="0" w:header="0"/>
          <w:type w:val="continuous"/>
        </w:sectPr>
      </w:pPr>
    </w:p>
    <w:p>
      <w:pPr>
        <w:ind w:left="1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5" w:lineRule="exact"/>
        <w:rPr>
          <w:sz w:val="24"/>
          <w:szCs w:val="24"/>
          <w:color w:val="auto"/>
        </w:rPr>
      </w:pPr>
    </w:p>
    <w:p>
      <w:pPr>
        <w:ind w:left="10"/>
        <w:spacing w:after="0" w:line="215" w:lineRule="exact"/>
        <w:tabs>
          <w:tab w:leader="none" w:pos="801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92" w:lineRule="exact"/>
        <w:rPr>
          <w:sz w:val="24"/>
          <w:szCs w:val="24"/>
          <w:color w:val="auto"/>
        </w:rPr>
      </w:pPr>
    </w:p>
    <w:p>
      <w:pPr>
        <w:ind w:left="10" w:right="280" w:firstLine="648"/>
        <w:spacing w:after="0" w:line="298" w:lineRule="auto"/>
        <w:rPr>
          <w:sz w:val="20"/>
          <w:szCs w:val="20"/>
          <w:color w:val="auto"/>
        </w:rPr>
      </w:pPr>
      <w:r>
        <w:rPr>
          <w:rFonts w:ascii="Times New Roman" w:cs="Times New Roman" w:eastAsia="Times New Roman" w:hAnsi="Times New Roman"/>
          <w:sz w:val="16"/>
          <w:szCs w:val="16"/>
          <w:color w:val="auto"/>
        </w:rPr>
        <w:t>As of April 27, 2026, the registrant had 50,373,281 ordinary shares, nominal value £0.01 per share, and 19,437,944 non-voting ordinary shares, nominal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584200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00" w:type="dxa"/>
            <w:vAlign w:val="bottom"/>
            <w:gridSpan w:val="10"/>
            <w:vMerge w:val="restart"/>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0000EE"/>
            </w:tcBorders>
            <w:gridSpan w:val="11"/>
            <w:vMerge w:val="continue"/>
          </w:tcPr>
          <w:p>
            <w:pPr>
              <w:spacing w:after="0"/>
              <w:rPr>
                <w:sz w:val="13"/>
                <w:szCs w:val="13"/>
                <w:color w:val="auto"/>
              </w:rPr>
            </w:pPr>
          </w:p>
        </w:tc>
        <w:tc>
          <w:tcPr>
            <w:tcW w:w="5200" w:type="dxa"/>
            <w:vAlign w:val="bottom"/>
            <w:gridSpan w:val="10"/>
            <w:vMerge w:val="continue"/>
          </w:tcPr>
          <w:p>
            <w:pPr>
              <w:spacing w:after="0"/>
              <w:rPr>
                <w:sz w:val="13"/>
                <w:szCs w:val="13"/>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19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10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0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gridSpan w:val="2"/>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40" w:type="dxa"/>
            <w:vAlign w:val="bottom"/>
            <w:gridSpan w:val="2"/>
          </w:tcPr>
          <w:p>
            <w:pPr>
              <w:spacing w:after="0"/>
              <w:rPr>
                <w:sz w:val="24"/>
                <w:szCs w:val="24"/>
                <w:color w:val="auto"/>
              </w:rPr>
            </w:pPr>
          </w:p>
        </w:tc>
        <w:tc>
          <w:tcPr>
            <w:tcW w:w="23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1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40" w:type="dxa"/>
            <w:vAlign w:val="bottom"/>
            <w:gridSpan w:val="2"/>
          </w:tcPr>
          <w:p>
            <w:pPr>
              <w:spacing w:after="0"/>
              <w:rPr>
                <w:sz w:val="24"/>
                <w:szCs w:val="24"/>
                <w:color w:val="auto"/>
              </w:rPr>
            </w:pPr>
          </w:p>
        </w:tc>
        <w:tc>
          <w:tcPr>
            <w:tcW w:w="1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72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4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24"/>
                <w:szCs w:val="24"/>
                <w:color w:val="auto"/>
              </w:rPr>
            </w:pPr>
          </w:p>
        </w:tc>
        <w:tc>
          <w:tcPr>
            <w:tcW w:w="616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“will,” “may,” “should,” “expects,” “intends,” “plans,” “anticipates,” “believes,” “estimates,” “predicts,” “potential,” “continue” or variations of these words or similar expressions that are intended to identify forward-looking statements, although not all forward-looking statements contain these words.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Forward-looking statements include statements, other than statements of historical fact, about, among other things:</w:t>
      </w:r>
    </w:p>
    <w:p>
      <w:pPr>
        <w:spacing w:after="0" w:line="194" w:lineRule="exact"/>
        <w:rPr>
          <w:sz w:val="20"/>
          <w:szCs w:val="20"/>
          <w:color w:val="auto"/>
        </w:rPr>
      </w:pPr>
    </w:p>
    <w:p>
      <w:pPr>
        <w:ind w:left="1040" w:right="2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and our research and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into, and successfully complete, clinical trials;</w:t>
      </w:r>
    </w:p>
    <w:p>
      <w:pPr>
        <w:spacing w:after="0" w:line="217" w:lineRule="exact"/>
        <w:rPr>
          <w:rFonts w:ascii="Times New Roman" w:cs="Times New Roman" w:eastAsia="Times New Roman" w:hAnsi="Times New Roman"/>
          <w:sz w:val="18"/>
          <w:szCs w:val="18"/>
          <w:color w:val="auto"/>
        </w:rPr>
      </w:pPr>
    </w:p>
    <w:p>
      <w:pPr>
        <w:ind w:left="1040" w:right="519" w:hanging="315"/>
        <w:spacing w:after="0" w:line="20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product candidates in our pipeline programs for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and Bicycle Radioconjugates,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as well as our other pipeline programs;</w:t>
      </w:r>
    </w:p>
    <w:p>
      <w:pPr>
        <w:spacing w:after="0" w:line="170"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screening platform to identify and advance additional product candidates into clinical development;</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communications with and feedback from the FDA and other regulatory agencies;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product liability and other claims;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and other jurisdictions and changes to the laws and regulations of the United States, England and Wales, and other jurisdictions;</w:t>
      </w:r>
    </w:p>
    <w:p>
      <w:pPr>
        <w:spacing w:after="0" w:line="161"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share performance and our needs for additional financing;</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to enter into additional strategic arrangements or partnerships;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grant funding;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therapies;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hiring plans and 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potential growth;</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expected future cost savings and charges associated with our strategic reprioritization and workforce reduction announced in March 2026;</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global economic conditions, including those arising from changes in global trade policies, on our operations and the potential disruption in the operations and business of third-party manufacturers, contract research organizations, or CROs, other service providers, and collaborators with whom we conduct business;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developments affecting the financial services industry;</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interruptions resulting from geo-political actions, such as war and terrorism, or the perception that such hostilities may be imminent;</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perceived failure to comply with existing or future laws, regulations, contracts, self-regulatory schemes, standards, and other obligations related to data privacy and security (including our ability to identify and respond to potential future security incidents);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a reasonable basis for each forward-looking statement contained in this Quarterly Report, these statements are based on our estimates or projections of the future that are subject to known and unknown risks and uncertainties and other important factors that may cause our actual results, level of activity, performance, experience or achievements to differ materially from those expressed or implied by any forward-looking statement. These risks, uncertainties and other factors are described in greater detail under the caption “Risk Factors” in Part II, Item 1A and elsewhere in this Quarterly Report. As a result of the risks and uncertainties, the results or events indicated by the forward-looking statements may not occur. Undue reliance should not be placed on any forward-looking statement.</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any forward-looking statement in this Quarterly Report represents our views only as of the date of this Quarterly Report and should not be relied upon as representing our views as of any subsequent date. We anticipate that subsequent events and developments may cause our views to change. Although we may elect to update these forward-looking statements publicly at some point in the future, we specifically disclaim any obligation to do so, except as required by applicable law.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559,474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652,396</w:t>
            </w:r>
          </w:p>
        </w:tc>
        <w:tc>
          <w:tcPr>
            <w:tcW w:w="2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6"/>
                <w:szCs w:val="16"/>
                <w:color w:val="auto"/>
              </w:rPr>
              <w:t>Other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98,076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Ordinary shares, including non-voting ordinary shares, £0.01 nominal value; 163,361,109 and</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159,685,229 shares authorized on March 31, 2026 and December 31, 2025, respectively;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69,707,026 and 69,367,896 shares issued and outstanding at March 31, 2026 and December</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31, 2025, respectively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1,519,276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(960,576)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652,396</w:t>
            </w:r>
          </w:p>
        </w:tc>
        <w:tc>
          <w:tcPr>
            <w:tcW w:w="20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920" w:type="dxa"/>
            <w:vAlign w:val="bottom"/>
            <w:vMerge w:val="restart"/>
          </w:tcPr>
          <w:p>
            <w:pPr>
              <w:ind w:left="5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560" w:type="dxa"/>
            <w:vAlign w:val="bottom"/>
            <w:gridSpan w:val="2"/>
          </w:tcPr>
          <w:p>
            <w:pPr>
              <w:jc w:val="center"/>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69,683,471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69,196,945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(60,825)</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720" w:type="dxa"/>
            <w:vAlign w:val="bottom"/>
            <w:gridSpan w:val="2"/>
          </w:tcPr>
          <w:p>
            <w:pPr>
              <w:ind w:left="36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gridSpan w:val="3"/>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3"/>
          </w:tcPr>
          <w:p>
            <w:pPr>
              <w:jc w:val="right"/>
              <w:ind w:right="1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69,367,896</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894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1,512,339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(3,505)</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(899,751)</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609,977</w:t>
            </w: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3,861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335,269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(60,825)</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69,707,026</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899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1,519,276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(5,279)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(960,576)</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554,320</w:t>
            </w:r>
          </w:p>
        </w:tc>
        <w:tc>
          <w:tcPr>
            <w:tcW w:w="0" w:type="dxa"/>
            <w:vAlign w:val="bottom"/>
          </w:tcPr>
          <w:p>
            <w:pPr>
              <w:spacing w:after="0"/>
              <w:rPr>
                <w:sz w:val="1"/>
                <w:szCs w:val="1"/>
                <w:color w:val="auto"/>
              </w:rPr>
            </w:pPr>
          </w:p>
        </w:tc>
      </w:tr>
      <w:tr>
        <w:trPr>
          <w:trHeight w:val="563"/>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700" w:type="dxa"/>
            <w:vAlign w:val="bottom"/>
          </w:tcPr>
          <w:p>
            <w:pPr>
              <w:ind w:left="3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96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gridSpan w:val="3"/>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3"/>
          </w:tcPr>
          <w:p>
            <w:pPr>
              <w:jc w:val="right"/>
              <w:ind w:right="1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69,061,418</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1,472,842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(680,791)</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793,060</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(60,754)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(60,754)</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69,202,355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892</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1,482,447</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(1,461)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(741,545)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740,333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4"/>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38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(60,825)</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6"/>
                <w:szCs w:val="16"/>
                <w:color w:val="auto"/>
              </w:rPr>
              <w:t>Operating lease 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(65,925)</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exercise of share options and settlement of restricted share units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628,715</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560,079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559,474</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 prepaid expenses and other current assets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 other assets</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560,079</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793,520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on finance lease obligations</w:t>
            </w:r>
          </w:p>
        </w:tc>
        <w:tc>
          <w:tcPr>
            <w:tcW w:w="5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5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purchases of property and equipment in accounts payable and accrued expenses</w:t>
            </w:r>
          </w:p>
        </w:tc>
        <w:tc>
          <w:tcPr>
            <w:tcW w:w="5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60" w:type="dxa"/>
            <w:vAlign w:val="bottom"/>
          </w:tcPr>
          <w:p>
            <w:pPr>
              <w:spacing w:after="0"/>
              <w:rPr>
                <w:sz w:val="18"/>
                <w:szCs w:val="18"/>
                <w:color w:val="auto"/>
              </w:rPr>
            </w:pP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left="60" w:right="179" w:firstLine="648"/>
        <w:spacing w:after="0" w:line="233" w:lineRule="auto"/>
        <w:rPr>
          <w:sz w:val="20"/>
          <w:szCs w:val="20"/>
          <w:color w:val="auto"/>
        </w:rPr>
      </w:pPr>
      <w:r>
        <w:rPr>
          <w:rFonts w:ascii="Times New Roman" w:cs="Times New Roman" w:eastAsia="Times New Roman" w:hAnsi="Times New Roman"/>
          <w:sz w:val="18"/>
          <w:szCs w:val="18"/>
          <w:color w:val="auto"/>
        </w:rPr>
        <w:t>Bicycle Therapeutics plc (collectively with its subsidiaries, the “Company”) is a clinical-stage pharmaceutical company developing a novel class of medicines, which the Company refers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a unique therapeutic modality combining the pharmacology usually associated with a biologic with the manufacturing and pharmacokinetic properties of a small molecule. The Company’s internal programs are focused on oncology indications with high unmet medical need.</w:t>
      </w:r>
    </w:p>
    <w:p>
      <w:pPr>
        <w:spacing w:after="0" w:line="20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Bicycle Therapeutics plc and its wholly owned subsidiaries, BicycleTx Limited, BicycleRD Limited and Bicycle Therapeutics Inc. All intercompany balances and transactions have been eliminated on consolidation.</w:t>
      </w:r>
    </w:p>
    <w:p>
      <w:pPr>
        <w:spacing w:after="0" w:line="176" w:lineRule="exact"/>
        <w:rPr>
          <w:sz w:val="20"/>
          <w:szCs w:val="20"/>
          <w:color w:val="auto"/>
        </w:rPr>
      </w:pPr>
    </w:p>
    <w:p>
      <w:pPr>
        <w:ind w:left="60" w:right="85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the Company had cash and cash equivalents of $559.5 million.</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devoted substantially all of its efforts to business planning, research and development, recruiting management and technical staff, and raising capital. The Company has funded its operations primarily through the sale of equity securities, payments received under collaboration arrangements (Note 8) and loan borrowings.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has incurred recurring losses since inception, including net losses of $60.8 million and $60.8 million for the three months ended March 31, 2026 and 2025, respectively. As of March 31, 2026, the Company had an accumulated deficit of $960.6 million. The Company expects to continue to generate operating losses in the foreseeable future. The Company expects that its cash and cash equivalents will be sufficient to fund its operating expenses and capital expenditure requirements through at least twelve months from the issuance date of these interim condensed consolidated financial statements.</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its expenses to increase substantially in connection with ongoing activities, particularly if, and as, the Company advances its clinical trials for its product candidates in development and preclinical activities. Accordingly, the Company will need to obtain additional funding in connection with continuing operations. If the Company is unable to raise funding when needed, or on attractive terms, it could be forced to delay, reduce or eliminate its research or drug development programs or any future commercialization efforts. There is no assurance that the Company will be successful in obtaining sufficient funding on terms acceptable to the Company to fund continuing operations, if at all.</w:t>
      </w:r>
    </w:p>
    <w:p>
      <w:pPr>
        <w:spacing w:after="0" w:line="18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and pharmaceutical industries,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2025 included in the Company’s Annual Report on Form 10-K for the year ended December 31, 2025, which was filed with the Securities and Exchange Commission (the “SEC”), on March 17, 2026 (the “2025 Annual Report”). Since the date of such consolidated financial statements, there have been no changes to the Company’s significant accounting policies, other than those disclosed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revenue recognition, the accrual for research and development expenses and research and development incentives receivable, share-based compensation expense, valuation of right-of-use assets and liabilities and income taxes, including the valuation allowance for deferred tax assets.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a period of economic uncertainty which has been significantly impacted by domestic and global monetary and fiscal policy, changes to global trade policies, geopolitical conflicts and wars, inflation and interest rates, and fluctuations in monetary exchange rates. While the Company has experienced limited financial impacts at this time, the Company continues to monitor these factors and events and the potential effects each may have on the Company’s business, financial condition, results of operations and growth prospects.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in the footnote disclosures of these financial statements has been condensed or omitted pursuant to the rules and regulations of the SEC. These unaudited condensed consolidated financial statements should be read in conjunction with the Company’s audited consolidated financial statements and notes thereto for the year ended December 31, 2025 included in the Company’s 2025 Annual Report.</w:t>
      </w:r>
    </w:p>
    <w:p>
      <w:pPr>
        <w:spacing w:after="0" w:line="180"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The accompanying condensed consolidated balance sheet as of March 31, 2026 and the condensed consolidated statements of operations and comprehensive loss, the condensed consolidated statements of shareholders’ equity and the condensed consolidated statements of cash flows for the three months ended March 31, 2026 and 2025, and the related financial information disclosed in these notes are unaudited. The unaudited interim financial statements have been prepared on the same basis as the audited annual financial statements for the year ended December 31, 2025, and, in the opinion of management, reflect all adjustments, consisting of normal recurring adjustments, necessary for the fair statement of the Company’s financial position as of March 31, 2026, and the results of its operations and its cash flows for the three months ended March 31, 2026 and 2025. The results for the three months ended March 31, 2026 are not necessarily indicative of the results to be expected for the year ending December 31, 2026, any other interim periods, or any future year or period.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 and receivable</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subsidiaries in the U.K., receives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Enterprises (“SME”) R&amp;D Tax Relief program with a merged research and development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expenditure credit scheme (“RDEC”) and an enhanced research and development intensive support scheme (“ERIS”). The Finance Act 2024 also restricts the tax relief that can be claimed for expenditures incurred on subcontracted R&amp;D activities or externally provided workers, where such subcontracted activities are not carried out in the U.K. or such workers are not subject to UK payroll taxes. The Finance Act 2024 provides for a cash rebate that may be claimed for 26.97% of qualifying expenditure if the Company qualifies as “R&amp;D intensive” for an accounting period (broadly, a loss-making SME whose relevant R&amp;D expenditure represents 30% of its total expenditure for that accounting period). The Company qualified as R&amp;D intensive for the year ended December 31, 2025, and expects to continue to qualify as R&amp;D intensive for the year ended December 31, 2026. Going forward, if the Company no longer qualifies as an R&amp;D-intensive SME during an accounting period, the Company will be subject to a single 20% gross rebate rate applying to all claims under the RDEC scheme.</w:t>
      </w:r>
    </w:p>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condensed consolidated statements of operations and comprehensive loss, as the research and development tax credits are not dependent on the Company generating future taxable income, the Company’s ongoing tax status, or tax position. The research and development incentives receivable represents amounts due in connection with the above program. The Company recorded a reduction to research and development expenses of $6.0 million and $9.3 million during the three months ended March 31, 2026 and 2025, respectively. As of March 31, 2026 and December 31, 2025, the Company had research and development incentives receivable of $40.9 million and $35.6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(“ASU No. 2024-03”), which requires more detailed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specified categories of expenses included in certain expense captions presented on the face of the consolidated statements of operations and comprehensive loss, including employee compensation, depreciation and amortization. ASU No.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the ASU or retrospectively to all prior periods presented. The Company is currently evaluating the impact of the adoption of ASU No. 2024-03 on its consolidated financial statement disclosures.</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Targeted Improvements to the Accounting for Internal-Use Software </w:t>
      </w:r>
      <w:r>
        <w:rPr>
          <w:rFonts w:ascii="Times New Roman" w:cs="Times New Roman" w:eastAsia="Times New Roman" w:hAnsi="Times New Roman"/>
          <w:sz w:val="18"/>
          <w:szCs w:val="18"/>
          <w:color w:val="auto"/>
        </w:rPr>
        <w:t>(“ASU No.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amends certain aspects of the accounting for and disclosure of software costs under ASC Subtopic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standard is effective for fiscal years beginning after December 15, 2027 and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2027, with early adoption permitted. The amendments may be applied prospectively, retrospectively, or through a modified prospective transition method. The Company is currently evaluating the potential impact of the adoption of ASU No. 2025-06 on its consolidated financial statements.</w:t>
      </w:r>
    </w:p>
    <w:p>
      <w:pPr>
        <w:spacing w:after="0" w:line="183"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Received by Business Entities </w:t>
      </w:r>
      <w:r>
        <w:rPr>
          <w:rFonts w:ascii="Times New Roman" w:cs="Times New Roman" w:eastAsia="Times New Roman" w:hAnsi="Times New Roman"/>
          <w:sz w:val="18"/>
          <w:szCs w:val="18"/>
          <w:color w:val="auto"/>
        </w:rPr>
        <w:t>(“ASU No. 2025-10”), which establishes authoritative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measurement, presentation, and disclosure of government grants. ASU No. 2025-10 is effective for fiscal years beginning after December 15, 2028, including interim periods within those fiscal years, with early adoption permitted. The Company is currently evaluating the impact of adopting ASU No. 2025-10 on its consolidated financial statements and related disclosures.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 Level 1, quoted prices in active markets for identical assets or liabilities; Level 2, observable inputs (other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than Level 1 quoted prices), such as quoted prices in active markets for similar assets or liabilities, quoted prices in markets that are not active for identical or similar assets or liabilities, or other inputs that are observable or can be corroborated by observable market data; 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83"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research and development incentives receivable, prepaid expenses and other current assets, accounts payable and accrued expenses and other current liabilities approximate their fair values due to the short-term nature of these assets and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to known amounts of cash with original maturities of three months or less at the date of purchase to be cash equivalents. As of March 31, 2026 and December 31, 2025, the Company had cash equivalents of $351.2 million and $364.2 million, respectively, consisting of money market funds, which are considered Level 1 assets. As of each of March 31, 2026 and December 31, 2025, there were no other assets or liabilities measured at fair value on a recurring basis.</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each of March 31, 2026 and December 31, 2025, the Company had $0.5 million of restricted cash related to a collateralized letter of credit in connection with the Company’s lease for office and laboratory space in Cambridge, Massachusetts, which is included within prepaid expenses and other current assets, respectively, in the Company’s condensed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6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00" w:type="dxa"/>
            <w:vAlign w:val="bottom"/>
            <w:gridSpan w:val="2"/>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$1.1 million and $1.6 million for the three months ended March 31, 2026 and 2025, respectively. Depreciation and amortization expense for the three months ended March 31, 2026 and 2025 included amortization expense of $0.1 million and $0.1 million, respectively, related to property and equipment obtained under finance leases.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44" w:lineRule="auto"/>
        <w:rPr>
          <w:sz w:val="20"/>
          <w:szCs w:val="20"/>
          <w:color w:val="auto"/>
        </w:rPr>
      </w:pPr>
      <w:r>
        <w:rPr>
          <w:rFonts w:ascii="Times New Roman" w:cs="Times New Roman" w:eastAsia="Times New Roman" w:hAnsi="Times New Roman"/>
          <w:sz w:val="18"/>
          <w:szCs w:val="18"/>
          <w:color w:val="auto"/>
        </w:rPr>
        <w:t>In March 2026, the Company announced the strategic reprioritization of its clinical portfolio to focus on its promising pipeline of next-generation therapeutics, including nuzefatide pevedotin (formerly BT5528), as well as next-generation Bicycle conjugates, including Bicycle Radioconjugates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molecules). In conjunction with the strategic reprioritization, the Company announced a workforce reduction of approximately 30% of its workforce (the “March 2026 Workforce Reduction”). The Company expects the March 2026 Workforce Reduction to be substantially completed by the end of 2026 and to recognize aggregate charges for severance and other employee termination benefits of approximately $7.2 million. During the three months ended March 31, 2026, the Company recognized expenses related to severance and other employee termination benefits of $4.2 million, of which $3.3 million were included in research and development expenses and $0.9 million were included in general and administrative expenses in the Company’s condensed consolidated statements of operations and comprehensive loss. Of these charges recognized during the three months ended March 31, 2026, $0.2 million represented cash expenditure for severance and other employee termination benefits paid during the period, and the remaining $4.0 million in unpaid severance and other employee benefits are included in accrued employee compensation and benefits within accrued expenses and other current liabilities in the Company’s condensed consolidated balance sheet as of March 31, 2026. In addition, the Company recognized $3.3 million in accrued external research and development expenses for contract termination costs during the three months ended March 31, 2026.</w:t>
      </w:r>
    </w:p>
    <w:p>
      <w:pPr>
        <w:spacing w:after="0" w:line="20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August 2025, the Company announced cost reduction initiatives to reduce planned operating costs, primarily through a workforce reduction, which was substantially completed during the year ended December 31, 2025 (the “August 2025 Workforce Reduction”). As of December 31, 2025, the Company had a remaining liability of $0.3 million related to unpaid severance and other employee termination benefits associated with the August 2025 Workforce Reduction, all of which were paid during the three months ended March 31, 2026.</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Ordinary shares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ordinary shares are divided into two classes: (i) ordinary shares and (ii) non-voting ordinary shares. Each holder of ordinary shares is entitled to one vote per ordinary share and to receive dividends when and if such dividends are recommended by the board of directors and declared by the shareholders. Holders of American Depositary Shares (“ADSs”) are not treated as holders of the Company’s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the Company’s ordinary shares, other than the rights that they have pursuant to the deposit agreement with the depositary.</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non-voting ordinary shares have the same rights and restrictions as the ordinary shares and otherwise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all respects with the ordinary shares except for the following:</w:t>
      </w:r>
    </w:p>
    <w:p>
      <w:pPr>
        <w:spacing w:after="0" w:line="162" w:lineRule="exact"/>
        <w:rPr>
          <w:sz w:val="20"/>
          <w:szCs w:val="20"/>
          <w:color w:val="auto"/>
        </w:rPr>
      </w:pPr>
    </w:p>
    <w:p>
      <w:pPr>
        <w:jc w:val="both"/>
        <w:ind w:left="1040" w:right="11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non-voting ordinary shares shall, in relation to the non-voting ordinary shares held, have no right to receive notice of, or to attend or vote at, any general meeting of shareholders save in relation to a variation of class rights of the non-voting ordinary shares;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by the Company’s board of directors, or a duly authorized committee or representative thereof, upon receipt of a re-designation notice and otherwise subject to the terms and conditions set out in the terms of issue. A holder of non-voting ordinary shares shall not be entitled to have any non-voting ordinary shares re-designated as ordinary shares where such re-designation would result in such holder thereof beneficially owning (for purposes of section 13(d) of the Exchange Act), when aggregated with “affiliates” and “group” members with whom such holder is required to aggregate beneficial ownership for the purposes of section 13(d) of the Exchange Act, in excess of 9.99% of any class of the Company’s securities registered under the Exchange Act (which percentage may be increased or decreased on a holder-by-holder basis subject to the provisions set out in the terms of issue); and</w:t>
      </w:r>
    </w:p>
    <w:p>
      <w:pPr>
        <w:spacing w:after="0" w:line="194"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automatically upon transfer of a non-voting ordinary share by its holder to any person that is not an “affiliate” or “group” member with whom such holder is required to aggregate beneficial ownership for purposes of section 13(d) of the Exchange Act. This automatic re-designation shall only be in respect of the non-voting ordinary shares that are subject to such transfer.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not declared any dividends.</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Company’s authorized share capital consisted of 163,361,109 and 159,685,229 ordinary shares, respectively, including ordinary shares and non-voting ordinary shares, with a nominal value of £0.01 per share. Authorized share capital, or shares authorized, comprises (i) the currently issued and outstanding ordinary shares and non-voting ordinary shares, (ii) the remaining ordinary shares available for allotment under the existing authority granted to the Board at the annual general meeting held on May 16, 2024, (iii) ordinary shares issuable on the exercise of outstanding options and settlement of vested restricted share units (“RSUs”) and (iv) ordinary shares reserved for issuance under the Bicycle Therapeutics plc 2024 Inducement Plan (the “2024 Inducement Plan”), the Bicycle Therapeutics plc 2020 Equity Incentive Plan (as amended from time to time, the “2020 Plan”) and/or the Bicycle Therapeutics plc 2019 Employee Share Purchase Plan (the “ESPP”).</w:t>
      </w:r>
    </w:p>
    <w:p>
      <w:pPr>
        <w:spacing w:after="0" w:line="188"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were 50,269,082 ordinary shares issued and outstanding and 19,437,944 non-voting ordinary shares issued and outstanding.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incentive pool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2024 Inducement Plan</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2024, the Company’s board of directors approved the 2024 Inducement Plan. The 2024 Inducement Plan allows for the granting of nonqualified share options, RSUs, and other equity awards under the plan to persons not previously an employee or director of the Company, or following a bona fide period of non-employment, as an inducement material to such persons entering into employment with the Company. Share options granted under the 2024 Inducement Plan have a 10-year contractual life and generally vest over a four-year service period with 25% of the award vesting on the first anniversary of the vesting commencement date and the balance thereafter in 36 equal monthly installments. In the event of a change of control of the Company, as defined in the 2024 Inducement Plan, any outstanding awards under the 2024 Inducement Plan will vest in full immediately prior to such change of control.</w:t>
      </w:r>
    </w:p>
    <w:p>
      <w:pPr>
        <w:spacing w:after="0" w:line="192"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 Company initially reserved 1,500,000 of its ordinary shares, or the equivalent number of ADSs, for the issuance of awards under the 2024 Inducement Plan. As of March 31, 2026, there were 1,027,409 shares available for future issuance under the 2024 Inducement Plan.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there were options to purchase 472,591 shares outstanding under the 2024 Inducement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June 2020, the Company’s shareholders first approved the 2020 Plan, under which the Company may grant market value options, market value stock appreciation rights or restricted shares, RSUs, performance RSUs and other share-based awards to the Company’s employees. The Company’s non-employee directors and consultants are eligible to receive awards under the 2020 Non-Employee Sub-Plan to the 2020 Plan. All awards under the 2020 Plan, including the 2020 Non-Employee Sub-Plan, will be set forth in award agreements, which will detail the terms and conditions of awards, including any applicable vesting and payment terms, change of control provisions and post-termination exercise limitations. In the event of a change of control of the Company, as defined in the 2020 Plan, any outstanding awards under the 2020 Plan will vest in full immediately prior to such change of control.</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ordinary shares reserved for future issuance under the 2020 Plan includes shares subject to options that were granted under the Company’s 2019 Share Option Plan (the “2019 Plan”) and that were granted pursuant to option contracts granted prior to the Company’s initial public offering (“IPO”), in each case that expire, terminate, are forfeited or otherwise not issued from time to time, if any. Prior to June 2025, the number of ordinary shares reserved for issuance pursuant to the 2020 Plan automatically increased on the first day of January of each year, initially commencing on January 1, 2021 and continuing up to and including January 1, 2032, in an amount equal to 5% of the total number of the Company’s voting ordinary shares outstanding on the last day of the preceding year, or a lesser number of shares determined by the Company’s board of directors (the “Evergreen Increase”). In June 2025, the Company’s shareholders approved Amendment No. 1 to the 2020 Plan which (i) amended the calculation of the Evergreen Increase to capture the Company’s total issued share capital in order to treat non-voting ordinary shares the same as voting ordinary shares, and (ii) increased the number of ordinary shares reserved for future issuance by 1,300,000. Pursuant to the Evergreen Increase, on January 1, 2026, the number of shares reserved for issuance under the 2020 Plan was increased by 3,468,394 shares. As of March 31, 2026, there were 2,866,384 ordinary shares available for issuance under the 2020 Plan.</w:t>
      </w:r>
    </w:p>
    <w:p>
      <w:pPr>
        <w:spacing w:after="0" w:line="18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Share options granted under the 2020 Plan have a 10-year contractual life and generally vest over either a three-year service period in three equal annual installments for new non-employee director grants, or a four-year service period with 25% of the award vesting on the first anniversary of the vesting commencement date and the balance thereafter in 36 equal monthly installments for employees and consultants. Certain options granted to the Company’s non-employee directors vest over a one-year service period in four equal quarterly installments.</w:t>
      </w:r>
    </w:p>
    <w:p>
      <w:pPr>
        <w:spacing w:after="0" w:line="183"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The Company grants RSUs to non-employee directors, consultants and certain employees under the 2020 Plan. Each RSU represents the right to receive one of the Company’s ordinary shares upon vesting. RSUs granted to employees and consultants vest over a four-year service period with 25% of the award vesting on the first anniversary of the vesting commencement date and the remaining RSUs vesting in 12 equal quarterly installments. Certain RSUs granted to the Company’s non-employee directors either vest over a three-year service period in three equal annual installments for new non-employee director grants or over a one-year service period in four equal quarterly installments. The Company may also, in its sole discretion, provide for deferred settlement of RSUs granted to the Company’s non-employee directors.</w:t>
      </w:r>
    </w:p>
    <w:p>
      <w:pPr>
        <w:spacing w:after="0" w:line="171"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were options to purchase 8,217,249 shares outstanding and RSUs for 2,905,875 shares outstanding under the 2020 Plan.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Share Option Plan</w:t>
      </w:r>
    </w:p>
    <w:p>
      <w:pPr>
        <w:spacing w:after="0" w:line="22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May 2019, the Company adopted the 2019 Plan, which became effective in conjunction with the IPO. As of March 31, 2026, there were 1,691,608 options to purchase ordinary shares outstanding under the 2019 Plan. In conjunction with the adoption of the 2020 Plan, all shares available for future issuance under the 2019 Plan as of June 29, 2020 became available for issuance under the 2020 Plan and the Company ceased making awards under the 2019 Plan. The 2020 Plan is the successor of the 2019 Plan.</w:t>
      </w:r>
    </w:p>
    <w:p>
      <w:pPr>
        <w:spacing w:after="0" w:line="183" w:lineRule="exact"/>
        <w:rPr>
          <w:sz w:val="20"/>
          <w:szCs w:val="20"/>
          <w:color w:val="auto"/>
        </w:r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Share options previously issued under the 2019 Plan have a 10-year contractual life, and generally either vest monthly over a three-year service period, or over a four-year service period with 25% of the award vesting on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first anniversary of the commencement date and the balance thereafter in 36 equal monthly installments. Certain awards granted to the Company’s non-employee directors were fully vested on the date of grant. The exercise price of share options issued under the 2019 Plan is not less than the fair value of ordinary shares as of the date of grant.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May 2019, the Company adopted the ESPP, which became effective in conjunction with the IPO. The Company initially reserved 215,000 ordinary shares for future issuance under this plan. The ESPP provides that the number of shares reserved and available for issuance will automatically increase each January 1, beginning on January 1, 2020 and each January 1 thereafter through January 1, 2029, by the lower of: (i) 1% of the outstanding number of ordinary shares on the immediately preceding December 31; (ii) 430,000 ordinary shares or (iii) such lesser number of shares as determined by the Compensation Committee. The number of shares reserved under the ESPP is subject to adjustment in the event of a split-up, share dividend or other change in the Company’s capitalization. The number of shares reserved for issuance under the ESPP was increased by 430,000 shares effective January 1, 2026. As of March 31, 2026, the total number of shares available for issuance under the ESPP was 2,437,671 ordinary shares. As of March 31, 2026, there have been no offering periods to employees under ESPP.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expense in the following expense categories of its condensed consolidated statements of operations and comprehensive loss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74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gridSpan w:val="2"/>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3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option activity since December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Exercise Price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40" w:type="dxa"/>
            <w:vAlign w:val="bottom"/>
            <w:gridSpan w:val="2"/>
            <w:vMerge w:val="continue"/>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9,803,106</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10,881,345</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10,881,345</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7,255,416</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share options granted during the three months ended March 31, 2026 and 2025 was $4.62 per share and $9.31 per share, respectively.</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share options is calculated as the difference between the exercise price of the share options and the fair value of the Company’s ordinary shares. The aggregate intrinsic value of share options exercised was $14,054 and zero for the three months ended March 31, 2026 and 2025, respectively.</w:t>
      </w:r>
    </w:p>
    <w:p>
      <w:pPr>
        <w:spacing w:after="0" w:line="1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share-based compensation expense for share options granted of $4.4 million and $6.9 million,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fair value of share options granted to employees and directors: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500" w:type="dxa"/>
            <w:vAlign w:val="bottom"/>
            <w:gridSpan w:val="4"/>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20" w:type="dxa"/>
            <w:vAlign w:val="bottom"/>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Borders>
              <w:bottom w:val="single" w:sz="8" w:color="auto"/>
            </w:tcBorders>
            <w:gridSpan w:val="4"/>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540" w:type="dxa"/>
            <w:vAlign w:val="bottom"/>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share options was $27.2 million, which is expected to be recognized over a weighted average period of 2.3 years.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under the 2020 Plan since December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140" w:type="dxa"/>
            <w:vAlign w:val="bottom"/>
          </w:tcPr>
          <w:p>
            <w:pPr>
              <w:spacing w:after="0"/>
              <w:rPr>
                <w:sz w:val="15"/>
                <w:szCs w:val="15"/>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9"/>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(335,269)</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5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(26,708)</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(320,942)</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0"/>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Unvested outstanding at March 31,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2,781,874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0"/>
        </w:trPr>
        <w:tc>
          <w:tcPr>
            <w:tcW w:w="540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December 31, 2025</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540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10"/>
        </w:trPr>
        <w:tc>
          <w:tcPr>
            <w:tcW w:w="54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March 31, 2026</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2,905,875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r>
    </w:tbl>
    <w:p>
      <w:pPr>
        <w:spacing w:after="0" w:line="81" w:lineRule="exact"/>
        <w:rPr>
          <w:sz w:val="20"/>
          <w:szCs w:val="20"/>
          <w:color w:val="auto"/>
        </w:rPr>
      </w:pPr>
    </w:p>
    <w:p>
      <w:pPr>
        <w:ind w:left="380" w:right="379" w:hanging="330"/>
        <w:spacing w:after="0" w:line="281"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granted certain RSUs to the Company’s non-employee directors which provide for deferred settlement of the RSUs to a specified date following the first to occur of (i) the date of the director’s separation from service, (ii) the date of the director’s disability, (iii) the date of the director’s death, or (iv) the date of a change in control event.</w:t>
      </w:r>
    </w:p>
    <w:p>
      <w:pPr>
        <w:spacing w:after="0" w:line="17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RSUs that vested during the three months ended March 31, 2026 and 2025 was $2.5 million and $2.1 million, respectively.</w:t>
      </w:r>
    </w:p>
    <w:p>
      <w:pPr>
        <w:spacing w:after="0" w:line="162" w:lineRule="exact"/>
        <w:rPr>
          <w:sz w:val="20"/>
          <w:szCs w:val="20"/>
          <w:color w:val="auto"/>
        </w:rPr>
      </w:pPr>
    </w:p>
    <w:p>
      <w:pPr>
        <w:jc w:val="both"/>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Total share-based compensation expense for RSUs granted was $2.5 million and $2.7 million for the three months ended March 31, 2026 and 2025, respectively. As of March 31, 2026, the total unrecognized compensation expense related to unvested RSUs was $23.9 million, which is expected to be recognized over a weighted-average period of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revenue for its collaborations with Bayer Consumer Care AG (“Bayer”), Novartis Pharma AG (“Novartis”), and Genentech, Inc. (“Genentech”). The following table summarizes the revenue recognized in the Company’s condensed consolidated statements of operations and comprehensive loss from these arrangements (in thousands):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12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120" w:type="dxa"/>
            <w:vAlign w:val="bottom"/>
            <w:tcBorders>
              <w:top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Bayer</w:t>
            </w:r>
          </w:p>
        </w:tc>
        <w:tc>
          <w:tcPr>
            <w:tcW w:w="2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Novartis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Genentech</w:t>
            </w:r>
          </w:p>
        </w:tc>
        <w:tc>
          <w:tcPr>
            <w:tcW w:w="2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disclosed below, there have been no material changes to the contractual terms, or the associated accounting treatments for recognizing revenue, of the Company’s significant agreements during the three months ended March 31, 2026 and 2025. Please refer to Note 9. “Significant agreements” to the Company’s audited consolidated financial statements for the year ended December 31, 2025, included in the Company’s 2025 Annual Report for further details on the Company’s significant agreements.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Bayer Collaboration Agreement</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On May 4, 2023, the Company and Bayer entered into a collaboration and license agreement (the “Bayer Collaboration Agreement”), pursuant to which the parties will perform research and discovery activities under a mutually agreed upon research plan during a research term up to a specified number of years per target program to generate radiopharmaceutical compounds incorporating optimized Bicycle constructs directed to two specified targets, under the oversight of a joint research committee.</w:t>
      </w:r>
    </w:p>
    <w:p>
      <w:pPr>
        <w:spacing w:after="0" w:line="18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2025, Bayer provided the Company with a notice of termination of one of the initial target programs, effective in January 2026. The Company accounted for the notice of termination as a contract modification in the fourth quarter of 2025 as the notice of termination reduced the scope of the arrangement. As a result, the Company allocated the remaining unrecognized transaction price as of the modification date to the remaining unsatisfied and partially satisfied performance obligations and updated the measure of progress as of the modification date. The following table summarizes the allocation of the remaining unrecognized transaction price to the remaining unsatisfied and partially satisfied performance obligations as of the modification date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283210"/>
                    </a:xfrm>
                    <a:prstGeom prst="rect">
                      <a:avLst/>
                    </a:prstGeom>
                    <a:noFill/>
                  </pic:spPr>
                </pic:pic>
              </a:graphicData>
            </a:graphic>
          </wp:anchor>
        </w:drawing>
      </w:r>
    </w:p>
    <w:p>
      <w:pPr>
        <w:spacing w:after="0" w:line="7" w:lineRule="exact"/>
        <w:rPr>
          <w:sz w:val="20"/>
          <w:szCs w:val="20"/>
          <w:color w:val="auto"/>
        </w:rPr>
      </w:pPr>
    </w:p>
    <w:p>
      <w:pPr>
        <w:ind w:left="60" w:right="220"/>
        <w:spacing w:after="0" w:line="249" w:lineRule="auto"/>
        <w:rPr>
          <w:sz w:val="20"/>
          <w:szCs w:val="20"/>
          <w:color w:val="auto"/>
        </w:rPr>
      </w:pPr>
      <w:r>
        <w:rPr>
          <w:rFonts w:ascii="Times New Roman" w:cs="Times New Roman" w:eastAsia="Times New Roman" w:hAnsi="Times New Roman"/>
          <w:sz w:val="18"/>
          <w:szCs w:val="18"/>
          <w:color w:val="auto"/>
        </w:rPr>
        <w:t>Combined performance obligation related to the licenses and research and development services associated with radiopharmaceutical compounds directed to the remaining initial target Material right associated with limited substitution rights for the remaining initial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line="250" w:lineRule="auto"/>
        <w:rPr>
          <w:sz w:val="20"/>
          <w:szCs w:val="20"/>
          <w:color w:val="auto"/>
        </w:rPr>
      </w:pPr>
      <w:r>
        <w:rPr>
          <w:rFonts w:ascii="Times New Roman" w:cs="Times New Roman" w:eastAsia="Times New Roman" w:hAnsi="Times New Roman"/>
          <w:sz w:val="18"/>
          <w:szCs w:val="18"/>
          <w:color w:val="auto"/>
        </w:rPr>
        <w:t>Material right associated with the option to progress radiopharmaceutical candidates directed to the remaining initial target into further development</w:t>
      </w:r>
    </w:p>
    <w:p>
      <w:pPr>
        <w:spacing w:after="0" w:line="1"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color w:val="auto"/>
        </w:rPr>
        <w:t>Material right associated with the option to progress a non-radiopharmaceutical compound directed to the remaining initial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right="360"/>
        <w:spacing w:after="0" w:line="260" w:lineRule="auto"/>
        <w:rPr>
          <w:sz w:val="20"/>
          <w:szCs w:val="20"/>
          <w:color w:val="auto"/>
        </w:rPr>
      </w:pPr>
      <w:r>
        <w:rPr>
          <w:rFonts w:ascii="Times New Roman" w:cs="Times New Roman" w:eastAsia="Times New Roman" w:hAnsi="Times New Roman"/>
          <w:sz w:val="18"/>
          <w:szCs w:val="18"/>
          <w:color w:val="auto"/>
        </w:rPr>
        <w:t>Material right for the option to expand the collaboration to include an additional target and the underlying additional option rights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Allocation of</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Transaction Price</w:t>
      </w:r>
    </w:p>
    <w:p>
      <w:pPr>
        <w:spacing w:after="0" w:line="205" w:lineRule="exact"/>
        <w:rPr>
          <w:sz w:val="20"/>
          <w:szCs w:val="20"/>
          <w:color w:val="auto"/>
        </w:rPr>
      </w:pPr>
    </w:p>
    <w:p>
      <w:pPr>
        <w:ind w:left="920" w:hanging="918"/>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10,125</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2,206</w:t>
      </w:r>
    </w:p>
    <w:p>
      <w:pPr>
        <w:spacing w:after="0" w:line="21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10,614</w:t>
      </w:r>
    </w:p>
    <w:p>
      <w:pPr>
        <w:spacing w:after="0" w:line="22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6,288</w:t>
      </w:r>
    </w:p>
    <w:p>
      <w:pPr>
        <w:spacing w:after="0" w:line="225"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10,986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42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7" w:lineRule="exact"/>
        <w:rPr>
          <w:sz w:val="20"/>
          <w:szCs w:val="20"/>
          <w:color w:val="auto"/>
        </w:rPr>
      </w:pPr>
    </w:p>
    <w:p>
      <w:pPr>
        <w:ind w:left="920" w:hanging="918"/>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42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42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260"/>
            <w:col w:w="1559"/>
          </w:cols>
          <w:pgMar w:left="1440" w:top="513" w:right="1440" w:bottom="1440" w:gutter="0" w:footer="0" w:header="0"/>
          <w:type w:val="continuous"/>
        </w:sectPr>
      </w:pPr>
    </w:p>
    <w:p>
      <w:pPr>
        <w:spacing w:after="0" w:line="61"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combined performance obligation is expected to be satisfied over approximately the next one to two years and the remaining material rights are expected to be exercised or expire within approximately seven years from contract</w:t>
      </w:r>
    </w:p>
    <w:p>
      <w:pPr>
        <w:sectPr>
          <w:pgSz w:w="11900" w:h="16838" w:orient="portrait"/>
          <w:cols w:equalWidth="0" w:num="1">
            <w:col w:w="9019"/>
          </w:cols>
          <w:pgMar w:left="1440" w:top="513"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inception. During the three months ended March 31, 2026 and 2025, the Company recognized revenue of $0.9 million and $0.8 million, respectively, in connection with the Bayer Collaboration Agreement. As of March 31, 2026 and December 31, 2025, the Company recorded deferred revenue of $33.4 million and $34.6 million, respectively, in connection with the Bayer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Novartis Collaboration Agreement</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March 27, 2023, the Company and Novartis entered into a collaboration and license agreement (the “Novartis Collaboration Agreement”), pursuant to which the parties agreed to perform research and discovery activities under a mutually agreed upon research plan during a research term of up to a specified number of years per target program to generate compounds incorporating optimized Bicycle constructs directed to two specified targets, under the oversight of a joint steering committee.</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November 2025, Novartis provided the Company with a notice of termination of the Novartis Collaboration Agreement in its entirety, effective in February 2026 after a contractual 90-day notice period. Management exercised significant judgment in concluding that the notice of termination should be accounted for as a contract modification in the fourth quarter of 2025, as the notice of termination reduces the scope of the arrangement. Management concluded that the notice of termination substantively removed all remaining performance obligations, including remaining material rights, as of the date of the notice as Novartis did not benefit from any remaining activities performed during the notice period and the likelihood of exercising any remaining options was remote. As a result, the Company recognized the remaining unrecognized transaction price as revenue on the date of the notice of termination.</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revenue of zero and $1.4 million, respectively, in connection with the Novartis Collaboration Agreement. As of March 31, 2026 and December 31, 2025, the Company recorded deferred revenue of zero and zero, respectively, in connection with the Novartis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Ionis Agreements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9, 2021, the Company and Ionis entered into a collaboration and license agreement, which was subsequently amended in 2021, 2022, 2023 and 2024 (collectively the agreement and all amendments, the “Ionis Agreements”). Pursuant to the Ionis Agreements, the Company granted to Ionis a worldwide exclusive license under the Company’s relevant technology to research, develop, manufacture and commercialize products incorporating Bicycle peptides directed to the protein coded by the gene TFRC1 (transferrin receptor) (“TfR1 Bicycle” molecules) intended for the delivery of oligonucleotide compounds directed to targets selected by Ionis for diagnostic, therapeutic, prophylactic and preventative uses in humans. Each party was responsible for optimization of such TfR1 Bicycle molecules and other research and discovery activities related to TfR1 Bicycle molecules, as specified by a research plan which was substantially completed in the second quarter of 2024, and thereafter Ionis is responsible for all future research, development, manufacture and commercialization activities.</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the combined licenses and research and discovery performance obligation is complete, and all revenue allocated to the combined licenses and research and discovery performance obligation has been recognized. The Company did not recognize any revenue in connection with the Ionis Agreements during the three months ended March 31, 2026 and 2025. As of March 31, 2026, and December 31, 2025, the Company recorded deferred revenue of $3.8 million and $3.8 million, respectively, in connection with the Ionis Agreements. The remaining revenue allocated to material rights is recorded as deferred revenue and the Company expects to recognize revenue upon exercise of or upon expiry of the respective option after approximately four to seven years from contract execution.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Collaboration Agreement</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February 21, 2020, the Company entered into a Discovery Collaboration and License Agreement, as amended from time to time (as amended, the “Genentech Collaboration Agreement”), with Genentech. The collaboration focused on the discovery and development of Bicycle peptides directed to biological targets selected by Genentech and aimed at developing up to four potential development candidates against multiple immuno-oncology targets (“Genentech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Collaboration Programs” #1 through #4) suitable for Genentech to advance into further development and commercialization, governed by a joint research committee. Under the Genentech Collaboration Agreement, Genentech also had the option to have the Company perform initial pre-clinical development and optimization activities in exchange for an additional specified milestone payment in the mid single-digit millions for each Genentech Collaboration Program (the “LSR Go Option”).</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January 2025, Genentech provided the Company with a notice of termination for Genentech Collaboration Program #4, effective in March 2025, and the Company recognized revenue of $7.5 million during the three months ended March 31, 2025. In July 2025, Genentech provided the Company with a notice of termination of the Genentech Collaboration Agreement, effective in August 2025.</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revenue of zero and $7.7 million, respectively, in connection with the Genentech Collaboration Agreement. As of March 31, 2026 and December 31, 2025, the Company recorded zero and zero, respectively, of deferred revenue in connection with the Genentech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 Assets and Liabilities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liabilities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gridSpan w:val="3"/>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12"/>
                <w:szCs w:val="12"/>
                <w:color w:val="auto"/>
              </w:rPr>
            </w:pPr>
          </w:p>
        </w:tc>
        <w:tc>
          <w:tcPr>
            <w:tcW w:w="10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00" w:type="dxa"/>
            <w:vAlign w:val="bottom"/>
            <w:gridSpan w:val="3"/>
            <w:vMerge w:val="continue"/>
          </w:tcPr>
          <w:p>
            <w:pPr>
              <w:spacing w:after="0"/>
              <w:rPr>
                <w:sz w:val="15"/>
                <w:szCs w:val="15"/>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4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12"/>
                <w:szCs w:val="12"/>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4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Novartis collaboration 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Genentech collaboration deferred revenue</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(70,586)</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Contract assets represent research and development services which have been performed but have not yet been billed and are reduced when they are subsequently billed. There were no contract assets at March 31, 2026 or December 31, 2025.</w:t>
      </w:r>
    </w:p>
    <w:p>
      <w:pPr>
        <w:spacing w:after="0" w:line="1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Bayer and Ionis deferred revenue balances include $31.1 million and $3.8 million, respectively, allocated to material rights that will commence revenue recognition when the respective option is exercised or when the option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the following revenue as a result of changes in the contract asset and the contract liability balances in the respective periods (in thousands):</w:t>
      </w:r>
    </w:p>
    <w:p>
      <w:pPr>
        <w:spacing w:after="0" w:line="16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18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based on proportional performance</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198"/>
        </w:trPr>
        <w:tc>
          <w:tcPr>
            <w:tcW w:w="61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recognized based on contract modifications and expiration of material</w:t>
            </w: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rights</w:t>
            </w:r>
          </w:p>
        </w:tc>
        <w:tc>
          <w:tcPr>
            <w:tcW w:w="8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0"/>
        </w:trPr>
        <w:tc>
          <w:tcPr>
            <w:tcW w:w="6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an income tax provision of $0.2 million and an income tax benefit of $1.1 million, respectively. The Company is subject to corporate taxation in the U.K. Due to the nature of its business, the Company has generated losses since inception and has therefore not paid U.K. corporation tax. The provision for (benefit from) income taxes recognized during the three months ended March 31, 2026 and 2025, represents the tax impact from operating activities in the United States, which has generated taxable income based on intercompany service arrangements. Deferred tax assets in the United States do not have a valuation allowance against them because of profits that will be generated by an intercompany service agreement.</w:t>
      </w:r>
    </w:p>
    <w:p>
      <w:pPr>
        <w:spacing w:after="0" w:line="189" w:lineRule="exact"/>
        <w:rPr>
          <w:sz w:val="20"/>
          <w:szCs w:val="20"/>
          <w:color w:val="auto"/>
        </w:rPr>
      </w:pPr>
    </w:p>
    <w:p>
      <w:pPr>
        <w:jc w:val="both"/>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w:t>
      </w:r>
    </w:p>
    <w:p>
      <w:pPr>
        <w:spacing w:after="0" w:line="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After consideration of the evidence, including the Company’s history of cumulative net losses in the U.K., the Company has concluded that it is more likely than not that the Company will not realize the benefits of its U.K. deferred tax assets and accordingly the Company has provided a valuation allowance for the full amount of the deferred tax assets in the U.K. as of March 31, 2026 and December 31, 2025. The Company has considered the Company’s history of cumulative net profits in the United States, estimated future taxable income and concluded that it is more likely than not that the Company will realize the benefits of its U.S. deferred tax assets and has not provided a valuation allowance against the deferred tax assets in the United States.</w:t>
      </w:r>
    </w:p>
    <w:p>
      <w:pPr>
        <w:spacing w:after="0" w:line="18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the Company is able to actually achieve.</w:t>
      </w:r>
    </w:p>
    <w:p>
      <w:pPr>
        <w:spacing w:after="0" w:line="183"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(benefit from) income taxes recorded in the condensed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a lease agreement for office and laboratory space in Cambridge, Massachusetts. The Company concluded that the lease term was three years, representing the non-cancelable lease period. The lease expired in March 2026.</w:t>
      </w:r>
    </w:p>
    <w:p>
      <w:pPr>
        <w:spacing w:after="0" w:line="176"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In December 2021, the Company entered into a lease of office and laboratory space in Cambridge, United Kingdom. The lease has a contractual period of 10 years but could be cancelled by the Company on the fifth anniversary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of the lease commencement date. The Company concluded that the initial lease term was five years, representing the non-cancelable lease period. In December 2025, the Company entered into a deed of variation to the lease, pursuant to which (i) the Company elected not to cancel the lease on the fifth anniversary of the lease commencement date and (ii) the annual rent was increased effective in December 2026, payable quarterly in advance following a nine-month rent-free period from December 2026 to September 2027. The Company accounted for the deed of variation as a modification to the existing lease and remeasured the ROU asset and lease liability based on the present value of remaining lease payments, discounted at the Company’s incremental borrowing rate, and recognized an additional right-of-use asset and lease liability of $12.4 million on the modification date. The Company has a contractual right to renew the lease for a further ten-year period, which also may be cancelled after five years.</w:t>
      </w:r>
    </w:p>
    <w:p>
      <w:pPr>
        <w:spacing w:after="0" w:line="188"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for office and laboratory space in Lexington, Massachusetts, which commenced on January 1, 2018. In March 2022, the Company notified the landlord of its intent to exercise its option to extend the lease, originally set to expire on December 31, 2022, for a successive period through December 31, 2027. In May 2022, the lease was extended.</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enter into finance lease agreements for property and equipment. Amortization expense related to finance lease right-of-use assets is recognized on straight-line basis over the earlier of the useful life of the right-of-use asset or the lease term and interest expense for finance leases is recognized based on the effective interest method using the Company’s incremental borrowing rate. As of March 31, 2026 and December 31, 2025, the Company recorded finance lease right-of-use assets of $0.8 million and $0.8 million, respectively, which are included in property and equipment, net, in the condensed consolidated balance sheets. As of March 31, 2026 and December 31, 2025, the Company recorded finance lease liabilities of $0.8 million and $0.9 million, respectively, which are included in accrued expenses and other current liabilities and other long-term liabilities, as applicable, in the condensed consolidated balance sheets. During the three months ended March 31, 2026, the Company also entered into an agreement that contains a lease for property and equipment that has not yet commenced with a contractual period of two years and aggregate payments of approximately $5.2 million.</w:t>
      </w:r>
    </w:p>
    <w:p>
      <w:pPr>
        <w:spacing w:after="0" w:line="19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components of the Company’s lease expense, which are recorded as a component of research and development expenses and general and administrative expenses in the condensed consolidated statements of operations and comprehensive loss, are as follows (in thousands):</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remaining operating lease term was 5.3 years and 1.8 years as of March 31, 2026 and 2025, respectively, and the weighted average operating lease discount rate was 6.3% and 7.7% as of March 31, 2026 and 2025, respectively. The weighted average remaining finance lease term was 3.5 years and 4.5 years as of March 31, 2026 and 2025, respectively, and the weighted average finance lease discount rate was 9.5% and 9.5% as of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maturities of the Company’s lease liabilities as of March 31, 2026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Finance Leases</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lease liabilities</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26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agreements with contract research organizations to provide clinical trial services, contract manufacturing organizations to provide clinical trial materials and with vendors for preclinical research studies, synthetic chemistry and other services for operating purposes. These contracts are generally cancelable at any time upon less than 90 days’ prior written notice. The Company is not contractually able to terminate for convenience and avoid any and all future obligations to these vendors. In some cases, the Company is contractually obligated to make certain minimum payments to the vendors, based on the timing of the termination notification and the exact terms of the agreement.</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March 31, 2026. As of March 31, 2026, the Company was unable to estimate the timing or likelihood of achieving any of these milestones.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the Company or its subsidiaries may become involved in various legal proceedings and claims, either asserted or unasserted, which arise in the ordinary course of business. The Company is currently not subject to any material legal proceedings. At each reporting date, the Company evaluates whether or not a potential loss amount, or a potential range of loss, is probable and reasonably estimable under the provisions of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Company also has indemnification obligations towards members of its board of directors and officers that will require the Company, among other things, to indemnify them against certain liabilities that may arise by reason of their status or service as directors or officers. In addition, the Company has agreed to indemnify certain investors in limited circumstances.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condensed consolidated financial statements as of March 31, 2026 and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80" w:type="dxa"/>
            <w:vAlign w:val="bottom"/>
            <w:vMerge w:val="restart"/>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center"/>
              <w:ind w:right="2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69,683,471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69,196,945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potentially dilutive securities, which are options to purchase ordinary shares and RSUs, have been excluded from the computation of diluted net loss per share as the effect would be to reduce the net loss per share. Therefore, the weighted average number of ordinary shares outstanding, which includes both ordinary shares and non-voting ordinary shares, used to calculate both basic and diluted net loss per share is the same. 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vMerge w:val="restart"/>
          </w:tcPr>
          <w:p>
            <w:pPr>
              <w:ind w:left="57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vMerge w:val="continue"/>
          </w:tcPr>
          <w:p>
            <w:pPr>
              <w:spacing w:after="0"/>
              <w:rPr>
                <w:sz w:val="12"/>
                <w:szCs w:val="12"/>
                <w:color w:val="auto"/>
              </w:rPr>
            </w:pPr>
          </w:p>
        </w:tc>
        <w:tc>
          <w:tcPr>
            <w:tcW w:w="134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2,905,875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1,974,801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10,881,345</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10,227,671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13,787,220</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12,202,472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Segments and geographic information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and manages its business as a single operating segment, which is developing a unique class of chemically synthesized medicines based on its proprietary platform. The Company’s chief operating decision maker (“CODM”) is the Company’s Chief Executive Officer (“CEO”). The CODM reviews consolidated operating results, manages the business on a consolidated basis and utilizes consolidated net loss from the consolidated statements of operations and comprehensive loss as the primary measure of segment profit or loss in making decisions surrounding allocating resources and assessing performance of the Company. The CODM is regularly provided detailed expense information, including expenses by program and expense category, and the CODM makes decisions surrounding capital and personnel allocation using this information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single operating segment, including significant segment expenses, for the three months ended March 31, 2026 and 2025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740" w:type="dxa"/>
            <w:vAlign w:val="bottom"/>
            <w:vMerge w:val="restart"/>
          </w:tcPr>
          <w:p>
            <w:pPr>
              <w:ind w:left="35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Zelenectide pevedotin (Nectin-4 BDC)</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Nuzefatide pevedotin (EphA2 BDC)</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BT1702 (MT1-MMP BRC)</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and government grants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Personnel-related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Other segment items include interest and other income, interest expense, and provision for (benefit from) income taxes.</w:t>
      </w:r>
    </w:p>
    <w:p>
      <w:pPr>
        <w:spacing w:after="0" w:line="23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regularly provide the CODM with detailed segment asset information other than what is included in the condensed consolidated balance sheets. Please refer to the condensed consolidated financial statements and the accompanying notes to the condensed consolidated financial statements for segment asset information.</w:t>
      </w:r>
    </w:p>
    <w:p>
      <w:pPr>
        <w:spacing w:after="0" w:line="176"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The Company operates in two geographic regions: the United States and the United Kingdom. Information about the Company’s long-lived assets, including operating and finance lease right-of-use assets, held in different geographic regions is presented in the table below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collaboration revenue is attributed to the operations of the Company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this discussion and analysis of our financial condition and consolidated results of operations together with our unaudited condensed consolidated financial statements and the related notes appearing elsewhere in this Quarterly Report and our audited financial statements and related notes for the year ended December 31, 2025, included in our Annual Report on Form 10-K for the year ended December 31, 2025, or the 2025 Annual Report, which was filed with the Securities and Exchange Commission, or SEC, on March 17, 2026. Some of the information contained in this discussion and analysis or set forth elsewhere in this Quarterly Report, including statements of our plans, objectives, expectations and intentions, contain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 Please also see the section titled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We are a clinical-stage pharmaceutical company developing a novel class of medicines, which we refer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The relatively large surface area presented by Bicycle molecules allows targets to be drugged that have historically been intractable to non-biological approaches. Bicycle molecules are excreted by the kidney rather than the liver and have shown no significant signs of immunogenicity to date, qualities which we believe explain the molecules’ favorable toxicological profile.</w:t>
      </w:r>
    </w:p>
    <w:p>
      <w:pPr>
        <w:spacing w:after="0" w:line="19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novel and proprietary phage display screening platform which we use to identify Bicycle molecules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quintillions of potential Bicycle molecules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89"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Our internal programs are focused on oncology indications with high unmet medical need. Our product candidate, nuzefatide pevedotin (formerly BT5528), is a Bicycle Drug Conjugate, or a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whereby the Bicycle molecules are chemically attached to a toxin that, when administered, is cleaved from the Bicycle molecule and kills the tumor cells. We are evaluating nuzefatide pevedotin, a BDC molecule targeting Ephrin type A receptor 2, or EphA2, and carrying a monomethyl auristatin E, or MMAE, cytotoxin payload, in both an ongoing company-sponsored Phase I/II clinical trial to assess safety, pharmacokinetics and clinical activity in patients with advanced solid tumors and an ongoing company-sponsored Phase II clinical trial to evaluate the efficacy, safety and pharmacokinetics of nuzefatide pevedotin in adult patients with recurrent metastatic pancreatic ductal adenocarcinoma. The ongoing company-sponsored Phase II clinical trial commenced recruiting patients in the first quarter of 2026 and we announced that the first patient was dosed in April 2026.</w:t>
      </w:r>
    </w:p>
    <w:p>
      <w:pPr>
        <w:spacing w:after="0" w:line="188"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7"/>
          <w:szCs w:val="17"/>
          <w:color w:val="auto"/>
        </w:rPr>
        <w:t>We are also developing BT1702, a Bicycle Radioconjugate, or BRC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molecule targeting Membrane Type 1 matrix metalloproteinase, or MT1-MMP, and carrying a lead-212, or </w:t>
      </w:r>
      <w:r>
        <w:rPr>
          <w:rFonts w:ascii="Times New Roman" w:cs="Times New Roman" w:eastAsia="Times New Roman" w:hAnsi="Times New Roman"/>
          <w:sz w:val="25"/>
          <w:szCs w:val="25"/>
          <w:color w:val="auto"/>
          <w:vertAlign w:val="superscript"/>
        </w:rPr>
        <w:t>212</w:t>
      </w:r>
      <w:r>
        <w:rPr>
          <w:rFonts w:ascii="Times New Roman" w:cs="Times New Roman" w:eastAsia="Times New Roman" w:hAnsi="Times New Roman"/>
          <w:sz w:val="17"/>
          <w:szCs w:val="17"/>
          <w:color w:val="auto"/>
        </w:rPr>
        <w:t>Pb, radioisotope payload for theranostic use. We are currently conducting Investigational New Drug application, or IND, -enabling activities for BT1702. We are also developing Bicycle Imaging Agents, or BIA molecules. In a BIA molecule a Bicycle molecule is linked to a chelated radiopharmaceutical imaging agent. We are using BIA molecules to potentially derisk novel targets prior to further clinical development and to efficiently triage cancer indications for subsequent treatment with both BRC and/or BDC molecules. Our discovery pipeline in oncology includes next-generation BDC molecules, BRC molecules and BIA molecules.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Zelenectide pevedotin, a BDC molecule targeting Nectin-4, is being evaluated in an ongoing company-sponsored Phase I/II clinical trial to assess the safety, pharmacokinetics and clinical activity in patients with Nectin-4 expressing advanced malignancies, an ongoing Phase II/III registrational trial called Duravelo-2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 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clinical trial for zelenectide pevedotin are promising, demonstrating response rates comparable to published rates for existing standards of care and a differentiated safety profile, we are converting the Phase II/III Duravelo-2 registrational trial to a randomized Phase II clinical trial and have deprioritized the program for internal development while we evaluate next steps for zelenectide pevedotin following preliminary feedback from regulatory agencies. In addition, as part of the strategic reprioritization, we plan to discontinue the Phase I/II clinical trials evaluating zelenectide pevedotin in patients with NECTIN4 amplified advanced breast cancer and NECTIN4 amplified advanced or metastatic non-small cell lung cancer. Further enrollment in these trials is closed and patients already enrolled will complete their course of treatment.</w:t>
      </w:r>
    </w:p>
    <w:p>
      <w:pPr>
        <w:spacing w:after="0" w:line="187" w:lineRule="exact"/>
        <w:rPr>
          <w:sz w:val="20"/>
          <w:szCs w:val="20"/>
          <w:color w:val="auto"/>
        </w:rPr>
      </w:pPr>
    </w:p>
    <w:p>
      <w:pPr>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Our other product candidate, BT7480, is a Bicycle Tumor-Targeted Immune Cell Agonist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Bicycle TICA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A Bicycle TICA molecule links immune cell receptor binding Bicycle molecules to tumor antigen binding Bicycle molecules. BT7480, a Bicycle TICA molecule targeting Nectin-4 and agonizing CD137, is being evaluated in a company-sponsored Phase I/II clinical trial. After reporting certain data from the clinical trial in the first half of 2026, we will no longer develop BT7480 internally and intend to explore partnership opportunities for future development.</w:t>
      </w:r>
    </w:p>
    <w:p>
      <w:pPr>
        <w:spacing w:after="0" w:line="20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April 2026, we announced Phase I/II clinical results for nuzefatide pevedotin in combination with nivolumab in patients with metastatic urothelial cancer at the American Association for Cancer Research, or AACR, Annual Meeting 2026. We also announced preclinical assessments of nuzefatide pevedotin anti-tumor activity in xenograft models of pancreatic ductal adenocarcinoma and head and neck squamous cell carcinoma. Also, additional human imaging data of a BIA molecule targeting EphA2 in patients with pancreatic ductal adenocarcinoma was presented by the German Cancer Consortium, or DKTK, at the AACR Annual Meeting 2026.</w:t>
      </w:r>
    </w:p>
    <w:p>
      <w:pPr>
        <w:spacing w:after="0" w:line="187"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2026 Strategic Reprioritization</w:t>
      </w:r>
    </w:p>
    <w:p>
      <w:pPr>
        <w:spacing w:after="0" w:line="22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In connection with the strategic reprioritization, we announced a workforce reduction of approximately 30% of our workforce. Together, the workforce reduction and strategic reprioritization are expected to reduce our annual operating expenses by approximately 50% based on our current plans. We expect the workforce reduction to be substantially completed by the end of 2026, and that we will incur aggregate charges, representing cash expenditure for severance and other employee termination benefits, of approximately $7.2 million, $4.2 million of which was recognized during the three months ended March 31, 2026.</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our Bicycle platform and our product candidates, conducting research and development of our product candidates and preclinical programs, raising capital and providing general and administrative support for our operations. To date, we have financed our operations primarily with proceeds from the sale of equity securities; proceeds received from upfront payments, research and development payments, and development milestone payments from our collaboration agreements; and loan borrowings. From our inception through March 31, 2026, we have received gross proceeds of $1.4 billion from the sale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of equity securities; and $239.8 million of cash payments under collaboration arrangements, including $46.4 million from Bayer Consumer Care AG, or Bayer, $53.0 million from Novartis Pharma AG, or Novartis, $49.7 million from Ionis Pharmaceuticals, Inc., or Ionis, and $56.0 million from Genentech Inc., or Genentech. We do not have any products approved for sale and have not generated any revenue from product sales.</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$60.8 million and $60.8 million for the three months ended March 31, 2026 and 2025, respectively. As of March 31, 2026, we had an accumulated deficit of $960.6 million.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expenses and capital requirements will decrease in the near term as a result of our cost saving initiatives and our strategic reprioritization announced in March 2026. However, our expenses and capital requirements may increase substantially if and as we:</w:t>
      </w:r>
    </w:p>
    <w:p>
      <w:pPr>
        <w:spacing w:after="0" w:line="176" w:lineRule="exact"/>
        <w:rPr>
          <w:sz w:val="20"/>
          <w:szCs w:val="20"/>
          <w:color w:val="auto"/>
        </w:rPr>
      </w:pPr>
    </w:p>
    <w:p>
      <w:pPr>
        <w:ind w:left="1040" w:right="15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obtain marketing approval for our product candidates and to support manufacturing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and any future commercialization efforts.</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encouraging results in clinical development, we expect to incur significant commercialization expenses as we prepare for product sales, marketing, manufacturing, and distribution.</w:t>
      </w:r>
    </w:p>
    <w:p>
      <w:pPr>
        <w:spacing w:after="0" w:line="192"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As a result, we will need substantial additional funding to support our continuing operations and pursue our growth strategy. Until such time as we can generate significant revenue from product sales, if ever, we expect to finance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operations through a combination of equity offerings, debt financings, collaborations, strategic alliances, charitable and governmental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$559.5 million. We believe that our existing cash and cash equivalents will enable us to fund our operating expenses and capital expenditure requirements for at least 12 months from the date of filing of this Quarterly Report. We have based this estimate on assumptions that may prove to be wrong, and we could deplete our available capital resources sooner than we expect. See “—Liquidity and Capital Resources” and “—Capital Resources and Funding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revenue from product sales for the foreseeable future. Our revenue primarily consists of collaboration revenue under our arrangements with our collaboration partners, including amounts that are recognized related to upfront payments, milestone payments and option exercise payments, amounts due to us for research and development services and reimbursement of certain expenses incurred. In the future, revenue may include additional milestone payments and option exercise payments, and royalties on any net product sales under our collaborations. In the near term, we expect that revenue may decrease as a result of the terminations of our collaboration agreements with Genentech and Novartis, effective in August 2025 and February 2026, respectively. In the future, we expect that any revenue we generate will fluctuate from period to period as a result of the timing and amount of license, research and development services, milestone and other payments, as well as the exercise or expiration of options.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discovery efforts, and the development of our product candidates, which include:</w:t>
      </w:r>
    </w:p>
    <w:p>
      <w:pPr>
        <w:spacing w:after="0" w:line="140"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share-based compensation expense;</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and clinical trial materials;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other operating costs.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condensed consolidated financial statements as a prepaid expense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direct external research and development expenses are tracked on a program-by-program basis and consist of costs, such as fees paid to consultants, contract research organizations, or CROs, contractors and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discovery, platform and other expense.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Through our subsidiaries in the U.K., we receive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 or SME, R&amp;D Tax Relief program with a merged research and development expenditure credit scheme, or RDEC, and an enhanced research and development intensive support scheme, or ERIS. The Finance Act 2024 provides for a cash rebate that may be claimed of 26.97% of qualifying expenditure if we qualify as R&amp;D intensive for an accounting period. We qualified as R&amp;D intensive for the year ended December 31, 2025 and we expect to qualify as R&amp;D intensive for the year ended December 31, 2026.</w:t>
      </w:r>
    </w:p>
    <w:p>
      <w:pPr>
        <w:spacing w:after="0" w:line="192"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U.K. research and development tax credit is fully refundable to us after surrendering tax losses and is not dependent on current or future taxable income. As a result, we have recorded the entire benefit from the U.K. research and development tax credit as a reduction to research and development expenses and is not reflected as part of the income tax provision. See Note 2. </w:t>
      </w:r>
      <w:r>
        <w:rPr>
          <w:rFonts w:ascii="Times New Roman" w:cs="Times New Roman" w:eastAsia="Times New Roman" w:hAnsi="Times New Roman"/>
          <w:sz w:val="17"/>
          <w:szCs w:val="17"/>
          <w:i w:val="1"/>
          <w:iCs w:val="1"/>
          <w:color w:val="auto"/>
        </w:rPr>
        <w:t>Summary of significant accounting policies – Research and development incentives and receivable</w:t>
      </w:r>
      <w:r>
        <w:rPr>
          <w:rFonts w:ascii="Times New Roman" w:cs="Times New Roman" w:eastAsia="Times New Roman" w:hAnsi="Times New Roman"/>
          <w:sz w:val="17"/>
          <w:szCs w:val="17"/>
          <w:color w:val="auto"/>
        </w:rPr>
        <w:t xml:space="preserve"> included in this Quarterly Report for additional information on the U.K. research and development tax relief program.</w:t>
      </w:r>
    </w:p>
    <w:p>
      <w:pPr>
        <w:spacing w:after="0" w:line="1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decrease in the near term as a result of our cost saving initiatives and our strategic reprioritization announced in March 2026. However, our research and development expenses will increase over the longer term if and as we continue the clinical development and seek to obtain marketing approval for our product candidates, initiate clinical trials for our product candidates and continue to discover and develop additional product candidates.</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subject to numerous risks and uncertainties. A change in the outcome of any of these variables with respect to the development of a product candidate could mean a significant change in the costs and timing associated with the development of that product candidate. As such,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our executive, finance, corporate and business development, commercial and administrative functions. General and administrative expenses also include professional fees for legal, patent,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accounting, auditing, tax and consulting services, insurance, travel expenses and facility-related expenses, which include direct depreciation costs and allocated expenses for rent and maintenance of facilities and other operating costs.</w:t>
      </w:r>
    </w:p>
    <w:p>
      <w:pPr>
        <w:spacing w:after="0" w:line="16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transactions in currencies different from the applicable functional currency are translated into the functional currency using the exchange rates prevailing at the dates of the transactions. Foreign exchange differences resulting from the settlement of such transactions and from the remeasurement at period-end exchange rates in foreign currencies are recorded in general and administrative expenses in the condensed consolidated statements of operations and comprehensive loss. As such, our operating expenses may be impacted by future changes in exchange rates. See “Quantitative and Qualitative Disclosure About Market Risks” for further discussion.</w:t>
      </w:r>
    </w:p>
    <w:p>
      <w:pPr>
        <w:spacing w:after="0" w:line="18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the near term as a result of our cost saving initiatives and our strategic reprioritization announced in March 2026. However, we expect that our general and administrative expenses may increase in the future if and as we increase our general and administrative headcount to support our continued research and development and potential commercialization of our portfolio of product candidates. We also expect to continue to incur increased expenses associated with being a public company including costs of accounting, audit, information systems, legal, intellectual property, regulatory and tax compliance services, director and officer insurance and investor and public relations.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consists primarily of interest earned on our cash held in operating accounts and our cash equivalents.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for financing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U.K. We have generated losses since inception and have therefore not paid U.K. corporation tax. The provision for (benefit from) income taxes included in the condensed consolidated statements of operations and comprehensive loss represents the tax impact from operating activities in the United States, which has generated taxable income based on intercompany service arrangements.</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After consideration of our history of cumulative net losses in the U.K., we have concluded that it is more likely than not that we will not realize the benefits of our U.K. deferred tax assets and accordingly we have provided a valuation allowance for the full amount of the net deferred tax assets in the U.K. We intend to continue to maintain a full valuation allowance on our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we are able to actually achieve.</w:t>
      </w:r>
    </w:p>
    <w:p>
      <w:pPr>
        <w:spacing w:after="0" w:line="192"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Collaboration revenue decreased by $9.1 million in the three months ended March 31, 2026, compared to the three months ended March 31, 2025, due to decreases of $7.7 million from our collaboration with Genentech, which was terminated effective August 2025 and $1.4 million from our collaboration with Novartis, which was terminated effective February 2026.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for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2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Zelenectide pevedotin (Nectin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BDC)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Nuzefatide pevedotin (EphA2 BDC)</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BT1702 (MT1-MMP BRC)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 and government grants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0"/>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648"/>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decreased by $10.2 million in the three months ended March 31, 2026 compared to the three months ended March 31, 2025, primarily due to decreases of $11.3 million in clinical program expenses for zelenectide pevedotin as the dose selection portion of the Duravelo-2 clinical trial was fully enrolled throughout the three months ended March 31, 2026, resulting in decreased expense, and $1.4 million in share-based compensation primarily due to impact of our workforce reductions announced in August 2025 and March 2026. These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1" w:lineRule="auto"/>
        <w:rPr>
          <w:sz w:val="20"/>
          <w:szCs w:val="20"/>
          <w:color w:val="auto"/>
        </w:rPr>
      </w:pPr>
      <w:r>
        <w:rPr>
          <w:rFonts w:ascii="Times New Roman" w:cs="Times New Roman" w:eastAsia="Times New Roman" w:hAnsi="Times New Roman"/>
          <w:sz w:val="17"/>
          <w:szCs w:val="17"/>
          <w:color w:val="auto"/>
        </w:rPr>
        <w:t>decreases were offset by $3.3 million of lower research and development incentives associated with the corresponding reduction in qualifying research and development expenses period over period. In addition, for the three months ended March 31, 2026, we recognized $3.3 million of employee and contractor related expenses for severance and other employee termination benefits associated with our workforce reduction announced in March 2026.</w:t>
      </w:r>
    </w:p>
    <w:p>
      <w:pPr>
        <w:spacing w:after="0" w:line="164"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begin to separately track program expenses at candidate nomination, at which point we accumulate all direct external program costs to support that program to date. Through March 31, 2026, we have incurred approximately $304.5 million and $59.7 million of direct external expenses for the development of zelenectide pevedotin and nuzefatide pevedotin, respectively, since their candidate nominations, an aggregate of $0.2 million for the development of BT1702 since its candidate nomination, and an aggregate of $51.8 million of direct external expenses for the development of our two named Bicycle TICA candidates since their nominations.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for the periods presented: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7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administration costs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decreased by $3.7 million in the three months ended March 31, 2026 compared to the three months ended March 31, 2025. This decrease is primarily due to decreases of $3.0 million in professional and consulting fees primarily associated with decreased legal and consulting fees period over period, and $1.3 million in share-based compensation primarily due to the workforce reductions announced in August 2025 and March 2026. In addition, in the three months ended March 31, 2026, we recognized $0.9 million of personnel-related costs for severance and other employee termination benefits associated with our workforce reduction announced in March 2026.</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decreased by $3.5 million in the three months ended March 31, 2026 compared to the three months ended March 31. 2025, which was primarily due to a decrease in interest income of $3.5 million due to lower average interest rates as well as lower cash and cash equivalents balances period over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of $0.2 million for the three months ended March 31, 2026, is primarily the result of the reversal of deferred tax assets for share-based payments resulting from our March 2026 workforce reduction. The benefit from income taxes of $1.1 million for the three months ended March 31, 2025, is primarily the result of deferred tax assets benefited in the United States that do not have a valuation allowance against them because of profits that will be generated by an intercompany service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From our inception through March 31, 2026, we have not generated any revenue from product sales and have incurred significant operating losses and negative cash flows from our operations. We do not expect to generate significant revenue from sales of any products for several years, if at all.</w:t>
      </w:r>
    </w:p>
    <w:p>
      <w:pPr>
        <w:spacing w:after="0" w:line="1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with proceeds from the sale of equity securities; proceeds received from upfront payments, payments for research and development services, and development milestone payments pursuant to collaboration agreements; and loan borrowings.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(65,925)</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(86,370)</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60" w:type="dxa"/>
            <w:vAlign w:val="bottom"/>
            <w:tcBorders>
              <w:top w:val="single" w:sz="8" w:color="auto"/>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$65.9 million as compared to $86.4 million for the three months ended March 31, 2025. The decrease in cash used in operations of $20.4 million is primarily due to a decrease in cash payments for clinical program activities, primarily related to clinical trials for zelenectide pevedotin as the dose selection portion of the Duravelo-2 clinical trial was fully enrolled throughout the three months ended March 31, 2026, resulting in reduced cash payments, and the prior year included higher payments associated with the initiation of the Phase I/II clinical trial for zelenectide pevedotin in patients with NECTIN4 amplified advanced breast cancer.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used $0.7 million and $0.6 million, respectively, of cash in investing activities for purchases of property and equipment, consisting primarily of laboratory equipment.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net cash used in financing activities was $0.1 million and $41,000, respectively, primarily consisting of principal payments on finance lease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Resources and Funding Requirements</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expenses associated with our ongoing activities, particularly as we advance the preclinical activities and clinical trials of our product candidates and as we:</w:t>
      </w:r>
    </w:p>
    <w:p>
      <w:pPr>
        <w:spacing w:after="0" w:line="162" w:lineRule="exact"/>
        <w:rPr>
          <w:sz w:val="20"/>
          <w:szCs w:val="20"/>
          <w:color w:val="auto"/>
        </w:rPr>
      </w:pPr>
    </w:p>
    <w:p>
      <w:pPr>
        <w:ind w:left="1040" w:right="51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current trials and conducting future clinical trials of nuzefatide pevedotin and BT1702;</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seek to obtain marketing approval for our product candidates and to support manufacturing of product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finance,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any future commercialization efforts.</w:t>
      </w:r>
    </w:p>
    <w:p>
      <w:pPr>
        <w:spacing w:after="0" w:line="16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w:t>
      </w:r>
    </w:p>
    <w:p>
      <w:pPr>
        <w:spacing w:after="0" w:line="1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 and the effects that such obligations are expected to have on our liquidity and cash flows in future periods. For additional information, see Note 10 to our condensed consolidated financial statements appearing elsewhere in this Quarterly Report.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ind w:left="720"/>
              <w:spacing w:after="0" w:line="13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gridSpan w:val="2"/>
          </w:tcPr>
          <w:p>
            <w:pPr>
              <w:jc w:val="right"/>
              <w:ind w:right="10"/>
              <w:spacing w:after="0" w:line="13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gridSpan w:val="2"/>
          </w:tcPr>
          <w:p>
            <w:pPr>
              <w:jc w:val="right"/>
              <w:ind w:right="39"/>
              <w:spacing w:after="0" w:line="13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1"/>
                <w:szCs w:val="11"/>
                <w:color w:val="auto"/>
              </w:rPr>
            </w:pPr>
          </w:p>
        </w:tc>
        <w:tc>
          <w:tcPr>
            <w:tcW w:w="100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3 years to 5 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Operating lease commitments</w:t>
            </w:r>
            <w:r>
              <w:rPr>
                <w:rFonts w:ascii="Times New Roman" w:cs="Times New Roman" w:eastAsia="Times New Roman" w:hAnsi="Times New Roman"/>
                <w:sz w:val="25"/>
                <w:szCs w:val="25"/>
                <w:color w:val="auto"/>
                <w:vertAlign w:val="superscript"/>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Finance lease commitments</w:t>
            </w:r>
            <w:r>
              <w:rPr>
                <w:rFonts w:ascii="Times New Roman" w:cs="Times New Roman" w:eastAsia="Times New Roman" w:hAnsi="Times New Roman"/>
                <w:sz w:val="25"/>
                <w:szCs w:val="25"/>
                <w:color w:val="auto"/>
                <w:vertAlign w:val="superscript"/>
              </w:rPr>
              <w:t>(2)</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119" w:hanging="319"/>
        <w:spacing w:after="0" w:line="255"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minimum payments due for our office and laboratory space leases. We have one office and laboratory lease in Cambridge, U.K. under an operating lease with a lease term through December 2026. We have one office and laboratory lease in Massachusetts, U.S. under an operating lease with a lease term through December 2027.</w:t>
      </w:r>
    </w:p>
    <w:p>
      <w:pPr>
        <w:spacing w:after="0" w:line="2" w:lineRule="exact"/>
        <w:rPr>
          <w:rFonts w:ascii="Times New Roman" w:cs="Times New Roman" w:eastAsia="Times New Roman" w:hAnsi="Times New Roman"/>
          <w:sz w:val="18"/>
          <w:szCs w:val="18"/>
          <w:color w:val="auto"/>
        </w:rPr>
      </w:pPr>
    </w:p>
    <w:p>
      <w:pPr>
        <w:ind w:left="720" w:right="539" w:hanging="319"/>
        <w:spacing w:after="0" w:line="255"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above exclude payments related to an agreement that contains a lease for property and equipment that has not yet commenced with a contractual period of two years and aggregate payments of approximately $5.2 million.</w:t>
      </w:r>
    </w:p>
    <w:p>
      <w:pPr>
        <w:spacing w:after="0" w:line="18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various agreements with contract research organizations to provide clinical trial services, with contract manufacturing organizations to provide clinical trial materials, and with vendors for preclinical research studies, synthetic chemistry and other services for operating purposes. These payments are not included in the table above since the contracts are generally cancelable with advanced written notice, generally with a notice period of 90 days or less. From the time of notice until termination, we are contractually obligated to make certain minimum payments to the vendors, based on the timing of the notification and the exact terms of the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March 31, 2026. As of March 31, 2026, we were unable to estimate the timing or likelihood of achieving these milestones.</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$559.5 million. We expect that our existing cash and cash equivalents will enable us to fund our operating expenses and capital expenditure requirements for at least 12 months from the date of filing of this Quarterly Report.</w:t>
      </w:r>
    </w:p>
    <w:p>
      <w:pPr>
        <w:spacing w:after="0" w:line="17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light of the impacts of the unfavorable global economic and political conditions;</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the product candidates we may develop;</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programs;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 and suppliers;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7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 and the extent to which we acquire or in-license other product candidates, technologies and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collaborations, monetization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transactions, government contracts or other strategic transactions. To the extent that we raise additional capital through the sale of equity, ownership interests of existing holders of our ADSs and ordinary shares will be diluted, and the terms of these securities may include liquidation or other preferences that adversely affect the rights of holders of our ADSs or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Global trade disruption, volatility in the capital markets and continued uncertainty may contribute to a general global economic slowdown or recession. Inflationary factors, such as increases in the cost of our clinical trial materials and supplies, interest rates and overhead costs may adversely affect our operating results. In addition, current or future tariffs or other trade barriers may result in increased research and development expenses, including with respect to increased costs associated with active pharmaceutical ingredients, raw materials, laboratory equipment and research materials and components. High interest rates also present a recent challenge impacting the U.S. economy and could make it more difficult for us to obtain traditional financing on acceptable terms, if at all, in the future. Furthermore, such economic conditions have produced downward pressure on share prices. Although we do not believe that inflation has had a material impact on our financial position or results of operations to date, in the future increased inflation rates and macroeconomic turmoil may adversely affect us by increasing our costs and the costs of our CMOs and other suppliers. In addition, our labor and research and development costs may increase due to supply chain constraints, consequences associated with geopolitical conflicts, wars, worsening global macroeconomic conditions, including those resulting from changes in global trade policies, or other factors, which may result in additional stress on our working capital resources. If we are unable to raise capital when needed or on attractive terms, we would be forced to delay, reduce, or eliminate our research and development programs or future commercialization efforts.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 costs and expenses, and related disclosures.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Estimates” in our 2025 Annual Report, which was filed with the SEC on March 17, 2026. If actual results or events differ materially from the estimates, judgments and assumptions used by us in applying these policies, our reported financial condition and results of operations could be materially affected. Other than as disclosed in Note 2 to the condensed consolidated financial statements included in this Quarterly Report, there have been no significant changes to our critical accounting estimates from those described in our 2025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As of March 31, 2026, we had cash and cash equivalents of $559.5 million. Our exposure to interest rate sensitivity is impacted by changes in the underlying U.K. and U.S. bank interest and treasury rates. Our surplus cash has been invested in money market funds that invest primarily in short-term highly liquid securities that maintain a stable net asset value. We have not entered into investments for trading or speculative purposes. Due to the conservative nature of</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investment portfolio, which is predicated on capital preservation of investments with short-term maturities, we do not believe an immediate one percentage point change in interest rates would have a material effect on the fair market value of our portfolio. Our earnings would be affected by changes in interest rates due to the impact those changes have on interest income generated from our cash and cash equivalents. We believe we have minimal interest rate risk as a one percentage point change in the average interest rate on our portfolio would not have a material effect on our condensed consolidated statements of operations and comprehensive loss for the three months ended March 31, 2026.</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an entity’s operations are conducted. The functional currency of Bicycle Therapeutics plc and Bicycle Therapeutics Inc. is the United States Dollar, or USD. The functional currency of Bicycle Therapeutics plc’s wholly owned non-U.S. subsidiaries, BicycleTx Limited and BicycleRD Limited, is the British Pound Sterling, and the condensed consolidated financial statements are presented in USD. The functional currency of our subsidiaries is the same as the local currency.</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expenses in the condensed consolidated statements of operations and comprehensive loss as incurred. We recorded a foreign exchange gain of $0.1 million for the three months ended March 31, 2026 and a foreign exchange loss of $0.2 million for the three months ended March 31, 2025.</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financial reporting purposes, our condensed consolidated financial statements have been translated into USD. We translate the assets and liabilities of BicycleTx Limited and BicycleRD Limited into USD at the exchange rate in effect on the balance sheet date. Revenues and expenses are translated at the average exchange rate in effect during the period and shareholders’ equity amounts are translated based on historical exchange rates as of the date of each transaction.</w:t>
      </w:r>
    </w:p>
    <w:p>
      <w:pPr>
        <w:spacing w:after="0" w:line="3" w:lineRule="exact"/>
        <w:rPr>
          <w:sz w:val="20"/>
          <w:szCs w:val="20"/>
          <w:color w:val="auto"/>
        </w:rPr>
      </w:pPr>
    </w:p>
    <w:p>
      <w:pPr>
        <w:ind w:left="60" w:right="559"/>
        <w:spacing w:after="0" w:line="255" w:lineRule="auto"/>
        <w:rPr>
          <w:sz w:val="20"/>
          <w:szCs w:val="20"/>
          <w:color w:val="auto"/>
        </w:rPr>
      </w:pPr>
      <w:r>
        <w:rPr>
          <w:rFonts w:ascii="Times New Roman" w:cs="Times New Roman" w:eastAsia="Times New Roman" w:hAnsi="Times New Roman"/>
          <w:sz w:val="18"/>
          <w:szCs w:val="18"/>
          <w:color w:val="auto"/>
        </w:rPr>
        <w:t>Translation adjustments are not included in determining net loss but are included in our foreign exchange adjustment included in the condensed consolidated statements of shareholders’ equity as a component of accumulated other comprehensive income (loss).</w:t>
      </w:r>
    </w:p>
    <w:p>
      <w:pPr>
        <w:spacing w:after="0" w:line="18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conducted an evaluation of the internal control over financial reporting to determine whether any changes occurred during the period covered by this Quarterly Report that have materially affected, or are reasonably likely to materially affect, our internal control over financial reporting. Based on the evaluation of our disclosure controls and procedures at March 31, 2026,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quarter ended March 31, 2026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From time to time, we may become involved in various legal proceedings and claims, either asserted or</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unasserted, which arise in the ordinary course of business. We are not currently subject to any material legal proceedings.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The following information about these risks and uncertainties, together with the other information appearing elsewhere in this Quarterly Report, and our 2025 Annual Report on Form 10-K, filed with the Securities and Exchange Commission, or SEC, on March 17, 2026, including our consolidated financial statements and related notes thereto, should be carefully considered before a decision to invest in our American Depositary Shares, or ADSs.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Additional risks that are currently unknown to us or that we currently believe to be immaterial may also impair our business. In these circumstances, the market price of our ADSs could decline and holders of our ADSs may lose all or part of their investment. We cannot provide assurance that any of the events discussed below will not occur.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Selected Risk Factors</w:t>
      </w:r>
    </w:p>
    <w:p>
      <w:pPr>
        <w:spacing w:after="0" w:line="200" w:lineRule="exact"/>
        <w:rPr>
          <w:sz w:val="20"/>
          <w:szCs w:val="20"/>
          <w:color w:val="auto"/>
        </w:rPr>
      </w:pPr>
    </w:p>
    <w:p>
      <w:pPr>
        <w:spacing w:after="0" w:line="24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ADSs. These risks and uncertainties include, among others, the following:</w:t>
      </w:r>
    </w:p>
    <w:p>
      <w:pPr>
        <w:spacing w:after="0" w:line="162" w:lineRule="exact"/>
        <w:rPr>
          <w:sz w:val="20"/>
          <w:szCs w:val="20"/>
          <w:color w:val="auto"/>
        </w:rPr>
      </w:pPr>
    </w:p>
    <w:p>
      <w:pPr>
        <w:ind w:left="1040" w:right="1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operating losses and expect to incur significant and increasing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jc w:val="both"/>
        <w:ind w:left="1040" w:right="21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substantial additional funding, and if we are unable to raise capital when needed, we could be forced to delay, reduce or eliminate our product discovery and development programs or commercialization efforts.</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shareholders or holders of our ADSs, restrict our operations or cause us to relinquish valuable rights.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3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internal development programs and of our product candidates from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programs, which may not successfully complete clinical trials, receive regulatory approval or be successfully commercialized.</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 an early stage in our development efforts, and our product candidates and those of our collaborators represent a new category of medicines and may be subject to heightened regulatory scrutiny until they are established as a therapeutic modality.</w:t>
      </w:r>
    </w:p>
    <w:p>
      <w:pPr>
        <w:spacing w:after="0" w:line="17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undesirable side effects or have other properties when used alone or in combination with other approved products or investigational new drugs, or IND, that could halt their clinical development, prevent their marketing approval, limit their commercial potential or result in significant negative consequences.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delayed or not be successful in our efforts to identify or discover additional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designations for our product candidates with the U.S. Food and Drug Administration, or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83"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product candidate will depend upon the degree of market acceptance by physicians, patients, payors and others in the medical community.</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 approved products is uncertain. Failure to obtain or maintain adequate coverage and reimbursement for any of our product candidates could limit our ability to market those products and decrease our ability to generate revenue.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reform measures may have a negative impact on our business and results of operations.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rules, contractual obligations, policies and other obligations related to data privacy and security. Our (and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3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which increases the risk that we will not have sufficient quantities of such product candidates or products or such quantities at an acceptable cost, which could delay, prevent or impair our development or commercialization efforts.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179" w:lineRule="exact"/>
        <w:rPr>
          <w:rFonts w:ascii="Times New Roman" w:cs="Times New Roman" w:eastAsia="Times New Roman" w:hAnsi="Times New Roman"/>
          <w:sz w:val="18"/>
          <w:szCs w:val="18"/>
          <w:color w:val="auto"/>
        </w:rPr>
      </w:pPr>
    </w:p>
    <w:p>
      <w:pPr>
        <w:ind w:left="1040" w:right="239" w:hanging="315"/>
        <w:spacing w:after="0" w:line="312" w:lineRule="auto"/>
        <w:tabs>
          <w:tab w:leader="none" w:pos="1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sued for infringing intellectual property rights of third parties, such litigation could be costly and time consuming and could prevent or delay us from developing or commercializing our product candidates.</w:t>
      </w:r>
    </w:p>
    <w:p>
      <w:pPr>
        <w:spacing w:after="0" w:line="139" w:lineRule="exact"/>
        <w:rPr>
          <w:rFonts w:ascii="Times New Roman" w:cs="Times New Roman" w:eastAsia="Times New Roman" w:hAnsi="Times New Roman"/>
          <w:sz w:val="17"/>
          <w:szCs w:val="17"/>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workforce reductions were undertaken to significantly reduce our ongoing operating expenses, but they may not result in our intended outcomes and may yield unintended consequences and additional costs.</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 is highly volatile, and holders of our ADSs may not be able to resell their ADSs at or above the price at which they purchased their ADSs.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operations outside of the United States, we are subject to economic, political, regulatory and other risks associated with international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operating losses and expect to incur significant and increasing losses for the foreseeable future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we may never achieve or maintain profitability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or profitability that is necessary to finance our operations in the short term. Since inception, we have incurred recurring losses, including net losses of $60.8 million and $60.8 million for the three months ended March 31, 2026 and 2025, respectively. As of March 31, 2026, we had an accumulated deficit of $960.6 million.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shareholders’ equity and working capital.</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1040" w:right="41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with respect to our BDC and BRC programs and our other pipeline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potentially, commercialization;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infrastructure, including hiring and retaining additional personnel, such as clinical, quality control and scientific personnel;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in the future to commercialize products for which we obtain marketing approval, if any;</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and help us comply with our obligations as a public company;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22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spacing w:after="0" w:line="19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revenue to date has been primarily generated from our current and former research collaborations with Bayer Consumer Care AG, or Bayer, Novartis Pharma AG, or Novartis, Ionis Pharmaceuticals, Inc., or Ionis, and Genentech Inc., or Genentech. There can be no assurance that we will generate revenue from our collaborations in the future.</w:t>
      </w:r>
    </w:p>
    <w:p>
      <w:pPr>
        <w:spacing w:after="0" w:line="176"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holders of our ADSs or ordinary shares to evaluate the success of our business to date and to assess our future viability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any current or prospective holder of our ADSs or ordinary shares should consider our prospects in light of the costs, uncertainties, delays and difficulties frequently encountered by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companies in the early stages of development, especially clinical-stage pharmaceutical companies such as ours. Any predictions made about our future success or viability may not be as accurate as they would be if we had a longer operating history or a history of successfully developing and commercializing pharmaceutical products.</w:t>
      </w:r>
    </w:p>
    <w:p>
      <w:pPr>
        <w:spacing w:after="0" w:line="17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spacing w:after="0" w:line="1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we are unable to raise capital when needed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 forced to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reduce or eliminate our product discovery and development programs or commercialization efforts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we expect to incur significant ongoing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9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of $559.5 million as of March 31, 2026, will enable us to fund our operating expenses and capital expenditure requirements for at least 12 months from the date of filing of this Quarterly Report.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7" w:lineRule="exact"/>
        <w:rPr>
          <w:sz w:val="20"/>
          <w:szCs w:val="20"/>
          <w:color w:val="auto"/>
        </w:rPr>
      </w:pPr>
    </w:p>
    <w:p>
      <w:pPr>
        <w:ind w:left="1040" w:right="3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our current and future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or other arrangements;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one or more future product candidates for our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our current and future product candidates;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and associated costs as we progress our research and development and establish a commercial infrastructure;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While the long-term economic impact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is difficult to assess or predict, these events have caused or may cause significant disruptions to the global financial markets and have contributed or may contribute to a general global economic slowdown. Furthermore, inflation rates, particularly in the United States and the United Kingdom, recently increased to levels not seen in decades and, despite recent decreases, remain high. Increased inflation may result in increased operating costs (including labor costs) and may affect our operating budgets. Future increases in interest rates, especially if coupled with reduced government spending and volatility in financial markets and the global banking system, may further increase economic uncertainty and heighten these risks.</w:t>
      </w:r>
    </w:p>
    <w:p>
      <w:pPr>
        <w:spacing w:after="0" w:line="169"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or holders of our ADSs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restrict our operations or cause us to relinquish valuable rights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the ownership interest of existing holders of our ADSs or ordinary shares will be diluted and the terms may include liquidation or other preferences that adversely affect existing holders’ rights.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Development and Regulatory Approval of Our Product Candidates</w:t>
      </w:r>
    </w:p>
    <w:p>
      <w:pPr>
        <w:spacing w:after="0" w:line="22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internal development programs and of our product candidates from our BDC and BRC programs, which may not successfully complete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receive regulatory approval or be successfully commercialized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will depend heavily on the success of our internal development programs and of product candidates from our BDC and BRC programs.</w:t>
      </w:r>
    </w:p>
    <w:p>
      <w:pPr>
        <w:spacing w:after="0" w:line="162" w:lineRule="exact"/>
        <w:rPr>
          <w:sz w:val="20"/>
          <w:szCs w:val="20"/>
          <w:color w:val="auto"/>
        </w:rPr>
      </w:pPr>
    </w:p>
    <w:p>
      <w:pPr>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 xml:space="preserve">Within our BDC programs, we are evaluating nuzefatide pevedotin (formerly BT5528), a BDC molecule that targets Ephrin type-A receptor 2, or EphA2 and carries a MMAE cytotoxin payload, in an ongoing, company-sponsored Phase I/II clinical trial to assess safety, pharmacokinetics and preliminary clinical activity in patients with advanced malignancies historically associated with EphA2 expression as well as an ongoing, company-sponsored Phase II clinical trial to evaluate the efficacy, safety and pharmacokinetics of nuzefatide pevedotin in adult patients with recurrent metastatic pancreatic ductal adenocarcinoma. In addition, IND-enabling activities are currently ongoing for BT1702, a theranostic BRC molecule targeting MT1-MMP and carrying a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There can be no assurance our BDC or BRC molecules will ever demonstrate evidence of safety or effectiveness for any use or receive regulatory approval in the United States, the European Union, or any other country in any indication. Even if clinical trials show positive results, there can be no assurance that the FDA in the United States, or the European Commission, whose decision is based on an opinion from the EMA in Europe or similar regulatory authorities will approve our BDC or BRC molecules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p>
    <w:p>
      <w:pPr>
        <w:spacing w:after="0" w:line="20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our BDC molecules, BRC molecules, and our other product candidates will depend on, among other things, our ability to:</w:t>
      </w:r>
    </w:p>
    <w:p>
      <w:pPr>
        <w:spacing w:after="0" w:line="162"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preclinical studies and clinical trials, which may be delayed;</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approvals from the FDA, the European Commission based on an opinion from the EMA and other similar regulatory authorities;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p>
      <w:pPr>
        <w:spacing w:after="0" w:line="17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payors such as government health care systems and insurance companies and achieve commercially attractive levels of pricing;</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acceptance of our product candidates from physicians, health care payors, patients and the medical community;</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in manufacturing facilities inspected and approved by regulatory authorities, including the FDA, sufficiently large quantities of our product candidates to permit successful commercialization;</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expenses increase due to clinical trials and commercialization; and</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enforce sufficient intellectual property rights for any approved products and product candidates and maintain freedom to operate for such products with respect to the intellectual property rights of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 in the submission of a new drug application, or NDA, to the FDA or comparable foreign applications to competent regulatory authorities abroad,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provide assurance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spacing w:after="0" w:line="18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231F20"/>
        </w:rPr>
        <w:t>In addition, the policies of the FDA, the competent authorities of the EU Member States, the EMA, the European Commission and other comparable regulatory authorities responsible for clinical trials may change and additional government regulations may be enacted. For instance, the regulatory landscape related to clinical trials in the EU recently evolved. The CTR, which was adopted in April 2014 and repeals the CTD, became applicable on January 31, 2022. The CTR introduces, among other changes, a centralized application system, coordinated review procedures, expanded reporting and increased transparency obligations. Compliance with the CTR requirements by us and our third-party service providers, such as CROs, may impact our developments plans.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231F20"/>
        </w:rPr>
        <w:t>In addition, on December 11, 2025, the European Commission, European Parliament and European Council reached a political agreement on a comprehensive overhaul of EU pharmaceutical legislation, or the Pharma Package. The reform has been under negotiation since the European Commission submitted its proposal in April 2023. This package, composed of a new directive and regulation to replace existing legislation, aims to modernize the EU framework. The political agreement is still subject to formal approval by the European Parliament and European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Moreover, following a public consultation that began in 2022, the United Kingdom government has enacted new legislation to overhaul the clinical trials regulatory framework. In April 2025, the United Kingdom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EU’s CTR. The amendment became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194"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231F20"/>
        </w:rPr>
        <w:t>If we are slow or unable to adapt to changes in existing requirements or the adoption of new requirements or policies, our development plans may be impacted.</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at an early stage in our development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product candidates and those of our collaborators represent a new category of medicines and may be subject to heightened regulatory scrutiny until they are established as a therapeutic modality</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Our product candidates may not demonstrate in patients any or all of the pharmacological benefits we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believe they may possess. We have not yet succeeded and may never succeed in demonstrating efficacy and safety for these or any other product candidates in clinical trials or in obtaining marketing approval thereafter.</w:t>
      </w:r>
    </w:p>
    <w:p>
      <w:pPr>
        <w:spacing w:after="0" w:line="162"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Regulatory authorities have limited experience with Bicycle molecules and may require evidence of safety and efficacy that goes beyond what we and our collaborators have included in our development plans. In such a case, development of Bicycle product candidates may be more costly or time-consuming than expected, and our candidate products and those of our collaboration partners may not prove to be viable.</w:t>
      </w:r>
    </w:p>
    <w:p>
      <w:pPr>
        <w:spacing w:after="0" w:line="18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those of our collaborators will need to undergo preclinical and clinical trials that are time consuming and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outcomes of which are unpredictable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for which there is a high risk of failure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preclinical or clinical trials of our or their product candidates fail to satisfactorily demonstrate safety and efficacy to the FDA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EMA and the European Commission and any other comparable regulatory 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additional costs may be incurred or delays experienced in completing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development of these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their development may be abandoned</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in the United States, the European Commission based on a positive opinion from the EMA, or national competent regulatory authorities in the EEA, countries and any other comparable regulatory authorities in other jurisdictions must approve product candidates before they can be marketed, promoted or sold in those territories. We have not previously submitted an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European Commission based on a positive opinion from the EMA or any other comparable regulatory authority.</w:t>
      </w:r>
    </w:p>
    <w:p>
      <w:pPr>
        <w:spacing w:after="0" w:line="188" w:lineRule="exact"/>
        <w:rPr>
          <w:sz w:val="20"/>
          <w:szCs w:val="20"/>
          <w:color w:val="auto"/>
        </w:rPr>
      </w:pPr>
    </w:p>
    <w:p>
      <w:pPr>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 New or ongoing public health crises may also impact our and our collaboration partners’ abilities to activate trial sites or enroll patients in clinical trials or to otherwise advance those clinical trials. Interruptions resulting from such crises may reduce our, or our collaboration partners’, abilities to administer the investigational product to enrolled patients, present difficulties for enrolled patients to adhere to protocol-mandated visits and laboratory/diagnostic testing, increase the possibility of patient dropouts, or impact our, and our suppliers’, abilities to provide investigational product to trial sites, all of which could negatively impact the data we are able to obtain from our clinical trials and complicate regulatory review.</w:t>
      </w:r>
    </w:p>
    <w:p>
      <w:pPr>
        <w:spacing w:after="0" w:line="17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product candidates. The FDA, EMA or the European Commission or any other comparable regulatory authority may disagree with our clinical trial design and our interpretation of data from clinical trials or may change the requirements for approval even after it has reviewed and commented on the design for our clinical trials.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40" w:right="41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ineffective, inferior or a rigorous comparison cannot be made to existing approved products for the same indications;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causes or is associated with unacceptable toxicity or has unacceptable side effects;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die or suffer adverse effects for reasons that may or may not be related to the product candidate being tested;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view around product approval and regulatory pathway may change;</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meet the level of statistical significance required by the FDA, the EMA or the European Commission or other relevant regulatory authorities to establish the safety and efficacy of our product candidates for continued trial or strategy for marketing approval;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be unable or unwilling to perform under their contracts.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p>
    <w:p>
      <w:pPr>
        <w:spacing w:after="0" w:line="18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 or prevent us from proceeding with clinical trials of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4"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168"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 to treatment of diseases;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subject’s disease at the time of enrollment;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addition, clinical testing of our product candidates generally is performed in multiple jurisdictions, including countries outside of the United States. Our ability to successfully initiate, enroll and complete a clinical trial in any foreign country is subject to numerous risks unique to conducting business in foreign countries, including:</w:t>
      </w:r>
    </w:p>
    <w:p>
      <w:pPr>
        <w:spacing w:after="0" w:line="176"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academic partners or CROs and physicians;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protocols related to our novel approach;</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339" w:firstLine="648"/>
        <w:spacing w:after="0" w:line="281" w:lineRule="auto"/>
        <w:rPr>
          <w:sz w:val="20"/>
          <w:szCs w:val="20"/>
          <w:color w:val="auto"/>
        </w:rPr>
      </w:pPr>
      <w:r>
        <w:rPr>
          <w:rFonts w:ascii="Times New Roman" w:cs="Times New Roman" w:eastAsia="Times New Roman" w:hAnsi="Times New Roman"/>
          <w:sz w:val="17"/>
          <w:szCs w:val="17"/>
          <w:color w:val="auto"/>
        </w:rPr>
        <w:t>The outcome of preclinical studies and early clinical trials may not be predictive of the success of later clinical trials, and preliminary or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example, the interim results of our company-sponsored Phase I/II clinical trials of nuzefatide pevedotin, zelenectide pevedotin and BT7480, including specific patient responses we have observed and disclosed, may not be replicated in the completed data sets or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late-stage clinical trials and may be unable to design and execute a clinical trial to support marketing approval.</w:t>
      </w:r>
    </w:p>
    <w:p>
      <w:pPr>
        <w:spacing w:after="0" w:line="17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our ability to enroll trial participants,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develop and obtain regulatory approval for companion diagnostics could harm our drug development strategy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99" w:firstLine="648"/>
        <w:spacing w:after="0" w:line="255" w:lineRule="auto"/>
        <w:rPr>
          <w:sz w:val="20"/>
          <w:szCs w:val="20"/>
          <w:color w:val="auto"/>
        </w:rPr>
      </w:pPr>
      <w:r>
        <w:rPr>
          <w:rFonts w:ascii="Times New Roman" w:cs="Times New Roman" w:eastAsia="Times New Roman" w:hAnsi="Times New Roman"/>
          <w:sz w:val="18"/>
          <w:szCs w:val="18"/>
          <w:color w:val="auto"/>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or certification prior to commercialization. In the EEA (and Northern Ireland), in order to place an in vitro diagnostic medical device on the market, the device must be designed, developed, manufactured and marketed in compliance with the Regulation on In-Vitro Diagnostic Devices (Regulation (EU) 2017/746), which is a lengthy and costly process.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do not develop companion diagnostics internally and thus we will be dependent on the sustained cooperation and effort of our third-party collaborators in developing and obtaining approval or certification for these companion diagnostics. There can be no guarantees that we will successfully find a suitable collaborator to develop companion diagnostics. We and our collaborators may encounter difficulties in developing and obtaining approval or certification for the companion diagnostics, including issues relating to selectivity/specificity, analytical validation, reproducibility, or clinical validation. Any delay or failure by our collaborators to develop or obtain regulatory approval or certification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or difficulties obtaining insurance coverage and reimbursement from private insurance or government payors.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prevent their marketing approval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limit their commercial potential or result in significant negative consequences</w:t>
      </w:r>
      <w:r>
        <w:rPr>
          <w:rFonts w:ascii="Times New Roman" w:cs="Times New Roman" w:eastAsia="Times New Roman" w:hAnsi="Times New Roman"/>
          <w:sz w:val="17"/>
          <w:szCs w:val="17"/>
          <w:i w:val="1"/>
          <w:iCs w:val="1"/>
          <w:color w:val="auto"/>
        </w:rPr>
        <w:t>.</w:t>
      </w:r>
    </w:p>
    <w:p>
      <w:pPr>
        <w:spacing w:after="0" w:line="15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If unacceptable side effect profiles arise, or side effects beyond those identified to date develop or worsen, as we continue development of our current or future product candidates, we, the FDA or comparable foreign regulatory authorities, the Institutional Review Boards, or IRBs, or independent ethics committees at the institutions in which our studies are conducted, or Safety Review Committees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cause delays in ongoing clinical trials,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19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Three of our product candidates are currently undergoing safety testing in the form of Phase I/II or Phase II/III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rarer, after our products have been approved by regulatory authorities and the approved product has been marketed, resulting in the exposure of additional patients. So far, we have not demonstrated, and we cannot predict if ongoing or future clinical trials will demonstrate, that nuzefatide pevedotin, zelenectide pevedotin, BT7480 or any other of our product candidates are safe in humans.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spacing w:after="0" w:line="187"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need to recall the product, or be required to change the way the product is administered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be required to create a medication guide outlining the risks of the previously unidentified side effects for distribution to patients;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delayed or may not be successful in our efforts to identify or discover additional product candidates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Although we intend to utilize our Bicycle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spacing w:after="0" w:line="17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Phase II/III Duravelo-2 clinical trial for zelenectide pevedotin are promising, demonstrating response rates comparable to published rates for existing standards of care and a differentiated safety profile, we are converting the Phase II/III Duravelo-2 registrational trial to a randomized Phase II clinical trial and have deprioritized the program for internal development while we evaluate next steps for zelenectide pevedotin following preliminary feedback from regulatory agencies. In addition, as part of the strategic reprioritization, we plan to discontinue the Phase I/II clinical trials evaluating zelenectide pevedotin in patients with NECTIN4 amplified advanced breast cancer and NECTIN4 amplified advanced or metastatic non-small cell lung cancer. Further enrollment in these trials is closed and patients already enrolled will complete their course of treatment.</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past resource allocation decisions, and those we may make in the future,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successful claims are brought against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incur substantial liability and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the use of our product candidates harms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is perceived to harm patients even when such harm is unrelated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regulatory approvals could be revoked or otherwise negatively impacted and we could be subject to costly and damaging product liability claims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87"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business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clinical trial participants;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 judgments exceed our insurance coverage, could adversely affect our results of operations and business.</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but there can be no assurance that we will successfully obtain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 addition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even if one or more of our product candidates are granted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realize the intended benefits of such designations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The FDA and other comparable regulatory authorities offer certain designations for product candidates that are intended to encourage the research and development of pharmaceutical products addressing conditions with significant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one or more of our product candidates. A breakthrough therapy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9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 The EMA has a similar program called PRIME.</w:t>
      </w:r>
    </w:p>
    <w:p>
      <w:pPr>
        <w:spacing w:after="0" w:line="184" w:lineRule="exact"/>
        <w:rPr>
          <w:sz w:val="20"/>
          <w:szCs w:val="20"/>
          <w:color w:val="auto"/>
        </w:rPr>
      </w:pPr>
    </w:p>
    <w:p>
      <w:pPr>
        <w:ind w:left="60" w:right="5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priority review designation for one or more of our product candidates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but we might not receive such designation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even if we do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such designation may not lead to a faster regulatory review or approval process</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0"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Obtaining and maintaining marketing approval of our current and future product candidates in one jurisdiction does not guarantee that we will be able to obtain or maintain marketing approval in any other jurisdiction, while a failure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do not have experience in obtaining reimbursement or pricing approvals in international markets.</w:t>
      </w:r>
    </w:p>
    <w:p>
      <w:pPr>
        <w:spacing w:after="0" w:line="173"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Obtaining marketing approvals and compliance with regulatory requirements could result in significant delays, difficulties and costs for us and could delay or prevent the introduction of our products in certain countries outside of the United States.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regulatory landscape, policies, or processes, as well as disruptions at the FDA and other government agencies caused by layoffs, changes in personnel, funding shortages or global health concerns could negatively impact our business.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w:t>
      </w:r>
    </w:p>
    <w:p>
      <w:pPr>
        <w:spacing w:after="0" w:line="18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also increased uncertainty as to how the FDA and other regulatory agencies will review and regulate our products.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Regulatory Compliance Matters</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marketing approval process is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 consuming and uncertain and may prevent us or any collaborators from obtaining approvals for the commercialization of some or all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cannot predict when or if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in which territories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any collaborators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will obtain marketing approval to commercialize a product candidate</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which could delay anticipated approval decisions and otherwise delay or limit our ability to make planned regulatory submissions or obtain new product approvals.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Any marketing approval we ultimately obtain, if any, may be limited or subject to restrictions or post-approval commitments that render the approved product not commercially viable.</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trial.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addition, regulatory authorities may not approve the labeling claims that are necessary or desirable for the successful commercialization of our product candidates. For example, regulatory authorities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spacing w:after="0" w:line="18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spacing w:after="0" w:line="17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limited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sales or distribution infrastructure with respect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develop our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marketing and distribution capability on our own or through collaborations with marketing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not be successful in commercializing our product candidates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currently have limited marketing, sales or distribution capabilities and have limited sales or marketing experience within our organization. If one or more of our product candidates is approved, we intend either to build our sales and marketing organization with technical expertise and supporting distribution capabilities to commercialize that product candidate, or to outsource this function to a third party. There are risks involved with either building our own sales and marketing capabilities and entering into arrangements with third parties to perform these services.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our failure to educate physicians on the benefits of prescribing our products;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expanding an independent sales and marketing organization.</w:t>
      </w:r>
    </w:p>
    <w:p>
      <w:pPr>
        <w:spacing w:after="0" w:line="22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188"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any current or future product candidate we develop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and when approved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may be limited to those patients who are ineligible for established therapies or for whom prior therapies have failed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may be small</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third-line or later-line therapies,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nuzefatide pevedotin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be subject to ongoing regulatory obligations and continued regulatory review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result in significant additional expense and we may be subject to penalties if we fail to comply with regulatory requirements or experience unanticipated problems with our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or comparable foreign regulatory authorities may also require a Risk Evaluation and Mitigation Strategy, or REMS, or a comparable foreign strategy,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among others, submissions of safety and other post-marketing information and reports, registration, as well as continued compliance with current Good Manufacturing Practice, or cGMP, and Good Clinical Practice, or GCP, for any clinical trials that we conduct post-approval, and prohibitions on the promotion of an approved product for uses not included in the product’s approved labeling. The FDA and other or comparable foreign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spacing w:after="0" w:line="19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1040" w:right="61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distribution,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and warning letters, or holds on clinical trials;</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we filed or suspension or revocation of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requirements or policies, or if we are not able to maintain regulatory compliance, we may lose any marketing approval that we may have obtained and we may not achieve or sustain profitability.</w:t>
      </w:r>
    </w:p>
    <w:p>
      <w:pPr>
        <w:spacing w:after="0" w:line="158"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safer or less expensive than the product candidates we develop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commercial opportunities will be negatively impacted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7" w:lineRule="exact"/>
        <w:rPr>
          <w:sz w:val="20"/>
          <w:szCs w:val="20"/>
          <w:color w:val="auto"/>
        </w:rPr>
      </w:pPr>
    </w:p>
    <w:p>
      <w:pPr>
        <w:ind w:left="60" w:right="399" w:firstLine="648"/>
        <w:spacing w:after="0" w:line="273" w:lineRule="auto"/>
        <w:rPr>
          <w:sz w:val="20"/>
          <w:szCs w:val="20"/>
          <w:color w:val="auto"/>
        </w:rPr>
      </w:pPr>
      <w:r>
        <w:rPr>
          <w:rFonts w:ascii="Times New Roman" w:cs="Times New Roman" w:eastAsia="Times New Roman" w:hAnsi="Times New Roman"/>
          <w:sz w:val="17"/>
          <w:szCs w:val="17"/>
          <w:color w:val="auto"/>
        </w:rPr>
        <w:t>There are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companies are developing programs for the targets that we are exploring for our BDC programs, including, but not limited to, for EphA2, Tianjin Conjustar Biologics Co., Ltd. and Stemline Therapeutics, and for Nectin-4, Pfizer Inc. (formerly Seagen, acquired by Pfizer Inc. in December 2023) which has a marketed Nectin-4 antibody-drug conjugate, Eli Lilly and Company, and Mabwell Therapeutics, Inc. Furthermore, many companies are developing programs for radiopharmaceutical therapies.</w:t>
      </w:r>
    </w:p>
    <w:p>
      <w:pPr>
        <w:spacing w:after="0" w:line="171"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EU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or future product candidate will depend upon the degree of market acceptance by physicians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payors and others in the medical community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and even if we obtain any regulatory approval for our product candidates, the commercial success of our product candidates will depend in part on the medical community, patients, and payors accepting products based on our Bicycle peptides in general, and our product candidates in particular, as effective, safe and cost-effective. Any product that we bring to the market may not gain market acceptance 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physicians, patients,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64"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these product candidates, if approved for commercial sale, will depend on a number of factors, including:</w:t>
      </w:r>
    </w:p>
    <w:p>
      <w:pPr>
        <w:spacing w:after="0" w:line="162"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resulting from follow-up requirements for the administration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and adequate reimbursement.</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 Bicycle approach. If these products do not achieve an adequate level of acceptance, we may not generate significant product revenue and may not become profitable.</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product revenues may be adversely affected and our business may suffer</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is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Failure to obtain or maintain adequate coverage and reimbursement for any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could limit our ability to market those products and decrease our ability to generate revenue</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reimbursed by government health care programs, such as Medicare and Medicaid. We may not be able to provide data 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medicines are typically made by the CMS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 (2) 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 Third-party payors may limit coverage to specific drug products on an approved list, also known as a formulary, which might not include all of the approved drugs for a particular indication.</w:t>
      </w:r>
    </w:p>
    <w:p>
      <w:pPr>
        <w:spacing w:after="0" w:line="195"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or our collaborators will be required to obtain coverage and reimbursement for companion diagnostic tests separate and apart from the coverage and reimbursement we seek for our product candidates, once approved. There is significant uncertainty regarding our and our collaborators’ ability to obtain coverage and adequate reimbursement for any companion diagnostic test for the same reasons applicable to our product candidates.</w:t>
      </w:r>
    </w:p>
    <w:p>
      <w:pPr>
        <w:spacing w:after="0" w:line="180" w:lineRule="exact"/>
        <w:rPr>
          <w:sz w:val="20"/>
          <w:szCs w:val="20"/>
          <w:color w:val="auto"/>
        </w:rPr>
      </w:pPr>
    </w:p>
    <w:p>
      <w:pPr>
        <w:jc w:val="both"/>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drugs. For example, HHS imposes rebates on certain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9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spacing w:after="0" w:line="180"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On January 12, 2025, the HTA Regulation entered into application through a phased implementation. It is intended to boost cooperation among EU Member States in assessing health technologies, including new medicinal products. The HTA Regulation establishes a framework for joint clinical assessments, joint scientific consultations, and the early identification of emerging health technologies. The HTA Regulation permits Member States to use common HTA tools, methodologies, and procedures across the European Union and requires them to rely on EU-level joint clinical assessment reports for the clinical components of their national HTA evaluations. EU Member States, however, remain responsible for assessing non-clinical aspects, such as economic, ethical, and social considerations, and for making pricing and reimbursement decisions at the national level. Individual Member States continue to be responsible for assessing non-clinical (e.g., economic, social, ethical) aspects of health technologies, and making decisions on pricing and reimbursement. As implementation of the HTA Regulation is phased in and key methodological and procedural guidance continues to evolve, there remains uncertainty regarding the evidence requirements, timing, and impact of joint clinical assessments on national reimbursement processes. The new framework may result in additional or differently structured evidentiary expectations, misalignment between assessment and regulatory timelines, or delays in national decisions. Any adverse or delayed HTA outcomes, or divergent national reimbursement decisions, could negatively affect our ability to obtain or maintain favorable pricing and reimbursement status for any product candidates, if approved. If we are unable to maintain favorable pricing and reimbursement status in Member States for product candidates that we may successfully develop and for which we may obtain regulatory approval, any anticipated revenue from and growth prospects for those products in the EU could be negatively affected. In light of the fact that the U.K. has left the EU, the HTA Regulation does not apply in the U.K. However, the U.K. MHRA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There can be no assurance that we 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be able to obtain or sustain favorable pricing or reimbursement in the U.K. under these evolving frameworks, and any such inability could materially and adversely affect our anticipated revenues and growth prospects in that market.</w:t>
      </w:r>
    </w:p>
    <w:p>
      <w:pPr>
        <w:spacing w:after="0" w:line="16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reimbursement of our products is unavailable or limited in scope or amount, or if pricing is set at unsatisfactory levels, our business could be harmed.</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 candidates that receive marketing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such authorities do not grant such products appropriate periods of data exclusivity before approving generic versions of such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sales of such products could be adversely affected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 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spacing w:after="0" w:line="177" w:lineRule="exact"/>
        <w:rPr>
          <w:sz w:val="20"/>
          <w:szCs w:val="20"/>
          <w:color w:val="auto"/>
        </w:rPr>
      </w:pPr>
    </w:p>
    <w:p>
      <w:pPr>
        <w:jc w:val="both"/>
        <w:ind w:left="60" w:right="399" w:firstLine="648"/>
        <w:spacing w:after="0" w:line="272" w:lineRule="auto"/>
        <w:rPr>
          <w:sz w:val="20"/>
          <w:szCs w:val="20"/>
          <w:color w:val="auto"/>
        </w:rPr>
      </w:pPr>
      <w:r>
        <w:rPr>
          <w:rFonts w:ascii="Times New Roman" w:cs="Times New Roman" w:eastAsia="Times New Roman" w:hAnsi="Times New Roman"/>
          <w:sz w:val="17"/>
          <w:szCs w:val="17"/>
          <w:color w:val="auto"/>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Three-year exclusivity is given to a non-NCE drug if the NDA includes reports of one or more new clinical investigations, other than bioavailability or bioequivalence studies, that were conducted by or for the applicant and are essential to the approval of the NDA. Manufacturers may seek to launch these generic products following the expiration of the applicable marketing exclusivity period, even if we still have patent protection for our product.</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72"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directly or indirectly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federal and state healthcare fraud and abuse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false claims laws health information privacy and security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health care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comply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have not fully complied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with such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face substantial penalties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U.S. federal and state fraud and abuse laws and regulations, including, without limitation, the federal Health Care Program Anti-Kickback Statute, or Anti-Kickback Statute, the federal civil and criminal False Claims Act and Physician Payments Sunshine Act and regulations. These laws will impact, among other things, our clinical research, proposed sales, marketing and educational programs and other interactions with healthcare professionals. In addition, we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be subject to patient privacy laws by both the federal government and the states in which we conduct our business.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laws that will affect our operations include, but are not limited to:</w:t>
      </w:r>
    </w:p>
    <w:p>
      <w:pPr>
        <w:spacing w:after="0" w:line="207" w:lineRule="exact"/>
        <w:rPr>
          <w:sz w:val="20"/>
          <w:szCs w:val="20"/>
          <w:color w:val="auto"/>
        </w:rPr>
      </w:pPr>
    </w:p>
    <w:p>
      <w:pPr>
        <w:ind w:left="1040" w:right="99" w:hanging="315"/>
        <w:spacing w:after="0" w:line="25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spacing w:after="0" w:line="190" w:lineRule="exact"/>
        <w:rPr>
          <w:rFonts w:ascii="Times New Roman" w:cs="Times New Roman" w:eastAsia="Times New Roman" w:hAnsi="Times New Roman"/>
          <w:sz w:val="18"/>
          <w:szCs w:val="18"/>
          <w:color w:val="auto"/>
        </w:rPr>
      </w:pPr>
    </w:p>
    <w:p>
      <w:pPr>
        <w:ind w:left="1040" w:right="99" w:hanging="315"/>
        <w:spacing w:after="0" w:line="254"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the FCA, and civil monetary penalty law,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88" w:lineRule="exact"/>
        <w:rPr>
          <w:rFonts w:ascii="Times New Roman" w:cs="Times New Roman" w:eastAsia="Times New Roman" w:hAnsi="Times New Roman"/>
          <w:sz w:val="18"/>
          <w:szCs w:val="18"/>
          <w:color w:val="auto"/>
        </w:rPr>
      </w:pPr>
    </w:p>
    <w:p>
      <w:pPr>
        <w:ind w:left="1040" w:right="379" w:hanging="315"/>
        <w:spacing w:after="0" w:line="277" w:lineRule="auto"/>
        <w:tabs>
          <w:tab w:leader="none" w:pos="1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provisions of the civil monetary penalty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67" w:lineRule="exact"/>
        <w:rPr>
          <w:rFonts w:ascii="Times New Roman" w:cs="Times New Roman" w:eastAsia="Times New Roman" w:hAnsi="Times New Roman"/>
          <w:sz w:val="17"/>
          <w:szCs w:val="17"/>
          <w:color w:val="auto"/>
        </w:rPr>
      </w:pPr>
    </w:p>
    <w:p>
      <w:pPr>
        <w:ind w:left="1040" w:right="179" w:hanging="315"/>
        <w:spacing w:after="0" w:line="25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 knowledge of the statute or specific intent to violate it in order to have committed a violation;</w:t>
      </w:r>
    </w:p>
    <w:p>
      <w:pPr>
        <w:spacing w:after="0" w:line="194"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healthcare providers, health plans, and healthcare clearinghouses, known as covered entities, as well as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spacing w:after="0" w:line="261" w:lineRule="auto"/>
        <w:rPr>
          <w:sz w:val="20"/>
          <w:szCs w:val="20"/>
          <w:color w:val="auto"/>
        </w:rPr>
      </w:pPr>
      <w:r>
        <w:rPr>
          <w:rFonts w:ascii="Times New Roman" w:cs="Times New Roman" w:eastAsia="Times New Roman" w:hAnsi="Times New Roman"/>
          <w:sz w:val="18"/>
          <w:szCs w:val="18"/>
          <w:color w:val="auto"/>
        </w:rPr>
        <w:t>their respective business associates, individuals and entities that perform services on their behalf that involve the use or disclosure of individually identifiable health information, and their subcontractors that use disclose or otherwise process individually identifiable health information, relating to the privacy, security and transmission of individually identifiable health information;</w:t>
      </w:r>
    </w:p>
    <w:p>
      <w:pPr>
        <w:spacing w:after="0" w:line="180" w:lineRule="exact"/>
        <w:rPr>
          <w:sz w:val="20"/>
          <w:szCs w:val="20"/>
          <w:color w:val="auto"/>
        </w:rPr>
      </w:pPr>
    </w:p>
    <w:p>
      <w:pPr>
        <w:ind w:left="1040" w:right="139" w:hanging="315"/>
        <w:spacing w:after="0" w:line="25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p>
      <w:pPr>
        <w:spacing w:after="0" w:line="19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government price reporting laws, which require us to calculate and report complex pricing metrics in an accurate and timely manner to government programs; and</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consumers.</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we are subject to U.S. state and foreign equivalents of each of the healthcare laws and regulations described above, among others, some of which may be broader in scope and may apply regardless of the payor. Many U.S. states have adopted laws similar to the Anti-Kickback Statute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Certain states and local jurisdictions also require certain regulatory licenses to manufacture or distribute products commercially and/or the registration of pharmaceutical sales representatives. There are ambiguities as to what is required to comply with these state requirements, and if we fail to comply with an applicable state law requirement we could be subject to significant penalties. Finally, there are state and foreign laws governing the privacy and security of health information, many of which differ from each other in significant ways and often are not preempted by HIPAA, thus complicating compliance efforts. For further information concerning additional data privacy and security laws we may be subject to and our processing of personal data, see the risk factor titled “</w:t>
      </w:r>
      <w:r>
        <w:rPr>
          <w:rFonts w:ascii="Times New Roman" w:cs="Times New Roman" w:eastAsia="Times New Roman" w:hAnsi="Times New Roman"/>
          <w:sz w:val="18"/>
          <w:szCs w:val="18"/>
          <w:i w:val="1"/>
          <w:iCs w:val="1"/>
          <w:color w:val="auto"/>
        </w:rPr>
        <w:t>We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third parties with whom we work are subject to stringent and evolving U.S. and foreign laws, regulations, rules, contractual obligations, policies and other obligations related to data privacy and security. Our (and the third parties with whom we work) actual or perceived failure to comply with such obligations could lead to regulatory investigations or actions, litigation, fines and penalties, disruptions of our business operations, reputational harm, loss of revenues or profits, and other adverse business consequences.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significant administrative, civil and criminal penalties, damages, fines, disgorgement, contractual damages, reputational harm, diminished profits and future earnings, the curtailment or restructuring of our operations, imprisonment,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imprisonment,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w:t>
      </w:r>
    </w:p>
    <w:p>
      <w:pPr>
        <w:spacing w:after="0" w:line="5" w:lineRule="exact"/>
        <w:rPr>
          <w:sz w:val="20"/>
          <w:szCs w:val="20"/>
          <w:color w:val="auto"/>
        </w:rPr>
      </w:pPr>
    </w:p>
    <w:p>
      <w:pPr>
        <w:jc w:val="both"/>
        <w:ind w:left="60" w:right="199" w:hanging="10"/>
        <w:spacing w:after="0" w:line="255" w:lineRule="auto"/>
        <w:tabs>
          <w:tab w:leader="none" w:pos="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coverage, reimbursement, and pricing for our products, (v) transparency reporting obligations regarding transfers of value to health care professionals or (vi) additional record-keeping requirements. If any such changes were to be imposed, they could adversely affect our business, financial condition and results of operations.</w:t>
      </w:r>
    </w:p>
    <w:p>
      <w:pPr>
        <w:spacing w:after="0" w:line="18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Among policy makers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and amendments to certain aspects of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Other legislative changes have been approved and adopted since the ACA was enacted, including aggregate reductions to Medicare payments to providers of 2% per fiscal year, which began in 2013, and will remain in effect through 2032 unless additional Congressional action is taken.</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addition, the U.S. Supreme Court recently greatly reduced judicial deference to regulatory agencies, which could increase successful legal challenges to federal regulations affecting our operations. Congress may introduce and ultimately pass healthcare-related legislation that could impact the drug approval process and make changes to the Medicare Drug Price Negotiation Program. Any reduction in reimbursement from Medicare or other government programs may result in a similar reduction in payments from private payors.</w:t>
      </w:r>
    </w:p>
    <w:p>
      <w:pPr>
        <w:spacing w:after="0" w:line="18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healthcare reform measures, including legislative and regulatory proposals at the foreign, federal and state levels directed at broadening the availability of healthcare and containing or lowering the cost of healthcare. The implementation of healthcare reform and other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Bribery Act 2010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Bribery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Foreign Corrupt Practices Act of 1977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amended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FCPA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anti-corruption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well as export control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import and customs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trade and economic sanctions laws and other laws governing our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(and third parties with whom we work) actual or perceived failure to comply with such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183"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or confidential information, including proprietary and confidential business data, trade secrets, intellectual property, data we collect about trial participants in connection with clinical trials, and sensitive third-party data (collectively,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To the extent applicable,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referred to collectively as CCPA, applies to personal data of consumers, business representatives, and employees who are California residents, and requires businesses to provide specific disclosures in privacy notices and honor requests of such individuals to exercise certain privacy rights. The CCPA allows for fines for noncompliance and allows private litigants affected by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are being considered in several other states, as well as at the federal and local levels, and we expect more states to pass similar laws in the future.</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Outside of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technologies to perform their work, and the disclosure and use of personal data in generative artificial intelligence technologies is subject to various privacy laws and other privacy obligations. Governments have passed and are likely to pass additional laws and regulations regulating generative artificial intelligence. Our use of this technology could result in additional compliance costs, regulatory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investigations and actions, and lawsuits. If we are unable to use generative artificial intelligence, it could make our business less efficient and result in competitive disadvantages.</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transfer laws. Although there are currently various mechanisms that may be used to transfer personal data from the EEA and U.K. to the United States in compliance with law, such as the European Commission’s Standard Contractual Clauses, the U.K. International Data Transfer Agreement and the U.K. Transfer Addendum, the EU-U.S. Data Privacy Framework and the U.K.’s Extension to that Framework (which allows for transfers for relevant U.S.-based organizations who self-certify compliance and participate in the relevant Framework and/or Extension), these mechanisms are subject to potential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194"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In addition to data privacy and security laws, we are also bound by other contractual and industry obligations related to data privacy and security, and our efforts to comply with such obligations may not be successful.</w:t>
      </w:r>
    </w:p>
    <w:p>
      <w:pPr>
        <w:spacing w:after="0" w:line="140"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6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conflicting among jurisdictions. Preparing for and complying with these obligations requires us to devote significant resources and may necessitate changes to our services, information technologies, systems, and practices and to those of any third parties with whom we work.</w:t>
      </w:r>
    </w:p>
    <w:p>
      <w:pPr>
        <w:spacing w:after="0" w:line="183"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We may at times fail (or be perceived to have failed) in our efforts to comply with our data privacy and security obligations. Moreover, despite our efforts, our personnel or third parties with whom we work may fail to comply with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such obligations, which could negatively impact our business operations. Such failures can subject us to potential foreign, local, state and federal action if they are found to be deceptive, unfair, misleading or misrepresentative of our actual practices, which could negatively impact our business operations and compliance posture. If we or the third parties with whom we work fail, or are perceived to have failed, to address or comply with applicable data privacy or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operate in certain jurisdictions; limited ability to develop or commercialize our products; expenditure of time and resources to defend any claim or inquiry; adverse publicity; or substantial changes to our business model or operations.</w:t>
      </w:r>
    </w:p>
    <w:p>
      <w:pPr>
        <w:spacing w:after="0" w:line="186"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activities subject us to various laws relating to foreign investment and the export of certain technologies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failure to comply with these laws or adequately monitor the compliance of our suppliers and others we do business with could subject us to substantial fines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penalties and even injunctions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imposition of which on us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that regulate certain transactions and access to technology.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health and safety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become subject to fines or penalties or incur costs that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0" w:lineRule="exact"/>
        <w:rPr>
          <w:sz w:val="20"/>
          <w:szCs w:val="20"/>
          <w:color w:val="auto"/>
        </w:rPr>
      </w:pPr>
    </w:p>
    <w:p>
      <w:pPr>
        <w:jc w:val="both"/>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International Operations</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operations outside of the United States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are subject to economic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political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regulatory and other risks associated with international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As a company with operations in the U.K.,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176"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including, without limitation, restrictive regulations such as the EU GDPR and U.K. GDPR governing the use, processing, and cross-border transfer of personal data;</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pound sterling, U.S. dollar, euro and currency controls;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1040" w:right="101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236" w:lineRule="exact"/>
        <w:rPr>
          <w:rFonts w:ascii="Times New Roman" w:cs="Times New Roman" w:eastAsia="Times New Roman" w:hAnsi="Times New Roman"/>
          <w:sz w:val="17"/>
          <w:szCs w:val="17"/>
          <w:color w:val="auto"/>
        </w:rPr>
      </w:pPr>
    </w:p>
    <w:p>
      <w:pPr>
        <w:ind w:left="1040" w:right="2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1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or public health crises.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or all of these factors could have a material adverse impact on our business, financial condition and results of operations. Moreover, global instability may continue as a result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These events could have a lasting impact on regional and global economies, any or all of which could disrupt our supply chain and increase the costs associated with or otherwise adversely affect our ability to conduct ongoing and future clinical trials of our product candidates. In addition, continued instability may adversely impact our ability to raise capital in the future on favorable terms or at all.</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affect our business, results of operations, financial conditions and prospects.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In addition,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7"/>
          <w:szCs w:val="17"/>
          <w:color w:val="auto"/>
        </w:rPr>
        <w:t>We do not own or operate any manufacturing facilities for production of clinical or commercial supply. We currently rely, and expect to continue to rely on third parties, including those located in China, for supply of our product candidates, as well as for manufacture of any products that we may commercialize, if approved. For further information concerning our reliance on third parties, see the risk factor titled “</w:t>
      </w:r>
      <w:r>
        <w:rPr>
          <w:rFonts w:ascii="Times New Roman" w:cs="Times New Roman" w:eastAsia="Times New Roman" w:hAnsi="Times New Roman"/>
          <w:sz w:val="17"/>
          <w:szCs w:val="17"/>
          <w:i w:val="1"/>
          <w:iCs w:val="1"/>
          <w:color w:val="auto"/>
        </w:rPr>
        <w:t>Risks Related to Our Dependence on Third Parties—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intend to rely on third parties to manufacture product candidates and supply raw materials used in our product candidates, such as </w:t>
      </w:r>
      <w:r>
        <w:rPr>
          <w:rFonts w:ascii="Times New Roman" w:cs="Times New Roman" w:eastAsia="Times New Roman" w:hAnsi="Times New Roman"/>
          <w:sz w:val="25"/>
          <w:szCs w:val="25"/>
          <w:i w:val="1"/>
          <w:iCs w:val="1"/>
          <w:color w:val="auto"/>
          <w:vertAlign w:val="superscript"/>
        </w:rPr>
        <w:t>212</w:t>
      </w:r>
      <w:r>
        <w:rPr>
          <w:rFonts w:ascii="Times New Roman" w:cs="Times New Roman" w:eastAsia="Times New Roman" w:hAnsi="Times New Roman"/>
          <w:sz w:val="17"/>
          <w:szCs w:val="17"/>
          <w:i w:val="1"/>
          <w:iCs w:val="1"/>
          <w:color w:val="auto"/>
        </w:rPr>
        <w:t>Pb, which increases the risk that we will not have sufficient quantities of such product candidates or products or such quantities at an acceptable cost, which could delay, prevent or impair our development or commercialization efforts.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Current or future tariffs or other trade barriers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92"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83"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Cyber-attacks, failures in or interruptions of, or other compromise to our information technology systems, or those of third parties with whom we work, or our data could result in adverse consequences that materially affect our business, including without limitation, regulatory investigations or actions, litigation, fines and penalties, information theft, data corruption, harm to our reputation and brand, significant disruption of our business operations, and other adverse consequences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In the ordinary course of business, we and the third parties with whom we work process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conduct our research and development programs and our clinical trials. We and the third parties with whom we work may be subject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or AI, and other similar threats. In particular, severe ransomware attacks are becoming increasingly prevalent and severe and can lead to significant interruptions in our operations, disruption of clinical trials, loss of sensitive data (including data related to clinical trials), loss of income, reputational harm, and diversion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more of our employees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CROs for managing clinical trial data, and other functions. We also rely on third-party service providers to provide other products, services, parts,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While we may be entitled to damages if our third-party service providers fail to satisfy their privacy or security-related obligations to us, the liability of such third party may be limited such that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certain of our business activities (which could include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we have established physical, electronic and organizational security measures designed to safeguard and secure our systems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we expect such attempts will continue in the future. A security incident or other interruption could disrupt our ability (and that of third parties with whom we work) to provide our products or services. For example, the loss of clinical trial data from completed or ongoing or planned clinical trials could result in delays in our regulatory approval efforts and significantly increase our costs to recover or reproduce the data.</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3"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Additionally, our sensitive information, including personal data, could be leaked, disclosed or revealed as a result of, or in connection with, our employees’, personnel’s, or vendors’ use of generative artificial intelligence technologies.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artificial intelligence-based platforms present new risks and challenges to our business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Social media is increasingly being used to communicate information about us, our programs and the diseases our therapeutics are being developed to treat. Social media practices in the pharmaceutical and biotechnology industries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may adversely affect us. Although we are based in the U.K., we source research and development, manufacturing, consulting and other services from the United States, European Union and Asia that are billed in U.S. dollars.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 Any fluctuation in the exchange rate of these foreign currencies may negatively impact our business, financial condition and operating results. Global economic events have and may continue to significantly impact local economies and the foreign exchange markets, which may increase the risks associated with sales denominated in foreign currencies.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certain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may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on development and commercialization collaboration partners to develop, conduct clinical trials 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obtain regulatory approvals 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commercialize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such partnerships fail to perform as expected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potential for us to generate future revenue from such product candidates would be significantly reduced and our business would be harmed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left="60" w:right="819" w:firstLine="648"/>
        <w:spacing w:after="0" w:line="312" w:lineRule="auto"/>
        <w:rPr>
          <w:sz w:val="20"/>
          <w:szCs w:val="20"/>
          <w:color w:val="auto"/>
        </w:rPr>
      </w:pPr>
      <w:r>
        <w:rPr>
          <w:rFonts w:ascii="Times New Roman" w:cs="Times New Roman" w:eastAsia="Times New Roman" w:hAnsi="Times New Roman"/>
          <w:sz w:val="17"/>
          <w:szCs w:val="17"/>
          <w:color w:val="auto"/>
        </w:rPr>
        <w:t>For certain products candidates, we depend, or may depend, on our development and commercialization collaboration partners to develop, conduct clinical trials for, and, if approved, commercialize product candidates.</w:t>
      </w:r>
    </w:p>
    <w:p>
      <w:pPr>
        <w:spacing w:after="0" w:line="14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our existing collaborations with Ionis and Bayer, we are responsible for identifying and optimizing Bicycle peptides related to collaboration targets and our collaborators are responsible for further development and product commercialization after we complete the defined research screening and compound optimization. We depend on these collaborators to develop and, where applicable, commercialize products based on Bicycle peptides, and the success of their efforts directly impacts the milestones and royalties we will receive. We cannot provide assurance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also explore partnership opportunities for certain of our product candidates, such as BT7480. However there can be no assurance that we will be able to do so, or that such relationships, if established, will be successful or on favorable terms.</w:t>
      </w:r>
    </w:p>
    <w:p>
      <w:pPr>
        <w:spacing w:after="0" w:line="17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collaborations and any future collaborations or partnerships that we enter into are subject to numerous risks, including:</w:t>
      </w:r>
    </w:p>
    <w:p>
      <w:pPr>
        <w:spacing w:after="0" w:line="162" w:lineRule="exact"/>
        <w:rPr>
          <w:sz w:val="20"/>
          <w:szCs w:val="20"/>
          <w:color w:val="auto"/>
        </w:rPr>
      </w:pPr>
    </w:p>
    <w:p>
      <w:pPr>
        <w:ind w:left="1040" w:right="29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 collaborations;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fail to fulfill their responsibilities in a timely manner, or at all;</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75" w:lineRule="exact"/>
        <w:rPr>
          <w:rFonts w:ascii="Times New Roman" w:cs="Times New Roman" w:eastAsia="Times New Roman" w:hAnsi="Times New Roman"/>
          <w:sz w:val="18"/>
          <w:szCs w:val="18"/>
          <w:color w:val="auto"/>
        </w:rPr>
      </w:pPr>
    </w:p>
    <w:p>
      <w:pPr>
        <w:ind w:left="1040" w:right="25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may not result in product candidates to develop and/or preclinical studies or clinical trials conducted as part of the collaborations may not be successful;</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7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events, including public health crises, could materially affect our operations as well as causing significant disruption in the operations and business of our collaborators and the third-party manufacturers, CROs and other service providers that we and/or our collaborators conduct business with;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 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9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with our development and commercialization collaborators or licensors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they may act in their own self-interest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be adverse to the interests of our company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176" w:lineRule="exact"/>
        <w:rPr>
          <w:sz w:val="20"/>
          <w:szCs w:val="20"/>
          <w:color w:val="auto"/>
        </w:rPr>
      </w:pPr>
    </w:p>
    <w:p>
      <w:pPr>
        <w:ind w:left="1040" w:right="4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milestone, royalty and other payments that are believed due under the applicable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ownership of intellectual property rights or scope of licenses;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scope of any reporting obligations;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on the part of a collaborator to keep us informed regarding the progress of its development and commercialization activities, or to permit public disclosure of these activities; and</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a collaborator’s or our development or commercialization efforts with respect to our products and product candidates.</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example, we were previously involved in litigation with Pepscan Systems B.V., and its affiliates, or Pepscan, related to a non-exclusive patent license agreement that our subsidiary, BicycleRD Limited, or BicycleRD, entered into with Pepscan in 2009.</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Conflicts with our development and commercialization collaborators or licensors could materially adversely affect our business, financial condition or results of operations and future growth prospects. If we are unable to prevail against these challenges, our intellectual property estate may be materially harmed, which would impair our ability to establish competitive barriers to entry in the form of intellectual property protections.</w:t>
      </w:r>
    </w:p>
    <w:p>
      <w:pPr>
        <w:spacing w:after="0" w:line="176" w:lineRule="exact"/>
        <w:rPr>
          <w:sz w:val="20"/>
          <w:szCs w:val="20"/>
          <w:color w:val="auto"/>
        </w:rPr>
      </w:pPr>
    </w:p>
    <w:p>
      <w:pPr>
        <w:jc w:val="both"/>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independent clinical investigators and CROs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conduct and sponsor some of the clinical trials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We also utilize CROs to perform toxicology studies related to our preclinical activities. While we will have agreements governing the activities of such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third parties, we will control only certain aspects of their activities and have limited influence over their actual performance. Given the breadth of clinical therapeutic areas for which we believe Bicycle molecules may have utility, we intend to continue to rely on external service providers.</w:t>
      </w:r>
    </w:p>
    <w:p>
      <w:pPr>
        <w:spacing w:after="0" w:line="176"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8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EEA countries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9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any of the third parties conducting clinical trials on our behalf, including clinical investigators, do not successfully carry out their contractual duties for any reason,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manufacturing issues,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sponsored trials, or our interpretation of preclinical, manufacturing or clinical data from these investigator-sponsored trials.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so, the FDA or EMA may require us to obtain and submit additional preclinical, manufacturing, or clinical data.</w:t>
      </w:r>
    </w:p>
    <w:p>
      <w:pPr>
        <w:spacing w:after="0" w:line="203" w:lineRule="exact"/>
        <w:rPr>
          <w:sz w:val="20"/>
          <w:szCs w:val="20"/>
          <w:color w:val="auto"/>
        </w:rPr>
      </w:pPr>
    </w:p>
    <w:p>
      <w:pPr>
        <w:ind w:left="60" w:right="79"/>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b w:val="1"/>
          <w:bCs w:val="1"/>
          <w:i w:val="1"/>
          <w:iCs w:val="1"/>
          <w:color w:val="auto"/>
          <w:vertAlign w:val="superscript"/>
        </w:rPr>
        <w:t>212</w:t>
      </w:r>
      <w:r>
        <w:rPr>
          <w:rFonts w:ascii="Times New Roman" w:cs="Times New Roman" w:eastAsia="Times New Roman" w:hAnsi="Times New Roman"/>
          <w:sz w:val="18"/>
          <w:szCs w:val="18"/>
          <w:b w:val="1"/>
          <w:bCs w:val="1"/>
          <w:i w:val="1"/>
          <w:iCs w:val="1"/>
          <w:color w:val="auto"/>
        </w:rPr>
        <w:t>Pb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risk that we will not have sufficient quantities of such product candidates or products or such quantities at an acceptable cost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prevent or impair our development or commercialization efforts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rely on third parties, including those located in China, for supply of our product candidates, and our strategy is to outsource all manufacturing of our product candidates and products to third parties. For any activities conducted in China, we are exposed to the increased possibility of supply disruptions and higher costs in the event of changes in the policies of the U.S. or Chinese governments including tariffs, political unrest or unstable economic conditions including sanctions on China or any of our China-based suppliers. Our manufacturing costs could also increase as a result of future appreciation of the local currency in China or increased labor costs if the demand for skilled laborers increases and/or the availability of skilled labor declines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Such disruption could have adverse effects on the development of our product candidates and our business operations. For example, the United States has recently passed legislation, namely the BIOSECURE Act, to prohibit U.S. federal executive agencies from procuring or obtaining any biotechnology equipment or service produced or provided by a “biotechnology company of concern,” or BCC, or entering into or renewing a contract, loan, or grant with an entity that uses such biotechnology equipment or service.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Given the BIOSECURE Act, we may be restricted in our ability to work with certain Chinese biotechnology companies to the extent we would contract with, or otherwise receive funding from, the U.S. government.</w:t>
      </w:r>
    </w:p>
    <w:p>
      <w:pPr>
        <w:spacing w:after="0" w:line="201" w:lineRule="exact"/>
        <w:rPr>
          <w:sz w:val="20"/>
          <w:szCs w:val="20"/>
          <w:color w:val="auto"/>
        </w:rPr>
      </w:pPr>
    </w:p>
    <w:p>
      <w:pPr>
        <w:ind w:left="60" w:right="339" w:firstLine="648"/>
        <w:spacing w:after="0" w:line="227" w:lineRule="auto"/>
        <w:rPr>
          <w:sz w:val="20"/>
          <w:szCs w:val="20"/>
          <w:color w:val="auto"/>
        </w:rPr>
      </w:pPr>
      <w:r>
        <w:rPr>
          <w:rFonts w:ascii="Times New Roman" w:cs="Times New Roman" w:eastAsia="Times New Roman" w:hAnsi="Times New Roman"/>
          <w:sz w:val="18"/>
          <w:szCs w:val="18"/>
          <w:color w:val="auto"/>
        </w:rPr>
        <w:t xml:space="preserve">We are substantially dependent on third parties for supply of our raw material used in our product candidates. Although we believe our present suppliers have adequate quantities of raw material to meet our current needs, we may encounter supply shortages which could adversely affect our business. There can be no assurance that our suppliers will renew contracts on acceptable terms, or at all. In addition, as it relates to our BRC and BIA molecules, we expect future product candidates to include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or other radioisotopes. While we have announced arrangements with the United Kingdom Nuclear Decommissioning Authority, United Kingdom National Nuclear Laboratory and SpectronRx for the ultimate supply of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and Eckert &amp; Ziegler for a range of radioisotopes, there are not many alternatives to these suppliers, and finding any replacement suppliers would divert management resources.</w:t>
      </w:r>
    </w:p>
    <w:p>
      <w:pPr>
        <w:spacing w:after="0" w:line="20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scale-up activities and at any other time. For example, ongoing data on the stability of our product candidates may shorten the expiry of our product candidates and lead to clinical trial material supply shortages, and potentially clinical trial delays. Additionally, our manufacturers may experience delays as a result of impacts due to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our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operate an outsourced model for the manufacture of our product candidates, and contract with cGMP licensed pharmaceutical contract development and 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89" w:lineRule="exact"/>
        <w:rPr>
          <w:sz w:val="20"/>
          <w:szCs w:val="20"/>
          <w:color w:val="auto"/>
        </w:rPr>
      </w:pPr>
    </w:p>
    <w:p>
      <w:pPr>
        <w:ind w:left="1040" w:right="79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manufacturing process development, regulatory compliance and quality assurance;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 and</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nuzefatide pevedotin, use toxins or other substances that can be produced only in specialized facilities with specific authorizations and permits, and there can be no guarantee that we or our manufacturers can maintain such authorizations and permits.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specialized requirements may also limit the number of potential manufacturers that we can engage to produce our product candidates and impair any efforts to transition to replacement manufacturers.</w:t>
      </w:r>
    </w:p>
    <w:p>
      <w:pPr>
        <w:spacing w:after="0" w:line="16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preclinical tests and clinical trials should cease to continue to do so for any reason, including as a result of the impacts of public health crises on the global workforce and manufacturing operations,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1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possibility that a competitor will discover them or that our trade secrets will be misappropriated or disclosed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if the scope of the patent and other intellectual property protection obtained is not sufficiently broad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competitors could develop and commercialize products similar or identical to ours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ability to successfully commercialize our products and product candidates may be adversely affected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 products and product candidates. These legal means, however, afford only limited protection and may not adequately protect our rights.</w:t>
      </w:r>
    </w:p>
    <w:p>
      <w:pPr>
        <w:spacing w:after="0" w:line="16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 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spacing w:after="0" w:line="19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expect to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8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and product candidates could be found invalid or unenforceable if challenged in court or in administrative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protect our trade secrets in court</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An adverse determination in any of the foregoing proceedings could result in the revocation or cancellation of, or amendment to, our patents in such a way that they no longer cover our products or product candidates. As an example of the foregoing risks, the validity of our European Patent No. 4464721 has been challenged by an opponent at the European Patent Office. Proceedings are ongoing, during which the patent may be maintained, narrowed or invalidated.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may materially harm our intellectual property estate, which would impair our ability to establish competitive barriers to entry in the form of intellectual property protections.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7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document submission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fee payment and other requirements imposed by governmental patent agencies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patent protection could be reduced or eliminated for non-compliance with these requirements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business may be materially harmed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As a result, our patent portfolio may not provide us with sufficient rights to exclude others from commercializing products similar or identical to ours.</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9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thereby impairing our ability to protect our products and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 development and commercialization of biologics and pharmaceuticals are uncertain. Changes in either the patent laws or the interpretation of the patent laws in the United States or other jurisdictions could further increase the uncertainties and costs surrounding the prosecution of patent applications and the enforcement or defense of issued patents. For example,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 selling or importing products made using our inventions in and into the United States or other jurisdictions. Competitors may use our technologies in jurisdictions where we have not pursued and obtained patent protection to develop their own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p>
    <w:p>
      <w:pPr>
        <w:spacing w:after="0" w:line="193"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such litigation could be costly and time consuming and could prevent or delay us from developing or commercializing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spacing w:after="0" w:line="192"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were previously party to protracted litigation with Pepscan, which we settled in 2020. We may become party to, or be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5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claiming ownership of what we regard as our own intellectual property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Many of our current and former employees, including our senior management, were previously employed at universities or at other biotechnology or pharmaceutical companies, including some 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have been in the past and may be subject in the future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9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be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time-consuming and unsuccessful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 parties to assert counterclaims against us alleging that we infringe their patents, in addition to counterclaims asserting that our patents are invalid or unenforceable, or both.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future intellectual property licenses with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lose license rights that are important to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then we may not be able to build name recognition in our marks of interest and our business may be adversely affected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invalid,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objections. Although we would be given an opportunity to respond to those objections, we may be unable to overcome such objections.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in the USPTO and in comparable Intellectual Property Offices in many foreign jurisdictions, third parties are given an opportunity to oppose pending trademark applications and to seek to cancel registered trademarks. Opposition or cancellation proceedings have been and may in the future be filed against our trademarks, and our trademarks may not survive such proceedings. For example, our U.K. trademark application for “TICA” was successfully opposed in the U.K., Japan and the EU for the majority of goods and services for which we originally applied, and we have abandoned our trademark application for “TICA” in the United States as a result. If we are unable to establish name recognition based on our trademarks and trade names, we may not be able to compete effectively and our business may be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workforce reductions were undertaken to significantly reduce our ongoing operating expenses, but they may not result in our intended outcomes and may yield unintended consequences and additional costs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In August 2025, we announced cost reduction initiatives that are expected to reduce planned operating costs, primarily through a workforce reduction. This workforce reduction was substantially completed in the fourth quarter of 2025. As a result, we incurred aggregate charges, representing cash expenditure for severance and other employee termination benefits, of approximately $5.3 million during the year ended December 31, 2025.</w:t>
      </w:r>
    </w:p>
    <w:p>
      <w:pPr>
        <w:spacing w:after="0" w:line="180"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In addition, in conjunction with our strategic reprioritization announced in March 2026, we announced a workforce reduction of approximately 30% of our workforce. Together, the workforce reduction and strategic reprioritization are expected to reduce our annual operating expenses by approximately 50% based on our current plans. We expect this workforce reduction to be substantially completed by the end of 2026, and that we will incur aggregate charges, representing cash expenditure for severance and other employee termination benefits, of approximately $7.2 million.</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recent workforce reductions may result in unintended consequences and costs, such as the loss of institutional knowledge and expertise, attrition beyond the intended number of employees, decreased morale among our remaining employees, and the risk that we may not achieve the anticipated benefits of the workforce reductions. In addition, we may be unsuccessful in distributing the duties and obligations of departed employees among our remaining employees or to contractors or other partners. The workforce reductions could also make it difficult for us to pursue, or prevent us from pursuing, new opportunities and initiatives due to insufficient personnel, or require us to incur additional and unanticipated costs to hire new personnel to pursue such opportunities or initiatives. Further, inflationary pressure may increase our costs, including employee compensation costs, or result in employee attrition to the extent our compensation does not keep up with inflation, particularly if our competitors’ compensation does. If we are unable to realize the anticipated benefits from the workforce reductions, if we experience significant adverse consequences from the workforce reductions, or if we are otherwise unable to retain our employees, our business, financial condition, and results of operations may be materially adversely affected.</w:t>
      </w:r>
    </w:p>
    <w:p>
      <w:pPr>
        <w:spacing w:after="0" w:line="186"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 and advisors and to attract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retain and motivate qualified personnel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key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will also be critical to our success. There is currently a shortage of skilled executives and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Particularly in light of our recent workforce reductions, we may find it difficult to maintain valuable aspects of our culture, to prevent a negative effect on employee morale or attrition beyond our planned reduction in headcount, and to attract and retain competent personnel. If we are not able to continue to retain, on acceptable terms, the qualified personnel necessary for the continued operation of our business, we may not be able to sustain our operations. The inability to recruit or the loss of the services of any executive, key employee, consultant or advisor may impede the progress of our research, development and commercialization objectives.</w:t>
      </w:r>
    </w:p>
    <w:p>
      <w:pPr>
        <w:spacing w:after="0" w:line="183" w:lineRule="exact"/>
        <w:rPr>
          <w:sz w:val="20"/>
          <w:szCs w:val="20"/>
          <w:color w:val="auto"/>
        </w:rPr>
      </w:pPr>
    </w:p>
    <w:p>
      <w:pPr>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independent contractors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collaborators and CROs may engage in misconduct or other improper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non-compliance with regulatory standards and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cause significant liability for us and harm our reputation</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Further, because of our hybrid work environment, information that is normally protected, including company confidential information, may be less secure. We have adopted a code of conduct and business ethics to which all of our employees must adhere,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disrupt our operations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recent years, we have experienced significant fluctuations in the number of our employees and growth in the scope of our operations and over the long term we expect to expand, particularly in the areas of drug manufacturing, supply chain, clinical development, sales, marketing,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time and attention to managing both rightsizing and growth activities.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potential growth over the long term may also require us to relocate to geographic areas beyond those where we have been historically located. For example, we maintain office and laboratory space in Cambridge, U.K. and in Massachusetts, U.S. Due to our limited resources, we may not be able to effectively manage the potential expansion or relocation of our operations, retain key employees, or identify, recruit and train additional qualified personnel. Our inability to effectively manage changes in the size of our workforce and other operations effectively may result in weaknesses in our infrastructure, give rise to operational mistakes, loss of business opportunities, loss of employees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reduced productivity among remaining employees. Our potential growth could also require significant capital expenditures and may divert financial resources from other projects, such as the development of additional product candidates. If we are unable to effectively manage our potential growth, our expenses may increase more than expected, our ability to generate revenues could be reduced and we may not be able to implement our business strategy, including the successful commercialization of our product candidates.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ADSs is highly volatile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holders of our ADSs may not be able to resell their ADSs at or above the price at which they purchased their ADSs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market price of our ADSs is highly volatile. Since our initial public offering, or IPO, in May 2019, through April 27, 2026, the trading price of our ADSs has ranged from $4.24 to $62.08. The stock market in general, and the market for pharmaceutical companies in particular, has experienced extreme volatility that has often been unrelated to the operating performance of particular companies. As a result of this volatility, holders of our ADSs may not be able to sell their ADSs at or above the price at which they purchased their ADSs. The market price for our ADSs may be influenced by many factors, including:</w:t>
      </w:r>
    </w:p>
    <w:p>
      <w:pPr>
        <w:spacing w:after="0" w:line="187" w:lineRule="exact"/>
        <w:rPr>
          <w:sz w:val="20"/>
          <w:szCs w:val="20"/>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products similar or perceived to be similar to those we are developing or clinical trials of such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identify additional product candidates for our pipeline;</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40" w:right="83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partners or our competitors;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or ordinary shares by us or our shareholders in the future;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ADSs.</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increases in unemployment rates, supply chain shortages, increases in inflation rates, higher interest rates and uncertainty about economic stability. Similarly,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have created extreme volatility in the global capital markets and may have further global economic consequences, including further disruptions of the global supply chain and energy markets. Any such volatility and disruptions may have adverse consequences on us or the third parties on whom we rely. If the equity and credit markets continue to deteriorate, it may make any necessary debt or equity financings more difficult to obtain in a timely manner or on favorable terms, more costly or more dilutive. Increased inflation rates and macroeconomic turmoil can adversely affect us by increasing our costs and the costs of our contract manufacturing organizations, or CMOs, and other suppliers. These factors may negatively affect the market price of our ADSs, regardless of our actual operating performance.</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shares may limit your ability to influence corporate matters and may limit your visibility with respect to certain transactions.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of April 27, 2026, we had 50,373,281 ordinary shares, nominal value £0.01 per share, and 19,437,944 non-voting ordinary shares, nominal value £0.01 per share, outstanding. The dual class structure of our shares may limit your ability to influence corporate matters. Holders of our ordinary shares are entitled to one vote per share, while holders of our non-voting ordinary shares are not entitled to any votes. Nevertheless, non-voting ordinary shares may be re-designated at any time as ordinary shares at the option of the holder by providing written notice to us, subject to certain restrictions. Such restrictions include prohibitions on a holder from re-designating the non-voting ordinary shares as ordinary shares if such re-designation would result in such holder beneficially owning (when aggregated with “affiliates” and “group” members) in excess of 9.9% of any class of our securities registered under the Exchange Act, or upon at least 61 days’ notice, not in excess of 19.9%. Any re-designation of non-voting ordinary shares as ordinary shares will have the effect of increasing the relative voting power of those prior holders of our non-voting ordinary shares, and correspondingly decreasing the voting power of the holders of our ordinary shares, which may limit your ability to influence corporate matters. The ordinary shares currently have 100% of the voting power, but if the holders of non-voting ordinary shares were to re-designate all of their non-voting ordinary shares as ordinary shares (assuming, for these purposes, that they were able to do so in compliance with the beneficial ownership limitation), based on the number of ordinary shares and non-voting ordinary shares outstanding on March 31, 2026, the ordinary shares outstanding prior to the re-designation would have approximately 72% of the voting power and the former non-voting ordinary shares would represent approximately 28% of the voting power.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issuances of shares of our ordinary shares or ADSs or other equity-related securities could adversely affect the price of our ADSs and dilute shareholders.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ordinary shares or ADSs, and sales by our management, our directors, their affiliates, or significant shareholders, could occur at any time. Based on information available to us, entities affiliated with Baker Bros. Advisors LP, or the Baker Entities, beneficially own approximately 21.7% of our ordinary shares. If these shares are sold in the market in transactions that occur at about the same time, such transactions could depress the market of our ADSs and could also affect our ability to raise equity capital through the sale of additional equity or equity-related securities, including non-voting ordinary shares, to meet our capital needs, including in connection with funding potential future acquisition or licensing opportunities, capital expenditures or product development costs. Our registration obligations pursuant to the Registration Rights Agreement with the Baker Entities also cover all shares thereafter acquired by the Baker Entities, for up to 10 years, and include our obligation to facilitate certain underwritten public offerings of our ordinary shares or ADSs by the Baker Entities in the future.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which will dilute current 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consult with our management and have various impacts on our business affairs.</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While our shareholder base and relative holdings may change over time, the Baker Entities hold the largest ownership position in our outstanding ordinary shares and non-voting ordinary shares. In addition, Felix J. Baker, Chairman of our board of directors, is a managing member of Baker Bros. Advisors (GP) LLC, which is the sole general partner of Baker Bros. Advisors LP. The interests of the Baker Entities and its affiliates may not always coincide with the interests of other shareholders, and any influence exerted over our business and affairs by these entities may not coincide with the wishes of other shareholders.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the Baker Entities, together with our executive officers and directors and other holders of greater than five percent of our outstanding ordinary shares, beneficially owned approximately 48% of our voting power as of April 27, 2026. As a result, these shareholders in aggregate are able to exert substantial influence over our management and affairs and matters requiring shareholder approval, including the election of directors and approval of significant corporate transactions, such as mergers, consolidations or the sale of substantially all of our assets. Consequently, this concentration of ownership may result in our taking corporate actions that our other shareholders may not consider to be in their best interest. For example, it may have the effect of delaying, deferring or preventing a change in control, including a merger, consolidation, takeover or other business combination involving us or discourage a potential acquirer from making a tender offer or otherwise attempting to obtain control, which might affect the market price of our ADSs.</w:t>
      </w:r>
    </w:p>
    <w:p>
      <w:pPr>
        <w:spacing w:after="0" w:line="184" w:lineRule="exact"/>
        <w:rPr>
          <w:sz w:val="20"/>
          <w:szCs w:val="20"/>
          <w:color w:val="auto"/>
        </w:rPr>
      </w:pPr>
    </w:p>
    <w:p>
      <w:pPr>
        <w:jc w:val="both"/>
        <w:ind w:left="6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ADSs in the foreseeable future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capital appreciation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will be the sole source of gains for holders of our ADSs, and they may never receive a return on their investment</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a holder’s sole source of gains for the foreseeable future, and holders will suffer a loss on their investment if they are unable to sell their ADSs at or above the original purchase price.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Incorporation Under the Laws of England and Wales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Claims of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civil liabilities may not be enforceable against us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We are incorporated under English law. Certain members of our board of directors and senior management are non-residents of the United States, and all or a substantial portion of our assets and the assets of such persons are located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United States or any state in the United States.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federal income tax consequences to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United States person holds our shares, such U.S. shareholder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9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a PFIC in the 2025 taxable year. In addition, no assurances can be provided that we will not be a PFIC for any future taxable year or that we have not been a PFIC in any prior taxable years. The determination of whether we are a PFIC is a fact-intensive determination made on an annual basis applying principles and methodologies that in some circumstances are unclear and subject to varying interpretation. As a result, there can be no assurance regarding if we will be PFIC or will not be a PFIC in the future. In addition,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and our corporate structure. In the event we are a PFIC, we intend to provide the information necessary for U.S. holders to make a qualified electing fund election.</w:t>
      </w:r>
    </w:p>
    <w:p>
      <w:pPr>
        <w:spacing w:after="0" w:line="190"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to reduce future tax payments or benefit from favorable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tax legislation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an entity incorporated and tax resident in the U.K., we are subject to U.K. corporate taxation. Due to the nature of our business, we have generated losses since inception and therefore have not paid any U.K. corporation tax. Subject to numerous utilization criteria and restrictions (including the Corporate Income Loss Restriction and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Corporate Capital Loss Restriction that, broadly, restrict the amount of carried forward losses that can be utilized to 50% of group profits or gains arising above £5.0 million per tax year, we expect losses to be eligible for carry forward and utilization against future operating profits. In addition, if we were to have a major change in the nature of the conduct or the conduct of our trade, loss carryforwards may be restricted or extinguished.</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a group that carries out extensive research and development, or R&amp;D, activities, we seek to benefit from the U.K. R&amp;D tax credit regime. In respect of accounting periods in which we qualify as a SME and in which our relevant R&amp;D expenditure represents 30% or more of the total relevant expenditure (meaning we also qualify as “R&amp;D intensive” during such accounting period), we may, under this regime, surrender the trading losses that arise from our R&amp;D activities for a cash rebate of up to 26.97% of qualifying R&amp;D expenditure. Accordingly, if we cease to qualify as an R&amp;D-intensive SME in the future, we will either cease to be able to claim cash rebates in respect of our R&amp;D activities, or only be able to receive cash payments or other tax relief (under other provisions of the U.K. R&amp;D tax credit regime) at a significantly lower rate than at present. Further, the regime’s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regime may mean that we no longer qualify for it or have a material impact on the extent to which we can make claims (or benefit from them).</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benefit in the future from the United Kingdom’s “patent box” regime, which allows certain profits attributable to revenues from patented products (and other qualifying income) to be taxed at an effective rate of 10% by giving an additional tax deduction. We are the exclusive licensee or owner of several patent applications which, if issued, would cover our product candidates, and accordingly, future upfront fees, milestone fees, product revenues and royalties could be eligible for this tax deduction. When taken in combination with the enhanced relief available on our R&amp;D expenditures, we expect a long-term rate of corporation tax lower than the statutory rate to apply to us. If, however, there are unexpected adverse changes to the U.K. R&amp;D tax relief programs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tax treatment of the company is, and our ADSs and ordinary shares are, subject to changes in tax laws, regulations and treaties, or the interpretation thereof, tax policy initiatives and reforms under consideration or being implemented by tax authorities in jurisdictions in which we operate, including in connection with tax policy initiatives and reforms led by the Organization for Economic Co-Operation and Development’s, or OECD, Base Erosion and Profit Shifting, or BEPS, Project (including “BEPS 2.0”) and the European Commission. Such changes may include (but are not limited to) the taxation of operating income, investment income, dividends received or (in the specific context of withholding tax) dividends paid, or the stamp duty or stamp duty reserve tax treatment of our ADSs or ordinary shares.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IRA includes a minimum tax equal to 15% of the adjusted financial statement income of certain corporations, as well as a 1% excise tax on share buybacks. In addition, the OBBBA includes provisions affecting corporate tax rates on specified eligible income, timing of tax deductibility of depreciation, interest expense and research and development costs, and the taxation of foreign income. For example, for tax years beginning after December 31, 2024, the OBBBA restores the tax deductibility of domestic research and development expenses in the year incurred, which expenses had been required under prior legislation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Future guidance from the Internal Revenue Service and other tax authorities with respect to any legislation may affect us, and certain aspects of such legislation could be repealed or modified in future legislation or sunset in future years. We are unable to predict what tax reform may be proposed or enacted in the future or what effect such changes would have on our business, but such changes, to the extent they are brought into tax legislation, regulations, policies or practices,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affect our financial position and overall or effective tax rates in the future in countries where we have operations, reduce post-tax returns to our shareholders, and increase the complexity, burden and cost of tax compliance.</w:t>
      </w:r>
    </w:p>
    <w:p>
      <w:pPr>
        <w:spacing w:after="0" w:line="90"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Tax authorities may disagree with our positions and conclusions regarding certain tax positions, or may apply existing rules in an unforeseen manner, resulting in unanticipated costs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taxes or non-realization of expected benefits</w:t>
      </w:r>
      <w:r>
        <w:rPr>
          <w:rFonts w:ascii="Times New Roman" w:cs="Times New Roman" w:eastAsia="Times New Roman" w:hAnsi="Times New Roman"/>
          <w:sz w:val="17"/>
          <w:szCs w:val="17"/>
          <w:i w:val="1"/>
          <w:iCs w:val="1"/>
          <w:color w:val="auto"/>
        </w:rPr>
        <w:t>.</w:t>
      </w:r>
    </w:p>
    <w:p>
      <w:pPr>
        <w:spacing w:after="0" w:line="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while we believe that we operate in compliance with applicable transfer pricing laws and intend to continue to do so, our transfer pricing procedures are not binding on applicable tax authorities.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U.K. City Code on Takeovers and Mergers that may have anti-takeover effects do not apply to us.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transitional provisions that apply until February 2, 2027, the U.K. City Code on Takeovers and Mergers, or the Takeover Code, can apply to an offer for, among other things, a public company whose registered office is in the United Kingdom (but is not listed in the United Kingdom) if the company is considered by the Panel on Takeovers and Mergers, or the Takeover Panel, to have its place of central management and control in the United Kingdom (or the Channel Islands or the Isle of Man). This is known as the “residency test.” The test for central management and control under the Takeover Code is different from that used by the U.K. tax authorities. Under the Takeover Code, the Takeover Panel will determine whether we have our place of central management and control in the United Kingdom by looking at various factors, primarily where the directors are resident.</w:t>
      </w:r>
    </w:p>
    <w:p>
      <w:pPr>
        <w:spacing w:after="0" w:line="12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September 2019, the Takeover Panel Executive confirmed that, based on our current circumstances, we are not subject to the Takeover Code. As a result, our shareholders are not entitled to the benefit of certain takeover offer protections provided under the Takeover Code. We believe that this position is unlikely to change at any time in the near future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w:t>
      </w:r>
    </w:p>
    <w:p>
      <w:pPr>
        <w:spacing w:after="0" w:line="10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Following the end of the transitional period, with effect from February 3, 2027, the “residency test” will be abolished in its entirety and we expect we will no longer be subject to the jurisdiction of the Takeover Code at all from that time, unless our securities are listed in the United Kingdom.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corporation</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 The principal differences include the following:</w:t>
      </w:r>
    </w:p>
    <w:p>
      <w:pPr>
        <w:spacing w:after="0" w:line="112" w:lineRule="exact"/>
        <w:rPr>
          <w:sz w:val="20"/>
          <w:szCs w:val="20"/>
          <w:color w:val="auto"/>
        </w:rPr>
      </w:pPr>
    </w:p>
    <w:p>
      <w:pPr>
        <w:ind w:left="1040" w:right="19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08" w:lineRule="exact"/>
        <w:rPr>
          <w:rFonts w:ascii="Times New Roman" w:cs="Times New Roman" w:eastAsia="Times New Roman" w:hAnsi="Times New Roman"/>
          <w:sz w:val="18"/>
          <w:szCs w:val="18"/>
          <w:color w:val="auto"/>
        </w:rPr>
      </w:pPr>
    </w:p>
    <w:p>
      <w:pPr>
        <w:ind w:left="1040" w:right="37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the number of shares determines the number of votes a holder may cast only on a poll. However, the voting rights of ADSs are also governed by the provisions of a deposit agreement with our depositary bank;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81"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6" w:lineRule="exact"/>
        <w:rPr>
          <w:rFonts w:ascii="Times New Roman" w:cs="Times New Roman" w:eastAsia="Times New Roman" w:hAnsi="Times New Roman"/>
          <w:sz w:val="17"/>
          <w:szCs w:val="17"/>
          <w:color w:val="auto"/>
        </w:rPr>
      </w:pPr>
    </w:p>
    <w:p>
      <w:pPr>
        <w:ind w:left="1040" w:right="79" w:hanging="315"/>
        <w:spacing w:after="0" w:line="25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19"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if we were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as well as the sanction of the U.K. court; and</w:t>
      </w:r>
    </w:p>
    <w:p>
      <w:pPr>
        <w:spacing w:after="0" w:line="126" w:lineRule="exact"/>
        <w:rPr>
          <w:rFonts w:ascii="Times New Roman" w:cs="Times New Roman" w:eastAsia="Times New Roman" w:hAnsi="Times New Roman"/>
          <w:sz w:val="18"/>
          <w:szCs w:val="18"/>
          <w:color w:val="auto"/>
        </w:rPr>
      </w:pPr>
    </w:p>
    <w:p>
      <w:pPr>
        <w:ind w:left="1040" w:right="279" w:hanging="315"/>
        <w:spacing w:after="0" w:line="25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accurately report our financial results or prevent fraud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shareholders could lose confidence in our financial and other public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would harm our business and the trading price of our ADSs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Our management is required to assess the effectiveness of our controls over financial reporting annually. Pursuant to Section 404, we are also required to furnish a report by our management on our internal control over financial reporting, including an attestation report on internal control over financial reporting issued by our independent registered public accounting firm.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ADS price and trading volume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45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39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and officers (as defined in Rule 16a-1(f) under the Exchange Act) adopted or terminated any contracts, instructions or written plans for the purchase or sale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  ​​​</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80" w:type="dxa"/>
            <w:vAlign w:val="bottom"/>
            <w:gridSpan w:val="10"/>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2"/>
                <w:szCs w:val="22"/>
                <w:color w:val="auto"/>
              </w:rPr>
            </w:pPr>
          </w:p>
        </w:tc>
        <w:tc>
          <w:tcPr>
            <w:tcW w:w="7600" w:type="dxa"/>
            <w:vAlign w:val="bottom"/>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Articles of Association, dated May 16, 2024 (incorporated by reference to Exhibit 3.1 to the Quarterly</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Report on Form 10-Q (File No. 001-38916) filed with the Securities and Exchange Commission on</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August 6, 2024).</w:t>
              </w:r>
            </w:hyperlink>
          </w:p>
        </w:tc>
        <w:tc>
          <w:tcPr>
            <w:tcW w:w="5920" w:type="dxa"/>
            <w:vAlign w:val="bottom"/>
            <w:tcBorders>
              <w:top w:val="single" w:sz="8" w:color="0000EE"/>
            </w:tcBorders>
            <w:gridSpan w:val="4"/>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Employment Agreement, dated January 29, 2026, by and between Bicycle Therapeutics Inc. and Travis</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Thompson.</w:t>
            </w:r>
          </w:p>
        </w:tc>
        <w:tc>
          <w:tcPr>
            <w:tcW w:w="6620" w:type="dxa"/>
            <w:vAlign w:val="bottom"/>
            <w:tcBorders>
              <w:top w:val="single" w:sz="8" w:color="0000EE"/>
            </w:tcBorders>
            <w:gridSpan w:val="1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Separation Agreement, dated January 29, 2026, by and between Bicycle Therapeutics Inc. and Alethia</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Young.</w:t>
            </w: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w:t>
            </w: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Consulting Agreement, dated January 29, 2026, by and between Bicycle Therapeutics Inc. and Alethia</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Young.</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b w:val="1"/>
                <w:bCs w:val="1"/>
                <w:color w:val="auto"/>
              </w:rPr>
              <w:t>+</w:t>
            </w: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Employment Agreement, dated July 16, 2024, by and between Bicycle Therapeutics Inc. and Jennifer</w:t>
            </w:r>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Perry.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8"/>
              </w:rPr>
              <w:t>2002</w:t>
            </w:r>
            <w:r>
              <w:rPr>
                <w:rFonts w:ascii="Times New Roman" w:cs="Times New Roman" w:eastAsia="Times New Roman" w:hAnsi="Times New Roman"/>
                <w:sz w:val="18"/>
                <w:szCs w:val="18"/>
                <w:color w:val="000000"/>
                <w:w w:val="78"/>
              </w:rPr>
              <w:t>.</w:t>
            </w: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9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w:t>
            </w:r>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8"/>
              </w:rPr>
              <w:t>2002</w:t>
            </w:r>
            <w:r>
              <w:rPr>
                <w:rFonts w:ascii="Times New Roman" w:cs="Times New Roman" w:eastAsia="Times New Roman" w:hAnsi="Times New Roman"/>
                <w:sz w:val="18"/>
                <w:szCs w:val="18"/>
                <w:color w:val="000000"/>
                <w:w w:val="78"/>
              </w:rPr>
              <w:t>.</w:t>
            </w: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9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Pursuant to 18 U.S.C.</w:t>
            </w:r>
          </w:p>
        </w:tc>
        <w:tc>
          <w:tcPr>
            <w:tcW w:w="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6180" w:type="dxa"/>
            <w:vAlign w:val="bottom"/>
            <w:gridSpan w:val="6"/>
            <w:shd w:val="clear" w:color="auto" w:fill="0000EE"/>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31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right="2739" w:hanging="4"/>
        <w:spacing w:after="0" w:line="435" w:lineRule="auto"/>
        <w:tabs>
          <w:tab w:leader="none" w:pos="13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-258445</wp:posOffset>
            </wp:positionV>
            <wp:extent cx="14141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hanging="330"/>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Indicates a management contract or compensatory plan.</w:t>
      </w:r>
    </w:p>
    <w:p>
      <w:pPr>
        <w:spacing w:after="0" w:line="117" w:lineRule="exact"/>
        <w:rPr>
          <w:sz w:val="20"/>
          <w:szCs w:val="20"/>
          <w:color w:val="auto"/>
        </w:rPr>
      </w:pPr>
    </w:p>
    <w:p>
      <w:pPr>
        <w:ind w:left="380" w:right="59" w:hanging="330"/>
        <w:spacing w:after="0" w:line="261" w:lineRule="auto"/>
        <w:tabs>
          <w:tab w:leader="none" w:pos="3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accompanying this Quarterly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BICYCLE THERAPEUTICS PLC</w:t>
      </w:r>
    </w:p>
    <w:p>
      <w:pPr>
        <w:spacing w:after="0" w:line="225" w:lineRule="exact"/>
        <w:rPr>
          <w:sz w:val="20"/>
          <w:szCs w:val="20"/>
          <w:color w:val="auto"/>
        </w:rPr>
      </w:pPr>
    </w:p>
    <w:p>
      <w:pPr>
        <w:ind w:left="60"/>
        <w:spacing w:after="0"/>
        <w:tabs>
          <w:tab w:leader="none" w:pos="4500" w:val="left"/>
          <w:tab w:leader="none" w:pos="64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Kevin Lee, Ph.D., MBA</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0"/>
        <w:spacing w:after="0"/>
        <w:tabs>
          <w:tab w:leader="none" w:pos="4500" w:val="left"/>
          <w:tab w:leader="none" w:pos="61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Travis Thompson</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306" w:lineRule="exact"/>
        <w:rPr>
          <w:sz w:val="20"/>
          <w:szCs w:val="20"/>
          <w:color w:val="auto"/>
        </w:rPr>
      </w:pPr>
    </w:p>
    <w:p>
      <w:pPr>
        <w:ind w:left="240" w:right="259" w:firstLine="647"/>
        <w:spacing w:after="0" w:line="362" w:lineRule="auto"/>
        <w:rPr>
          <w:sz w:val="20"/>
          <w:szCs w:val="20"/>
          <w:color w:val="auto"/>
        </w:rPr>
      </w:pPr>
      <w:r>
        <w:rPr>
          <w:rFonts w:ascii="Times New Roman" w:cs="Times New Roman" w:eastAsia="Times New Roman" w:hAnsi="Times New Roman"/>
          <w:sz w:val="17"/>
          <w:szCs w:val="17"/>
          <w:color w:val="auto"/>
        </w:rPr>
        <w:t>This EMPLOYMENT AGREEMENT (the “Agreement”) is entered into effective as of January 29, 2026 (the “Effective Date”), by and between Travis Thompson (“Executive”) and Bicycle Therapeutics, Inc. (the “Company”).</w:t>
      </w:r>
    </w:p>
    <w:p>
      <w:pPr>
        <w:spacing w:after="0" w:line="139" w:lineRule="exact"/>
        <w:rPr>
          <w:sz w:val="20"/>
          <w:szCs w:val="20"/>
          <w:color w:val="auto"/>
        </w:rPr>
      </w:pPr>
    </w:p>
    <w:p>
      <w:pPr>
        <w:ind w:left="240" w:right="1019" w:firstLine="648"/>
        <w:spacing w:after="0" w:line="313" w:lineRule="auto"/>
        <w:rPr>
          <w:sz w:val="20"/>
          <w:szCs w:val="20"/>
          <w:color w:val="auto"/>
        </w:rPr>
      </w:pPr>
      <w:r>
        <w:rPr>
          <w:rFonts w:ascii="Times New Roman" w:cs="Times New Roman" w:eastAsia="Times New Roman" w:hAnsi="Times New Roman"/>
          <w:sz w:val="18"/>
          <w:szCs w:val="18"/>
          <w:color w:val="auto"/>
        </w:rPr>
        <w:t>The Company desires to continue to employ Executive and, in connection therewith, to compensate Executive for Executive’s personal services to the Company; and</w:t>
      </w:r>
    </w:p>
    <w:p>
      <w:pPr>
        <w:spacing w:after="0" w:line="216" w:lineRule="exact"/>
        <w:rPr>
          <w:sz w:val="20"/>
          <w:szCs w:val="20"/>
          <w:color w:val="auto"/>
        </w:rPr>
      </w:pPr>
    </w:p>
    <w:p>
      <w:pPr>
        <w:ind w:left="240" w:right="259" w:firstLine="647"/>
        <w:spacing w:after="0" w:line="313" w:lineRule="auto"/>
        <w:rPr>
          <w:sz w:val="20"/>
          <w:szCs w:val="20"/>
          <w:color w:val="auto"/>
        </w:rPr>
      </w:pPr>
      <w:r>
        <w:rPr>
          <w:rFonts w:ascii="Times New Roman" w:cs="Times New Roman" w:eastAsia="Times New Roman" w:hAnsi="Times New Roman"/>
          <w:sz w:val="18"/>
          <w:szCs w:val="18"/>
          <w:color w:val="auto"/>
        </w:rPr>
        <w:t>Executive wishes to continue to be employed by the Company and provide personal services to the Company in return for certain compensation.</w:t>
      </w:r>
    </w:p>
    <w:p>
      <w:pPr>
        <w:spacing w:after="0" w:line="203" w:lineRule="exact"/>
        <w:rPr>
          <w:sz w:val="20"/>
          <w:szCs w:val="20"/>
          <w:color w:val="auto"/>
        </w:rPr>
      </w:pPr>
    </w:p>
    <w:p>
      <w:pPr>
        <w:ind w:left="240" w:right="279" w:firstLine="647"/>
        <w:spacing w:after="0" w:line="313" w:lineRule="auto"/>
        <w:rPr>
          <w:sz w:val="20"/>
          <w:szCs w:val="20"/>
          <w:color w:val="auto"/>
        </w:rPr>
      </w:pPr>
      <w:r>
        <w:rPr>
          <w:rFonts w:ascii="Times New Roman" w:cs="Times New Roman" w:eastAsia="Times New Roman" w:hAnsi="Times New Roman"/>
          <w:sz w:val="18"/>
          <w:szCs w:val="18"/>
          <w:color w:val="auto"/>
        </w:rPr>
        <w:t>Accordingly, in consideration of the mutual promises and covenants contained herein, the parties agree to the following:</w:t>
      </w:r>
    </w:p>
    <w:p>
      <w:pPr>
        <w:spacing w:after="0" w:line="189" w:lineRule="exact"/>
        <w:rPr>
          <w:sz w:val="20"/>
          <w:szCs w:val="20"/>
          <w:color w:val="auto"/>
        </w:rPr>
      </w:pPr>
    </w:p>
    <w:p>
      <w:pPr>
        <w:ind w:left="1540" w:hanging="653"/>
        <w:spacing w:after="0"/>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BY THE COMPANY</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jc w:val="both"/>
        <w:ind w:left="240" w:right="239" w:firstLine="1295"/>
        <w:spacing w:after="0" w:line="28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Executive shall continue to be employed by the Company on an “at-will” basis, meaning either the Company or Executive may terminate Executive’s employment at any time, with or without Cause (as defined in Section 6.2(f) below), Good Reason (as defined in Section 6.2(e) below), or advance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salary or cash bonus following a termination shall be only as set forth in Section 6 or under any applicable benefit or equity plan.</w:t>
      </w:r>
    </w:p>
    <w:p>
      <w:pPr>
        <w:spacing w:after="0" w:line="227" w:lineRule="exact"/>
        <w:rPr>
          <w:sz w:val="20"/>
          <w:szCs w:val="20"/>
          <w:color w:val="auto"/>
        </w:rPr>
      </w:pPr>
    </w:p>
    <w:p>
      <w:pPr>
        <w:jc w:val="both"/>
        <w:ind w:left="240" w:right="239" w:firstLine="1295"/>
        <w:spacing w:after="0" w:line="29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Subject to the terms set forth herein, the Company agrees to continue to employ Executive and Executive hereby accepts such continued employment. Executive shall serve as Chief Financial Officer. During the term of Executive’s employment with the Company,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w:t>
      </w:r>
    </w:p>
    <w:p>
      <w:pPr>
        <w:spacing w:after="0" w:line="222" w:lineRule="exact"/>
        <w:rPr>
          <w:sz w:val="20"/>
          <w:szCs w:val="20"/>
          <w:color w:val="auto"/>
        </w:rPr>
      </w:pPr>
    </w:p>
    <w:p>
      <w:pPr>
        <w:jc w:val="both"/>
        <w:ind w:left="240" w:right="239" w:firstLine="1295"/>
        <w:spacing w:after="0" w:line="28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Executive will continue to render such business and professional services in the performance of Executive’s duties (consistent with Executive’s position as outlined in Section 1.2, and for the benefit of the Company’s parent, Bicycle Therapeutics plc (“BTL”)). Executive shall report to BTL’s Chief Executive Officer. For the avoidance of doubt and for ease of understanding the intent of the arrangement, all of Executive’s services described herein shall be provided directly to the Company, which will, in turn, continue to provide such services to BTL pursuant to an arm’s length intra-company agreement. To the extent that Executive engages in any services contemplated herein on BTL’s behalf that involve the execution and negotiation of legal documents, such services will be performed in the United Kingdom. Executive shall be expected to perform Executive’s duties under this Agreement from the Company’s offices in the greater Boston, Massachusetts area, or such other location as assigned. In addition, Executive shall make such business trips to such places as may be reasonably necessary or advisable for the efficient operations of the Company.</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1" w:name="page102"/>
    <w:bookmarkEnd w:id="101"/>
    <w:p>
      <w:pPr>
        <w:jc w:val="both"/>
        <w:ind w:left="240" w:right="239" w:firstLine="1295"/>
        <w:spacing w:after="0" w:line="28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Company Policies and Benefits</w:t>
      </w:r>
      <w:r>
        <w:rPr>
          <w:rFonts w:ascii="Times New Roman" w:cs="Times New Roman" w:eastAsia="Times New Roman" w:hAnsi="Times New Roman"/>
          <w:sz w:val="18"/>
          <w:szCs w:val="18"/>
          <w:color w:val="auto"/>
        </w:rPr>
        <w:t>. The employment relationship between the parties shall continue to be subject to the Company’s written personnel policies and procedures as they may be adopted, revised, or deleted from time to time in the Company’s sole discretion. Executive will continue to be eligible to participate on the same basis as similarly-situated employees in the Company’s benefit plans in effect from time to time during Executive’s employment. Subject to the preceding sentence, the Company reserves the right to change, alter, or terminate any benefit plan prospectively in its sole discretion. All matters of eligibility for coverage or benefits under any benefit plan shall be determined in accordance with the provisions of such plan. Notwithstanding the foregoing, in the event that the terms of this Agreement differ from or are in conflict with the Company’s general employment policies or practices, this Agreement shall control.</w:t>
      </w:r>
    </w:p>
    <w:p>
      <w:pPr>
        <w:spacing w:after="0" w:line="227" w:lineRule="exact"/>
        <w:rPr>
          <w:sz w:val="20"/>
          <w:szCs w:val="20"/>
          <w:color w:val="auto"/>
        </w:rPr>
      </w:pPr>
    </w:p>
    <w:p>
      <w:pPr>
        <w:jc w:val="both"/>
        <w:ind w:left="240" w:right="259" w:firstLine="1295"/>
        <w:spacing w:after="0" w:line="29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of Executive’s employment with the Company, Executive shall continue to accrue twenty-three (23) days of paid time off per calendar year (prorated for partial years), subject to the Company’s paid time off policy, as in effect from time to time.</w:t>
      </w:r>
    </w:p>
    <w:p>
      <w:pPr>
        <w:spacing w:after="0" w:line="217" w:lineRule="exact"/>
        <w:rPr>
          <w:sz w:val="20"/>
          <w:szCs w:val="20"/>
          <w:color w:val="auto"/>
        </w:rPr>
      </w:pPr>
    </w:p>
    <w:p>
      <w:pPr>
        <w:jc w:val="both"/>
        <w:ind w:left="240" w:right="259" w:firstLine="1295"/>
        <w:spacing w:after="0" w:line="31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During the term of Executive’s employment with the Company, Executive shall continue to be eligible to receive up to four (4) percent of Base Salary as contributions to a safe harbor 401(k) plan.</w:t>
      </w:r>
    </w:p>
    <w:p>
      <w:pPr>
        <w:spacing w:after="0" w:line="189" w:lineRule="exact"/>
        <w:rPr>
          <w:sz w:val="20"/>
          <w:szCs w:val="20"/>
          <w:color w:val="auto"/>
        </w:rPr>
      </w:pPr>
    </w:p>
    <w:p>
      <w:pPr>
        <w:ind w:left="1540" w:hanging="653"/>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jc w:val="both"/>
        <w:ind w:left="240" w:right="259" w:firstLine="1295"/>
        <w:spacing w:after="0" w:line="29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an annualized base salary of $500,000, subject to review and increase (but not decrease) from time to time by the Company in its sole discretion, payable subject to standard federal and state payroll withholding requirements in accordance with the Company’s standard payroll practices (the “Base Salary”).</w:t>
      </w:r>
    </w:p>
    <w:p>
      <w:pPr>
        <w:spacing w:after="0" w:line="208"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w:t>
      </w:r>
    </w:p>
    <w:p>
      <w:pPr>
        <w:spacing w:after="0" w:line="306" w:lineRule="exact"/>
        <w:rPr>
          <w:sz w:val="20"/>
          <w:szCs w:val="20"/>
          <w:color w:val="auto"/>
        </w:rPr>
      </w:pPr>
    </w:p>
    <w:p>
      <w:pPr>
        <w:jc w:val="both"/>
        <w:ind w:left="240" w:right="259" w:firstLine="1948"/>
        <w:spacing w:after="0" w:line="286" w:lineRule="auto"/>
        <w:tabs>
          <w:tab w:leader="none" w:pos="2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During Employment</w:t>
      </w:r>
      <w:r>
        <w:rPr>
          <w:rFonts w:ascii="Times New Roman" w:cs="Times New Roman" w:eastAsia="Times New Roman" w:hAnsi="Times New Roman"/>
          <w:sz w:val="18"/>
          <w:szCs w:val="18"/>
          <w:color w:val="auto"/>
        </w:rPr>
        <w:t>. Executive shall be eligible to earn an annual performance bonus (the “Annual Bonus”) with an annual target of 50% (the “Target Percentage”) of Executive’s then-current Base Salary; provided, however, that Executive’s Annual Bonus for calendar year 2026 will be based on their base salary</w:t>
      </w:r>
    </w:p>
    <w:p>
      <w:pPr>
        <w:spacing w:after="0" w:line="2" w:lineRule="exact"/>
        <w:rPr>
          <w:rFonts w:ascii="Times New Roman" w:cs="Times New Roman" w:eastAsia="Times New Roman" w:hAnsi="Times New Roman"/>
          <w:sz w:val="18"/>
          <w:szCs w:val="18"/>
          <w:color w:val="auto"/>
        </w:rPr>
      </w:pPr>
    </w:p>
    <w:p>
      <w:pPr>
        <w:jc w:val="both"/>
        <w:ind w:left="240" w:right="23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earned during calendar year 2026, and not their then-current Base Salary. The Annual Bonus will be based upon the assessment by the Board of Directors of BTL or a committee thereof (the “Board”) of Executive’s performance and the Company’s attainment of targeted goals (as set by the Company and confirmed by the Board in its reasonable good faith discretion) over the applicable calendar year. The Annual Bonus, if any, will be subject to applicable payroll</w:t>
      </w:r>
    </w:p>
    <w:p>
      <w:pPr>
        <w:spacing w:after="0" w:line="1"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and withholdings. No amount of any Annual Bonus is guaranteed at any time, and, except as otherwise stated in Sections 6.1(a) and 6.3(a)(iii), Executive must be an employee through the date the Annual Bonus is paid to be eligible to receive an Annual Bonus. No partial or prorated bonuses will be provided if Executive’s employment terminates prior to the payment date of the Annual Bonus. Subject to Section 6.3(b) related to payments upon certain</w:t>
      </w:r>
    </w:p>
    <w:p>
      <w:pPr>
        <w:spacing w:after="0" w:line="2" w:lineRule="exact"/>
        <w:rPr>
          <w:rFonts w:ascii="Times New Roman" w:cs="Times New Roman" w:eastAsia="Times New Roman" w:hAnsi="Times New Roman"/>
          <w:sz w:val="18"/>
          <w:szCs w:val="18"/>
          <w:color w:val="auto"/>
        </w:rPr>
      </w:pPr>
    </w:p>
    <w:p>
      <w:pPr>
        <w:jc w:val="both"/>
        <w:ind w:left="240" w:right="25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of employment, any Annual Bonus, if earned, will be paid at the same time annual bonuses are generally paid to other similarly situated employees of the Company. Executive’s eligibility for an Annual Bonus is subject to change in the discretion of the Board (or any authorized committee thereof).</w:t>
      </w:r>
    </w:p>
    <w:p>
      <w:pPr>
        <w:spacing w:after="0" w:line="217" w:lineRule="exact"/>
        <w:rPr>
          <w:rFonts w:ascii="Times New Roman" w:cs="Times New Roman" w:eastAsia="Times New Roman" w:hAnsi="Times New Roman"/>
          <w:sz w:val="18"/>
          <w:szCs w:val="18"/>
          <w:color w:val="auto"/>
        </w:rPr>
      </w:pPr>
    </w:p>
    <w:p>
      <w:pPr>
        <w:jc w:val="both"/>
        <w:ind w:left="240" w:right="259" w:firstLine="1948"/>
        <w:spacing w:after="0" w:line="297" w:lineRule="auto"/>
        <w:tabs>
          <w:tab w:leader="none" w:pos="28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Termination</w:t>
      </w:r>
      <w:r>
        <w:rPr>
          <w:rFonts w:ascii="Times New Roman" w:cs="Times New Roman" w:eastAsia="Times New Roman" w:hAnsi="Times New Roman"/>
          <w:sz w:val="18"/>
          <w:szCs w:val="18"/>
          <w:color w:val="auto"/>
        </w:rPr>
        <w:t>. Subject to the provisions of Section 6, in the event Executive leaves the employ of the Company for any reason prior to the date the Annual Bonus is paid, Executive is not eligible to earn such Annual Bonus, prorated or otherwise.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02" w:name="page103"/>
    <w:bookmarkEnd w:id="102"/>
    <w:p>
      <w:pPr>
        <w:jc w:val="both"/>
        <w:ind w:left="240" w:right="239" w:firstLine="1295"/>
        <w:spacing w:after="0" w:line="28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xml:space="preserve">. Subject to the approval of the Board or an authorized committee thereof, it will be recommended that BTL grants Executive an option to purchase 58,000 of BTL’s ordinary shares (the “Option”). The Option, and other equity awards held by the Executive, shall be governed by the terms and conditions of BTL’s 2020 Equity Incentive Plan (the “Plan”) and the applicable award agreement(s) governing the terms of such equity awards held by the Executive (collectively, the “Equity Documents”); provided, however, and notwithstanding anything to the contrary in the Equity Documents, Section 6.3(a)(iv) of this Agreement shall apply in the event of a termination by the Company without Cause or by the Executive for Good Reason, in either case within 12 months after a Change in Control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Executive will also be eligible to receive additional awards of share options, restricted shares or other equity awards pursuant to the Plan. The Board or an authorized committee thereof shall determine in its discretion whether Executive shall be granted any such equity awards and the terms of any such award in accordance with the terms of any applicable plan or arrangement that may be in effect from time to time.</w:t>
      </w:r>
    </w:p>
    <w:p>
      <w:pPr>
        <w:spacing w:after="0" w:line="232" w:lineRule="exact"/>
        <w:rPr>
          <w:sz w:val="20"/>
          <w:szCs w:val="20"/>
          <w:color w:val="auto"/>
        </w:rPr>
      </w:pPr>
    </w:p>
    <w:p>
      <w:pPr>
        <w:jc w:val="both"/>
        <w:ind w:left="240" w:right="239" w:firstLine="1295"/>
        <w:spacing w:after="0" w:line="28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reimburse Executive for reasonable business expenses in accordance with the Company’s standard expense reimbursement policy, subject to any applicable payroll withholdings and deductions (if any). For the avoidance of doubt, to the extent that any reimbursements payable to Executive are subject to the provisions of Section 409A of the Internal Revenue Code of 1986, as amended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213" w:lineRule="exact"/>
        <w:rPr>
          <w:sz w:val="20"/>
          <w:szCs w:val="20"/>
          <w:color w:val="auto"/>
        </w:rPr>
      </w:pPr>
    </w:p>
    <w:p>
      <w:pPr>
        <w:ind w:left="1540" w:right="679" w:hanging="653"/>
        <w:spacing w:after="0" w:line="282"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PROPRIETARY INFORMATION, INVENTIONS, NONCOMPETITION AND NONSOLICITATION</w:t>
      </w:r>
    </w:p>
    <w:p>
      <w:pPr>
        <w:spacing w:after="0" w:line="175" w:lineRule="exact"/>
        <w:rPr>
          <w:sz w:val="20"/>
          <w:szCs w:val="20"/>
          <w:color w:val="auto"/>
        </w:rPr>
      </w:pPr>
    </w:p>
    <w:p>
      <w:pPr>
        <w:jc w:val="both"/>
        <w:ind w:left="300" w:right="239"/>
        <w:spacing w:after="0" w:line="288" w:lineRule="auto"/>
        <w:rPr>
          <w:sz w:val="20"/>
          <w:szCs w:val="20"/>
          <w:color w:val="auto"/>
        </w:rPr>
      </w:pP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4"/>
          <w:szCs w:val="14"/>
          <w:u w:val="single" w:color="auto"/>
          <w:color w:val="auto"/>
        </w:rPr>
        <w:t>BLIGATIONS</w:t>
      </w:r>
      <w:r>
        <w:rPr>
          <w:rFonts w:ascii="Times New Roman" w:cs="Times New Roman" w:eastAsia="Times New Roman" w:hAnsi="Times New Roman"/>
          <w:sz w:val="18"/>
          <w:szCs w:val="18"/>
          <w:color w:val="auto"/>
        </w:rPr>
        <w:t>. In connection with Executive’s continued employment with the Company, Executive will continue to receive and continue to have access to the Company’s confidential information and trade secrets. Accordingly, and in consideration of the benefits that Executive is eligible to receive under this Agreement, Executive acknowledges and agrees to continue to be bound by the Company’s Employee Proprietary Information, Inventions, Noncompetition and Nonsolicitation Agreement (the “Proprietary Information Agreement”), dated April 9, 2018, (a copy of which is attached hereto as Exhibit B) which contains restrictive covenants and prohibits unauthorized use or disclosure of the Company’s confidential information and trade secrets, among other obligations, provided, however, that the Executive and the Company hereby agree that Section 4.1 of the Proprietary Information Agreement shall be deleted and replaced by the choice of law and dispute resolution provisions set forth in Sections 7.8 and 7.9 of this Agreement. The Proprietary Information Agreement contains provisions that are intended by the parties to survive and do survive termination or expiration of this Agreement.</w:t>
      </w:r>
    </w:p>
    <w:p>
      <w:pPr>
        <w:spacing w:after="0" w:line="224" w:lineRule="exact"/>
        <w:rPr>
          <w:sz w:val="20"/>
          <w:szCs w:val="20"/>
          <w:color w:val="auto"/>
        </w:rPr>
      </w:pPr>
    </w:p>
    <w:p>
      <w:pPr>
        <w:jc w:val="both"/>
        <w:ind w:left="240" w:right="239" w:firstLine="653"/>
        <w:spacing w:after="0" w:line="306" w:lineRule="auto"/>
        <w:tabs>
          <w:tab w:leader="none" w:pos="15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OUTSIDE ACTIVITIES</w:t>
      </w:r>
      <w:r>
        <w:rPr>
          <w:rFonts w:ascii="Times New Roman" w:cs="Times New Roman" w:eastAsia="Times New Roman" w:hAnsi="Times New Roman"/>
          <w:sz w:val="17"/>
          <w:szCs w:val="17"/>
          <w:color w:val="auto"/>
        </w:rPr>
        <w:t>. Except with the prior written consent of the Board, Executive will not, while employed by the Company, undertake or engage in any other employment, occupation, or business enterprise that</w:t>
      </w:r>
    </w:p>
    <w:p>
      <w:pPr>
        <w:spacing w:after="0" w:line="1" w:lineRule="exact"/>
        <w:rPr>
          <w:rFonts w:ascii="Times New Roman" w:cs="Times New Roman" w:eastAsia="Times New Roman" w:hAnsi="Times New Roman"/>
          <w:sz w:val="17"/>
          <w:szCs w:val="17"/>
          <w:color w:val="auto"/>
        </w:rPr>
      </w:pPr>
    </w:p>
    <w:p>
      <w:pPr>
        <w:jc w:val="both"/>
        <w:ind w:left="240" w:right="239"/>
        <w:spacing w:after="0" w:line="28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position with the Company, (iii) reasonable time serving as trustee,</w:t>
      </w:r>
    </w:p>
    <w:p>
      <w:pPr>
        <w:spacing w:after="0" w:line="2" w:lineRule="exact"/>
        <w:rPr>
          <w:rFonts w:ascii="Times New Roman" w:cs="Times New Roman" w:eastAsia="Times New Roman" w:hAnsi="Times New Roman"/>
          <w:sz w:val="17"/>
          <w:szCs w:val="17"/>
          <w:color w:val="auto"/>
        </w:rPr>
      </w:pPr>
    </w:p>
    <w:p>
      <w:pPr>
        <w:jc w:val="both"/>
        <w:ind w:left="240" w:right="239"/>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director, or advisor to any family companies or trusts, or (iv) with prior written notice to the Board, reasonable time devoted to service as a member of the board of directors (or its equivalent in the case of a non-corporate entity) of a non-competing business, not to exceed two (2) boards of directors at any time (clauses (i)-(iv), the “Outside Activities”); so long as the Outside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103" w:name="page104"/>
    <w:bookmarkEnd w:id="103"/>
    <w:p>
      <w:pPr>
        <w:jc w:val="both"/>
        <w:ind w:left="240" w:right="239"/>
        <w:spacing w:after="0" w:line="289" w:lineRule="auto"/>
        <w:rPr>
          <w:sz w:val="20"/>
          <w:szCs w:val="20"/>
          <w:color w:val="auto"/>
        </w:rPr>
      </w:pPr>
      <w:r>
        <w:rPr>
          <w:rFonts w:ascii="Times New Roman" w:cs="Times New Roman" w:eastAsia="Times New Roman" w:hAnsi="Times New Roman"/>
          <w:sz w:val="18"/>
          <w:szCs w:val="18"/>
          <w:color w:val="auto"/>
        </w:rPr>
        <w:t>Activities (A) do not, individually or in the aggregate, interfere with the performance of the Executive’s duties under this Agreement, (B) are not contrary to the interests of the Company or its Affiliates or competitive in any way with the Company its Affiliates or (C) are not in the field of constrained peptide drugs or therapeutics (including, without limitation, any work in the field of lead peptide identification and optimization and pre-clinical development of constrained peptide therapeutics). In addition, the Outside Activities may not exceed, in the aggregate, 10 days of Executive’s services per year, which permitted time commitment may be increased by the Board, in its discretion which shall not be unreasonably withheld, to up to 12 days per year where a new specific opportunity has been identified by Executive which would give Executive experience that is considered to be of wider benefit to the Company. The restrictions in this Section 4 shall not, however, preclude Executive from (x) owning less than one percent (1%) of the total outstanding shares of a publicly traded company, (y) managing Executive’s passive personal investments, or (z) employment or service in any capacity with Affiliates of the Company. As used in this Agreement, “Affiliates” means, at the time of determination, any “parent” or “subsidiary” of the Company as such terms are defined in Rule 405 of the Securities Act of 1933, as amended. The Board will have the authority to determine the time or times at which “parent” or “subsidiary” status is determined within the foregoing definition.</w:t>
      </w:r>
    </w:p>
    <w:p>
      <w:pPr>
        <w:spacing w:after="0" w:line="210" w:lineRule="exact"/>
        <w:rPr>
          <w:sz w:val="20"/>
          <w:szCs w:val="20"/>
          <w:color w:val="auto"/>
        </w:rPr>
      </w:pPr>
    </w:p>
    <w:p>
      <w:pPr>
        <w:jc w:val="both"/>
        <w:ind w:left="240" w:right="239" w:firstLine="653"/>
        <w:spacing w:after="0" w:line="289" w:lineRule="auto"/>
        <w:tabs>
          <w:tab w:leader="none" w:pos="15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 WITH EXISTING OBLIGATIONS</w:t>
      </w:r>
      <w:r>
        <w:rPr>
          <w:rFonts w:ascii="Times New Roman" w:cs="Times New Roman" w:eastAsia="Times New Roman" w:hAnsi="Times New Roman"/>
          <w:sz w:val="18"/>
          <w:szCs w:val="18"/>
          <w:color w:val="auto"/>
        </w:rPr>
        <w:t>. Executive represents that Executive’s performance of all the terms of this Agreement and continued service as an employee of the Company do not and will</w:t>
      </w:r>
    </w:p>
    <w:p>
      <w:pPr>
        <w:spacing w:after="0" w:line="1" w:lineRule="exact"/>
        <w:rPr>
          <w:rFonts w:ascii="Times New Roman" w:cs="Times New Roman" w:eastAsia="Times New Roman" w:hAnsi="Times New Roman"/>
          <w:sz w:val="18"/>
          <w:szCs w:val="18"/>
          <w:color w:val="auto"/>
        </w:rPr>
      </w:pPr>
    </w:p>
    <w:p>
      <w:pPr>
        <w:jc w:val="both"/>
        <w:ind w:left="24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or with Executive’s duties to the Company.</w:t>
      </w:r>
    </w:p>
    <w:p>
      <w:pPr>
        <w:spacing w:after="0" w:line="221" w:lineRule="exact"/>
        <w:rPr>
          <w:rFonts w:ascii="Times New Roman" w:cs="Times New Roman" w:eastAsia="Times New Roman" w:hAnsi="Times New Roman"/>
          <w:sz w:val="18"/>
          <w:szCs w:val="18"/>
          <w:color w:val="auto"/>
        </w:rPr>
      </w:pPr>
    </w:p>
    <w:p>
      <w:pPr>
        <w:jc w:val="both"/>
        <w:ind w:left="240" w:right="259" w:firstLine="653"/>
        <w:spacing w:after="0" w:line="289" w:lineRule="auto"/>
        <w:tabs>
          <w:tab w:leader="none" w:pos="15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parties acknowledge that Executive’s employment relationship with the Company continues to be at-will. Either Executive or the Company may terminate the</w:t>
      </w:r>
    </w:p>
    <w:p>
      <w:pPr>
        <w:spacing w:after="0" w:line="1" w:lineRule="exact"/>
        <w:rPr>
          <w:rFonts w:ascii="Times New Roman" w:cs="Times New Roman" w:eastAsia="Times New Roman" w:hAnsi="Times New Roman"/>
          <w:sz w:val="18"/>
          <w:szCs w:val="18"/>
          <w:color w:val="auto"/>
        </w:rPr>
      </w:pPr>
    </w:p>
    <w:p>
      <w:pPr>
        <w:jc w:val="both"/>
        <w:ind w:left="240" w:right="23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relationship at any time, with or without Cause (as defined below) or advance notice. The provisions in this Section governing the amount of compensation, if any, to be provided to Executive upon termination of employment do not alter this at-will status.</w:t>
      </w:r>
    </w:p>
    <w:p>
      <w:pPr>
        <w:spacing w:after="0" w:line="204"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Termination by Virtue of Death or Disability of Executive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240" w:right="259" w:firstLine="1948"/>
        <w:spacing w:after="0" w:line="293" w:lineRule="auto"/>
        <w:tabs>
          <w:tab w:leader="none" w:pos="282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Executive’s death while employed pursuant to this Agreement, all obligations of the parties hereunder and Executive’s employment shall terminate immediately, and the Company shall, pursuant to the Company’s standard payroll policies and applicable law, pay to Executive’s legal representatives the Accrued Obligations (as defined in Section 6.2(d) below) due to Executive, along with any Special Bonus Payment (as that term is defined below).</w:t>
      </w:r>
    </w:p>
    <w:p>
      <w:pPr>
        <w:spacing w:after="0" w:line="208"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state, local, and federal law, the Company shall at all times</w:t>
      </w:r>
    </w:p>
    <w:p>
      <w:pPr>
        <w:spacing w:after="0" w:line="49"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right, upon written notice to Executive, to terminate this Agreement based on Executive’s Disability (as defined below). Termination by the Company of Executive’s employment based on “Disability” shall mean termination because Executive is unable due to a physical or mental condition to perform the essential functions of Executive’s position with or without reasonable accommodation for six (6) months in the aggregate during any twelve</w:t>
      </w:r>
    </w:p>
    <w:p>
      <w:pPr>
        <w:spacing w:after="0" w:line="2" w:lineRule="exact"/>
        <w:rPr>
          <w:rFonts w:ascii="Times New Roman" w:cs="Times New Roman" w:eastAsia="Times New Roman" w:hAnsi="Times New Roman"/>
          <w:sz w:val="18"/>
          <w:szCs w:val="18"/>
          <w:color w:val="auto"/>
        </w:rPr>
      </w:pPr>
    </w:p>
    <w:p>
      <w:pPr>
        <w:jc w:val="both"/>
        <w:ind w:left="240" w:right="239" w:firstLine="5"/>
        <w:spacing w:after="0" w:line="293" w:lineRule="auto"/>
        <w:tabs>
          <w:tab w:leader="none" w:pos="5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be entitled to the Accrued Obligations due to Executive, along with any Special Bonus Payment (as that term is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04" w:name="page105"/>
    <w:bookmarkEnd w:id="104"/>
    <w:p>
      <w:pPr>
        <w:ind w:left="240"/>
        <w:spacing w:after="0"/>
        <w:rPr>
          <w:sz w:val="20"/>
          <w:szCs w:val="20"/>
          <w:color w:val="auto"/>
        </w:rPr>
      </w:pPr>
      <w:r>
        <w:rPr>
          <w:rFonts w:ascii="Times New Roman" w:cs="Times New Roman" w:eastAsia="Times New Roman" w:hAnsi="Times New Roman"/>
          <w:sz w:val="18"/>
          <w:szCs w:val="18"/>
          <w:color w:val="auto"/>
        </w:rPr>
        <w:t>defined below).</w:t>
      </w:r>
    </w:p>
    <w:p>
      <w:pPr>
        <w:spacing w:after="0" w:line="306" w:lineRule="exact"/>
        <w:rPr>
          <w:sz w:val="20"/>
          <w:szCs w:val="20"/>
          <w:color w:val="auto"/>
        </w:rPr>
      </w:pPr>
    </w:p>
    <w:p>
      <w:pPr>
        <w:jc w:val="both"/>
        <w:ind w:left="240" w:right="239" w:firstLine="1948"/>
        <w:spacing w:after="0" w:line="289" w:lineRule="auto"/>
        <w:tabs>
          <w:tab w:leader="none" w:pos="28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termination due to death or Disability occurs between January 1 and the payment date of the Annual Bonus that Executive would have otherwise earned for performance in the</w:t>
      </w:r>
    </w:p>
    <w:p>
      <w:pPr>
        <w:spacing w:after="0" w:line="1" w:lineRule="exact"/>
        <w:rPr>
          <w:rFonts w:ascii="Times New Roman" w:cs="Times New Roman" w:eastAsia="Times New Roman" w:hAnsi="Times New Roman"/>
          <w:sz w:val="18"/>
          <w:szCs w:val="18"/>
          <w:color w:val="auto"/>
        </w:rPr>
      </w:pPr>
    </w:p>
    <w:p>
      <w:pPr>
        <w:jc w:val="both"/>
        <w:ind w:left="240" w:right="25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preceding the termination due to death or Disability, then and only then will Executive be paid the full Annual Bonus amount that Executive would have otherwise earned for performance in such preceding calendar year (the “Special Bonus Payment”).</w:t>
      </w:r>
    </w:p>
    <w:p>
      <w:pPr>
        <w:spacing w:after="0" w:line="204"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Termination by the Company or Resignation by Executive</w:t>
      </w:r>
      <w:r>
        <w:rPr>
          <w:rFonts w:ascii="Times New Roman" w:cs="Times New Roman" w:eastAsia="Times New Roman" w:hAnsi="Times New Roman"/>
          <w:sz w:val="17"/>
          <w:szCs w:val="17"/>
          <w:color w:val="auto"/>
        </w:rPr>
        <w:t>.</w:t>
      </w:r>
    </w:p>
    <w:p>
      <w:pPr>
        <w:spacing w:after="0" w:line="293" w:lineRule="exact"/>
        <w:rPr>
          <w:sz w:val="20"/>
          <w:szCs w:val="20"/>
          <w:color w:val="auto"/>
        </w:rPr>
      </w:pPr>
    </w:p>
    <w:p>
      <w:pPr>
        <w:ind w:left="2840" w:hanging="652"/>
        <w:spacing w:after="0"/>
        <w:tabs>
          <w:tab w:leader="none" w:pos="2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Executive’s employment pursuant</w:t>
      </w:r>
    </w:p>
    <w:p>
      <w:pPr>
        <w:spacing w:after="0" w:line="49" w:lineRule="exact"/>
        <w:rPr>
          <w:rFonts w:ascii="Times New Roman" w:cs="Times New Roman" w:eastAsia="Times New Roman" w:hAnsi="Times New Roman"/>
          <w:sz w:val="18"/>
          <w:szCs w:val="18"/>
          <w:color w:val="auto"/>
        </w:rPr>
      </w:pPr>
    </w:p>
    <w:p>
      <w:pPr>
        <w:jc w:val="both"/>
        <w:ind w:left="240" w:right="23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Section 6.2 at any time (subject to any applicable cure period stated in Section 6.2(f)) with or without Cause or advance notice, by giving notice as described in Section 7.1 of this Agreement. Likewise, Executive can resign from employment with or without Good Reason, by giving notice as described in Section</w:t>
      </w:r>
    </w:p>
    <w:p>
      <w:pPr>
        <w:spacing w:after="0" w:line="1"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this Agreement. Executive hereby agrees to comply with the additional notice requirements set forth in Section</w:t>
      </w:r>
    </w:p>
    <w:p>
      <w:pPr>
        <w:spacing w:after="0" w:line="49"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6.2(e) below for any resignation for Good Reason. If Executive is terminated by the Company (with or without Cause) or resigns from employment with the Company (with or without Good Reason), then Executive shall be entitled to the Accrued Obligations (as defined below). In addition, if Executive is terminated without Cause or resigns for Good Reason, and provided that such termination constitutes a “separation from service” (as defined under Treasury</w:t>
      </w:r>
    </w:p>
    <w:p>
      <w:pPr>
        <w:spacing w:after="0" w:line="2" w:lineRule="exact"/>
        <w:rPr>
          <w:rFonts w:ascii="Times New Roman" w:cs="Times New Roman" w:eastAsia="Times New Roman" w:hAnsi="Times New Roman"/>
          <w:sz w:val="18"/>
          <w:szCs w:val="18"/>
          <w:color w:val="auto"/>
        </w:rPr>
      </w:pPr>
    </w:p>
    <w:p>
      <w:pPr>
        <w:jc w:val="both"/>
        <w:ind w:left="240" w:right="23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Regulation Section 1.409A-1(h), without regard to any alternative definition thereunder, a “Separation from Service”), and further provided that Executive executes and allows to become effective a separation agreement that includes, among other terms, a general release of claims in favor of the Company and its Affiliates and representatives and a 12-month non-competition clause and no other restrictive covenants longer or broader than Executive had already agreed</w:t>
      </w:r>
    </w:p>
    <w:p>
      <w:pPr>
        <w:spacing w:after="0" w:line="1" w:lineRule="exact"/>
        <w:rPr>
          <w:rFonts w:ascii="Times New Roman" w:cs="Times New Roman" w:eastAsia="Times New Roman" w:hAnsi="Times New Roman"/>
          <w:sz w:val="18"/>
          <w:szCs w:val="18"/>
          <w:color w:val="auto"/>
        </w:rPr>
      </w:pPr>
    </w:p>
    <w:p>
      <w:pPr>
        <w:jc w:val="both"/>
        <w:ind w:left="24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prior to Separation from Service, in the form presented by the Company (the “Separation Agreement”), and subject to Section 6.2(b) (the date that the general release of claims in the Separation Agreement becomes effective and may no longer be revoked by Executive is referred to as the “Release Date”), then Executive shall be eligible to receive the following severance benefits (collectively the “Non-CIC Severance Benefits”):</w:t>
      </w:r>
    </w:p>
    <w:p>
      <w:pPr>
        <w:spacing w:after="0" w:line="221" w:lineRule="exact"/>
        <w:rPr>
          <w:rFonts w:ascii="Times New Roman" w:cs="Times New Roman" w:eastAsia="Times New Roman" w:hAnsi="Times New Roman"/>
          <w:sz w:val="18"/>
          <w:szCs w:val="18"/>
          <w:color w:val="auto"/>
        </w:rPr>
      </w:pPr>
    </w:p>
    <w:p>
      <w:pPr>
        <w:jc w:val="both"/>
        <w:ind w:left="820" w:right="239" w:firstLine="2585"/>
        <w:spacing w:after="0" w:line="305" w:lineRule="auto"/>
        <w:tabs>
          <w:tab w:leader="none" w:pos="40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nine (9) months of Executive’s then current Base Salary, less standard payroll deductions and withholdings, paid in installments on the Company’s regular payroll dates; and</w:t>
      </w:r>
    </w:p>
    <w:p>
      <w:pPr>
        <w:spacing w:after="0" w:line="196" w:lineRule="exact"/>
        <w:rPr>
          <w:rFonts w:ascii="Times New Roman" w:cs="Times New Roman" w:eastAsia="Times New Roman" w:hAnsi="Times New Roman"/>
          <w:sz w:val="18"/>
          <w:szCs w:val="18"/>
          <w:color w:val="auto"/>
        </w:rPr>
      </w:pPr>
    </w:p>
    <w:p>
      <w:pPr>
        <w:jc w:val="right"/>
        <w:ind w:left="820" w:right="239" w:firstLine="2585"/>
        <w:spacing w:after="0" w:line="289" w:lineRule="auto"/>
        <w:tabs>
          <w:tab w:leader="none" w:pos="40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Executive or Executive’s covered dependents, as the case may be, timely elects continued coverage under COBRA under the Company’s group health plans</w:t>
      </w:r>
    </w:p>
    <w:p>
      <w:pPr>
        <w:spacing w:after="0" w:line="1" w:lineRule="exact"/>
        <w:rPr>
          <w:rFonts w:ascii="Times New Roman" w:cs="Times New Roman" w:eastAsia="Times New Roman" w:hAnsi="Times New Roman"/>
          <w:sz w:val="18"/>
          <w:szCs w:val="18"/>
          <w:color w:val="auto"/>
        </w:rPr>
      </w:pPr>
    </w:p>
    <w:p>
      <w:pPr>
        <w:jc w:val="both"/>
        <w:ind w:left="82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termination, the portion of the COBRA premiums which is equal to the cost of the coverage that the Company was paying as of the date of termination, to continue Executive’s (and Executive’s covered dependents, as applicable) health insurance coverage in effect on the termination date until the earliest of: (1) nine (9) months following the termination date; (2) the date when Executive becomes eligible for substantially</w:t>
      </w:r>
    </w:p>
    <w:p>
      <w:pPr>
        <w:spacing w:after="0" w:line="2" w:lineRule="exact"/>
        <w:rPr>
          <w:rFonts w:ascii="Times New Roman" w:cs="Times New Roman" w:eastAsia="Times New Roman" w:hAnsi="Times New Roman"/>
          <w:sz w:val="18"/>
          <w:szCs w:val="18"/>
          <w:color w:val="auto"/>
        </w:rPr>
      </w:pPr>
    </w:p>
    <w:p>
      <w:pPr>
        <w:jc w:val="both"/>
        <w:ind w:left="82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health insurance coverage in connection with new employment or self-employment; or (3) the date Executive ceases to be eligible for COBRA continuation coverage for any reason, including plan termination (such period from the termination date through the earlier of (1)-(3), (the “COBRA Payment Period”)). Notwithstanding the foregoing, if at any time the Company determines that its payment of COBRA premiums</w:t>
      </w:r>
    </w:p>
    <w:p>
      <w:pPr>
        <w:spacing w:after="0" w:line="2" w:lineRule="exact"/>
        <w:rPr>
          <w:rFonts w:ascii="Times New Roman" w:cs="Times New Roman" w:eastAsia="Times New Roman" w:hAnsi="Times New Roman"/>
          <w:sz w:val="18"/>
          <w:szCs w:val="18"/>
          <w:color w:val="auto"/>
        </w:rPr>
      </w:pPr>
    </w:p>
    <w:p>
      <w:pPr>
        <w:jc w:val="both"/>
        <w:ind w:left="82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05" w:name="page106"/>
    <w:bookmarkEnd w:id="105"/>
    <w:p>
      <w:pPr>
        <w:jc w:val="both"/>
        <w:ind w:left="820" w:right="239"/>
        <w:spacing w:after="0" w:line="297" w:lineRule="auto"/>
        <w:rPr>
          <w:sz w:val="20"/>
          <w:szCs w:val="20"/>
          <w:color w:val="auto"/>
        </w:rPr>
      </w:pPr>
      <w:r>
        <w:rPr>
          <w:rFonts w:ascii="Times New Roman" w:cs="Times New Roman" w:eastAsia="Times New Roman" w:hAnsi="Times New Roman"/>
          <w:sz w:val="18"/>
          <w:szCs w:val="18"/>
          <w:color w:val="auto"/>
        </w:rPr>
        <w:t>day of each remaining month of the COBRA Payment Period, a fully taxable cash payment equal to the COBRA premium for such month, subject to applicable tax withholding, for the remainder of the COBRA Payment Period. Nothing in this Agreement shall deprive Executive of Executive’s rights under COBRA or ERISA for benefits under plans and policies arising under Executive’s employment by the Company.</w:t>
      </w:r>
    </w:p>
    <w:p>
      <w:pPr>
        <w:spacing w:after="0" w:line="217" w:lineRule="exact"/>
        <w:rPr>
          <w:sz w:val="20"/>
          <w:szCs w:val="20"/>
          <w:color w:val="auto"/>
        </w:rPr>
      </w:pPr>
    </w:p>
    <w:p>
      <w:pPr>
        <w:jc w:val="both"/>
        <w:ind w:left="240" w:right="239" w:firstLine="1948"/>
        <w:spacing w:after="0" w:line="284" w:lineRule="auto"/>
        <w:tabs>
          <w:tab w:leader="none" w:pos="28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receive the Non-CIC Severance Benefits pursuant to Section 6.2(a) unless Executive executes the Separation Agreement within the consideration period specified therein, which shall in no event be more than forty-five (45) days, and until the Separation Agreement becomes effective and can no longer be revoked by Executive under its terms. Executive’s ability to receive benefits pursuant to Section 6.2(a) is further conditioned upon Executive: (i) returning all Company property;</w:t>
      </w:r>
    </w:p>
    <w:p>
      <w:pPr>
        <w:spacing w:after="0" w:line="3" w:lineRule="exact"/>
        <w:rPr>
          <w:rFonts w:ascii="Times New Roman" w:cs="Times New Roman" w:eastAsia="Times New Roman" w:hAnsi="Times New Roman"/>
          <w:sz w:val="18"/>
          <w:szCs w:val="18"/>
          <w:color w:val="auto"/>
        </w:rPr>
      </w:pPr>
    </w:p>
    <w:p>
      <w:pPr>
        <w:jc w:val="both"/>
        <w:ind w:left="240" w:right="259" w:firstLine="5"/>
        <w:spacing w:after="0" w:line="303" w:lineRule="auto"/>
        <w:tabs>
          <w:tab w:leader="none" w:pos="52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Executive’s post-termination obligations under this Agreement and the Proprietary Information Agreement; (iii) complying with the Separation Agreement, including without limitation any non-disparagement, non-competition, and confidentiality provisions contained therein; and (iv) resignation from any other positions Executive</w:t>
      </w:r>
    </w:p>
    <w:p>
      <w:pPr>
        <w:spacing w:after="0" w:line="2" w:lineRule="exact"/>
        <w:rPr>
          <w:rFonts w:ascii="Times New Roman" w:cs="Times New Roman" w:eastAsia="Times New Roman" w:hAnsi="Times New Roman"/>
          <w:sz w:val="17"/>
          <w:szCs w:val="17"/>
          <w:color w:val="auto"/>
        </w:rPr>
      </w:pPr>
    </w:p>
    <w:p>
      <w:pPr>
        <w:ind w:left="240" w:right="239"/>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holds with the Company, effective no later than Executive’s date of termination (or such other date as requested by the Board).</w:t>
      </w:r>
    </w:p>
    <w:p>
      <w:pPr>
        <w:spacing w:after="0" w:line="202" w:lineRule="exact"/>
        <w:rPr>
          <w:rFonts w:ascii="Times New Roman" w:cs="Times New Roman" w:eastAsia="Times New Roman" w:hAnsi="Times New Roman"/>
          <w:sz w:val="17"/>
          <w:szCs w:val="17"/>
          <w:color w:val="auto"/>
        </w:rPr>
      </w:pPr>
    </w:p>
    <w:p>
      <w:pPr>
        <w:jc w:val="both"/>
        <w:ind w:left="240" w:right="239" w:firstLine="1948"/>
        <w:spacing w:after="0" w:line="285" w:lineRule="auto"/>
        <w:tabs>
          <w:tab w:leader="none" w:pos="282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make any payments to Executive with respect to any of the benefits pursuant to Section 6.2(a) prior to the 60th day following Executive’s date of termination. On the first payroll date after the 60th day following Executive’s date of termination, and provided that Executive has delivered an effective Separation Agreement, the Company will make the first payment to Executive under Section 6.2(a)(i) and, in</w:t>
      </w:r>
    </w:p>
    <w:p>
      <w:pPr>
        <w:spacing w:after="0" w:line="2" w:lineRule="exact"/>
        <w:rPr>
          <w:rFonts w:ascii="Times New Roman" w:cs="Times New Roman" w:eastAsia="Times New Roman" w:hAnsi="Times New Roman"/>
          <w:sz w:val="18"/>
          <w:szCs w:val="18"/>
          <w:color w:val="auto"/>
        </w:rPr>
      </w:pPr>
    </w:p>
    <w:p>
      <w:pPr>
        <w:jc w:val="both"/>
        <w:ind w:left="240" w:right="25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an amount equal to the aggregate amount of payments that the Company would have paid Executive through such date had the payments commenced on Executive’s date of termination through such 60th day, with the balance of the payments paid thereafter on the schedule described above, subject to any delay in payment required by Section 6.6.</w:t>
      </w:r>
    </w:p>
    <w:p>
      <w:pPr>
        <w:spacing w:after="0" w:line="248" w:lineRule="exact"/>
        <w:rPr>
          <w:rFonts w:ascii="Times New Roman" w:cs="Times New Roman" w:eastAsia="Times New Roman" w:hAnsi="Times New Roman"/>
          <w:sz w:val="18"/>
          <w:szCs w:val="18"/>
          <w:color w:val="auto"/>
        </w:rPr>
      </w:pPr>
    </w:p>
    <w:p>
      <w:pPr>
        <w:jc w:val="both"/>
        <w:ind w:left="240" w:right="259" w:firstLine="1949"/>
        <w:spacing w:after="0" w:line="289" w:lineRule="auto"/>
        <w:tabs>
          <w:tab w:leader="none" w:pos="28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“Accrued Obligations” are (i) Executive’s accrued but unpaid salary through the date of termination and any accrued but unused vacation through the date of</w:t>
      </w:r>
    </w:p>
    <w:p>
      <w:pPr>
        <w:spacing w:after="0" w:line="1" w:lineRule="exact"/>
        <w:rPr>
          <w:rFonts w:ascii="Times New Roman" w:cs="Times New Roman" w:eastAsia="Times New Roman" w:hAnsi="Times New Roman"/>
          <w:sz w:val="18"/>
          <w:szCs w:val="18"/>
          <w:color w:val="auto"/>
        </w:rPr>
      </w:pPr>
    </w:p>
    <w:p>
      <w:pPr>
        <w:jc w:val="both"/>
        <w:ind w:left="240" w:right="25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(both of which, for purpose of clarity, shall be paid in cash),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221" w:lineRule="exact"/>
        <w:rPr>
          <w:rFonts w:ascii="Times New Roman" w:cs="Times New Roman" w:eastAsia="Times New Roman" w:hAnsi="Times New Roman"/>
          <w:sz w:val="18"/>
          <w:szCs w:val="18"/>
          <w:color w:val="auto"/>
        </w:rPr>
      </w:pPr>
    </w:p>
    <w:p>
      <w:pPr>
        <w:jc w:val="both"/>
        <w:ind w:left="240" w:right="259" w:firstLine="1948"/>
        <w:spacing w:after="0" w:line="289" w:lineRule="auto"/>
        <w:tabs>
          <w:tab w:leader="none" w:pos="282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means any of the following actions taken by the Company without Executive’s express prior written consent: (i) a material reduction by the</w:t>
      </w:r>
    </w:p>
    <w:p>
      <w:pPr>
        <w:spacing w:after="0" w:line="1"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 Executive’s Base Salary; (ii) the relocation of Executive’s principal place of employment, without Executive’s consent, to a place that increases Executive’s one-way commute by more than fifty (50) miles as compared to Executive’s then-current principal place of employment immediately prior to such relocation; (iii) a material reduction in Executive’s duties, authority, or responsibilities for the Company relative to Executive’s duties,</w:t>
      </w:r>
    </w:p>
    <w:p>
      <w:pPr>
        <w:spacing w:after="0" w:line="2" w:lineRule="exact"/>
        <w:rPr>
          <w:rFonts w:ascii="Times New Roman" w:cs="Times New Roman" w:eastAsia="Times New Roman" w:hAnsi="Times New Roman"/>
          <w:sz w:val="18"/>
          <w:szCs w:val="18"/>
          <w:color w:val="auto"/>
        </w:rPr>
      </w:pPr>
    </w:p>
    <w:p>
      <w:pPr>
        <w:jc w:val="both"/>
        <w:ind w:left="240" w:right="23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authority, or responsibilities in effect immediately prior to such reduction; or (iv) a material breach by the Company of this or any other agreement with Executive; provided, however, that, any such termination by Executive shall only be deemed for Good Reason pursuant to this definition if: (1) Executive gives the Company written notice of Executive’s intent to terminate for Good Reason within sixty (60) days following Executive’s learning of the occurrence of the</w:t>
      </w:r>
    </w:p>
    <w:p>
      <w:pPr>
        <w:spacing w:after="0" w:line="1" w:lineRule="exact"/>
        <w:rPr>
          <w:rFonts w:ascii="Times New Roman" w:cs="Times New Roman" w:eastAsia="Times New Roman" w:hAnsi="Times New Roman"/>
          <w:sz w:val="18"/>
          <w:szCs w:val="18"/>
          <w:color w:val="auto"/>
        </w:rPr>
      </w:pPr>
    </w:p>
    <w:p>
      <w:pPr>
        <w:jc w:val="both"/>
        <w:ind w:left="24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Executive believes constitute(s) Good Reason, which notice shall describe such condition(s); (2) the Company fails to remedy such condition(s) within thirty (30) days following receipt of the written notice (the “Cure Period”); and (3) Executive voluntarily terminates Executive’s employment within thirty (30) days following the end of the Cure Period.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06" w:name="page107"/>
    <w:bookmarkEnd w:id="106"/>
    <w:p>
      <w:pPr>
        <w:jc w:val="both"/>
        <w:ind w:left="240" w:right="259" w:firstLine="1948"/>
        <w:spacing w:after="0" w:line="284" w:lineRule="auto"/>
        <w:tabs>
          <w:tab w:leader="none" w:pos="28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means (i) a material breach of any covenant or condition under this Agreement or any other agreement between the parties; (ii) any commission of (or attempted commission of) an act constituting dishonesty, fraud, immoral or disreputable conduct which is reasonably likely to cause harm (including reputational harm) to the Company; (iii) the occurrence of any act or omission by the Executive that could reasonably be expected to result in (or has resulted in) the Executive’s conviction, plea of no contest, plea of nolo contendere, or imposition of unadjudicated probation for any felony (or equivalent in any jurisdiction); (iv) material violation of any written Company policy of which Executive has been given notice (including but not limited to Company policies preventing harassment), after the expiration of thirty (30) days without cure after written notice of such violation to the extent such violation is curable; (v) refusal to follow or implement a clear, lawful and reasonable directive of Company after the expiration of thirty (30) days without cure after written notice of such failure to the extent such failure is curable; (vi) gross negligence or gross incompetence in the performance of Executive’s duties after the expiration of thirty (30) days without cure after written notice of such failure to the extent such failure is curable; (vii) the Executive’s unauthorized use or disclosure of the confidential information or trade secrets of the Company or any subsidiary; or (viii) breach of fiduciary duty.</w:t>
      </w:r>
    </w:p>
    <w:p>
      <w:pPr>
        <w:spacing w:after="0" w:line="229" w:lineRule="exact"/>
        <w:rPr>
          <w:rFonts w:ascii="Times New Roman" w:cs="Times New Roman" w:eastAsia="Times New Roman" w:hAnsi="Times New Roman"/>
          <w:sz w:val="18"/>
          <w:szCs w:val="18"/>
          <w:color w:val="auto"/>
        </w:rPr>
      </w:pPr>
    </w:p>
    <w:p>
      <w:pPr>
        <w:jc w:val="both"/>
        <w:ind w:left="240" w:right="259" w:firstLine="1948"/>
        <w:spacing w:after="0" w:line="297" w:lineRule="auto"/>
        <w:tabs>
          <w:tab w:leader="none" w:pos="28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provided to Executive pursuant to this Section 6.2 are in lieu of, and not in addition to, any benefits to which Executive may otherwise be entitled under any Company severance plan, policy, or program.</w:t>
      </w:r>
    </w:p>
    <w:p>
      <w:pPr>
        <w:spacing w:after="0" w:line="217" w:lineRule="exact"/>
        <w:rPr>
          <w:rFonts w:ascii="Times New Roman" w:cs="Times New Roman" w:eastAsia="Times New Roman" w:hAnsi="Times New Roman"/>
          <w:sz w:val="18"/>
          <w:szCs w:val="18"/>
          <w:color w:val="auto"/>
        </w:rPr>
      </w:pPr>
    </w:p>
    <w:p>
      <w:pPr>
        <w:jc w:val="both"/>
        <w:ind w:left="240" w:right="259" w:firstLine="1948"/>
        <w:spacing w:after="0" w:line="292" w:lineRule="auto"/>
        <w:tabs>
          <w:tab w:leader="none" w:pos="28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caused by the termination of Executive’s employment without Cause or for Good Reason would be difficult to ascertain; therefore, the Non-CIC Severance Benefits for which Executive is eligible pursuant to Section 6.2(a) above in exchange for the Separation Agreement is agreed to by the parties as liquidated damages, to serve as full compensation, and not a penalty, and is not subject to mitigation.</w:t>
      </w:r>
    </w:p>
    <w:p>
      <w:pPr>
        <w:spacing w:after="0" w:line="221" w:lineRule="exact"/>
        <w:rPr>
          <w:rFonts w:ascii="Times New Roman" w:cs="Times New Roman" w:eastAsia="Times New Roman" w:hAnsi="Times New Roman"/>
          <w:sz w:val="18"/>
          <w:szCs w:val="18"/>
          <w:color w:val="auto"/>
        </w:rPr>
      </w:pPr>
    </w:p>
    <w:p>
      <w:pPr>
        <w:jc w:val="both"/>
        <w:ind w:left="240" w:right="259" w:firstLine="1948"/>
        <w:spacing w:after="0" w:line="286" w:lineRule="auto"/>
        <w:tabs>
          <w:tab w:leader="none" w:pos="28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for Cause, or Executive resigns from employment with the Company without Good Reason, regardless of whether or not such termination is in connection with a Change in Control, then Executive shall be entitled to the Accrued Obligations, but Executive</w:t>
      </w:r>
    </w:p>
    <w:p>
      <w:pPr>
        <w:spacing w:after="0" w:line="2" w:lineRule="exact"/>
        <w:rPr>
          <w:rFonts w:ascii="Times New Roman" w:cs="Times New Roman" w:eastAsia="Times New Roman" w:hAnsi="Times New Roman"/>
          <w:sz w:val="18"/>
          <w:szCs w:val="18"/>
          <w:color w:val="auto"/>
        </w:rPr>
      </w:pPr>
    </w:p>
    <w:p>
      <w:pPr>
        <w:ind w:left="240" w:right="259"/>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the Non-CIC Severance Benefits, the CIC Severance Benefits, or any other severance compensation or benefit.</w:t>
      </w:r>
    </w:p>
    <w:p>
      <w:pPr>
        <w:spacing w:after="0" w:line="203" w:lineRule="exact"/>
        <w:rPr>
          <w:sz w:val="20"/>
          <w:szCs w:val="20"/>
          <w:color w:val="auto"/>
        </w:rPr>
      </w:pPr>
    </w:p>
    <w:p>
      <w:pPr>
        <w:ind w:left="240" w:right="739" w:firstLine="1295"/>
        <w:spacing w:after="0" w:line="31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Resignation by Executive for Good Reason or Termination by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without Cause (in connection with a Change in Control)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240" w:right="259" w:firstLine="1948"/>
        <w:spacing w:after="0" w:line="293" w:lineRule="auto"/>
        <w:tabs>
          <w:tab w:leader="none" w:pos="28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terminates Executive’s employment without Cause or Executive resigns for Good Reason within twelve (12) months following the effective date of a Change in Control (“Change in Control Termination Date”), then Executive shall be entitled to the Accrued Obligations and, subject to Executive’s compliance with Section 6.2(b) above, Executive shall be eligible to receive the following severance benefits (collectively the “CIC Severance Benefits”), subject to the terms and conditions set forth in Section 6.3(b):</w:t>
      </w:r>
    </w:p>
    <w:p>
      <w:pPr>
        <w:spacing w:after="0" w:line="208" w:lineRule="exact"/>
        <w:rPr>
          <w:rFonts w:ascii="Times New Roman" w:cs="Times New Roman" w:eastAsia="Times New Roman" w:hAnsi="Times New Roman"/>
          <w:sz w:val="18"/>
          <w:szCs w:val="18"/>
          <w:color w:val="auto"/>
        </w:rPr>
      </w:pPr>
    </w:p>
    <w:p>
      <w:pPr>
        <w:jc w:val="both"/>
        <w:ind w:left="820" w:right="259" w:firstLine="2585"/>
        <w:spacing w:after="0" w:line="305" w:lineRule="auto"/>
        <w:tabs>
          <w:tab w:leader="none" w:pos="406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eighteen (18) months of Executive’s then current Base Salary, less standard payroll deductions and withholdings, paid in installments on the Company’s regular payroll dates;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107" w:name="page108"/>
    <w:bookmarkEnd w:id="107"/>
    <w:p>
      <w:pPr>
        <w:ind w:left="4060" w:hanging="655"/>
        <w:spacing w:after="0"/>
        <w:tabs>
          <w:tab w:leader="none" w:pos="40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Executive or Executive’s covered dependents, as the</w:t>
      </w:r>
    </w:p>
    <w:p>
      <w:pPr>
        <w:spacing w:after="0" w:line="49" w:lineRule="exact"/>
        <w:rPr>
          <w:rFonts w:ascii="Times New Roman" w:cs="Times New Roman" w:eastAsia="Times New Roman" w:hAnsi="Times New Roman"/>
          <w:sz w:val="18"/>
          <w:szCs w:val="18"/>
          <w:color w:val="auto"/>
        </w:rPr>
      </w:pPr>
    </w:p>
    <w:p>
      <w:pPr>
        <w:jc w:val="both"/>
        <w:ind w:left="82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may be, timely elects continued coverage under COBRA under the Company’s group health plans following such termination, the portion of the COBRA premiums which is equal to the cost of the coverage that the Company was paying as of the date of termination, to continue Executive’s (and Executive’s covered dependents, as applicable) health insurance coverage in effect on the termination date until the earliest of: (1)</w:t>
      </w:r>
    </w:p>
    <w:p>
      <w:pPr>
        <w:spacing w:after="0" w:line="2" w:lineRule="exact"/>
        <w:rPr>
          <w:rFonts w:ascii="Times New Roman" w:cs="Times New Roman" w:eastAsia="Times New Roman" w:hAnsi="Times New Roman"/>
          <w:sz w:val="18"/>
          <w:szCs w:val="18"/>
          <w:color w:val="auto"/>
        </w:rPr>
      </w:pPr>
    </w:p>
    <w:p>
      <w:pPr>
        <w:jc w:val="both"/>
        <w:ind w:left="820" w:right="239"/>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eighteen (18) months following the termination date; (2) the date when Executive becomes eligible for substantially equivalent health insurance coverage in connection with new employment or self-employment; or</w:t>
      </w:r>
    </w:p>
    <w:p>
      <w:pPr>
        <w:jc w:val="both"/>
        <w:ind w:left="820" w:right="239" w:hanging="7"/>
        <w:spacing w:after="0" w:line="289" w:lineRule="auto"/>
        <w:tabs>
          <w:tab w:leader="none" w:pos="10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Executive ceases to be eligible for COBRA continuation coverage for any reason, including plan termination (such period from the termination date through the earlier of (1)-(3), (the “CIC COBRA Payment</w:t>
      </w:r>
    </w:p>
    <w:p>
      <w:pPr>
        <w:spacing w:after="0" w:line="1" w:lineRule="exact"/>
        <w:rPr>
          <w:rFonts w:ascii="Times New Roman" w:cs="Times New Roman" w:eastAsia="Times New Roman" w:hAnsi="Times New Roman"/>
          <w:sz w:val="18"/>
          <w:szCs w:val="18"/>
          <w:color w:val="auto"/>
        </w:rPr>
      </w:pPr>
    </w:p>
    <w:p>
      <w:pPr>
        <w:jc w:val="both"/>
        <w:ind w:left="820" w:right="23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Period”).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w:t>
      </w:r>
    </w:p>
    <w:p>
      <w:pPr>
        <w:spacing w:after="0" w:line="1" w:lineRule="exact"/>
        <w:rPr>
          <w:rFonts w:ascii="Times New Roman" w:cs="Times New Roman" w:eastAsia="Times New Roman" w:hAnsi="Times New Roman"/>
          <w:sz w:val="18"/>
          <w:szCs w:val="18"/>
          <w:color w:val="auto"/>
        </w:rPr>
      </w:pPr>
    </w:p>
    <w:p>
      <w:pPr>
        <w:jc w:val="both"/>
        <w:ind w:left="820" w:right="239"/>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on the last day of each remaining month of the CIC COBRA Payment Period, a fully taxable cash payment equal to the COBRA premium for such month, subject to applicable tax withholding, for the remainder of the CIC COBRA Payment Period. Nothing in this Agreement shall deprive Executive of Executive’s rights under COBRA or ERISA for benefits under plans and policies arising under Executive’s employment by the Company;</w:t>
      </w:r>
    </w:p>
    <w:p>
      <w:pPr>
        <w:spacing w:after="0" w:line="208" w:lineRule="exact"/>
        <w:rPr>
          <w:rFonts w:ascii="Times New Roman" w:cs="Times New Roman" w:eastAsia="Times New Roman" w:hAnsi="Times New Roman"/>
          <w:sz w:val="18"/>
          <w:szCs w:val="18"/>
          <w:color w:val="auto"/>
        </w:rPr>
      </w:pPr>
    </w:p>
    <w:p>
      <w:pPr>
        <w:ind w:left="4060" w:hanging="655"/>
        <w:spacing w:after="0"/>
        <w:tabs>
          <w:tab w:leader="none" w:pos="40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in an amount equal to the full Annual</w:t>
      </w:r>
    </w:p>
    <w:p>
      <w:pPr>
        <w:spacing w:after="0" w:line="49" w:lineRule="exact"/>
        <w:rPr>
          <w:rFonts w:ascii="Times New Roman" w:cs="Times New Roman" w:eastAsia="Times New Roman" w:hAnsi="Times New Roman"/>
          <w:sz w:val="18"/>
          <w:szCs w:val="18"/>
          <w:color w:val="auto"/>
        </w:rPr>
      </w:pPr>
    </w:p>
    <w:p>
      <w:pPr>
        <w:jc w:val="both"/>
        <w:ind w:left="820" w:right="25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calculated at the Target Percentage for the year in which the termination occurs and the prior year if annual bonuses for the prior year have not yet been paid, subject to standard payroll deductions and withholdings; and</w:t>
      </w:r>
    </w:p>
    <w:p>
      <w:pPr>
        <w:spacing w:after="0" w:line="217" w:lineRule="exact"/>
        <w:rPr>
          <w:rFonts w:ascii="Times New Roman" w:cs="Times New Roman" w:eastAsia="Times New Roman" w:hAnsi="Times New Roman"/>
          <w:sz w:val="18"/>
          <w:szCs w:val="18"/>
          <w:color w:val="auto"/>
        </w:rPr>
      </w:pPr>
    </w:p>
    <w:p>
      <w:pPr>
        <w:jc w:val="both"/>
        <w:ind w:left="820" w:right="239" w:firstLine="2585"/>
        <w:spacing w:after="0" w:line="285" w:lineRule="auto"/>
        <w:tabs>
          <w:tab w:leader="none" w:pos="4059"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Executive’s Change in Control Termination Date (and notwithstanding anything to the contrary in the applicable equity incentive plan(s) and the applicable award agreement(s) governing the terms of such equity awards), the vesting and exercisability of all outstanding equity awards held by Executive immediately prior to the Change in Control Termination Date</w:t>
      </w:r>
    </w:p>
    <w:p>
      <w:pPr>
        <w:spacing w:after="0" w:line="2" w:lineRule="exact"/>
        <w:rPr>
          <w:rFonts w:ascii="Times New Roman" w:cs="Times New Roman" w:eastAsia="Times New Roman" w:hAnsi="Times New Roman"/>
          <w:sz w:val="18"/>
          <w:szCs w:val="18"/>
          <w:color w:val="auto"/>
        </w:rPr>
      </w:pPr>
    </w:p>
    <w:p>
      <w:pPr>
        <w:ind w:left="820" w:right="259"/>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accelerated in full, and otherwise shall be administered in accordance with the applicable equity incentive plan(s) and the applicable award agreement(s) governing the terms of such equity awards.</w:t>
      </w:r>
    </w:p>
    <w:p>
      <w:pPr>
        <w:spacing w:after="0" w:line="189"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make any payments to Executive with respect to any of the</w:t>
      </w:r>
    </w:p>
    <w:p>
      <w:pPr>
        <w:spacing w:after="0" w:line="49" w:lineRule="exact"/>
        <w:rPr>
          <w:rFonts w:ascii="Times New Roman" w:cs="Times New Roman" w:eastAsia="Times New Roman" w:hAnsi="Times New Roman"/>
          <w:sz w:val="18"/>
          <w:szCs w:val="18"/>
          <w:color w:val="auto"/>
        </w:rPr>
      </w:pPr>
    </w:p>
    <w:p>
      <w:pPr>
        <w:jc w:val="both"/>
        <w:ind w:left="240" w:right="25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benefits pursuant to Section 6.3(a) prior to the 60th day following Executive’s date of termination. On the first payroll date after the 60th day following Executive’s date of termination, and provided that Executive has delivered an effective Separation Agreement, the Company will (i) make the first payment to Executive under Section 6.3(a)(i) and, in a lump sum, an amount equal to the aggregate amount of payments that the Company would have paid Executive</w:t>
      </w:r>
    </w:p>
    <w:p>
      <w:pPr>
        <w:spacing w:after="0" w:line="1" w:lineRule="exact"/>
        <w:rPr>
          <w:rFonts w:ascii="Times New Roman" w:cs="Times New Roman" w:eastAsia="Times New Roman" w:hAnsi="Times New Roman"/>
          <w:sz w:val="18"/>
          <w:szCs w:val="18"/>
          <w:color w:val="auto"/>
        </w:rPr>
      </w:pPr>
    </w:p>
    <w:p>
      <w:pPr>
        <w:jc w:val="both"/>
        <w:ind w:left="240" w:right="25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such date had the payments commenced on Executive’s date of termination through such 60th day, with the balance of the payments paid thereafter on the schedule described above; and (ii) make the lump sum payment specified in Section 6.3(a)(iii) that has not yet been made due to this Section 6.3(b), in the cases of (i) and (ii) subject to any delay in payment required by Section 6.6.</w:t>
      </w:r>
    </w:p>
    <w:p>
      <w:pPr>
        <w:spacing w:after="0" w:line="221" w:lineRule="exact"/>
        <w:rPr>
          <w:rFonts w:ascii="Times New Roman" w:cs="Times New Roman" w:eastAsia="Times New Roman" w:hAnsi="Times New Roman"/>
          <w:sz w:val="18"/>
          <w:szCs w:val="18"/>
          <w:color w:val="auto"/>
        </w:rPr>
      </w:pPr>
    </w:p>
    <w:p>
      <w:pPr>
        <w:jc w:val="both"/>
        <w:ind w:left="240" w:right="239" w:firstLine="1948"/>
        <w:spacing w:after="0" w:line="305" w:lineRule="auto"/>
        <w:tabs>
          <w:tab w:leader="none" w:pos="282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provided to Executive pursuant to this Section 6.3 are in lieu of, and not in addition to, any benefits to which Executive may otherwise be entitled under any Company severance plan, policy, or program. For avoidance of doubt, Executive shall not be eligible for both CIC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08" w:name="page109"/>
    <w:bookmarkEnd w:id="108"/>
    <w:p>
      <w:pPr>
        <w:ind w:left="240"/>
        <w:spacing w:after="0"/>
        <w:rPr>
          <w:sz w:val="20"/>
          <w:szCs w:val="20"/>
          <w:color w:val="auto"/>
        </w:rPr>
      </w:pPr>
      <w:r>
        <w:rPr>
          <w:rFonts w:ascii="Times New Roman" w:cs="Times New Roman" w:eastAsia="Times New Roman" w:hAnsi="Times New Roman"/>
          <w:sz w:val="18"/>
          <w:szCs w:val="18"/>
          <w:color w:val="auto"/>
        </w:rPr>
        <w:t>Severance Benefits and Non-CIC Severance Benefits.</w:t>
      </w:r>
    </w:p>
    <w:p>
      <w:pPr>
        <w:spacing w:after="0" w:line="306" w:lineRule="exact"/>
        <w:rPr>
          <w:sz w:val="20"/>
          <w:szCs w:val="20"/>
          <w:color w:val="auto"/>
        </w:rPr>
      </w:pPr>
    </w:p>
    <w:p>
      <w:pPr>
        <w:jc w:val="both"/>
        <w:ind w:left="240" w:right="259" w:firstLine="1948"/>
        <w:spacing w:after="0" w:line="289" w:lineRule="auto"/>
        <w:tabs>
          <w:tab w:leader="none" w:pos="28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caused by the termination of Executive’s employment without Cause or for Good Reason in connection with a Change in Control would be difficult to ascertain; therefore, the CIC</w:t>
      </w:r>
    </w:p>
    <w:p>
      <w:pPr>
        <w:spacing w:after="0" w:line="1" w:lineRule="exact"/>
        <w:rPr>
          <w:rFonts w:ascii="Times New Roman" w:cs="Times New Roman" w:eastAsia="Times New Roman" w:hAnsi="Times New Roman"/>
          <w:sz w:val="18"/>
          <w:szCs w:val="18"/>
          <w:color w:val="auto"/>
        </w:rPr>
      </w:pPr>
    </w:p>
    <w:p>
      <w:pPr>
        <w:jc w:val="both"/>
        <w:ind w:left="240" w:right="25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for which Executive is eligible pursuant to Section 6.3(a) above in exchange for the Separation Agreement is agreed to by the parties as liquidated damages, to serve as full compensation, and not a penalty, and is not subject to mitigation.</w:t>
      </w:r>
    </w:p>
    <w:p>
      <w:pPr>
        <w:spacing w:after="0" w:line="217" w:lineRule="exact"/>
        <w:rPr>
          <w:sz w:val="20"/>
          <w:szCs w:val="20"/>
          <w:color w:val="auto"/>
        </w:rPr>
      </w:pPr>
    </w:p>
    <w:p>
      <w:pPr>
        <w:jc w:val="both"/>
        <w:ind w:left="240" w:right="239" w:firstLine="1295"/>
        <w:spacing w:after="0" w:line="28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Cooperation With the Company After Termination of Employment</w:t>
      </w:r>
      <w:r>
        <w:rPr>
          <w:rFonts w:ascii="Times New Roman" w:cs="Times New Roman" w:eastAsia="Times New Roman" w:hAnsi="Times New Roman"/>
          <w:sz w:val="18"/>
          <w:szCs w:val="18"/>
          <w:color w:val="auto"/>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provided, that the Company agrees that the Company (a) shall make reasonable efforts to minimize disruption of Executive’s other activities, and (b) shall reimburse Executive for all reasonable expenses incurred in connection with such cooperation.</w:t>
      </w:r>
    </w:p>
    <w:p>
      <w:pPr>
        <w:spacing w:after="0" w:line="226" w:lineRule="exact"/>
        <w:rPr>
          <w:sz w:val="20"/>
          <w:szCs w:val="20"/>
          <w:color w:val="auto"/>
        </w:rPr>
      </w:pPr>
    </w:p>
    <w:p>
      <w:pPr>
        <w:jc w:val="both"/>
        <w:ind w:left="240" w:right="259" w:firstLine="1295"/>
        <w:spacing w:after="0" w:line="29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Executive agrees that should Executive’s employment be terminated for any reason, Executive shall be deemed to have resigned from any and all positions with the Company, including, but not limited to, a position on the board of directors of the Company and all positions with any and all subsidiaries and Affiliates of the Company.</w:t>
      </w:r>
    </w:p>
    <w:p>
      <w:pPr>
        <w:spacing w:after="0" w:line="190"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Application of Section 409A</w:t>
      </w:r>
      <w:r>
        <w:rPr>
          <w:rFonts w:ascii="Times New Roman" w:cs="Times New Roman" w:eastAsia="Times New Roman" w:hAnsi="Times New Roman"/>
          <w:sz w:val="17"/>
          <w:szCs w:val="17"/>
          <w:color w:val="auto"/>
        </w:rPr>
        <w:t>.</w:t>
      </w:r>
    </w:p>
    <w:p>
      <w:pPr>
        <w:spacing w:after="0" w:line="306" w:lineRule="exact"/>
        <w:rPr>
          <w:sz w:val="20"/>
          <w:szCs w:val="20"/>
          <w:color w:val="auto"/>
        </w:rPr>
      </w:pPr>
    </w:p>
    <w:p>
      <w:pPr>
        <w:jc w:val="both"/>
        <w:ind w:left="240" w:right="239" w:firstLine="1948"/>
        <w:spacing w:after="0" w:line="289" w:lineRule="auto"/>
        <w:tabs>
          <w:tab w:leader="none" w:pos="28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all of the compensation payable under this Agreement, to the greatest extent possible, either complies with the requirements of Section 409A of the Code and the regulations and</w:t>
      </w:r>
    </w:p>
    <w:p>
      <w:pPr>
        <w:spacing w:after="0" w:line="1" w:lineRule="exact"/>
        <w:rPr>
          <w:rFonts w:ascii="Times New Roman" w:cs="Times New Roman" w:eastAsia="Times New Roman" w:hAnsi="Times New Roman"/>
          <w:sz w:val="18"/>
          <w:szCs w:val="18"/>
          <w:color w:val="auto"/>
        </w:rPr>
      </w:pPr>
    </w:p>
    <w:p>
      <w:pPr>
        <w:jc w:val="both"/>
        <w:ind w:left="240" w:right="23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guidance thereunder and any state law of similar effect (collectively, “Section 409A”) or satisfies one or more of the exemptions from the application of Section 409A, and this Agreement will be construed in a manner consistent with such intention, incorporating by reference all required definitions and payment terms.</w:t>
      </w:r>
    </w:p>
    <w:p>
      <w:pPr>
        <w:spacing w:after="0" w:line="217" w:lineRule="exact"/>
        <w:rPr>
          <w:rFonts w:ascii="Times New Roman" w:cs="Times New Roman" w:eastAsia="Times New Roman" w:hAnsi="Times New Roman"/>
          <w:sz w:val="18"/>
          <w:szCs w:val="18"/>
          <w:color w:val="auto"/>
        </w:rPr>
      </w:pPr>
    </w:p>
    <w:p>
      <w:pPr>
        <w:jc w:val="both"/>
        <w:ind w:left="240" w:right="239" w:firstLine="1948"/>
        <w:spacing w:after="0" w:line="285" w:lineRule="auto"/>
        <w:tabs>
          <w:tab w:leader="none" w:pos="28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w:t>
      </w:r>
    </w:p>
    <w:p>
      <w:pPr>
        <w:spacing w:after="0" w:line="2" w:lineRule="exact"/>
        <w:rPr>
          <w:rFonts w:ascii="Times New Roman" w:cs="Times New Roman" w:eastAsia="Times New Roman" w:hAnsi="Times New Roman"/>
          <w:sz w:val="18"/>
          <w:szCs w:val="18"/>
          <w:color w:val="auto"/>
        </w:rPr>
      </w:pPr>
    </w:p>
    <w:p>
      <w:pPr>
        <w:ind w:left="240" w:right="259"/>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series of separate payments and, accordingly, each installment payment hereunder shall at all times be considered a separate and distinct payment.</w:t>
      </w:r>
    </w:p>
    <w:p>
      <w:pPr>
        <w:spacing w:after="0" w:line="189" w:lineRule="exact"/>
        <w:rPr>
          <w:rFonts w:ascii="Times New Roman" w:cs="Times New Roman" w:eastAsia="Times New Roman" w:hAnsi="Times New Roman"/>
          <w:sz w:val="18"/>
          <w:szCs w:val="18"/>
          <w:color w:val="auto"/>
        </w:rPr>
      </w:pPr>
    </w:p>
    <w:p>
      <w:pPr>
        <w:ind w:left="2840" w:hanging="652"/>
        <w:spacing w:after="0"/>
        <w:tabs>
          <w:tab w:leader="none" w:pos="2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severance payments are deferred compensation under</w:t>
      </w:r>
    </w:p>
    <w:p>
      <w:pPr>
        <w:spacing w:after="0" w:line="49"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are not otherwise exempt from the application of Section 409A, then, to the extent required to comply with Section 409A, if the period during which Executive may consider and sign the Separation Agreement spans two calendar years, the severance payments will not begin until the second calendar year. If the Company determines that the severance benefits provided under this Agreement constitutes “deferred compensation” under</w:t>
      </w:r>
    </w:p>
    <w:p>
      <w:pPr>
        <w:spacing w:after="0" w:line="2"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if Executive is a “specified employee” of the Company, as such term is defined in Section 409A(a)</w:t>
      </w:r>
    </w:p>
    <w:p>
      <w:pPr>
        <w:spacing w:after="0" w:line="36" w:lineRule="exact"/>
        <w:rPr>
          <w:rFonts w:ascii="Times New Roman" w:cs="Times New Roman" w:eastAsia="Times New Roman" w:hAnsi="Times New Roman"/>
          <w:sz w:val="18"/>
          <w:szCs w:val="18"/>
          <w:color w:val="auto"/>
        </w:rPr>
      </w:pPr>
    </w:p>
    <w:p>
      <w:pPr>
        <w:jc w:val="both"/>
        <w:ind w:left="240" w:right="23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09" w:name="page110"/>
    <w:bookmarkEnd w:id="109"/>
    <w:p>
      <w:pPr>
        <w:jc w:val="both"/>
        <w:ind w:left="240" w:right="259"/>
        <w:spacing w:after="0" w:line="283" w:lineRule="auto"/>
        <w:rPr>
          <w:sz w:val="20"/>
          <w:szCs w:val="20"/>
          <w:color w:val="auto"/>
        </w:rPr>
      </w:pPr>
      <w:r>
        <w:rPr>
          <w:rFonts w:ascii="Times New Roman" w:cs="Times New Roman" w:eastAsia="Times New Roman" w:hAnsi="Times New Roman"/>
          <w:sz w:val="18"/>
          <w:szCs w:val="18"/>
          <w:color w:val="auto"/>
        </w:rPr>
        <w:t>of Executive’s death, the Company will: (i) pay to Executive a lump sum amount equal to the sum of the severance benefits that Executive would otherwise have received if the commencement of the payment of the severance benefits had not been delayed pursuant to this Section 6.6(c); and (ii) commence paying the balance of the severance benefits in accordance with the applicable payment schedule set forth in Sections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6.2 and 6.3. No interest shall be due on any amounts deferred pursuant to this Section 6.6(c).</w:t>
      </w:r>
    </w:p>
    <w:p>
      <w:pPr>
        <w:spacing w:after="0" w:line="301" w:lineRule="exact"/>
        <w:rPr>
          <w:sz w:val="20"/>
          <w:szCs w:val="20"/>
          <w:color w:val="auto"/>
        </w:rPr>
      </w:pPr>
    </w:p>
    <w:p>
      <w:pPr>
        <w:jc w:val="both"/>
        <w:ind w:left="240" w:right="239" w:firstLine="1948"/>
        <w:spacing w:after="0" w:line="286" w:lineRule="auto"/>
        <w:tabs>
          <w:tab w:leader="none" w:pos="28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w:t>
      </w:r>
    </w:p>
    <w:p>
      <w:pPr>
        <w:spacing w:after="0" w:line="2" w:lineRule="exact"/>
        <w:rPr>
          <w:rFonts w:ascii="Times New Roman" w:cs="Times New Roman" w:eastAsia="Times New Roman" w:hAnsi="Times New Roman"/>
          <w:sz w:val="18"/>
          <w:szCs w:val="18"/>
          <w:color w:val="auto"/>
        </w:rPr>
      </w:pPr>
    </w:p>
    <w:p>
      <w:pPr>
        <w:jc w:val="both"/>
        <w:ind w:left="24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in-kind benefits provided to Executive) during any one year may not affect amounts reimbursable or provided in any subsequent year. The Company makes no representation that compensation paid pursuant to the terms of this Agreement will be exempt from or comply with Section 409A and makes no undertaking to preclude Section 409A from applying to any such payment.</w:t>
      </w:r>
    </w:p>
    <w:p>
      <w:pPr>
        <w:spacing w:after="0" w:line="208"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Excise Tax Adjustment</w:t>
      </w:r>
      <w:r>
        <w:rPr>
          <w:rFonts w:ascii="Times New Roman" w:cs="Times New Roman" w:eastAsia="Times New Roman" w:hAnsi="Times New Roman"/>
          <w:sz w:val="17"/>
          <w:szCs w:val="17"/>
          <w:color w:val="auto"/>
        </w:rPr>
        <w:t>.</w:t>
      </w:r>
    </w:p>
    <w:p>
      <w:pPr>
        <w:spacing w:after="0" w:line="306" w:lineRule="exact"/>
        <w:rPr>
          <w:sz w:val="20"/>
          <w:szCs w:val="20"/>
          <w:color w:val="auto"/>
        </w:rPr>
      </w:pPr>
    </w:p>
    <w:p>
      <w:pPr>
        <w:jc w:val="both"/>
        <w:ind w:left="240" w:right="259" w:firstLine="1948"/>
        <w:spacing w:after="0" w:line="286" w:lineRule="auto"/>
        <w:tabs>
          <w:tab w:leader="none" w:pos="28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Executive will or may receive from the Company or otherwise (a “280G Payment”) would (i) constitute a “parachute payment” within the meaning of Section 280G of the Code, and (ii) but for this Section, be subject to the excise tax imposed by Section 4999 of the Code (the “Excise</w:t>
      </w:r>
    </w:p>
    <w:p>
      <w:pPr>
        <w:spacing w:after="0" w:line="2" w:lineRule="exact"/>
        <w:rPr>
          <w:rFonts w:ascii="Times New Roman" w:cs="Times New Roman" w:eastAsia="Times New Roman" w:hAnsi="Times New Roman"/>
          <w:sz w:val="18"/>
          <w:szCs w:val="18"/>
          <w:color w:val="auto"/>
        </w:rPr>
      </w:pPr>
    </w:p>
    <w:p>
      <w:pPr>
        <w:jc w:val="both"/>
        <w:ind w:left="240" w:right="23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Tax”), then any such 280G Payment provided pursuant to this Agreement (a “Payment”) shall be equal to the Reduced Amount. The “Reduced Amount” shall be either (x) the largest portion of the Payment that would result in no portion of the Payment (after reduction) being subject to the Excise Tax, or </w:t>
      </w:r>
      <w:r>
        <w:rPr>
          <w:rFonts w:ascii="Times New Roman" w:cs="Times New Roman" w:eastAsia="Times New Roman" w:hAnsi="Times New Roman"/>
          <w:sz w:val="18"/>
          <w:szCs w:val="18"/>
          <w:color w:val="auto"/>
        </w:rPr>
        <w:t>(y) the largest portion, up to and including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total, of the Payment, whichever amount (i.e., the amount determined by clause (x) or by clause (y)), after</w:t>
      </w:r>
    </w:p>
    <w:p>
      <w:pPr>
        <w:spacing w:after="0" w:line="2"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Executive. If more than one method of reduction will result in the same economic benefit, the items so reduced will be reduced pro rata (the “Pro Rata Reduction Method”).</w:t>
      </w:r>
    </w:p>
    <w:p>
      <w:pPr>
        <w:spacing w:after="0" w:line="209" w:lineRule="exact"/>
        <w:rPr>
          <w:rFonts w:ascii="Times New Roman" w:cs="Times New Roman" w:eastAsia="Times New Roman" w:hAnsi="Times New Roman"/>
          <w:sz w:val="18"/>
          <w:szCs w:val="18"/>
          <w:color w:val="auto"/>
        </w:rPr>
      </w:pPr>
    </w:p>
    <w:p>
      <w:pPr>
        <w:ind w:left="2840" w:hanging="651"/>
        <w:spacing w:after="0"/>
        <w:tabs>
          <w:tab w:leader="none" w:pos="28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Section 6.7 to the contrary, if the Reduction</w:t>
      </w:r>
    </w:p>
    <w:p>
      <w:pPr>
        <w:spacing w:after="0" w:line="49" w:lineRule="exact"/>
        <w:rPr>
          <w:rFonts w:ascii="Times New Roman" w:cs="Times New Roman" w:eastAsia="Times New Roman" w:hAnsi="Times New Roman"/>
          <w:sz w:val="18"/>
          <w:szCs w:val="18"/>
          <w:color w:val="auto"/>
        </w:rPr>
      </w:pPr>
    </w:p>
    <w:p>
      <w:pPr>
        <w:jc w:val="both"/>
        <w:ind w:left="24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94" w:lineRule="exact"/>
        <w:rPr>
          <w:rFonts w:ascii="Times New Roman" w:cs="Times New Roman" w:eastAsia="Times New Roman" w:hAnsi="Times New Roman"/>
          <w:sz w:val="18"/>
          <w:szCs w:val="18"/>
          <w:color w:val="auto"/>
        </w:rPr>
      </w:pPr>
    </w:p>
    <w:p>
      <w:pPr>
        <w:ind w:left="560" w:right="279" w:hanging="315"/>
        <w:spacing w:after="0" w:line="313" w:lineRule="auto"/>
        <w:tabs>
          <w:tab w:leader="none" w:pos="5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first priority, the modification shall preserve to the greatest extent possible, the greatest economic benefit for Executive as determined on an after-tax basis;</w:t>
      </w:r>
    </w:p>
    <w:p>
      <w:pPr>
        <w:spacing w:after="0" w:line="189" w:lineRule="exact"/>
        <w:rPr>
          <w:rFonts w:ascii="Times New Roman" w:cs="Times New Roman" w:eastAsia="Times New Roman" w:hAnsi="Times New Roman"/>
          <w:sz w:val="18"/>
          <w:szCs w:val="18"/>
          <w:color w:val="auto"/>
        </w:rPr>
      </w:pPr>
    </w:p>
    <w:p>
      <w:pPr>
        <w:ind w:left="560" w:right="259" w:hanging="315"/>
        <w:spacing w:after="0" w:line="313" w:lineRule="auto"/>
        <w:tabs>
          <w:tab w:leader="none" w:pos="5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second priority, Payments that are contingent on future events (e.g., being terminated without Cause), shall be reduced (or eliminated) before Payments that are not contingent on future events; and</w:t>
      </w:r>
    </w:p>
    <w:p>
      <w:pPr>
        <w:spacing w:after="0" w:line="202" w:lineRule="exact"/>
        <w:rPr>
          <w:rFonts w:ascii="Times New Roman" w:cs="Times New Roman" w:eastAsia="Times New Roman" w:hAnsi="Times New Roman"/>
          <w:sz w:val="18"/>
          <w:szCs w:val="18"/>
          <w:color w:val="auto"/>
        </w:rPr>
      </w:pPr>
    </w:p>
    <w:p>
      <w:pPr>
        <w:jc w:val="both"/>
        <w:ind w:left="560" w:right="259" w:hanging="315"/>
        <w:spacing w:after="0" w:line="313" w:lineRule="auto"/>
        <w:tabs>
          <w:tab w:leader="none" w:pos="5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third priority, Payments that are “deferred compensation” within the meaning of Section 409A shall be reduced (or eliminated) before Payments that are not deferred compensation within the meaning of Section 409A.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110" w:name="page111"/>
    <w:bookmarkEnd w:id="110"/>
    <w:p>
      <w:pPr>
        <w:ind w:left="2840" w:hanging="651"/>
        <w:spacing w:after="0"/>
        <w:tabs>
          <w:tab w:leader="none" w:pos="28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Executive and the Company agree on an alternative accounting firm or law</w:t>
      </w:r>
    </w:p>
    <w:p>
      <w:pPr>
        <w:spacing w:after="0" w:line="49" w:lineRule="exact"/>
        <w:rPr>
          <w:rFonts w:ascii="Times New Roman" w:cs="Times New Roman" w:eastAsia="Times New Roman" w:hAnsi="Times New Roman"/>
          <w:sz w:val="18"/>
          <w:szCs w:val="18"/>
          <w:color w:val="auto"/>
        </w:rPr>
      </w:pPr>
    </w:p>
    <w:p>
      <w:pPr>
        <w:jc w:val="both"/>
        <w:ind w:left="240" w:right="23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w:t>
      </w:r>
    </w:p>
    <w:p>
      <w:pPr>
        <w:spacing w:after="0" w:line="2" w:lineRule="exact"/>
        <w:rPr>
          <w:rFonts w:ascii="Times New Roman" w:cs="Times New Roman" w:eastAsia="Times New Roman" w:hAnsi="Times New Roman"/>
          <w:sz w:val="18"/>
          <w:szCs w:val="18"/>
          <w:color w:val="auto"/>
        </w:rPr>
      </w:pPr>
    </w:p>
    <w:p>
      <w:pPr>
        <w:jc w:val="both"/>
        <w:ind w:left="240" w:right="239"/>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determinations required by this Section 6.7.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w:t>
      </w:r>
    </w:p>
    <w:p>
      <w:pPr>
        <w:spacing w:after="0" w:line="1" w:lineRule="exact"/>
        <w:rPr>
          <w:rFonts w:ascii="Times New Roman" w:cs="Times New Roman" w:eastAsia="Times New Roman" w:hAnsi="Times New Roman"/>
          <w:sz w:val="18"/>
          <w:szCs w:val="18"/>
          <w:color w:val="auto"/>
        </w:rPr>
      </w:pPr>
    </w:p>
    <w:p>
      <w:pPr>
        <w:ind w:left="240" w:right="239"/>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Executive’s right to a 280G Payment becomes reasonably likely to occur (if requested at that time by Executive or the Company) or such other time as requested by Executive or the Company.</w:t>
      </w:r>
    </w:p>
    <w:p>
      <w:pPr>
        <w:spacing w:after="0" w:line="162" w:lineRule="exact"/>
        <w:rPr>
          <w:rFonts w:ascii="Times New Roman" w:cs="Times New Roman" w:eastAsia="Times New Roman" w:hAnsi="Times New Roman"/>
          <w:sz w:val="18"/>
          <w:szCs w:val="18"/>
          <w:color w:val="auto"/>
        </w:rPr>
      </w:pPr>
    </w:p>
    <w:p>
      <w:pPr>
        <w:jc w:val="both"/>
        <w:ind w:left="240" w:right="259" w:firstLine="1949"/>
        <w:spacing w:after="0" w:line="289" w:lineRule="auto"/>
        <w:tabs>
          <w:tab w:leader="none" w:pos="28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receives a Payment for which the Reduced Amount was determined pursuant to clause (x) of Section 6.7(a) and the Internal Revenue Service determines thereafter that some portion of</w:t>
      </w:r>
    </w:p>
    <w:p>
      <w:pPr>
        <w:spacing w:after="0" w:line="1" w:lineRule="exact"/>
        <w:rPr>
          <w:rFonts w:ascii="Times New Roman" w:cs="Times New Roman" w:eastAsia="Times New Roman" w:hAnsi="Times New Roman"/>
          <w:sz w:val="18"/>
          <w:szCs w:val="18"/>
          <w:color w:val="auto"/>
        </w:rPr>
      </w:pPr>
    </w:p>
    <w:p>
      <w:pPr>
        <w:jc w:val="both"/>
        <w:ind w:left="240" w:right="239"/>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subject to the Excise Tax, Executive agrees to promptly return to the Company a sufficient amount of the Payment (after reduction pursuant to clause (x) of Section 6.7(a)) so that no portion of the remaining Payment is subject to the Excise Tax. For the avoidance of doubt, if the Reduced Amount was determined pursuant to clause (y) of Section 6.7(a), Executive shall have no obligation to return any portion of the Payment pursuant to the preceding sentence.</w:t>
      </w:r>
    </w:p>
    <w:p>
      <w:pPr>
        <w:spacing w:after="0" w:line="167" w:lineRule="exact"/>
        <w:rPr>
          <w:rFonts w:ascii="Times New Roman" w:cs="Times New Roman" w:eastAsia="Times New Roman" w:hAnsi="Times New Roman"/>
          <w:sz w:val="18"/>
          <w:szCs w:val="18"/>
          <w:color w:val="auto"/>
        </w:rPr>
      </w:pPr>
    </w:p>
    <w:p>
      <w:pPr>
        <w:ind w:left="1540" w:hanging="647"/>
        <w:spacing w:after="0"/>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hereunder shall be in writing and shall be deemed</w:t>
      </w:r>
    </w:p>
    <w:p>
      <w:pPr>
        <w:spacing w:after="0" w:line="36" w:lineRule="exact"/>
        <w:rPr>
          <w:sz w:val="20"/>
          <w:szCs w:val="20"/>
          <w:color w:val="auto"/>
        </w:rPr>
      </w:pPr>
    </w:p>
    <w:p>
      <w:pPr>
        <w:jc w:val="both"/>
        <w:ind w:left="240" w:right="239"/>
        <w:spacing w:after="0" w:line="290" w:lineRule="auto"/>
        <w:rPr>
          <w:sz w:val="20"/>
          <w:szCs w:val="20"/>
          <w:color w:val="auto"/>
        </w:rPr>
      </w:pPr>
      <w:r>
        <w:rPr>
          <w:rFonts w:ascii="Times New Roman" w:cs="Times New Roman" w:eastAsia="Times New Roman" w:hAnsi="Times New Roman"/>
          <w:sz w:val="18"/>
          <w:szCs w:val="18"/>
          <w:color w:val="auto"/>
        </w:rPr>
        <w:t>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(if notice is given prior to Executive’s termination of employment) to Executive’s Company-issued email address, or at such other address as the Company or Executive may designate by ten (10) days’ advance written notice to the other.</w:t>
      </w:r>
    </w:p>
    <w:p>
      <w:pPr>
        <w:spacing w:after="0" w:line="186" w:lineRule="exact"/>
        <w:rPr>
          <w:sz w:val="20"/>
          <w:szCs w:val="20"/>
          <w:color w:val="auto"/>
        </w:rPr>
      </w:pPr>
    </w:p>
    <w:p>
      <w:pPr>
        <w:jc w:val="both"/>
        <w:ind w:left="240" w:right="239" w:firstLine="1296"/>
        <w:spacing w:after="0" w:line="29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95" w:lineRule="exact"/>
        <w:rPr>
          <w:sz w:val="20"/>
          <w:szCs w:val="20"/>
          <w:color w:val="auto"/>
        </w:rPr>
      </w:pPr>
    </w:p>
    <w:p>
      <w:pPr>
        <w:jc w:val="both"/>
        <w:ind w:left="240" w:right="259" w:firstLine="1296"/>
        <w:spacing w:after="0" w:line="29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If either party should waive any breach of any provisions of this Agreement, Executive or the Company shall not thereby be deemed to have waived any preceding or succeeding breach of the same or any other provision of this Agreement.</w:t>
      </w:r>
    </w:p>
    <w:p>
      <w:pPr>
        <w:spacing w:after="0" w:line="177" w:lineRule="exact"/>
        <w:rPr>
          <w:sz w:val="20"/>
          <w:szCs w:val="20"/>
          <w:color w:val="auto"/>
        </w:rPr>
      </w:pPr>
    </w:p>
    <w:p>
      <w:pPr>
        <w:jc w:val="both"/>
        <w:ind w:left="240" w:right="259" w:firstLine="1296"/>
        <w:spacing w:after="0" w:line="329"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Exhibit A), the Proprietary Information Agreement, and any other separate agreement relating to equity awards constitute the entire</w:t>
      </w:r>
    </w:p>
    <w:p>
      <w:pPr>
        <w:sectPr>
          <w:pgSz w:w="11900" w:h="16838" w:orient="portrait"/>
          <w:cols w:equalWidth="0" w:num="1">
            <w:col w:w="9019"/>
          </w:cols>
          <w:pgMar w:left="1440" w:top="12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type w:val="continuous"/>
        </w:sectPr>
      </w:pPr>
    </w:p>
    <w:bookmarkStart w:id="111" w:name="page112"/>
    <w:bookmarkEnd w:id="111"/>
    <w:p>
      <w:pPr>
        <w:jc w:val="both"/>
        <w:ind w:left="240" w:right="259"/>
        <w:spacing w:after="0" w:line="293" w:lineRule="auto"/>
        <w:rPr>
          <w:sz w:val="20"/>
          <w:szCs w:val="20"/>
          <w:color w:val="auto"/>
        </w:rPr>
      </w:pPr>
      <w:r>
        <w:rPr>
          <w:rFonts w:ascii="Times New Roman" w:cs="Times New Roman" w:eastAsia="Times New Roman" w:hAnsi="Times New Roman"/>
          <w:sz w:val="18"/>
          <w:szCs w:val="18"/>
          <w:color w:val="auto"/>
        </w:rPr>
        <w:t>agreement between Executive and the Company with regard to the subject matter hereof and supersede any prior oral discussions or written communications, and agreements, including any prior employment agreements or offer letters. This Agreement is entered into without reliance on any promise or representation other than those expressly contained herein, and it cannot be modified or amended except in writing signed by Executive and an authorized officer of the Company.</w:t>
      </w:r>
    </w:p>
    <w:p>
      <w:pPr>
        <w:spacing w:after="0" w:line="222" w:lineRule="exact"/>
        <w:rPr>
          <w:sz w:val="20"/>
          <w:szCs w:val="20"/>
          <w:color w:val="auto"/>
        </w:rPr>
      </w:pPr>
    </w:p>
    <w:p>
      <w:pPr>
        <w:jc w:val="both"/>
        <w:ind w:left="240" w:right="259" w:firstLine="1295"/>
        <w:spacing w:after="0" w:line="29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electronic transmission and in separate counterparts, any one of which need not contain signatures of more than one party, but all of which taken together will constitute one and the same Agreement.</w:t>
      </w:r>
    </w:p>
    <w:p>
      <w:pPr>
        <w:spacing w:after="0" w:line="217" w:lineRule="exact"/>
        <w:rPr>
          <w:sz w:val="20"/>
          <w:szCs w:val="20"/>
          <w:color w:val="auto"/>
        </w:rPr>
      </w:pPr>
    </w:p>
    <w:p>
      <w:pPr>
        <w:jc w:val="both"/>
        <w:ind w:left="240" w:right="259" w:firstLine="1295"/>
        <w:spacing w:after="0" w:line="31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 nor to affect the meaning thereof.</w:t>
      </w:r>
    </w:p>
    <w:p>
      <w:pPr>
        <w:spacing w:after="0" w:line="203" w:lineRule="exact"/>
        <w:rPr>
          <w:sz w:val="20"/>
          <w:szCs w:val="20"/>
          <w:color w:val="auto"/>
        </w:rPr>
      </w:pPr>
    </w:p>
    <w:p>
      <w:pPr>
        <w:jc w:val="both"/>
        <w:ind w:left="240" w:right="239" w:firstLine="1295"/>
        <w:spacing w:after="0" w:line="289"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226" w:lineRule="exact"/>
        <w:rPr>
          <w:sz w:val="20"/>
          <w:szCs w:val="20"/>
          <w:color w:val="auto"/>
        </w:rPr>
      </w:pPr>
    </w:p>
    <w:p>
      <w:pPr>
        <w:jc w:val="both"/>
        <w:ind w:left="240" w:right="259" w:firstLine="1295"/>
        <w:spacing w:after="0" w:line="313"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 of the Commonwealth of Massachusetts.</w:t>
      </w:r>
    </w:p>
    <w:p>
      <w:pPr>
        <w:spacing w:after="0" w:line="270" w:lineRule="exact"/>
        <w:rPr>
          <w:sz w:val="20"/>
          <w:szCs w:val="20"/>
          <w:color w:val="auto"/>
        </w:rPr>
      </w:pPr>
    </w:p>
    <w:p>
      <w:pPr>
        <w:jc w:val="both"/>
        <w:ind w:left="240" w:right="239" w:firstLine="1295"/>
        <w:spacing w:after="0" w:line="287"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the Proprietary Information Agreement, or Executive’s employment, or the termination of Executive’s employment, including but not limited to all statutory claims, with the exception of discrimination and harassment claims, will be resolved pursuant to the Federal Arbitration Act, 9 U.S.C. §1-16 (the “FAA”), and to the fullest extent permitted by law, by final, binding and confidential arbitration by a single arbitrator conducted in Boston, Massachusetts, by Judicial Arbitration and Mediation Services Inc. (“JAMS”) under the then applicable JAMS rules appropriate to the relief being sought (the applicable rules are available at the following web addresses: (i) https://www.jamsadr.com/rules-employment-arbitration/ and (ii) https://www.jamsadr.com/rules-comprehensive-arbitration/); provided, however, this arbitration provision not apply to any action or claim that cannot be subject to mandatory arbitration as a matter of law, including, without limitation, claims involving allegations of sexual harassment and discrimination, to the extent such claims are not permitted by applicable law(s) to be submitted to mandatory arbitration and the applicable law(s) are not preempted by the FAA or otherwise invalid (collectively, the “Excluded Claims”). A hard copy of the rules will be provided to Executive upon request. By agreeing to this arbitration procedure, both Executive and the Company waive the right to resolve any such dispute through a trial by jury or judge or administrative proceeding. In addition, all claims, disputes, or causes of action under this provision,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112" w:name="page113"/>
    <w:bookmarkEnd w:id="112"/>
    <w:p>
      <w:pPr>
        <w:ind w:left="240" w:right="259"/>
        <w:spacing w:after="0" w:line="292" w:lineRule="auto"/>
        <w:rPr>
          <w:sz w:val="20"/>
          <w:szCs w:val="20"/>
          <w:color w:val="auto"/>
        </w:rPr>
      </w:pPr>
      <w:r>
        <w:rPr>
          <w:rFonts w:ascii="Times New Roman" w:cs="Times New Roman" w:eastAsia="Times New Roman" w:hAnsi="Times New Roman"/>
          <w:sz w:val="18"/>
          <w:szCs w:val="18"/>
          <w:color w:val="auto"/>
        </w:rPr>
        <w:t>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Commonwealth of Massachusetts. However, procedural questions which grow out of the dispute and bear on the final disposition are matters for the arbitrator.</w:t>
      </w:r>
    </w:p>
    <w:p>
      <w:pPr>
        <w:spacing w:after="0" w:line="208" w:lineRule="exact"/>
        <w:rPr>
          <w:sz w:val="20"/>
          <w:szCs w:val="20"/>
          <w:color w:val="auto"/>
        </w:rPr>
      </w:pPr>
    </w:p>
    <w:p>
      <w:pPr>
        <w:jc w:val="both"/>
        <w:ind w:left="240" w:right="239"/>
        <w:spacing w:after="0" w:line="288" w:lineRule="auto"/>
        <w:rPr>
          <w:sz w:val="20"/>
          <w:szCs w:val="20"/>
          <w:color w:val="auto"/>
        </w:rPr>
      </w:pPr>
      <w:r>
        <w:rPr>
          <w:rFonts w:ascii="Times New Roman" w:cs="Times New Roman" w:eastAsia="Times New Roman" w:hAnsi="Times New Roman"/>
          <w:sz w:val="18"/>
          <w:szCs w:val="18"/>
          <w:color w:val="auto"/>
        </w:rPr>
        <w:t>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Proprietary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 Massachusetts federal court determines that any applicable law prohibits mandatory arbitration of Excluded Claims, if Executive intends to bring multiple claims, including one or more Excluded Claims, the Excluded Claim(s) may be publicly filed with a court, while any other claims will remain subject to mandatory arbitration.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113" w:name="page114"/>
    <w:bookmarkEnd w:id="113"/>
    <w:p>
      <w:pPr>
        <w:ind w:left="240" w:right="55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Employment Agreement on the day and year first written above.</w:t>
      </w: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Reviewed by</w:t>
      </w:r>
      <w:r>
        <w:rPr>
          <w:sz w:val="20"/>
          <w:szCs w:val="20"/>
          <w:color w:val="auto"/>
        </w:rPr>
        <w:tab/>
      </w:r>
      <w:r>
        <w:rPr>
          <w:rFonts w:ascii="Times New Roman" w:cs="Times New Roman" w:eastAsia="Times New Roman" w:hAnsi="Times New Roman"/>
          <w:sz w:val="17"/>
          <w:szCs w:val="17"/>
          <w:color w:val="auto"/>
        </w:rPr>
        <w:t>​​​Signed for and on behalf of Bicycle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Sarah Neale</w:t>
            </w:r>
          </w:p>
        </w:tc>
        <w:tc>
          <w:tcPr>
            <w:tcW w:w="4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 Jennifer Perry</w:t>
            </w:r>
          </w:p>
        </w:tc>
      </w:tr>
      <w:tr>
        <w:trPr>
          <w:trHeight w:val="234"/>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36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Sarah Neale</w:t>
            </w:r>
          </w:p>
        </w:tc>
        <w:tc>
          <w:tcPr>
            <w:tcW w:w="180" w:type="dxa"/>
            <w:vAlign w:val="bottom"/>
          </w:tcPr>
          <w:p>
            <w:pPr>
              <w:spacing w:after="0"/>
              <w:rPr>
                <w:sz w:val="16"/>
                <w:szCs w:val="16"/>
                <w:color w:val="auto"/>
              </w:rPr>
            </w:pPr>
          </w:p>
        </w:tc>
        <w:tc>
          <w:tcPr>
            <w:tcW w:w="43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Jennifer Perry</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18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Strategy Officer and Head of Commercial</w:t>
            </w:r>
          </w:p>
        </w:tc>
      </w:tr>
      <w:tr>
        <w:trPr>
          <w:trHeight w:val="67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29-01-2026</w:t>
            </w:r>
          </w:p>
        </w:tc>
        <w:tc>
          <w:tcPr>
            <w:tcW w:w="1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29-01-2026</w:t>
            </w:r>
          </w:p>
        </w:tc>
      </w:tr>
      <w:tr>
        <w:trPr>
          <w:trHeight w:val="20"/>
        </w:trPr>
        <w:tc>
          <w:tcPr>
            <w:tcW w:w="50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Accepted and Agreed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7603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Travis Thompson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Travis Thompson</w:t>
      </w: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29-01-2026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34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 in Control” means and includes each of the following:</w:t>
      </w:r>
    </w:p>
    <w:p>
      <w:pPr>
        <w:spacing w:after="0" w:line="279" w:lineRule="exact"/>
        <w:rPr>
          <w:sz w:val="20"/>
          <w:szCs w:val="20"/>
          <w:color w:val="auto"/>
        </w:rPr>
      </w:pPr>
    </w:p>
    <w:p>
      <w:pPr>
        <w:ind w:left="1340" w:hanging="642"/>
        <w:spacing w:after="0"/>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w:t>
      </w:r>
    </w:p>
    <w:p>
      <w:pPr>
        <w:spacing w:after="0" w:line="292"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w:t>
      </w:r>
    </w:p>
    <w:p>
      <w:pPr>
        <w:spacing w:after="0" w:line="306" w:lineRule="exact"/>
        <w:rPr>
          <w:rFonts w:ascii="Times New Roman" w:cs="Times New Roman" w:eastAsia="Times New Roman" w:hAnsi="Times New Roman"/>
          <w:sz w:val="18"/>
          <w:szCs w:val="18"/>
          <w:color w:val="auto"/>
        </w:rPr>
      </w:pPr>
    </w:p>
    <w:p>
      <w:pPr>
        <w:jc w:val="both"/>
        <w:ind w:left="1340" w:right="23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the Board of BTL shall have full and final authority, which shall be exercised in its sole discretion, to determine conclusively whether a Change in Control has occurred pursuant to the above definition, the date of the occurrence of such Change in Control and any</w:t>
      </w:r>
    </w:p>
    <w:p>
      <w:pPr>
        <w:spacing w:after="0" w:line="2" w:lineRule="exact"/>
        <w:rPr>
          <w:rFonts w:ascii="Times New Roman" w:cs="Times New Roman" w:eastAsia="Times New Roman" w:hAnsi="Times New Roman"/>
          <w:sz w:val="18"/>
          <w:szCs w:val="18"/>
          <w:color w:val="auto"/>
        </w:rPr>
      </w:pPr>
    </w:p>
    <w:p>
      <w:pPr>
        <w:jc w:val="both"/>
        <w:ind w:left="1340" w:right="239"/>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incidental matters relating thereto; provided that any such Change in Control also qualifies as a “change in control event” as defined in Section 409A of the United States Internal Revenue Code of 1986, as amended and the regulations and other guidance thereunder and any state law of similar effect, and any exercise of authority in conjunction with a determination of whether a Change in Control is a “change in control event” is consistent with such regulation.</w:t>
      </w:r>
    </w:p>
    <w:p>
      <w:pPr>
        <w:spacing w:after="0" w:line="195"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“Control” shall have the meaning given to that word by Section 719 of the UK Income Tax (Earnings and Pensions) Act 2003 and “Controlled” shall be construed accordingly. “Sale” means the sale of all or substantially all of the assets of BTL.</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“Takeover” means circumstances in which any person (or a group of persons acting in concert) (the “Acquiring</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Person”):</w:t>
      </w:r>
    </w:p>
    <w:p>
      <w:pPr>
        <w:spacing w:after="0" w:line="239" w:lineRule="exact"/>
        <w:rPr>
          <w:sz w:val="20"/>
          <w:szCs w:val="20"/>
          <w:color w:val="auto"/>
        </w:rPr>
      </w:pPr>
    </w:p>
    <w:p>
      <w:pPr>
        <w:ind w:left="1340" w:hanging="642"/>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BTL as the result of making a general offer to:-</w:t>
      </w:r>
    </w:p>
    <w:p>
      <w:pPr>
        <w:spacing w:after="0" w:line="238" w:lineRule="exact"/>
        <w:rPr>
          <w:rFonts w:ascii="Times New Roman" w:cs="Times New Roman" w:eastAsia="Times New Roman" w:hAnsi="Times New Roman"/>
          <w:sz w:val="18"/>
          <w:szCs w:val="18"/>
          <w:color w:val="auto"/>
        </w:rPr>
      </w:pPr>
    </w:p>
    <w:p>
      <w:pPr>
        <w:ind w:left="2000" w:right="279" w:hanging="654"/>
        <w:spacing w:after="0" w:line="329" w:lineRule="auto"/>
        <w:tabs>
          <w:tab w:leader="none" w:pos="2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of the issued ordinary share capital of BTL, which is made on a condition that, if it is satisfied, the Acquiring Person will have Control of BTL; or</w:t>
      </w:r>
    </w:p>
    <w:p>
      <w:pPr>
        <w:spacing w:after="0" w:line="134" w:lineRule="exact"/>
        <w:rPr>
          <w:rFonts w:ascii="Times New Roman" w:cs="Times New Roman" w:eastAsia="Times New Roman" w:hAnsi="Times New Roman"/>
          <w:sz w:val="18"/>
          <w:szCs w:val="18"/>
          <w:color w:val="auto"/>
        </w:rPr>
      </w:pPr>
    </w:p>
    <w:p>
      <w:pPr>
        <w:ind w:left="2000" w:hanging="654"/>
        <w:spacing w:after="0"/>
        <w:tabs>
          <w:tab w:leader="none" w:pos="2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of the shares in BTL; or</w:t>
      </w:r>
    </w:p>
    <w:p>
      <w:pPr>
        <w:spacing w:after="0" w:line="225" w:lineRule="exact"/>
        <w:rPr>
          <w:rFonts w:ascii="Times New Roman" w:cs="Times New Roman" w:eastAsia="Times New Roman" w:hAnsi="Times New Roman"/>
          <w:sz w:val="18"/>
          <w:szCs w:val="18"/>
          <w:color w:val="auto"/>
        </w:rPr>
      </w:pPr>
    </w:p>
    <w:p>
      <w:pPr>
        <w:jc w:val="both"/>
        <w:ind w:left="1340" w:right="79" w:hanging="642"/>
        <w:spacing w:after="0" w:line="282" w:lineRule="auto"/>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BTL as a result of a compromise or arrangement sanctioned by a court under Section 899 of the UK Companies Act 2006, or sanctioned under any other similar law of another jurisdiction; or</w:t>
      </w:r>
    </w:p>
    <w:p>
      <w:pPr>
        <w:spacing w:after="0" w:line="161" w:lineRule="exact"/>
        <w:rPr>
          <w:rFonts w:ascii="Times New Roman" w:cs="Times New Roman" w:eastAsia="Times New Roman" w:hAnsi="Times New Roman"/>
          <w:sz w:val="18"/>
          <w:szCs w:val="18"/>
          <w:color w:val="auto"/>
        </w:rPr>
      </w:pPr>
    </w:p>
    <w:p>
      <w:pPr>
        <w:ind w:left="1340" w:right="79" w:hanging="642"/>
        <w:spacing w:after="0" w:line="282" w:lineRule="auto"/>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bound or entitled under Sections 979 to 985 of the UK Companies Act 2006 (or similar law of another jurisdiction) to acquire shares in BTL or</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BTL in any other way, including but not limited to by way of 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Employee Proprietary Information, Inventions, Noncompetition and Nonsolicitation Agreement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16" w:name="page117"/>
    <w:bookmarkEnd w:id="116"/>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Bicycle Therapeutics, Inc.</w:t>
      </w: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January 29, 2026</w:t>
      </w: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Alethia Young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Dear Alethia:</w:t>
      </w:r>
    </w:p>
    <w:p>
      <w:pPr>
        <w:spacing w:after="0" w:line="216" w:lineRule="exact"/>
        <w:rPr>
          <w:sz w:val="20"/>
          <w:szCs w:val="20"/>
          <w:color w:val="auto"/>
        </w:rPr>
      </w:pPr>
    </w:p>
    <w:p>
      <w:pPr>
        <w:jc w:val="both"/>
        <w:ind w:left="380" w:right="379"/>
        <w:spacing w:after="0" w:line="243" w:lineRule="auto"/>
        <w:rPr>
          <w:sz w:val="20"/>
          <w:szCs w:val="20"/>
          <w:color w:val="auto"/>
        </w:rPr>
      </w:pPr>
      <w:r>
        <w:rPr>
          <w:rFonts w:ascii="Times New Roman" w:cs="Times New Roman" w:eastAsia="Times New Roman" w:hAnsi="Times New Roman"/>
          <w:sz w:val="20"/>
          <w:szCs w:val="20"/>
          <w:color w:val="auto"/>
        </w:rPr>
        <w:t>This letter confirms the transition and end of your employment with Bicycle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based on your planned resignation from employment, effective April 29, 2026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and we desire to resolve any and all issues relating to your employment and the conclusion of your employment with the Company and for the benefit of the Company’s parent, Bicycle Therapeutics plc (“</w:t>
      </w:r>
      <w:r>
        <w:rPr>
          <w:rFonts w:ascii="Times New Roman" w:cs="Times New Roman" w:eastAsia="Times New Roman" w:hAnsi="Times New Roman"/>
          <w:sz w:val="20"/>
          <w:szCs w:val="20"/>
          <w:b w:val="1"/>
          <w:bCs w:val="1"/>
          <w:color w:val="auto"/>
        </w:rPr>
        <w:t>BTL</w:t>
      </w:r>
      <w:r>
        <w:rPr>
          <w:rFonts w:ascii="Times New Roman" w:cs="Times New Roman" w:eastAsia="Times New Roman" w:hAnsi="Times New Roman"/>
          <w:sz w:val="20"/>
          <w:szCs w:val="20"/>
          <w:color w:val="auto"/>
        </w:rPr>
        <w:t>”), on amicably and mutually satisfactory terms. Accordingly, this letter sets forth the terms of the transition and separation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Company is offering you to reach an amicable transition and separation of your employment governed by your Employment Agreement, dated June 22, 2023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80" w:right="379" w:firstLine="641"/>
        <w:spacing w:after="0" w:line="242" w:lineRule="auto"/>
        <w:tabs>
          <w:tab w:leader="none" w:pos="1352"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TRANSITION PERIOD. </w:t>
      </w:r>
      <w:r>
        <w:rPr>
          <w:rFonts w:ascii="Times New Roman" w:cs="Times New Roman" w:eastAsia="Times New Roman" w:hAnsi="Times New Roman"/>
          <w:sz w:val="20"/>
          <w:szCs w:val="20"/>
          <w:color w:val="auto"/>
        </w:rPr>
        <w:t>Effective immediately as of the date of this Agreement,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resign from your role as Chief Financial Officer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Between the date of this Agreement and the Separation Date, you will remain employed as a non-executive employee of the Company (the “</w:t>
      </w:r>
      <w:r>
        <w:rPr>
          <w:rFonts w:ascii="Times New Roman" w:cs="Times New Roman" w:eastAsia="Times New Roman" w:hAnsi="Times New Roman"/>
          <w:sz w:val="20"/>
          <w:szCs w:val="20"/>
          <w:b w:val="1"/>
          <w:bCs w:val="1"/>
          <w:color w:val="auto"/>
        </w:rPr>
        <w:t>Transition Period</w:t>
      </w:r>
      <w:r>
        <w:rPr>
          <w:rFonts w:ascii="Times New Roman" w:cs="Times New Roman" w:eastAsia="Times New Roman" w:hAnsi="Times New Roman"/>
          <w:sz w:val="20"/>
          <w:szCs w:val="20"/>
          <w:color w:val="auto"/>
        </w:rPr>
        <w:t>”). During the Transition Period, you shall be paid at your same base salary as in effect immediately prior to this Agreement and shall remain eligible to participate in applicable Company benefit plans. During the Transition Period, your focus will be on transitioning your responsibilities and performing other regular duties as reasonably requested by the Company’s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or his designee. Such duties may include (1) transitional advice and support to the Company’s executive team and the incoming CFO, and (2) other general tasks to support transition of your responsibilities as CFO. For the avoidance of doubt, you will not be expected to perform any services during the Transition Period other than upon specific request of the Company’s CEO or his designee. You will be permitted to carry over 10 (ten) days of paid time off for 2025, which may be used during the Transition Period or paid in accordance with Section 3 below following the Separation Date. You will not accrue any new paid time off in 2026.</w:t>
      </w:r>
    </w:p>
    <w:p>
      <w:pPr>
        <w:spacing w:after="0" w:line="182" w:lineRule="exact"/>
        <w:rPr>
          <w:rFonts w:ascii="Times New Roman" w:cs="Times New Roman" w:eastAsia="Times New Roman" w:hAnsi="Times New Roman"/>
          <w:sz w:val="20"/>
          <w:szCs w:val="20"/>
          <w:b w:val="1"/>
          <w:bCs w:val="1"/>
          <w:color w:val="auto"/>
        </w:rPr>
      </w:pPr>
    </w:p>
    <w:p>
      <w:pPr>
        <w:jc w:val="both"/>
        <w:ind w:left="380" w:right="379" w:firstLine="642"/>
        <w:spacing w:after="0" w:line="247" w:lineRule="auto"/>
        <w:tabs>
          <w:tab w:leader="none" w:pos="1352"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SEPARATION. </w:t>
      </w:r>
      <w:r>
        <w:rPr>
          <w:rFonts w:ascii="Times New Roman" w:cs="Times New Roman" w:eastAsia="Times New Roman" w:hAnsi="Times New Roman"/>
          <w:sz w:val="20"/>
          <w:szCs w:val="20"/>
          <w:color w:val="auto"/>
        </w:rPr>
        <w:t>Your last day of active employment with the Company and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termination date will be the Separation Date. You will terminate, effective as of the Separation Date, from all positions, titles, duties, authorities, and responsibilities at or with the Company, BTL and any of its or their affiliates (the “</w:t>
      </w:r>
      <w:r>
        <w:rPr>
          <w:rFonts w:ascii="Times New Roman" w:cs="Times New Roman" w:eastAsia="Times New Roman" w:hAnsi="Times New Roman"/>
          <w:sz w:val="20"/>
          <w:szCs w:val="20"/>
          <w:b w:val="1"/>
          <w:bCs w:val="1"/>
          <w:color w:val="auto"/>
        </w:rPr>
        <w:t>Company Group</w:t>
      </w:r>
      <w:r>
        <w:rPr>
          <w:rFonts w:ascii="Times New Roman" w:cs="Times New Roman" w:eastAsia="Times New Roman" w:hAnsi="Times New Roman"/>
          <w:sz w:val="20"/>
          <w:szCs w:val="20"/>
          <w:color w:val="auto"/>
        </w:rPr>
        <w:t>”), and you agree to execute all additional documents and take such further steps as the Company or Company Group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7" w:name="page118"/>
    <w:bookmarkEnd w:id="117"/>
    <w:p>
      <w:pPr>
        <w:ind w:left="380" w:right="399"/>
        <w:spacing w:after="0" w:line="269" w:lineRule="auto"/>
        <w:rPr>
          <w:sz w:val="20"/>
          <w:szCs w:val="20"/>
          <w:color w:val="auto"/>
        </w:rPr>
      </w:pPr>
      <w:r>
        <w:rPr>
          <w:rFonts w:ascii="Times New Roman" w:cs="Times New Roman" w:eastAsia="Times New Roman" w:hAnsi="Times New Roman"/>
          <w:sz w:val="20"/>
          <w:szCs w:val="20"/>
          <w:color w:val="auto"/>
        </w:rPr>
        <w:t>require to effectuate such resignation. The Company will allow you the opportunity to provide input on Company communications regarding your departure.</w:t>
      </w:r>
    </w:p>
    <w:p>
      <w:pPr>
        <w:spacing w:after="0" w:line="115" w:lineRule="exact"/>
        <w:rPr>
          <w:sz w:val="20"/>
          <w:szCs w:val="20"/>
          <w:color w:val="auto"/>
        </w:rPr>
      </w:pPr>
    </w:p>
    <w:p>
      <w:pPr>
        <w:jc w:val="both"/>
        <w:ind w:left="380" w:right="379" w:firstLine="641"/>
        <w:spacing w:after="0" w:line="246" w:lineRule="auto"/>
        <w:tabs>
          <w:tab w:leader="none" w:pos="1318"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ccrued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next regularly scheduled pay date following the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you will receive your accrued but unpaid salary and accrued but unused paid time off earned through the Separation Date. You will be reimbursed for any business expenses you incurred through the Separation Date, pursuant to regular Company practices and policy. You shall also be entitled to vested benefits owed to you under any qualified retirement plan or health and welfare benefit plan in which you were a participant in accordance with applicable law and the provisions of such plan.</w:t>
      </w:r>
    </w:p>
    <w:p>
      <w:pPr>
        <w:spacing w:after="0" w:line="151" w:lineRule="exact"/>
        <w:rPr>
          <w:rFonts w:ascii="Times New Roman" w:cs="Times New Roman" w:eastAsia="Times New Roman" w:hAnsi="Times New Roman"/>
          <w:sz w:val="20"/>
          <w:szCs w:val="20"/>
          <w:b w:val="1"/>
          <w:bCs w:val="1"/>
          <w:color w:val="auto"/>
        </w:rPr>
      </w:pPr>
    </w:p>
    <w:p>
      <w:pPr>
        <w:jc w:val="both"/>
        <w:ind w:left="380" w:right="379" w:firstLine="642"/>
        <w:spacing w:after="0" w:line="245" w:lineRule="auto"/>
        <w:tabs>
          <w:tab w:leader="none" w:pos="1352"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SEVERANCE. </w:t>
      </w:r>
      <w:r>
        <w:rPr>
          <w:rFonts w:ascii="Times New Roman" w:cs="Times New Roman" w:eastAsia="Times New Roman" w:hAnsi="Times New Roman"/>
          <w:sz w:val="20"/>
          <w:szCs w:val="20"/>
          <w:color w:val="auto"/>
        </w:rPr>
        <w:t>If you timely sign and return this Agreement to the Company, allow it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effective, and comply fully with your obligations hereunder, and, following the Separation Date, sign and allow to become effective the Supplemental Release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then as consideration for this Agreement, the Supplemental Release, and in full satisfaction of any obligations for the Company to you, you will receive the following benefits (which you acknowledge constitute consideration to which you are otherwise not entitled if not for your agreement to the obligations specified herein):</w:t>
      </w:r>
    </w:p>
    <w:p>
      <w:pPr>
        <w:spacing w:after="0" w:line="138" w:lineRule="exact"/>
        <w:rPr>
          <w:rFonts w:ascii="Times New Roman" w:cs="Times New Roman" w:eastAsia="Times New Roman" w:hAnsi="Times New Roman"/>
          <w:sz w:val="20"/>
          <w:szCs w:val="20"/>
          <w:b w:val="1"/>
          <w:bCs w:val="1"/>
          <w:color w:val="auto"/>
        </w:rPr>
      </w:pPr>
    </w:p>
    <w:p>
      <w:pPr>
        <w:ind w:left="2320" w:hanging="650"/>
        <w:spacing w:after="0"/>
        <w:tabs>
          <w:tab w:leader="none" w:pos="2320" w:val="left"/>
        </w:tabs>
        <w:numPr>
          <w:ilvl w:val="2"/>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Severance Payments. </w:t>
      </w:r>
      <w:r>
        <w:rPr>
          <w:rFonts w:ascii="Times New Roman" w:cs="Times New Roman" w:eastAsia="Times New Roman" w:hAnsi="Times New Roman"/>
          <w:sz w:val="19"/>
          <w:szCs w:val="19"/>
          <w:color w:val="auto"/>
        </w:rPr>
        <w:t>The Company shall pay you severance payments for nine</w:t>
      </w:r>
    </w:p>
    <w:p>
      <w:pPr>
        <w:spacing w:after="0" w:line="37" w:lineRule="exact"/>
        <w:rPr>
          <w:rFonts w:ascii="Times New Roman" w:cs="Times New Roman" w:eastAsia="Times New Roman" w:hAnsi="Times New Roman"/>
          <w:sz w:val="19"/>
          <w:szCs w:val="19"/>
          <w:b w:val="1"/>
          <w:bCs w:val="1"/>
          <w:color w:val="auto"/>
        </w:rPr>
      </w:pPr>
    </w:p>
    <w:p>
      <w:pPr>
        <w:jc w:val="both"/>
        <w:ind w:left="380" w:right="379" w:hanging="6"/>
        <w:spacing w:after="0"/>
        <w:tabs>
          <w:tab w:leader="none" w:pos="66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Separation Date (the “</w:t>
      </w:r>
      <w:r>
        <w:rPr>
          <w:rFonts w:ascii="Times New Roman" w:cs="Times New Roman" w:eastAsia="Times New Roman" w:hAnsi="Times New Roman"/>
          <w:sz w:val="20"/>
          <w:szCs w:val="20"/>
          <w:b w:val="1"/>
          <w:bCs w:val="1"/>
          <w:color w:val="auto"/>
        </w:rPr>
        <w:t>Severance Period</w:t>
      </w:r>
      <w:r>
        <w:rPr>
          <w:rFonts w:ascii="Times New Roman" w:cs="Times New Roman" w:eastAsia="Times New Roman" w:hAnsi="Times New Roman"/>
          <w:sz w:val="20"/>
          <w:szCs w:val="20"/>
          <w:color w:val="auto"/>
        </w:rPr>
        <w:t>”), paying you at your base salary in effect as of the execution of this Agreement (“</w:t>
      </w:r>
      <w:r>
        <w:rPr>
          <w:rFonts w:ascii="Times New Roman" w:cs="Times New Roman" w:eastAsia="Times New Roman" w:hAnsi="Times New Roman"/>
          <w:sz w:val="20"/>
          <w:szCs w:val="20"/>
          <w:b w:val="1"/>
          <w:bCs w:val="1"/>
          <w:color w:val="auto"/>
        </w:rPr>
        <w:t>Severance Payments</w:t>
      </w:r>
      <w:r>
        <w:rPr>
          <w:rFonts w:ascii="Times New Roman" w:cs="Times New Roman" w:eastAsia="Times New Roman" w:hAnsi="Times New Roman"/>
          <w:sz w:val="20"/>
          <w:szCs w:val="20"/>
          <w:color w:val="auto"/>
        </w:rPr>
        <w:t>”). For clarity, your gross base annual salary in effect as of the execution of this Agreement is $524,200. The Severance Payments will be paid in equal installments on the Company’s normal payroll schedule following the Separation Date, less applicable taxes and withholdings, with the first payment beginning within sixty (60) days following the Separation Date (but no earlier than the Effective Date) (such date, the “</w:t>
      </w:r>
      <w:r>
        <w:rPr>
          <w:rFonts w:ascii="Times New Roman" w:cs="Times New Roman" w:eastAsia="Times New Roman" w:hAnsi="Times New Roman"/>
          <w:sz w:val="20"/>
          <w:szCs w:val="20"/>
          <w:b w:val="1"/>
          <w:bCs w:val="1"/>
          <w:color w:val="auto"/>
        </w:rPr>
        <w:t>Severance Pay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and the remaining installments occurring on the Company’s regularly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scheduled payroll dates thereafter; provided that on the Severance Pay Commencement Date, the Company will pay in a lump sum the aggregate amount of the Severance Payments that the Company would have paid you through such date had the payments commenced on the Company’s first regularly scheduled payroll date after the Separation Date.</w:t>
      </w:r>
    </w:p>
    <w:p>
      <w:pPr>
        <w:spacing w:after="0" w:line="144" w:lineRule="exact"/>
        <w:rPr>
          <w:rFonts w:ascii="Times New Roman" w:cs="Times New Roman" w:eastAsia="Times New Roman" w:hAnsi="Times New Roman"/>
          <w:sz w:val="20"/>
          <w:szCs w:val="20"/>
          <w:color w:val="auto"/>
        </w:rPr>
      </w:pPr>
    </w:p>
    <w:p>
      <w:pPr>
        <w:jc w:val="both"/>
        <w:ind w:left="380" w:right="379" w:firstLine="1290"/>
        <w:spacing w:after="0" w:line="250" w:lineRule="auto"/>
        <w:tabs>
          <w:tab w:leader="none" w:pos="2322" w:val="left"/>
        </w:tabs>
        <w:numPr>
          <w:ilvl w:val="2"/>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Transition Period Pro-Rata Bonus. </w:t>
      </w:r>
      <w:r>
        <w:rPr>
          <w:rFonts w:ascii="Times New Roman" w:cs="Times New Roman" w:eastAsia="Times New Roman" w:hAnsi="Times New Roman"/>
          <w:sz w:val="20"/>
          <w:szCs w:val="20"/>
          <w:color w:val="auto"/>
        </w:rPr>
        <w:t>The Company shall pay you a lump sum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equivalent to one quarter (1/4) of your target Annual Bonus for fiscal year 2026, which shall be in a gross amount of $65,525, subject to applicable taxes and deductions, on the Severance Pay Commencement Date (“</w:t>
      </w:r>
      <w:r>
        <w:rPr>
          <w:rFonts w:ascii="Times New Roman" w:cs="Times New Roman" w:eastAsia="Times New Roman" w:hAnsi="Times New Roman"/>
          <w:sz w:val="20"/>
          <w:szCs w:val="20"/>
          <w:b w:val="1"/>
          <w:bCs w:val="1"/>
          <w:color w:val="auto"/>
        </w:rPr>
        <w:t>Transition Bonus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b w:val="1"/>
          <w:bCs w:val="1"/>
          <w:color w:val="auto"/>
        </w:rPr>
      </w:pPr>
    </w:p>
    <w:p>
      <w:pPr>
        <w:jc w:val="both"/>
        <w:ind w:left="380" w:right="379" w:firstLine="1290"/>
        <w:spacing w:after="0" w:line="250" w:lineRule="auto"/>
        <w:tabs>
          <w:tab w:leader="none" w:pos="2323" w:val="left"/>
        </w:tabs>
        <w:numPr>
          <w:ilvl w:val="2"/>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2025 Bonus Payment. </w:t>
      </w:r>
      <w:r>
        <w:rPr>
          <w:rFonts w:ascii="Times New Roman" w:cs="Times New Roman" w:eastAsia="Times New Roman" w:hAnsi="Times New Roman"/>
          <w:sz w:val="20"/>
          <w:szCs w:val="20"/>
          <w:color w:val="auto"/>
        </w:rPr>
        <w:t>The Company shall pay you a lump sum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equivalent to target achievement of your Annual Bonus for fiscal year 2025, which shall be in a gross amount of $254,200, subject to applicable taxes and deductions, on the Severance Pay Commencement Date (“</w:t>
      </w:r>
      <w:r>
        <w:rPr>
          <w:rFonts w:ascii="Times New Roman" w:cs="Times New Roman" w:eastAsia="Times New Roman" w:hAnsi="Times New Roman"/>
          <w:sz w:val="20"/>
          <w:szCs w:val="20"/>
          <w:b w:val="1"/>
          <w:bCs w:val="1"/>
          <w:color w:val="auto"/>
        </w:rPr>
        <w:t>Bonus Severance</w:t>
      </w:r>
      <w:r>
        <w:rPr>
          <w:rFonts w:ascii="Times New Roman" w:cs="Times New Roman" w:eastAsia="Times New Roman" w:hAnsi="Times New Roman"/>
          <w:sz w:val="20"/>
          <w:szCs w:val="20"/>
          <w:color w:val="auto"/>
        </w:rPr>
        <w:t>”).</w:t>
      </w:r>
    </w:p>
    <w:p>
      <w:pPr>
        <w:spacing w:after="0" w:line="135" w:lineRule="exact"/>
        <w:rPr>
          <w:rFonts w:ascii="Times New Roman" w:cs="Times New Roman" w:eastAsia="Times New Roman" w:hAnsi="Times New Roman"/>
          <w:sz w:val="20"/>
          <w:szCs w:val="20"/>
          <w:b w:val="1"/>
          <w:bCs w:val="1"/>
          <w:color w:val="auto"/>
        </w:rPr>
      </w:pPr>
    </w:p>
    <w:p>
      <w:pPr>
        <w:jc w:val="both"/>
        <w:ind w:left="380" w:right="379" w:firstLine="1290"/>
        <w:spacing w:after="0" w:line="247" w:lineRule="auto"/>
        <w:tabs>
          <w:tab w:leader="none" w:pos="2322" w:val="left"/>
        </w:tabs>
        <w:numPr>
          <w:ilvl w:val="2"/>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COBRA Premium Payments. </w:t>
      </w:r>
      <w:r>
        <w:rPr>
          <w:rFonts w:ascii="Times New Roman" w:cs="Times New Roman" w:eastAsia="Times New Roman" w:hAnsi="Times New Roman"/>
          <w:sz w:val="20"/>
          <w:szCs w:val="20"/>
          <w:color w:val="auto"/>
        </w:rPr>
        <w:t>If you timely elect continued coverage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COBRA for you and your covered dependents under the Company’s group health plans following the Separation Date, then the Company shall pay directly to the provider the COBRA premiums necessary to continue you and your covered dependents’ health insurance coverage in effect for you (and your covered dependents) as well as any administrative fee on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8" w:name="page119"/>
    <w:bookmarkEnd w:id="118"/>
    <w:p>
      <w:pPr>
        <w:jc w:val="both"/>
        <w:ind w:left="380" w:right="379"/>
        <w:spacing w:after="0" w:line="241" w:lineRule="auto"/>
        <w:rPr>
          <w:sz w:val="20"/>
          <w:szCs w:val="20"/>
          <w:color w:val="auto"/>
        </w:rPr>
      </w:pPr>
      <w:r>
        <w:rPr>
          <w:rFonts w:ascii="Times New Roman" w:cs="Times New Roman" w:eastAsia="Times New Roman" w:hAnsi="Times New Roman"/>
          <w:sz w:val="20"/>
          <w:szCs w:val="20"/>
          <w:color w:val="auto"/>
        </w:rPr>
        <w:t>Date until the earliest of: (i) nine (9) months following the Separation Date; (ii) the date when you become eligible for substantially equivalent health insurance coverage in connection with new employment or self-employment; or (iii) the date you cease to be eligible for COBRA continuation coverage for any reason, including plan termination (such period from the Separation Date through the earlier of (i)-(iii), the “</w:t>
      </w:r>
      <w:r>
        <w:rPr>
          <w:rFonts w:ascii="Times New Roman" w:cs="Times New Roman" w:eastAsia="Times New Roman" w:hAnsi="Times New Roman"/>
          <w:sz w:val="20"/>
          <w:szCs w:val="20"/>
          <w:b w:val="1"/>
          <w:bCs w:val="1"/>
          <w:color w:val="auto"/>
        </w:rPr>
        <w:t>COBRA Payment Period</w:t>
      </w:r>
      <w:r>
        <w:rPr>
          <w:rFonts w:ascii="Times New Roman" w:cs="Times New Roman" w:eastAsia="Times New Roman" w:hAnsi="Times New Roman"/>
          <w:sz w:val="20"/>
          <w:szCs w:val="20"/>
          <w:color w:val="auto"/>
        </w:rPr>
        <w:t>”). Notwithstanding the foregoing, if at any time the Company determines that its payment of COBRA premiums on your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you on the last day of each remaining month of the COBRA Payment Period, a fully taxable cash payment equal to the COBRA premium for such month, subject to applicable tax withholding, for the remainder of the COBRA Payment Period. Nothing in this Agreement shall deprive you of your rights under COBRA or ERISA for benefits under plans and policies arising under your employment by the Company.</w:t>
      </w:r>
    </w:p>
    <w:p>
      <w:pPr>
        <w:spacing w:after="0" w:line="193" w:lineRule="exact"/>
        <w:rPr>
          <w:sz w:val="20"/>
          <w:szCs w:val="20"/>
          <w:color w:val="auto"/>
        </w:rPr>
      </w:pPr>
    </w:p>
    <w:p>
      <w:pPr>
        <w:jc w:val="both"/>
        <w:ind w:left="380" w:right="399" w:firstLine="641"/>
        <w:spacing w:after="0" w:line="256" w:lineRule="auto"/>
        <w:tabs>
          <w:tab w:leader="none" w:pos="1318"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EQUITY AWARDS. </w:t>
      </w:r>
      <w:r>
        <w:rPr>
          <w:rFonts w:ascii="Times New Roman" w:cs="Times New Roman" w:eastAsia="Times New Roman" w:hAnsi="Times New Roman"/>
          <w:sz w:val="20"/>
          <w:szCs w:val="20"/>
          <w:color w:val="auto"/>
        </w:rPr>
        <w:t>Your options and restricted share units shall continue to be governed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applicable grant notices and agreements under which the options and restricted share units were granted.</w:t>
      </w:r>
    </w:p>
    <w:p>
      <w:pPr>
        <w:spacing w:after="0" w:line="168" w:lineRule="exact"/>
        <w:rPr>
          <w:rFonts w:ascii="Times New Roman" w:cs="Times New Roman" w:eastAsia="Times New Roman" w:hAnsi="Times New Roman"/>
          <w:sz w:val="20"/>
          <w:szCs w:val="20"/>
          <w:b w:val="1"/>
          <w:bCs w:val="1"/>
          <w:color w:val="auto"/>
        </w:rPr>
      </w:pPr>
    </w:p>
    <w:p>
      <w:pPr>
        <w:jc w:val="both"/>
        <w:ind w:left="380" w:right="379" w:firstLine="642"/>
        <w:spacing w:after="0" w:line="255" w:lineRule="auto"/>
        <w:tabs>
          <w:tab w:leader="none" w:pos="1318" w:val="left"/>
        </w:tabs>
        <w:numPr>
          <w:ilvl w:val="0"/>
          <w:numId w:val="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COMPENSATION OR BENEFITS. </w:t>
      </w:r>
      <w:r>
        <w:rPr>
          <w:rFonts w:ascii="Times New Roman" w:cs="Times New Roman" w:eastAsia="Times New Roman" w:hAnsi="Times New Roman"/>
          <w:sz w:val="19"/>
          <w:szCs w:val="19"/>
          <w:color w:val="auto"/>
        </w:rPr>
        <w:t>By executing this Agreement,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acknowledge and agree that the Company’s obligations to provide you with any severance benefits or any other payments are hereby extinguished (except for the severance benefits or other payments described in this Agreement). You further expressly acknowledge and agree that the Severance Payments, Bonus Severance, Transition Bonus and other benefits provided herein, are in full and complete satisfaction of the Company’s obligations, if any, to pay you severance benefits or any other payments pursuant your Employment Agreement, or any other agreements, plans or policies, and that this Agreement hereby supersedes and extinguishes any severance benefits you are or could be eligible to receive under your Employment Agreement, or any other employment agreement, plan, policy or other agreement applicable to you. You also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ERISA-qualified benefit plan (e.g., 401(k) account). By way of example, you acknowledge that you have not earned and are not owed any bonus, additional vacation, incentive compensation, commissions, or additional equity, except as expressly provided in this Agreement. For the avoidance of doubt, other than the Bonus Severance and Transition Bonus, you will not be entitled to any Annual Bonus (as set forth in the Employment Agreement) for fiscal year 2025 or 2026.</w:t>
      </w:r>
    </w:p>
    <w:p>
      <w:pPr>
        <w:spacing w:after="0" w:line="171" w:lineRule="exact"/>
        <w:rPr>
          <w:rFonts w:ascii="Times New Roman" w:cs="Times New Roman" w:eastAsia="Times New Roman" w:hAnsi="Times New Roman"/>
          <w:sz w:val="19"/>
          <w:szCs w:val="19"/>
          <w:b w:val="1"/>
          <w:bCs w:val="1"/>
          <w:color w:val="auto"/>
        </w:rPr>
      </w:pPr>
    </w:p>
    <w:p>
      <w:pPr>
        <w:ind w:left="1300" w:hanging="278"/>
        <w:spacing w:after="0"/>
        <w:tabs>
          <w:tab w:leader="none" w:pos="13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 OF CLAIMS.</w:t>
      </w:r>
    </w:p>
    <w:p>
      <w:pPr>
        <w:spacing w:after="0" w:line="256" w:lineRule="exact"/>
        <w:rPr>
          <w:rFonts w:ascii="Times New Roman" w:cs="Times New Roman" w:eastAsia="Times New Roman" w:hAnsi="Times New Roman"/>
          <w:sz w:val="20"/>
          <w:szCs w:val="20"/>
          <w:b w:val="1"/>
          <w:bCs w:val="1"/>
          <w:color w:val="auto"/>
        </w:rPr>
      </w:pPr>
    </w:p>
    <w:p>
      <w:pPr>
        <w:jc w:val="both"/>
        <w:ind w:left="380" w:right="379" w:firstLine="1290"/>
        <w:spacing w:after="0" w:line="246" w:lineRule="auto"/>
        <w:tabs>
          <w:tab w:leader="none" w:pos="2322" w:val="left"/>
        </w:tabs>
        <w:numPr>
          <w:ilvl w:val="1"/>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Release of Claims. </w:t>
      </w:r>
      <w:r>
        <w:rPr>
          <w:rFonts w:ascii="Times New Roman" w:cs="Times New Roman" w:eastAsia="Times New Roman" w:hAnsi="Times New Roman"/>
          <w:sz w:val="20"/>
          <w:szCs w:val="20"/>
          <w:color w:val="auto"/>
        </w:rPr>
        <w:t>In exchange for the consideration provided to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to which you would not otherwise be entitled, you hereby generally and completely release the Company, the Company Group, and its and their current and former directors, officers, employees, shareholders, partners, agents, attorneys, advisors, predecessors, successors, insurers, affiliates, and assigns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liabilities, demands, causes of action, and obligations, both known and unknown,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19" w:name="page120"/>
    <w:bookmarkEnd w:id="119"/>
    <w:p>
      <w:pPr>
        <w:ind w:left="380" w:right="179"/>
        <w:spacing w:after="0" w:line="269" w:lineRule="auto"/>
        <w:rPr>
          <w:sz w:val="20"/>
          <w:szCs w:val="20"/>
          <w:color w:val="auto"/>
        </w:rPr>
      </w:pPr>
      <w:r>
        <w:rPr>
          <w:rFonts w:ascii="Times New Roman" w:cs="Times New Roman" w:eastAsia="Times New Roman" w:hAnsi="Times New Roman"/>
          <w:sz w:val="20"/>
          <w:szCs w:val="20"/>
          <w:color w:val="auto"/>
        </w:rPr>
        <w:t>from or in any way related to events, acts, conduct, or omissions occurring at any time prior to and including the date you sign this Agreement, unless excluded below.</w:t>
      </w:r>
    </w:p>
    <w:p>
      <w:pPr>
        <w:spacing w:after="0" w:line="155" w:lineRule="exact"/>
        <w:rPr>
          <w:sz w:val="20"/>
          <w:szCs w:val="20"/>
          <w:color w:val="auto"/>
        </w:rPr>
      </w:pPr>
    </w:p>
    <w:p>
      <w:pPr>
        <w:jc w:val="both"/>
        <w:ind w:left="380" w:right="379" w:firstLine="1290"/>
        <w:spacing w:after="0" w:line="243" w:lineRule="auto"/>
        <w:tabs>
          <w:tab w:leader="none" w:pos="2322" w:val="left"/>
        </w:tabs>
        <w:numPr>
          <w:ilvl w:val="2"/>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Scope of Release. </w:t>
      </w:r>
      <w:r>
        <w:rPr>
          <w:rFonts w:ascii="Times New Roman" w:cs="Times New Roman" w:eastAsia="Times New Roman" w:hAnsi="Times New Roman"/>
          <w:sz w:val="20"/>
          <w:szCs w:val="20"/>
          <w:color w:val="auto"/>
        </w:rPr>
        <w:t>This general release includes, but is not limited to: (i)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claims arising from or in any way related to your employment with the Company, services to the Company Group or the termination of that employment and services; (ii) all claims related to your compensation or benefits from the Company Group, including salary, bonuses, commissions, vacation pay, expense reimbursements, severance pay, fringe benefits, stock, stock options, or any other ownership, equity, or profits interests in the Company Group; (iii) all claims for breach of contract, wrongful termination, and breach of the implied covenant of good faith and fair dealing;</w:t>
      </w:r>
    </w:p>
    <w:p>
      <w:pPr>
        <w:spacing w:after="0" w:line="2" w:lineRule="exact"/>
        <w:rPr>
          <w:rFonts w:ascii="Times New Roman" w:cs="Times New Roman" w:eastAsia="Times New Roman" w:hAnsi="Times New Roman"/>
          <w:sz w:val="20"/>
          <w:szCs w:val="20"/>
          <w:b w:val="1"/>
          <w:bCs w:val="1"/>
          <w:color w:val="auto"/>
        </w:rPr>
      </w:pPr>
    </w:p>
    <w:p>
      <w:pPr>
        <w:jc w:val="both"/>
        <w:ind w:left="380" w:right="379" w:hanging="6"/>
        <w:spacing w:after="0"/>
        <w:tabs>
          <w:tab w:leader="none" w:pos="71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the Lily Ledbetter Fair Pay Act, the anti-retaliation provisions of the Sarbanes-Oxley Act, or any other federal or state law regarding whistleblower retaliation; the New York State Human Rights Law, the New York Executive Law, the New York Civil Practice Law and Rules, the New York Judiciary Law, the New York Corrections Law, the New York Labor Law, the New York Civil Rights Law, the New York City Administrative Code, the New York City Human Rights Law, the New York Hours of Labor Law, the New York Wage Payment Law, the New York Minimum Wage Act, the New York Whistleblower Law, and the New York Off-duty Conduct Lawful Activities Discrimination Law, all as amended.</w:t>
      </w:r>
    </w:p>
    <w:p>
      <w:pPr>
        <w:spacing w:after="0" w:line="197" w:lineRule="exact"/>
        <w:rPr>
          <w:rFonts w:ascii="Times New Roman" w:cs="Times New Roman" w:eastAsia="Times New Roman" w:hAnsi="Times New Roman"/>
          <w:sz w:val="20"/>
          <w:szCs w:val="20"/>
          <w:color w:val="auto"/>
        </w:rPr>
      </w:pPr>
    </w:p>
    <w:p>
      <w:pPr>
        <w:jc w:val="both"/>
        <w:ind w:left="380" w:right="379" w:firstLine="1290"/>
        <w:spacing w:after="0" w:line="242" w:lineRule="auto"/>
        <w:tabs>
          <w:tab w:leader="none" w:pos="2323" w:val="left"/>
        </w:tabs>
        <w:numPr>
          <w:ilvl w:val="2"/>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ADEA Release. </w:t>
      </w:r>
      <w:r>
        <w:rPr>
          <w:rFonts w:ascii="Times New Roman" w:cs="Times New Roman" w:eastAsia="Times New Roman" w:hAnsi="Times New Roman"/>
          <w:sz w:val="20"/>
          <w:szCs w:val="20"/>
          <w:color w:val="auto"/>
        </w:rPr>
        <w:t>You acknowledge that you are knowingly and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had at least twenty-one (21) days to consider this Agreement (although you may choose voluntarily to sign it sooner);</w:t>
      </w:r>
    </w:p>
    <w:p>
      <w:pPr>
        <w:spacing w:after="0" w:line="6" w:lineRule="exact"/>
        <w:rPr>
          <w:rFonts w:ascii="Times New Roman" w:cs="Times New Roman" w:eastAsia="Times New Roman" w:hAnsi="Times New Roman"/>
          <w:sz w:val="20"/>
          <w:szCs w:val="20"/>
          <w:b w:val="1"/>
          <w:bCs w:val="1"/>
          <w:color w:val="auto"/>
        </w:rPr>
      </w:pPr>
    </w:p>
    <w:p>
      <w:pPr>
        <w:jc w:val="both"/>
        <w:ind w:left="380" w:right="379" w:hanging="7"/>
        <w:spacing w:after="0" w:line="246" w:lineRule="auto"/>
        <w:tabs>
          <w:tab w:leader="none" w:pos="68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seven (7) days following the date you sign this Agreement to revoke this Agreement (in a written revocation sent to the Company); and (e) this Agreement will not be effective until the date upon which the revocation period has expired, which will be the eighth day after you sign this Agreement provided that you do not revoke it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2320" w:hanging="651"/>
        <w:spacing w:after="0"/>
        <w:tabs>
          <w:tab w:leader="none" w:pos="2320" w:val="left"/>
        </w:tabs>
        <w:numPr>
          <w:ilvl w:val="2"/>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Exceptions.  </w:t>
      </w:r>
      <w:r>
        <w:rPr>
          <w:rFonts w:ascii="Times New Roman" w:cs="Times New Roman" w:eastAsia="Times New Roman" w:hAnsi="Times New Roman"/>
          <w:sz w:val="20"/>
          <w:szCs w:val="20"/>
          <w:color w:val="auto"/>
        </w:rPr>
        <w:t>Notwithstanding  the  foregoing,  you  are  not  releasing  the</w:t>
      </w:r>
    </w:p>
    <w:p>
      <w:pPr>
        <w:spacing w:after="0" w:line="2" w:lineRule="exact"/>
        <w:rPr>
          <w:rFonts w:ascii="Times New Roman" w:cs="Times New Roman" w:eastAsia="Times New Roman" w:hAnsi="Times New Roman"/>
          <w:sz w:val="22"/>
          <w:szCs w:val="22"/>
          <w:b w:val="1"/>
          <w:bCs w:val="1"/>
          <w:color w:val="auto"/>
        </w:rPr>
      </w:pPr>
    </w:p>
    <w:p>
      <w:pPr>
        <w:jc w:val="both"/>
        <w:ind w:left="380" w:right="379"/>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Company hereby from: (i) any obligation to indemnify you pursuant to the Articles and Bylaws of the Company, any valid fully executed indemnification agreement with the Company, applicable law, or applicable directors and officers’ liability insurance; (ii) any claims that cannot be waived by law; or</w:t>
      </w:r>
    </w:p>
    <w:p>
      <w:pPr>
        <w:spacing w:after="0" w:line="1" w:lineRule="exact"/>
        <w:rPr>
          <w:rFonts w:ascii="Times New Roman" w:cs="Times New Roman" w:eastAsia="Times New Roman" w:hAnsi="Times New Roman"/>
          <w:sz w:val="22"/>
          <w:szCs w:val="22"/>
          <w:b w:val="1"/>
          <w:bCs w:val="1"/>
          <w:color w:val="auto"/>
        </w:rPr>
      </w:pPr>
    </w:p>
    <w:p>
      <w:pPr>
        <w:ind w:left="720" w:hanging="347"/>
        <w:spacing w:after="0"/>
        <w:tabs>
          <w:tab w:leader="none" w:pos="72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for breach of this Agreement or any stock agreement you have with the Company.</w:t>
      </w:r>
    </w:p>
    <w:p>
      <w:pPr>
        <w:spacing w:after="0" w:line="203" w:lineRule="exact"/>
        <w:rPr>
          <w:rFonts w:ascii="Times New Roman" w:cs="Times New Roman" w:eastAsia="Times New Roman" w:hAnsi="Times New Roman"/>
          <w:sz w:val="20"/>
          <w:szCs w:val="20"/>
          <w:color w:val="auto"/>
        </w:rPr>
      </w:pPr>
    </w:p>
    <w:p>
      <w:pPr>
        <w:jc w:val="both"/>
        <w:ind w:left="380" w:right="379" w:firstLine="1289"/>
        <w:spacing w:after="0" w:line="244" w:lineRule="auto"/>
        <w:tabs>
          <w:tab w:leader="none" w:pos="2323" w:val="left"/>
        </w:tabs>
        <w:numPr>
          <w:ilvl w:val="2"/>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Protected Rights. </w:t>
      </w:r>
      <w:r>
        <w:rPr>
          <w:rFonts w:ascii="Times New Roman" w:cs="Times New Roman" w:eastAsia="Times New Roman" w:hAnsi="Times New Roman"/>
          <w:sz w:val="20"/>
          <w:szCs w:val="20"/>
          <w:color w:val="auto"/>
        </w:rPr>
        <w:t>You understand that nothing in this Agreement limits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ability to file a charge or complaint with the Equal Employment Opportunity Commission, the Department of Labor, the National Labor Relations Board, the Occupational Safety and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0" w:name="page121"/>
    <w:bookmarkEnd w:id="120"/>
    <w:p>
      <w:pPr>
        <w:jc w:val="both"/>
        <w:ind w:left="380" w:right="379"/>
        <w:spacing w:after="0" w:line="243" w:lineRule="auto"/>
        <w:rPr>
          <w:sz w:val="20"/>
          <w:szCs w:val="20"/>
          <w:color w:val="auto"/>
        </w:rPr>
      </w:pPr>
      <w:r>
        <w:rPr>
          <w:rFonts w:ascii="Times New Roman" w:cs="Times New Roman" w:eastAsia="Times New Roman" w:hAnsi="Times New Roman"/>
          <w:sz w:val="20"/>
          <w:szCs w:val="20"/>
          <w:color w:val="auto"/>
        </w:rPr>
        <w:t>Administration, the Securities and Exchange Commission or any other federal, state or local governmental agency or commission (“</w:t>
      </w:r>
      <w:r>
        <w:rPr>
          <w:rFonts w:ascii="Times New Roman" w:cs="Times New Roman" w:eastAsia="Times New Roman" w:hAnsi="Times New Roman"/>
          <w:sz w:val="20"/>
          <w:szCs w:val="20"/>
          <w:b w:val="1"/>
          <w:bCs w:val="1"/>
          <w:color w:val="auto"/>
        </w:rPr>
        <w:t>Government Agencies</w:t>
      </w:r>
      <w:r>
        <w:rPr>
          <w:rFonts w:ascii="Times New Roman" w:cs="Times New Roman" w:eastAsia="Times New Roman" w:hAnsi="Times New Roman"/>
          <w:sz w:val="20"/>
          <w:szCs w:val="20"/>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the maximum extent permitted by law, you are otherwise waiving any and all rights you may have to individual relief based on any claims that you have released and any rights you have waived by signing this Agreement.</w:t>
      </w:r>
    </w:p>
    <w:p>
      <w:pPr>
        <w:spacing w:after="0" w:line="182" w:lineRule="exact"/>
        <w:rPr>
          <w:sz w:val="20"/>
          <w:szCs w:val="20"/>
          <w:color w:val="auto"/>
        </w:rPr>
      </w:pPr>
    </w:p>
    <w:p>
      <w:pPr>
        <w:jc w:val="both"/>
        <w:ind w:left="380" w:right="379" w:firstLine="641"/>
        <w:spacing w:after="0" w:line="254" w:lineRule="auto"/>
        <w:tabs>
          <w:tab w:leader="none" w:pos="1352" w:val="left"/>
        </w:tabs>
        <w:numPr>
          <w:ilvl w:val="0"/>
          <w:numId w:val="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RETURN OF COMPANY PROPERTY. </w:t>
      </w:r>
      <w:r>
        <w:rPr>
          <w:rFonts w:ascii="Times New Roman" w:cs="Times New Roman" w:eastAsia="Times New Roman" w:hAnsi="Times New Roman"/>
          <w:sz w:val="19"/>
          <w:szCs w:val="19"/>
          <w:color w:val="auto"/>
        </w:rPr>
        <w:t>Within five (5) days following the execution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this Agreement, you will return to the Company all Company Group documents (and all copies thereof) and other Company Group property in your possession or control, including, but not limited to, Company Group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Group (and all reproductions or embodiments thereof in whole or in part). You will, within five (5) days following the execution of this Agreement, deliver in writing to the Company a certification that you have made a diligent search to locate any such documents, property and information. You represent you have not used any personally owned computer or other electronic device, server, or e-mail system to receive, store, review, prepare or transmit any Company Group confidential or proprietary data, materials or information. As to your personal mobile phone, the Parties agree that the Company will remove your access to any Company Group emails and documents. Your written certification referenced above must also certify that no Company Group documents remain on your personal mobile phone, and that you have deleted any Company Group credentials and Company Group accounts for applications remaining on your personal mobile phone. </w:t>
      </w:r>
      <w:r>
        <w:rPr>
          <w:rFonts w:ascii="Times New Roman" w:cs="Times New Roman" w:eastAsia="Times New Roman" w:hAnsi="Times New Roman"/>
          <w:sz w:val="19"/>
          <w:szCs w:val="19"/>
          <w:b w:val="1"/>
          <w:bCs w:val="1"/>
          <w:color w:val="auto"/>
        </w:rPr>
        <w:t>Your timely compliance with this paragraph is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condition to your receipt of the severance benefits provided under this Agreement.</w:t>
      </w:r>
    </w:p>
    <w:p>
      <w:pPr>
        <w:spacing w:after="0" w:line="200" w:lineRule="exact"/>
        <w:rPr>
          <w:rFonts w:ascii="Times New Roman" w:cs="Times New Roman" w:eastAsia="Times New Roman" w:hAnsi="Times New Roman"/>
          <w:sz w:val="19"/>
          <w:szCs w:val="19"/>
          <w:b w:val="1"/>
          <w:bCs w:val="1"/>
          <w:color w:val="auto"/>
        </w:rPr>
      </w:pPr>
    </w:p>
    <w:p>
      <w:pPr>
        <w:spacing w:after="0" w:line="211" w:lineRule="exact"/>
        <w:rPr>
          <w:rFonts w:ascii="Times New Roman" w:cs="Times New Roman" w:eastAsia="Times New Roman" w:hAnsi="Times New Roman"/>
          <w:sz w:val="19"/>
          <w:szCs w:val="19"/>
          <w:b w:val="1"/>
          <w:bCs w:val="1"/>
          <w:color w:val="auto"/>
        </w:rPr>
      </w:pPr>
    </w:p>
    <w:p>
      <w:pPr>
        <w:jc w:val="both"/>
        <w:ind w:left="380" w:right="379" w:firstLine="642"/>
        <w:spacing w:after="0" w:line="250" w:lineRule="auto"/>
        <w:tabs>
          <w:tab w:leader="none" w:pos="135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OBLIGATIONS. </w:t>
      </w:r>
      <w:r>
        <w:rPr>
          <w:rFonts w:ascii="Times New Roman" w:cs="Times New Roman" w:eastAsia="Times New Roman" w:hAnsi="Times New Roman"/>
          <w:sz w:val="20"/>
          <w:szCs w:val="20"/>
          <w:color w:val="auto"/>
        </w:rPr>
        <w:t>You acknowledge and reaffirm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continuing obligations under your Proprietary Information, Inventions and Nonsolicitation Agreement dated June 22, 2023 (“</w:t>
      </w:r>
      <w:r>
        <w:rPr>
          <w:rFonts w:ascii="Times New Roman" w:cs="Times New Roman" w:eastAsia="Times New Roman" w:hAnsi="Times New Roman"/>
          <w:sz w:val="20"/>
          <w:szCs w:val="20"/>
          <w:b w:val="1"/>
          <w:bCs w:val="1"/>
          <w:color w:val="auto"/>
        </w:rPr>
        <w:t>PIINA</w:t>
      </w:r>
      <w:r>
        <w:rPr>
          <w:rFonts w:ascii="Times New Roman" w:cs="Times New Roman" w:eastAsia="Times New Roman" w:hAnsi="Times New Roman"/>
          <w:sz w:val="20"/>
          <w:szCs w:val="20"/>
          <w:color w:val="auto"/>
        </w:rPr>
        <w:t xml:space="preserve">”), a copy of which is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and incorporated herein by reference.</w:t>
      </w:r>
    </w:p>
    <w:p>
      <w:pPr>
        <w:spacing w:after="0" w:line="175" w:lineRule="exact"/>
        <w:rPr>
          <w:rFonts w:ascii="Times New Roman" w:cs="Times New Roman" w:eastAsia="Times New Roman" w:hAnsi="Times New Roman"/>
          <w:sz w:val="20"/>
          <w:szCs w:val="20"/>
          <w:b w:val="1"/>
          <w:bCs w:val="1"/>
          <w:color w:val="auto"/>
        </w:rPr>
      </w:pPr>
    </w:p>
    <w:p>
      <w:pPr>
        <w:jc w:val="both"/>
        <w:ind w:left="380" w:right="379" w:firstLine="642"/>
        <w:spacing w:after="0" w:line="250" w:lineRule="auto"/>
        <w:tabs>
          <w:tab w:leader="none" w:pos="13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VOLUNTARY ADVERSE ACTION. </w:t>
      </w:r>
      <w:r>
        <w:rPr>
          <w:rFonts w:ascii="Times New Roman" w:cs="Times New Roman" w:eastAsia="Times New Roman" w:hAnsi="Times New Roman"/>
          <w:sz w:val="20"/>
          <w:szCs w:val="20"/>
          <w:color w:val="auto"/>
        </w:rPr>
        <w:t>You agree that you will not voluntarily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response to legal compulsion or as permitted under the section of this Agreement entitled “Protected Rights”) assist any person in bringing or pursuing any proposed or pending litigation, arbitration, administrative claim or other formal proceeding against the Released Parties.</w:t>
      </w:r>
    </w:p>
    <w:p>
      <w:pPr>
        <w:spacing w:after="0" w:line="175" w:lineRule="exact"/>
        <w:rPr>
          <w:rFonts w:ascii="Times New Roman" w:cs="Times New Roman" w:eastAsia="Times New Roman" w:hAnsi="Times New Roman"/>
          <w:sz w:val="20"/>
          <w:szCs w:val="20"/>
          <w:b w:val="1"/>
          <w:bCs w:val="1"/>
          <w:color w:val="auto"/>
        </w:rPr>
      </w:pPr>
    </w:p>
    <w:p>
      <w:pPr>
        <w:jc w:val="both"/>
        <w:ind w:left="380" w:right="379" w:firstLine="642"/>
        <w:spacing w:after="0" w:line="256" w:lineRule="auto"/>
        <w:tabs>
          <w:tab w:leader="none" w:pos="1352"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NON-COMPETE. </w:t>
      </w:r>
      <w:r>
        <w:rPr>
          <w:rFonts w:ascii="Times New Roman" w:cs="Times New Roman" w:eastAsia="Times New Roman" w:hAnsi="Times New Roman"/>
          <w:sz w:val="20"/>
          <w:szCs w:val="20"/>
          <w:color w:val="auto"/>
        </w:rPr>
        <w:t>In exchange for the payments and other consideration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which you would not otherwise be entitled, you agree that during the one year period after the Effective Date of this Agreement, you will not, whether paid or not: (i) serve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1" w:name="page122"/>
    <w:bookmarkEnd w:id="121"/>
    <w:p>
      <w:pPr>
        <w:jc w:val="both"/>
        <w:ind w:left="380" w:right="379"/>
        <w:spacing w:after="0" w:line="242" w:lineRule="auto"/>
        <w:rPr>
          <w:sz w:val="20"/>
          <w:szCs w:val="20"/>
          <w:color w:val="auto"/>
        </w:rPr>
      </w:pPr>
      <w:r>
        <w:rPr>
          <w:rFonts w:ascii="Times New Roman" w:cs="Times New Roman" w:eastAsia="Times New Roman" w:hAnsi="Times New Roman"/>
          <w:sz w:val="20"/>
          <w:szCs w:val="20"/>
          <w:color w:val="auto"/>
        </w:rPr>
        <w:t>proprietor, partner, stockholder (other than a passive stockholder of 5% or less of the entity), director, executive, employee, consultant, joint venturer, member, investor, lender or otherwise for, (ii) engage or assist others to engage in, or own, manage, operate or control, (iii) participate in the ownership, management, operation or control of, or (iv) become employed or engaged by any business whose business, products or operations are in any respect involved in Conflicting Services (defined below) anywhere in the Restricted Territory (defined below). Should you obtain other employment within twelve (12) months immediately following the Effective Date of this Agreement, you agree to provide written notification to the Company as to the name and address of your new employer, the position that you expect to hold, and a general description of your duties and responsibilities, at least three business days prior to starting such employment, or, in the case of obtaining employment as an officer or director of a public company, within three business days following public disclosure.</w:t>
      </w:r>
    </w:p>
    <w:p>
      <w:pPr>
        <w:spacing w:after="0" w:line="186" w:lineRule="exact"/>
        <w:rPr>
          <w:sz w:val="20"/>
          <w:szCs w:val="20"/>
          <w:color w:val="auto"/>
        </w:rPr>
      </w:pPr>
    </w:p>
    <w:p>
      <w:pPr>
        <w:jc w:val="both"/>
        <w:ind w:left="380" w:right="379" w:firstLine="1290"/>
        <w:spacing w:after="0" w:line="261" w:lineRule="auto"/>
        <w:tabs>
          <w:tab w:leader="none" w:pos="2322" w:val="left"/>
        </w:tabs>
        <w:numPr>
          <w:ilvl w:val="1"/>
          <w:numId w:val="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parties agree that for purposes of this Agreement, “</w:t>
      </w:r>
      <w:r>
        <w:rPr>
          <w:rFonts w:ascii="Times New Roman" w:cs="Times New Roman" w:eastAsia="Times New Roman" w:hAnsi="Times New Roman"/>
          <w:sz w:val="19"/>
          <w:szCs w:val="19"/>
          <w:b w:val="1"/>
          <w:bCs w:val="1"/>
          <w:color w:val="auto"/>
        </w:rPr>
        <w:t>Conflicting Services</w:t>
      </w:r>
      <w:r>
        <w:rPr>
          <w:rFonts w:ascii="Times New Roman" w:cs="Times New Roman" w:eastAsia="Times New Roman" w:hAnsi="Times New Roman"/>
          <w:sz w:val="19"/>
          <w:szCs w:val="19"/>
          <w:color w:val="auto"/>
        </w:rPr>
        <w:t>” means any business which (i) carries on research or commercialization in the field of constrained peptides, including, without limitation, all work in the field of lead constrained peptide identification and optimization and pre-clinical and/or clinical development and/or commercialization of constrained peptide therapeutics or (ii) is developing and/or commercializing a drug conjugate compound for treating disease that targets the same target as a drug conjugate compound in development by the Company.</w:t>
      </w:r>
    </w:p>
    <w:p>
      <w:pPr>
        <w:spacing w:after="0" w:line="167" w:lineRule="exact"/>
        <w:rPr>
          <w:rFonts w:ascii="Times New Roman" w:cs="Times New Roman" w:eastAsia="Times New Roman" w:hAnsi="Times New Roman"/>
          <w:sz w:val="19"/>
          <w:szCs w:val="19"/>
          <w:b w:val="1"/>
          <w:bCs w:val="1"/>
          <w:color w:val="auto"/>
        </w:rPr>
      </w:pPr>
    </w:p>
    <w:p>
      <w:pPr>
        <w:jc w:val="both"/>
        <w:ind w:left="380" w:right="379" w:firstLine="1289"/>
        <w:spacing w:after="0" w:line="250" w:lineRule="auto"/>
        <w:tabs>
          <w:tab w:leader="none" w:pos="2322"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further agree that for purposes of this Agreement,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anywhere in the United States or United Kingdom or in any other country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and/or any other member of the Company Group conducts business or as of the Separation Date had plans to conduct business.</w:t>
      </w:r>
    </w:p>
    <w:p>
      <w:pPr>
        <w:spacing w:after="0" w:line="175" w:lineRule="exact"/>
        <w:rPr>
          <w:rFonts w:ascii="Times New Roman" w:cs="Times New Roman" w:eastAsia="Times New Roman" w:hAnsi="Times New Roman"/>
          <w:sz w:val="20"/>
          <w:szCs w:val="20"/>
          <w:b w:val="1"/>
          <w:bCs w:val="1"/>
          <w:color w:val="auto"/>
        </w:rPr>
      </w:pPr>
    </w:p>
    <w:p>
      <w:pPr>
        <w:jc w:val="both"/>
        <w:ind w:left="380" w:right="379" w:firstLine="642"/>
        <w:spacing w:after="0" w:line="255" w:lineRule="auto"/>
        <w:tabs>
          <w:tab w:leader="none" w:pos="1340"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COOPERATION. </w:t>
      </w:r>
      <w:r>
        <w:rPr>
          <w:rFonts w:ascii="Times New Roman" w:cs="Times New Roman" w:eastAsia="Times New Roman" w:hAnsi="Times New Roman"/>
          <w:sz w:val="19"/>
          <w:szCs w:val="19"/>
          <w:color w:val="auto"/>
        </w:rPr>
        <w:t>You agree to reasonably cooperate with the Company in all matters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relating to the transition of your work and responsibilities on behalf of the Company Group, including, but not limited to, any present, prior or subsequent relationships and the orderly transfer of any such work and institutional knowledge to such other persons as may be designated by the Company, both during the Transition Period and thereafter. Such transition assistance following the Transition Period shall not be subject to additional compensation, and the Company will make reasonable efforts to accommodate your scheduling needs. During and following the Transition Period and Severance Period, you agree to provide reasonable cooperation to the Company Group in connection with its actual or contemplated defense, prosecution, or investigation of any claims or demands by or against third parties, or other matters arising from events, acts, or failures to act that occurred during the period of your employment by the Company and services to the Company Group. Such cooperation includes, without limitation, making yourself available to the Company Group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salary, or other compensation) and will make reasonable efforts to accommodate your scheduling needs and, following the Severance Period for more than de minimis service, you and the Company will agree on a mutually agreeable per diem rate.</w:t>
      </w:r>
    </w:p>
    <w:p>
      <w:pPr>
        <w:spacing w:after="0" w:line="171" w:lineRule="exact"/>
        <w:rPr>
          <w:rFonts w:ascii="Times New Roman" w:cs="Times New Roman" w:eastAsia="Times New Roman" w:hAnsi="Times New Roman"/>
          <w:sz w:val="19"/>
          <w:szCs w:val="19"/>
          <w:b w:val="1"/>
          <w:bCs w:val="1"/>
          <w:color w:val="auto"/>
        </w:rPr>
      </w:pPr>
    </w:p>
    <w:p>
      <w:pPr>
        <w:ind w:left="380" w:right="399" w:firstLine="642"/>
        <w:spacing w:after="0" w:line="273" w:lineRule="auto"/>
        <w:tabs>
          <w:tab w:leader="none" w:pos="13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You will not disparage the Company Group, and/or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Group’s officers, directors, employees, shareholders, partners and/or agents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319405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2" w:name="page123"/>
    <w:bookmarkEnd w:id="122"/>
    <w:p>
      <w:pPr>
        <w:jc w:val="both"/>
        <w:ind w:left="380" w:right="379"/>
        <w:spacing w:after="0" w:line="244" w:lineRule="auto"/>
        <w:rPr>
          <w:sz w:val="20"/>
          <w:szCs w:val="20"/>
          <w:color w:val="auto"/>
        </w:rPr>
      </w:pPr>
      <w:r>
        <w:rPr>
          <w:rFonts w:ascii="Times New Roman" w:cs="Times New Roman" w:eastAsia="Times New Roman" w:hAnsi="Times New Roman"/>
          <w:sz w:val="20"/>
          <w:szCs w:val="20"/>
          <w:color w:val="auto"/>
        </w:rPr>
        <w:t>manner likely to be harmful to them or their business, business reputation or personal reputation. The Company agrees that the Company Group’s executives and Board members (while engaged by the Company) shall not disparage you in any manner likely to be harmful to you or your business or personal reputation. Any party restricted by this Section may respond accurately and fully to any question, inquiry or request for information if required by legal process or in connection with a government investigation. In addition, nothing in this provision or this Agreement is intended to prohibit or restrain you from the Protected Rights set forth above.</w:t>
      </w:r>
    </w:p>
    <w:p>
      <w:pPr>
        <w:spacing w:after="0" w:line="182" w:lineRule="exact"/>
        <w:rPr>
          <w:sz w:val="20"/>
          <w:szCs w:val="20"/>
          <w:color w:val="auto"/>
        </w:rPr>
      </w:pPr>
    </w:p>
    <w:p>
      <w:pPr>
        <w:jc w:val="both"/>
        <w:ind w:left="380" w:right="399" w:firstLine="642"/>
        <w:spacing w:after="0" w:line="256" w:lineRule="auto"/>
        <w:tabs>
          <w:tab w:leader="none" w:pos="13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ADMISSIONS. </w:t>
      </w:r>
      <w:r>
        <w:rPr>
          <w:rFonts w:ascii="Times New Roman" w:cs="Times New Roman" w:eastAsia="Times New Roman" w:hAnsi="Times New Roman"/>
          <w:sz w:val="20"/>
          <w:szCs w:val="20"/>
          <w:color w:val="auto"/>
        </w:rPr>
        <w:t>You understand and agree that the promises and payments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of this Agreement shall not be construed to be an admission of any liability or obligation by the Company to you or to any other person, and that the Company makes no such admission.</w:t>
      </w:r>
    </w:p>
    <w:p>
      <w:pPr>
        <w:spacing w:after="0" w:line="168" w:lineRule="exact"/>
        <w:rPr>
          <w:rFonts w:ascii="Times New Roman" w:cs="Times New Roman" w:eastAsia="Times New Roman" w:hAnsi="Times New Roman"/>
          <w:sz w:val="20"/>
          <w:szCs w:val="20"/>
          <w:b w:val="1"/>
          <w:bCs w:val="1"/>
          <w:color w:val="auto"/>
        </w:rPr>
      </w:pPr>
    </w:p>
    <w:p>
      <w:pPr>
        <w:jc w:val="both"/>
        <w:ind w:left="380" w:right="379" w:firstLine="641"/>
        <w:spacing w:after="0" w:line="250" w:lineRule="auto"/>
        <w:tabs>
          <w:tab w:leader="none" w:pos="13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REPRESENTATIONS. </w:t>
      </w:r>
      <w:r>
        <w:rPr>
          <w:rFonts w:ascii="Times New Roman" w:cs="Times New Roman" w:eastAsia="Times New Roman" w:hAnsi="Times New Roman"/>
          <w:sz w:val="20"/>
          <w:szCs w:val="20"/>
          <w:color w:val="auto"/>
        </w:rPr>
        <w:t>You hereby represent that you have: been paid all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owed and for all hours worked; received all leave and leave benefits and protections for which you are eligible pursuant to the Family and Medical Leave Act or otherwise; and not suffered any on-the-job injury for which you have not already filed a workers’ compensation claim.</w:t>
      </w:r>
    </w:p>
    <w:p>
      <w:pPr>
        <w:spacing w:after="0" w:line="175" w:lineRule="exact"/>
        <w:rPr>
          <w:rFonts w:ascii="Times New Roman" w:cs="Times New Roman" w:eastAsia="Times New Roman" w:hAnsi="Times New Roman"/>
          <w:sz w:val="20"/>
          <w:szCs w:val="20"/>
          <w:b w:val="1"/>
          <w:bCs w:val="1"/>
          <w:color w:val="auto"/>
        </w:rPr>
      </w:pPr>
    </w:p>
    <w:p>
      <w:pPr>
        <w:jc w:val="both"/>
        <w:ind w:left="380" w:right="379" w:firstLine="642"/>
        <w:spacing w:after="0" w:line="244" w:lineRule="auto"/>
        <w:tabs>
          <w:tab w:leader="none" w:pos="13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DISPUTE RESOLUTION. </w:t>
      </w:r>
      <w:r>
        <w:rPr>
          <w:rFonts w:ascii="Times New Roman" w:cs="Times New Roman" w:eastAsia="Times New Roman" w:hAnsi="Times New Roman"/>
          <w:sz w:val="20"/>
          <w:szCs w:val="20"/>
          <w:color w:val="auto"/>
        </w:rPr>
        <w:t>You and the Company recognize that litigation in federal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courts or before federal or state administrative agencies of disputes arising out of your employment with the Company or out of this Agreement, or your termination of employment, may not be in the best interests of either you or the Company, and may result in unnecessary costs, delays, complexities, and uncertainty. Except where prohibited by law, you and the Company agree that any dispute between the parties arising out of or relating to the negotiation, execution, performance or termination of this Agreement shall be settled by arbitration in accordance with the Resolution of Disputes provision of the Employment Agreement.</w:t>
      </w:r>
    </w:p>
    <w:p>
      <w:pPr>
        <w:spacing w:after="0" w:line="181" w:lineRule="exact"/>
        <w:rPr>
          <w:rFonts w:ascii="Times New Roman" w:cs="Times New Roman" w:eastAsia="Times New Roman" w:hAnsi="Times New Roman"/>
          <w:sz w:val="20"/>
          <w:szCs w:val="20"/>
          <w:b w:val="1"/>
          <w:bCs w:val="1"/>
          <w:color w:val="auto"/>
        </w:rPr>
      </w:pPr>
    </w:p>
    <w:p>
      <w:pPr>
        <w:jc w:val="both"/>
        <w:ind w:left="380" w:right="379" w:firstLine="641"/>
        <w:spacing w:after="0" w:line="242" w:lineRule="auto"/>
        <w:tabs>
          <w:tab w:leader="none" w:pos="1352"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409A. </w:t>
      </w:r>
      <w:r>
        <w:rPr>
          <w:rFonts w:ascii="Times New Roman" w:cs="Times New Roman" w:eastAsia="Times New Roman" w:hAnsi="Times New Roman"/>
          <w:sz w:val="20"/>
          <w:szCs w:val="20"/>
          <w:color w:val="auto"/>
        </w:rPr>
        <w:t>All payments and benefits provided under this Agreement are intended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satisfy the requirements for an exemption from application of Section 409A of the Internal Revenue Code of 1986, as amended, and the regulations and other guidance thereunder and any state law of similar effect (collectively,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to the maximum extent that an exemption is available and any ambiguities herein shall be interpreted accordingly; provided, however, that to the extent such an exemption is not available, such payments and benefits are intended to comply with the requirements of Section 409A to the extent necessary to avoid adverse personal tax consequences and any ambiguities herein shall be interpreted accordingly. To the extent any payment or benefit under this Agreement may be classified as a “short-term deferral” within the meaning of Section 409A, such payment or benefit shall be deemed a short-term deferral, even if it may also qualify for an exemption from Section 409A under another provision of Section 409A. For purposes of Section 409A, any installment payments provided under this Agreement shall each be treated as a separate payment.</w:t>
      </w:r>
    </w:p>
    <w:p>
      <w:pPr>
        <w:spacing w:after="0" w:line="191" w:lineRule="exact"/>
        <w:rPr>
          <w:sz w:val="20"/>
          <w:szCs w:val="20"/>
          <w:color w:val="auto"/>
        </w:rPr>
      </w:pPr>
    </w:p>
    <w:p>
      <w:pPr>
        <w:jc w:val="both"/>
        <w:ind w:left="380" w:right="379" w:firstLine="1296"/>
        <w:spacing w:after="0" w:line="245" w:lineRule="auto"/>
        <w:rPr>
          <w:sz w:val="20"/>
          <w:szCs w:val="20"/>
          <w:color w:val="auto"/>
        </w:rPr>
      </w:pPr>
      <w:r>
        <w:rPr>
          <w:rFonts w:ascii="Times New Roman" w:cs="Times New Roman" w:eastAsia="Times New Roman" w:hAnsi="Times New Roman"/>
          <w:sz w:val="20"/>
          <w:szCs w:val="20"/>
          <w:color w:val="auto"/>
        </w:rPr>
        <w:t>To the extent any expense reimbursement or the provision of any in-kind benefit under the this Agreement is determined to be subject to (and not exempt from) Section 409A,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you incurred such expenses,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3" w:name="page124"/>
    <w:bookmarkEnd w:id="123"/>
    <w:p>
      <w:pPr>
        <w:ind w:left="380" w:right="79"/>
        <w:spacing w:after="0" w:line="269" w:lineRule="auto"/>
        <w:rPr>
          <w:sz w:val="20"/>
          <w:szCs w:val="20"/>
          <w:color w:val="auto"/>
        </w:rPr>
      </w:pPr>
      <w:r>
        <w:rPr>
          <w:rFonts w:ascii="Times New Roman" w:cs="Times New Roman" w:eastAsia="Times New Roman" w:hAnsi="Times New Roman"/>
          <w:sz w:val="20"/>
          <w:szCs w:val="20"/>
          <w:color w:val="auto"/>
        </w:rPr>
        <w:t>no event shall any right to reimbursement or the provision of any in-kind benefit be subject to liquidation or exchange for another benefit.</w:t>
      </w:r>
    </w:p>
    <w:p>
      <w:pPr>
        <w:spacing w:after="0" w:line="159" w:lineRule="exact"/>
        <w:rPr>
          <w:sz w:val="20"/>
          <w:szCs w:val="20"/>
          <w:color w:val="auto"/>
        </w:rPr>
      </w:pPr>
    </w:p>
    <w:p>
      <w:pPr>
        <w:jc w:val="both"/>
        <w:ind w:left="380" w:right="379" w:firstLine="1296"/>
        <w:spacing w:after="0" w:line="244" w:lineRule="auto"/>
        <w:rPr>
          <w:sz w:val="20"/>
          <w:szCs w:val="20"/>
          <w:color w:val="auto"/>
        </w:rPr>
      </w:pPr>
      <w:r>
        <w:rPr>
          <w:rFonts w:ascii="Times New Roman" w:cs="Times New Roman" w:eastAsia="Times New Roman" w:hAnsi="Times New Roman"/>
          <w:sz w:val="20"/>
          <w:szCs w:val="20"/>
          <w:color w:val="auto"/>
        </w:rPr>
        <w:t>To the extent required by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Treasury Regulations Section 1.409A-1(h), without regard to any alternative definition thereunder (a “</w:t>
      </w: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 and, for purposes of any such provision of this Agreement, references to a “resignation,” “termination,” “termination of employment” or like terms shall mean a Separation from Service.</w:t>
      </w:r>
    </w:p>
    <w:p>
      <w:pPr>
        <w:spacing w:after="0" w:line="186" w:lineRule="exact"/>
        <w:rPr>
          <w:sz w:val="20"/>
          <w:szCs w:val="20"/>
          <w:color w:val="auto"/>
        </w:rPr>
      </w:pPr>
    </w:p>
    <w:p>
      <w:pPr>
        <w:jc w:val="both"/>
        <w:ind w:left="380" w:right="379" w:firstLine="1296"/>
        <w:spacing w:after="0" w:line="241" w:lineRule="auto"/>
        <w:rPr>
          <w:sz w:val="20"/>
          <w:szCs w:val="20"/>
          <w:color w:val="auto"/>
        </w:rPr>
      </w:pPr>
      <w:r>
        <w:rPr>
          <w:rFonts w:ascii="Times New Roman" w:cs="Times New Roman" w:eastAsia="Times New Roman" w:hAnsi="Times New Roman"/>
          <w:sz w:val="20"/>
          <w:szCs w:val="20"/>
          <w:color w:val="auto"/>
        </w:rPr>
        <w:t>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you prior to the earliest of (i) the expiration of the six-month period measured from the date of your Separation from Service, (ii) the date of your death or (iii) such earlier date as permitted under Section 409A without the imposition of adverse taxation. Upon the first business day following the expiration of such applicable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197" w:lineRule="exact"/>
        <w:rPr>
          <w:sz w:val="20"/>
          <w:szCs w:val="20"/>
          <w:color w:val="auto"/>
        </w:rPr>
      </w:pPr>
    </w:p>
    <w:p>
      <w:pPr>
        <w:jc w:val="both"/>
        <w:ind w:left="380" w:right="379" w:firstLine="1296"/>
        <w:spacing w:after="0" w:line="249" w:lineRule="auto"/>
        <w:rPr>
          <w:sz w:val="20"/>
          <w:szCs w:val="20"/>
          <w:color w:val="auto"/>
        </w:rPr>
      </w:pPr>
      <w:r>
        <w:rPr>
          <w:rFonts w:ascii="Times New Roman" w:cs="Times New Roman" w:eastAsia="Times New Roman" w:hAnsi="Times New Roman"/>
          <w:sz w:val="20"/>
          <w:szCs w:val="20"/>
          <w:color w:val="auto"/>
        </w:rPr>
        <w:t>The Company makes no representations that the payments and benefits provided under this Agreement comply with Section 409A and in no event shall the Company be liable for all or any portion of any taxes, penalties, interest, or other expenses that may be incurred by you on account of non-compliance with Section 409A.</w:t>
      </w:r>
    </w:p>
    <w:p>
      <w:pPr>
        <w:spacing w:after="0" w:line="176" w:lineRule="exact"/>
        <w:rPr>
          <w:sz w:val="20"/>
          <w:szCs w:val="20"/>
          <w:color w:val="auto"/>
        </w:rPr>
      </w:pPr>
    </w:p>
    <w:p>
      <w:pPr>
        <w:jc w:val="both"/>
        <w:ind w:left="380" w:right="379" w:firstLine="642"/>
        <w:spacing w:after="0" w:line="241" w:lineRule="auto"/>
        <w:tabs>
          <w:tab w:leader="none" w:pos="13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This Agreement, including its exhibits, the PIINA and all relevant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documents constitutes the complete, final and exclusive embodiment of the entire agreement between you and the Company with regard to its subject matter (but for the avoidance of doubt does not supersede the Consulting Agreement executed between you and the Company contemporaneously herewith).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New York without regard to conflict of laws principles. Any ambiguity in this Agreement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345440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4" w:name="page125"/>
    <w:bookmarkEnd w:id="124"/>
    <w:p>
      <w:pPr>
        <w:jc w:val="both"/>
        <w:ind w:left="380" w:right="379"/>
        <w:spacing w:after="0" w:line="254" w:lineRule="auto"/>
        <w:rPr>
          <w:sz w:val="20"/>
          <w:szCs w:val="20"/>
          <w:color w:val="auto"/>
        </w:rPr>
      </w:pPr>
      <w:r>
        <w:rPr>
          <w:rFonts w:ascii="Times New Roman" w:cs="Times New Roman" w:eastAsia="Times New Roman" w:hAnsi="Times New Roman"/>
          <w:sz w:val="20"/>
          <w:szCs w:val="20"/>
          <w:color w:val="auto"/>
        </w:rPr>
        <w:t>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5" w:name="page126"/>
    <w:bookmarkEnd w:id="125"/>
    <w:p>
      <w:pPr>
        <w:jc w:val="both"/>
        <w:ind w:left="380" w:right="379" w:hanging="1"/>
        <w:spacing w:after="0" w:line="249" w:lineRule="auto"/>
        <w:rPr>
          <w:sz w:val="20"/>
          <w:szCs w:val="20"/>
          <w:color w:val="auto"/>
        </w:rPr>
      </w:pPr>
      <w:r>
        <w:rPr>
          <w:rFonts w:ascii="Times New Roman" w:cs="Times New Roman" w:eastAsia="Times New Roman" w:hAnsi="Times New Roman"/>
          <w:sz w:val="20"/>
          <w:szCs w:val="20"/>
          <w:color w:val="auto"/>
        </w:rPr>
        <w:t>If this Agreement is acceptable to you, please sign below and return the original to me no later than January 31, 2026, which is at least twenty-one (21) days after the date on which you were provided this Agreement for review. The Company’s offer contained herein will automatically expire if you do not sign and return it within this timeframe.</w:t>
      </w:r>
    </w:p>
    <w:p>
      <w:pPr>
        <w:spacing w:after="0" w:line="180" w:lineRule="exact"/>
        <w:rPr>
          <w:sz w:val="20"/>
          <w:szCs w:val="20"/>
          <w:color w:val="auto"/>
        </w:rPr>
      </w:pPr>
    </w:p>
    <w:p>
      <w:pPr>
        <w:jc w:val="both"/>
        <w:ind w:left="380" w:right="379" w:hanging="1"/>
        <w:spacing w:after="0" w:line="259" w:lineRule="auto"/>
        <w:rPr>
          <w:sz w:val="20"/>
          <w:szCs w:val="20"/>
          <w:color w:val="auto"/>
        </w:rPr>
      </w:pPr>
      <w:r>
        <w:rPr>
          <w:rFonts w:ascii="Times New Roman" w:cs="Times New Roman" w:eastAsia="Times New Roman" w:hAnsi="Times New Roman"/>
          <w:sz w:val="19"/>
          <w:szCs w:val="19"/>
          <w:color w:val="auto"/>
        </w:rPr>
        <w:t>You acknowledge that you have been advised that you have the right to consult an attorney regarding this Agreement and that you were given a reasonable time period as set forth above in which to do so. You 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13970</wp:posOffset>
            </wp:positionV>
            <wp:extent cx="23660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Travis Thompson, CAO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 HAVE READ, UNDERSTAND AND AGREE FULLY TO THE FOREGOING AGREEMENT:</w:t>
      </w:r>
    </w:p>
    <w:p>
      <w:pPr>
        <w:spacing w:after="0" w:line="200" w:lineRule="exact"/>
        <w:rPr>
          <w:sz w:val="20"/>
          <w:szCs w:val="20"/>
          <w:color w:val="auto"/>
        </w:rPr>
      </w:pPr>
    </w:p>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 Alethia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13970</wp:posOffset>
            </wp:positionV>
            <wp:extent cx="23660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Alethia Young</w:t>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29-01-2026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1377315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13970</wp:posOffset>
            </wp:positionV>
            <wp:extent cx="22459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26" w:name="page127"/>
    <w:bookmarkEnd w:id="126"/>
    <w:tbl>
      <w:tblPr>
        <w:tblLayout w:type="fixed"/>
        <w:tblInd w:w="380" w:type="dxa"/>
        <w:tblCellMar>
          <w:top w:w="0" w:type="dxa"/>
          <w:left w:w="0" w:type="dxa"/>
          <w:bottom w:w="0" w:type="dxa"/>
          <w:right w:w="0" w:type="dxa"/>
        </w:tblCellMar>
      </w:tblPr>
      <w:tr>
        <w:trPr>
          <w:trHeight w:val="262"/>
        </w:trPr>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160" w:type="dxa"/>
            <w:vAlign w:val="bottom"/>
          </w:tcPr>
          <w:p>
            <w:pPr>
              <w:jc w:val="center"/>
              <w:ind w:right="1001"/>
              <w:spacing w:after="0"/>
              <w:rPr>
                <w:sz w:val="20"/>
                <w:szCs w:val="20"/>
                <w:color w:val="auto"/>
              </w:rPr>
            </w:pPr>
            <w:r>
              <w:rPr>
                <w:rFonts w:ascii="Times New Roman" w:cs="Times New Roman" w:eastAsia="Times New Roman" w:hAnsi="Times New Roman"/>
                <w:sz w:val="20"/>
                <w:szCs w:val="20"/>
                <w:b w:val="1"/>
                <w:bCs w:val="1"/>
                <w:color w:val="auto"/>
                <w:w w:val="97"/>
              </w:rPr>
              <w:t>EXHIBIT A</w:t>
            </w:r>
          </w:p>
        </w:tc>
      </w:tr>
      <w:tr>
        <w:trPr>
          <w:trHeight w:val="513"/>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60" w:type="dxa"/>
            <w:vAlign w:val="bottom"/>
          </w:tcPr>
          <w:p>
            <w:pPr>
              <w:jc w:val="center"/>
              <w:ind w:right="1021"/>
              <w:spacing w:after="0"/>
              <w:rPr>
                <w:sz w:val="20"/>
                <w:szCs w:val="20"/>
                <w:color w:val="auto"/>
              </w:rPr>
            </w:pPr>
            <w:r>
              <w:rPr>
                <w:rFonts w:ascii="Times New Roman" w:cs="Times New Roman" w:eastAsia="Times New Roman" w:hAnsi="Times New Roman"/>
                <w:sz w:val="20"/>
                <w:szCs w:val="20"/>
                <w:b w:val="1"/>
                <w:bCs w:val="1"/>
                <w:color w:val="auto"/>
                <w:w w:val="98"/>
              </w:rPr>
              <w:t>Supplemental Release</w:t>
            </w:r>
          </w:p>
        </w:tc>
      </w:tr>
      <w:tr>
        <w:trPr>
          <w:trHeight w:val="453"/>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9"/>
              </w:rPr>
              <w:t>On</w:t>
            </w:r>
          </w:p>
        </w:tc>
        <w:tc>
          <w:tcPr>
            <w:tcW w:w="860" w:type="dxa"/>
            <w:vAlign w:val="bottom"/>
            <w:tcBorders>
              <w:bottom w:val="single" w:sz="8" w:color="auto"/>
            </w:tcBorders>
          </w:tcPr>
          <w:p>
            <w:pPr>
              <w:spacing w:after="0"/>
              <w:rPr>
                <w:sz w:val="24"/>
                <w:szCs w:val="24"/>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2026, I voluntarily executed a Transition and Separation Agreement (the “</w:t>
            </w:r>
            <w:r>
              <w:rPr>
                <w:rFonts w:ascii="Times New Roman" w:cs="Times New Roman" w:eastAsia="Times New Roman" w:hAnsi="Times New Roman"/>
                <w:sz w:val="20"/>
                <w:szCs w:val="20"/>
                <w:b w:val="1"/>
                <w:bCs w:val="1"/>
                <w:color w:val="auto"/>
                <w:w w:val="99"/>
              </w:rPr>
              <w:t>Agreement</w:t>
            </w:r>
            <w:r>
              <w:rPr>
                <w:rFonts w:ascii="Times New Roman" w:cs="Times New Roman" w:eastAsia="Times New Roman" w:hAnsi="Times New Roman"/>
                <w:sz w:val="20"/>
                <w:szCs w:val="20"/>
                <w:color w:val="auto"/>
                <w:w w:val="99"/>
              </w:rPr>
              <w:t>”)</w:t>
            </w:r>
          </w:p>
        </w:tc>
      </w:tr>
    </w:tbl>
    <w:p>
      <w:pPr>
        <w:spacing w:after="0" w:line="45" w:lineRule="exact"/>
        <w:rPr>
          <w:sz w:val="20"/>
          <w:szCs w:val="20"/>
          <w:color w:val="auto"/>
        </w:rPr>
      </w:pPr>
    </w:p>
    <w:p>
      <w:pPr>
        <w:jc w:val="both"/>
        <w:ind w:left="380" w:right="379"/>
        <w:spacing w:after="0" w:line="291" w:lineRule="auto"/>
        <w:rPr>
          <w:sz w:val="20"/>
          <w:szCs w:val="20"/>
          <w:color w:val="auto"/>
        </w:rPr>
      </w:pPr>
      <w:r>
        <w:rPr>
          <w:rFonts w:ascii="Times New Roman" w:cs="Times New Roman" w:eastAsia="Times New Roman" w:hAnsi="Times New Roman"/>
          <w:sz w:val="20"/>
          <w:szCs w:val="20"/>
          <w:color w:val="auto"/>
        </w:rPr>
        <w:t>between the Company and me. I was provided at least 21 days to consider the Agreement and this Supplemental Release, and was advised by the Company, in writing, to consult with an attorney of my choosing, prior to executing the Agreement and this Supplemental Release. I acknowledge that I have at no time revoked my acceptance or execution of the Agreement.</w:t>
      </w:r>
    </w:p>
    <w:p>
      <w:pPr>
        <w:spacing w:after="0" w:line="235" w:lineRule="exact"/>
        <w:rPr>
          <w:sz w:val="20"/>
          <w:szCs w:val="20"/>
          <w:color w:val="auto"/>
        </w:rPr>
      </w:pPr>
    </w:p>
    <w:p>
      <w:pPr>
        <w:jc w:val="both"/>
        <w:ind w:left="380" w:right="379"/>
        <w:spacing w:after="0" w:line="291" w:lineRule="auto"/>
        <w:rPr>
          <w:sz w:val="20"/>
          <w:szCs w:val="20"/>
          <w:color w:val="auto"/>
        </w:rPr>
      </w:pPr>
      <w:r>
        <w:rPr>
          <w:rFonts w:ascii="Times New Roman" w:cs="Times New Roman" w:eastAsia="Times New Roman" w:hAnsi="Times New Roman"/>
          <w:sz w:val="20"/>
          <w:szCs w:val="20"/>
          <w:color w:val="auto"/>
        </w:rPr>
        <w:t>Pursuant to my obligations set forth in the Agreement and in exchange for the consideration in Section 4 of the Agreement, I hereby reaffirm, restate, and update in its entirety, the release of claims contained in Section 7 of that Agreement. As a result, I understand and agree that the release of claims shall be fully effective up to and through the date of my execution of this Supplemental Release.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 understand that this Supplemental Release shall only become effective so long as I execute it by 5 PM</w:t>
      </w:r>
    </w:p>
    <w:p>
      <w:pPr>
        <w:spacing w:after="0" w:line="52" w:lineRule="exact"/>
        <w:rPr>
          <w:sz w:val="20"/>
          <w:szCs w:val="20"/>
          <w:color w:val="auto"/>
        </w:rPr>
      </w:pPr>
    </w:p>
    <w:p>
      <w:pPr>
        <w:jc w:val="both"/>
        <w:ind w:left="380" w:right="399"/>
        <w:spacing w:after="0" w:line="296" w:lineRule="auto"/>
        <w:rPr>
          <w:sz w:val="20"/>
          <w:szCs w:val="20"/>
          <w:color w:val="auto"/>
        </w:rPr>
      </w:pPr>
      <w:r>
        <w:rPr>
          <w:rFonts w:ascii="Times New Roman" w:cs="Times New Roman" w:eastAsia="Times New Roman" w:hAnsi="Times New Roman"/>
          <w:sz w:val="20"/>
          <w:szCs w:val="20"/>
          <w:color w:val="auto"/>
        </w:rPr>
        <w:t>ET on . I may revoke this Supplemental Release for a period of seven (7) days following my execution hereof and all rights and obligations of both parties under the Agreement shall not become effective or enforceable until the seven (7) day revocation period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-405130</wp:posOffset>
            </wp:positionV>
            <wp:extent cx="5708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9" w:lineRule="exact"/>
        <w:rPr>
          <w:sz w:val="20"/>
          <w:szCs w:val="20"/>
          <w:color w:val="auto"/>
        </w:rPr>
      </w:pPr>
    </w:p>
    <w:p>
      <w:pPr>
        <w:jc w:val="both"/>
        <w:ind w:left="380" w:right="379"/>
        <w:spacing w:after="0" w:line="288" w:lineRule="auto"/>
        <w:rPr>
          <w:sz w:val="20"/>
          <w:szCs w:val="20"/>
          <w:color w:val="auto"/>
        </w:rPr>
      </w:pPr>
      <w:r>
        <w:rPr>
          <w:rFonts w:ascii="Times New Roman" w:cs="Times New Roman" w:eastAsia="Times New Roman" w:hAnsi="Times New Roman"/>
          <w:sz w:val="20"/>
          <w:szCs w:val="20"/>
          <w:color w:val="auto"/>
        </w:rPr>
        <w:t>I ACKNOWLEDGE THAT I HAVE BEEN ADVISED TO CONSULT AN ATTORNEY BEFORE EXECUTING THIS SUPPLEMENTAL RELEASE. I REPRESENT THAT I HAVE READ THE FOREGOING SUPPLEMENTAL RELEASE, THAT I FULLY UNDERSTAND THE TERMS AND CONDITIONS OF SUCH SUPPLEMENTAL RELEASE AND THAT I AM VOLUNTARILY EXECUTING THE SAME. IN ENTERING INTO THIS SUPPLEMENTAL RELEASE, I DO NOT RELY ON ANY REPRESENTATION, PROMISE OR INDUCEMENT MADE BY THE RELEASED PARTIES WITH THE EXCEPTION OF THE CONSIDERATION DESCRIBED IN THIS DOCUMENT AND THE AGREEMENT.</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956945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13970</wp:posOffset>
            </wp:positionV>
            <wp:extent cx="22459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Proprietary Information, Inventions and Nonsolicitation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391160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8" w:name="page129"/>
    <w:bookmarkEnd w:id="128"/>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CONSULTING AGREEMENT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CONSULTING AGREEMENT (the “Agreement”) is made by and between Bicycle Therapeutics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and Alethia Young (“Consultant”), effective as of April 29, 2026 (the “Effective Date”).</w:t>
      </w:r>
    </w:p>
    <w:p>
      <w:pPr>
        <w:spacing w:after="0" w:line="207" w:lineRule="exact"/>
        <w:rPr>
          <w:sz w:val="20"/>
          <w:szCs w:val="20"/>
          <w:color w:val="auto"/>
        </w:rPr>
      </w:pPr>
    </w:p>
    <w:p>
      <w:pPr>
        <w:jc w:val="both"/>
        <w:ind w:left="60" w:right="59" w:hanging="10"/>
        <w:spacing w:after="0" w:line="261" w:lineRule="auto"/>
        <w:tabs>
          <w:tab w:leader="none" w:pos="707"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ENGAGEMENT OF SERVICES. Subject to the terms of this Agreement, Consultant agrees to provide consulting services to Company as described in Exhibit A hereto (the “Services”). Consultant agrees to exercise diligence and the highest degree of professionalism in providing the Services. Consultant shall perform all Services in compliance with all applicable laws.</w:t>
      </w:r>
    </w:p>
    <w:p>
      <w:pPr>
        <w:spacing w:after="0" w:line="179" w:lineRule="exact"/>
        <w:rPr>
          <w:rFonts w:ascii="Times New Roman" w:cs="Times New Roman" w:eastAsia="Times New Roman" w:hAnsi="Times New Roman"/>
          <w:sz w:val="18"/>
          <w:szCs w:val="18"/>
          <w:b w:val="1"/>
          <w:bCs w:val="1"/>
          <w:color w:val="auto"/>
        </w:rPr>
      </w:pPr>
    </w:p>
    <w:p>
      <w:pPr>
        <w:ind w:left="60" w:right="59" w:hanging="10"/>
        <w:spacing w:after="0" w:line="282" w:lineRule="auto"/>
        <w:tabs>
          <w:tab w:leader="none" w:pos="707"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As sole compensation for the performance of the Services, Company will pay to Consultant the amounts and on the schedule specified in Exhibit A.</w:t>
      </w:r>
    </w:p>
    <w:p>
      <w:pPr>
        <w:spacing w:after="0" w:line="161" w:lineRule="exact"/>
        <w:rPr>
          <w:rFonts w:ascii="Times New Roman" w:cs="Times New Roman" w:eastAsia="Times New Roman" w:hAnsi="Times New Roman"/>
          <w:sz w:val="18"/>
          <w:szCs w:val="18"/>
          <w:b w:val="1"/>
          <w:bCs w:val="1"/>
          <w:color w:val="auto"/>
        </w:rPr>
      </w:pPr>
    </w:p>
    <w:p>
      <w:pPr>
        <w:jc w:val="both"/>
        <w:ind w:left="60" w:right="59" w:hanging="10"/>
        <w:spacing w:after="0" w:line="254" w:lineRule="auto"/>
        <w:tabs>
          <w:tab w:leader="none" w:pos="707"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CONTRACTOR RELATIONSHIP. Consultant’s relationship with Company is that of an independent contractor, and nothing in this Agreement is intended to, or should be construed to, create a partnership, agency, joint venture or employment relationship with Company. Consultant is not entitled to and will be excluded from participating in any of Company’s benefit plans or programs (and Consultant waives the right to receive any such benefits). Consultant is solely responsible for all tax returns, payments, or reports required to be filed with or made to any federal, state or local tax authority with respect to Consultant’s receipt of fees under this Agreement. Consultant is not authorized to make any representation, contract or commitment on behalf of Company unless specifically requested or authorized to do so by an executive officer of Company. No part of Consultant’s compensation will be subject to withholding by Company for the payment of any social security, federal, state or any other employee payroll taxes.</w:t>
      </w:r>
    </w:p>
    <w:p>
      <w:pPr>
        <w:spacing w:after="0" w:line="188" w:lineRule="exact"/>
        <w:rPr>
          <w:rFonts w:ascii="Times New Roman" w:cs="Times New Roman" w:eastAsia="Times New Roman" w:hAnsi="Times New Roman"/>
          <w:sz w:val="18"/>
          <w:szCs w:val="18"/>
          <w:b w:val="1"/>
          <w:bCs w:val="1"/>
          <w:color w:val="auto"/>
        </w:rPr>
      </w:pPr>
    </w:p>
    <w:p>
      <w:pPr>
        <w:jc w:val="both"/>
        <w:ind w:left="60" w:right="59" w:hanging="10"/>
        <w:spacing w:after="0" w:line="267" w:lineRule="auto"/>
        <w:tabs>
          <w:tab w:leader="none" w:pos="707"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NON-DISCLOSURE OF PROPRIETARY INFORMATION. Consultant recognizes that Consultant will be exposed to, have access to and be engaged in the development of information regarding the trade secrets, technology, strategic sales/marketing plans, intellectual property, and confidential business activities of the Company and its affiliated entities. At all times during Consultant’s engagement and thereafter, Consultant will hold in strictest confidence and will not disclose, use, lecture upon or publish any of the Proprietary Information (defined below), except as such disclosure, use or publication may be required in connection with the Services, or unless an officer of the Company expressly authorizes such in writing, or unless otherwise permitted or required by law. “Proprietary Information” includes (a) trade secrets, inventions, ideas, samples, procedures and formulations for producing any such samples, media and/or processes, data, methods, software, source and object codes, programs, other works of authorship, know-how, improvements, discoveries, developments, developmental or experimental work, designs, and techniques; (b) information regarding the operation of the Company, including its products, services, marketing and business plans, budgets, accounts, financial statements, contracts, prices and costs, suppliers, and current or potential customers; (c) information regarding the skills and compensation of employees, contractors, and any other service providers of the Company; and (d) the existence of any business discussions, negotiations, or agreements between any third party and the Company. Notwithstanding the foregoing, Consultant understands that 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9" w:name="page130"/>
    <w:bookmarkEnd w:id="129"/>
    <w:p>
      <w:pPr>
        <w:jc w:val="both"/>
        <w:ind w:left="60" w:right="59" w:hanging="10"/>
        <w:spacing w:after="0" w:line="272" w:lineRule="auto"/>
        <w:tabs>
          <w:tab w:leader="none" w:pos="707"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ASSIGNMENT OF WORK PRODUCT. Consultant hereby assigns to the Company any and all right, title, and interest in and to any and all Work Product (and all intellectual property rights with respect thereto) made, conceived, reduced to practice, or learned by Consultant, either alone or with others, during the period of Consultant’s engagement by the Company. Consultant will execute such documents and perform such other acts as Company may reasonably request for use in applying for, assigning, obtaining, perfecting, evidencing, sustaining, and enforcing such Work Product. As used in this Agreement, the term “Work Product” means any trade secrets, ideas, inventions (whether patentable or unpatentable), processes, formulations, software source and object codes, data, programs, other works of authorship, know-how, improvements, discoveries, developments, designs and techniques, trademarks, or other copyrightable or patentable works.</w:t>
      </w:r>
    </w:p>
    <w:p>
      <w:pPr>
        <w:spacing w:after="0" w:line="171" w:lineRule="exact"/>
        <w:rPr>
          <w:rFonts w:ascii="Times New Roman" w:cs="Times New Roman" w:eastAsia="Times New Roman" w:hAnsi="Times New Roman"/>
          <w:sz w:val="17"/>
          <w:szCs w:val="17"/>
          <w:b w:val="1"/>
          <w:bCs w:val="1"/>
          <w:color w:val="auto"/>
        </w:rPr>
      </w:pPr>
    </w:p>
    <w:p>
      <w:pPr>
        <w:jc w:val="both"/>
        <w:ind w:left="60" w:right="59" w:hanging="10"/>
        <w:spacing w:after="0" w:line="254" w:lineRule="auto"/>
        <w:tabs>
          <w:tab w:leader="none" w:pos="70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TERM AND TERMINATION. The term of this Agreement will begin as of the Effective Date and will automatically terminate on the second anniversary of the Effective Date (the “Initial Term”), provided that the term of this Agreement will automatically renew for a one-year additional term expiring on the third anniversary of the Effective Date unless a written notice of termination has been provided by either party. During the Initial Term, the Company may only terminate this Agreement if the Consultant engages in or the Company discovers Consultant’s acts constituting Cause (as defined,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by the Employment Agreement between the parties, dated June 22, 2023). Thereafter, Company may terminate this Agreement at any time for any reason upon 14 calendar days’ prior written notice to Consultant. Consultant may terminate this Agreement at any time upon 14 calendar days’ prior written notice to Company.</w:t>
      </w:r>
    </w:p>
    <w:p>
      <w:pPr>
        <w:spacing w:after="0" w:line="191" w:lineRule="exact"/>
        <w:rPr>
          <w:rFonts w:ascii="Times New Roman" w:cs="Times New Roman" w:eastAsia="Times New Roman" w:hAnsi="Times New Roman"/>
          <w:sz w:val="18"/>
          <w:szCs w:val="18"/>
          <w:b w:val="1"/>
          <w:bCs w:val="1"/>
          <w:color w:val="auto"/>
        </w:rPr>
      </w:pPr>
    </w:p>
    <w:p>
      <w:pPr>
        <w:jc w:val="both"/>
        <w:ind w:left="60" w:right="59" w:hanging="10"/>
        <w:spacing w:after="0" w:line="266" w:lineRule="auto"/>
        <w:tabs>
          <w:tab w:leader="none" w:pos="70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RETURN OF COMPANY PROPERTY. Unless otherwise authorized by Company, upon termination of the Agreement or earlier as requested by Company, Consultant will deliver to Company any Company property in Consultant’s possession, and any other documents or material containing or disclosing any Company Work Product.</w:t>
      </w:r>
    </w:p>
    <w:p>
      <w:pPr>
        <w:spacing w:after="0" w:line="175" w:lineRule="exact"/>
        <w:rPr>
          <w:rFonts w:ascii="Times New Roman" w:cs="Times New Roman" w:eastAsia="Times New Roman" w:hAnsi="Times New Roman"/>
          <w:sz w:val="18"/>
          <w:szCs w:val="18"/>
          <w:b w:val="1"/>
          <w:bCs w:val="1"/>
          <w:color w:val="auto"/>
        </w:rPr>
      </w:pPr>
    </w:p>
    <w:p>
      <w:pPr>
        <w:ind w:left="680" w:hanging="630"/>
        <w:spacing w:after="0"/>
        <w:tabs>
          <w:tab w:leader="none" w:pos="6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PROVISIONS.</w:t>
      </w:r>
    </w:p>
    <w:p>
      <w:pPr>
        <w:spacing w:after="0" w:line="221"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Governing Law. This Agreement shall be governed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York, excluding its choice of law principles.</w:t>
      </w:r>
    </w:p>
    <w:p>
      <w:pPr>
        <w:spacing w:after="0" w:line="15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Severability; No Assignment. In case any one or more of the provisions contained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for any reason, be held to be invalid, illegal, or unenforceable in any respect, such invalidity, illegality, or unenforceability shall not affect the other provisions of this Agreement. This Agreement may not be assigned by Consultant without Company’s consent, and any such attempted assignment shall be void and of no effect.</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Entire Agreement. This Agreement, along with the Transition and Separation Agreement dated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2026, and the Proprietary Information, Inventions and Nonsolicitation Agreement dated June 22, 2023, together constitute the final, complete, and exclusive agreement of the parties with respect to the subject matter of each referenced agreement, and supersede and merge all prior or contemporaneous proposals, discussions, negotiations, understandings, promises, representations, conditions, communications and agreements, whether written or oral, between the parties with respect to such subject matter. No modification of or amendment to this Agreement, nor any waiver of any rights under this Agreement, will be effective unless in writing and signed by Consultant and the Chief Executive Officer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0" w:name="page131"/>
    <w:bookmarkEnd w:id="130"/>
    <w:p>
      <w:pPr>
        <w:ind w:left="60" w:right="99" w:firstLine="51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Consulting Agreement to be executed by their duly authorized representative.</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BICYCLE THERAPEUTICS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26657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657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(Printed Name)</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Title:SVP Chief Accounting Officer</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CONSULTANT</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Alethia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2665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Alethia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657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(Printed Name)</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EXHIBIT A SERVICES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Nature of Work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Consultant will be responsible for providing strategic advice and consulting as requested by the Company in any area of Consultant’s expertise. Consultant will exercise the highest degree of professionalism and utilize Consultant’s expertise and creative talents in performing the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 w:right="79" w:hanging="10"/>
        <w:spacing w:after="0" w:line="266" w:lineRule="auto"/>
        <w:tabs>
          <w:tab w:leader="none" w:pos="7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During the term of the Agreement, Consultant shall be paid a fee of USD 2,000 per day that Consultant provides Services to the Company (each, a “Service Day”), with a maximum of five (5) such Service Days per calendar month, payable in arrears.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7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Service Provider. The parties intend that during the term of this Agreement, Consultant shall be considered as a “service provider” for the purposes of the Bicycle Therapeutics plc 2020 Equity Incentive Plan and other relevant or successor plans,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4" w:lineRule="exact"/>
        <w:rPr>
          <w:sz w:val="20"/>
          <w:szCs w:val="20"/>
          <w:color w:val="auto"/>
        </w:rPr>
      </w:pPr>
    </w:p>
    <w:p>
      <w:pPr>
        <w:jc w:val="both"/>
        <w:ind w:left="80" w:right="200"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July 16,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Jennifer Perry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Bicycle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left="80" w:right="180" w:firstLine="648"/>
        <w:spacing w:after="0" w:line="258" w:lineRule="auto"/>
        <w:rPr>
          <w:sz w:val="20"/>
          <w:szCs w:val="20"/>
          <w:color w:val="auto"/>
        </w:rPr>
      </w:pPr>
      <w:r>
        <w:rPr>
          <w:rFonts w:ascii="Times New Roman" w:cs="Times New Roman" w:eastAsia="Times New Roman" w:hAnsi="Times New Roman"/>
          <w:sz w:val="22"/>
          <w:szCs w:val="22"/>
          <w:color w:val="auto"/>
        </w:rPr>
        <w:t>The Company desires to continue to employ Executive and, in connection therewith, to compensate Executive for Executive’s personal services to the Company; and</w:t>
      </w:r>
    </w:p>
    <w:p>
      <w:pPr>
        <w:spacing w:after="0" w:line="118" w:lineRule="exact"/>
        <w:rPr>
          <w:sz w:val="20"/>
          <w:szCs w:val="20"/>
          <w:color w:val="auto"/>
        </w:rPr>
      </w:pPr>
    </w:p>
    <w:p>
      <w:pPr>
        <w:jc w:val="both"/>
        <w:ind w:left="80" w:right="180" w:firstLine="648"/>
        <w:spacing w:after="0" w:line="258" w:lineRule="auto"/>
        <w:rPr>
          <w:sz w:val="20"/>
          <w:szCs w:val="20"/>
          <w:color w:val="auto"/>
        </w:rPr>
      </w:pPr>
      <w:r>
        <w:rPr>
          <w:rFonts w:ascii="Times New Roman" w:cs="Times New Roman" w:eastAsia="Times New Roman" w:hAnsi="Times New Roman"/>
          <w:sz w:val="22"/>
          <w:szCs w:val="22"/>
          <w:color w:val="auto"/>
        </w:rPr>
        <w:t>Executive wishes to continue to be employed by the Company and provide personal services to the Company in return for certain compensation.</w:t>
      </w:r>
    </w:p>
    <w:p>
      <w:pPr>
        <w:spacing w:after="0" w:line="118" w:lineRule="exact"/>
        <w:rPr>
          <w:sz w:val="20"/>
          <w:szCs w:val="20"/>
          <w:color w:val="auto"/>
        </w:rPr>
      </w:pPr>
    </w:p>
    <w:p>
      <w:pPr>
        <w:jc w:val="both"/>
        <w:ind w:left="80" w:right="180" w:firstLine="648"/>
        <w:spacing w:after="0" w:line="258" w:lineRule="auto"/>
        <w:rPr>
          <w:sz w:val="20"/>
          <w:szCs w:val="20"/>
          <w:color w:val="auto"/>
        </w:rPr>
      </w:pPr>
      <w:r>
        <w:rPr>
          <w:rFonts w:ascii="Times New Roman" w:cs="Times New Roman" w:eastAsia="Times New Roman" w:hAnsi="Times New Roman"/>
          <w:sz w:val="22"/>
          <w:szCs w:val="22"/>
          <w:color w:val="auto"/>
        </w:rPr>
        <w:t>Accordingly, in consideration of the mutual promises and covenants contained herein, the parties agree to the following:</w:t>
      </w:r>
    </w:p>
    <w:p>
      <w:pPr>
        <w:spacing w:after="0" w:line="127" w:lineRule="exact"/>
        <w:rPr>
          <w:sz w:val="20"/>
          <w:szCs w:val="20"/>
          <w:color w:val="auto"/>
        </w:rPr>
      </w:pPr>
    </w:p>
    <w:p>
      <w:pPr>
        <w:ind w:left="1360" w:hanging="639"/>
        <w:spacing w:after="0"/>
        <w:tabs>
          <w:tab w:leader="none" w:pos="13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BY THE COMPANY</w:t>
      </w:r>
      <w:r>
        <w:rPr>
          <w:rFonts w:ascii="Times New Roman" w:cs="Times New Roman" w:eastAsia="Times New Roman" w:hAnsi="Times New Roman"/>
          <w:sz w:val="22"/>
          <w:szCs w:val="22"/>
          <w:b w:val="1"/>
          <w:bCs w:val="1"/>
          <w:color w:val="auto"/>
        </w:rPr>
        <w:t>.</w:t>
      </w:r>
    </w:p>
    <w:p>
      <w:pPr>
        <w:spacing w:after="0" w:line="166" w:lineRule="exact"/>
        <w:rPr>
          <w:sz w:val="20"/>
          <w:szCs w:val="20"/>
          <w:color w:val="auto"/>
        </w:rPr>
      </w:pPr>
    </w:p>
    <w:p>
      <w:pPr>
        <w:jc w:val="both"/>
        <w:ind w:left="80" w:right="180" w:firstLine="1296"/>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Executive shall continue to be employed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on an “at-will” basis, meaning either the Company or Executive may terminate Executive’s employment at any time, with or without Cause (as defined in Section 6.2(f) below), Good Reason (as defined in Section 6.2(e) below), or advance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salary or cash bonus following a termination shall be only as set forth in Section 6 or under any applicable benefit or equity plan.</w:t>
      </w:r>
    </w:p>
    <w:p>
      <w:pPr>
        <w:spacing w:after="0" w:line="139" w:lineRule="exact"/>
        <w:rPr>
          <w:sz w:val="20"/>
          <w:szCs w:val="20"/>
          <w:color w:val="auto"/>
        </w:rPr>
      </w:pPr>
    </w:p>
    <w:p>
      <w:pPr>
        <w:jc w:val="both"/>
        <w:ind w:left="80" w:right="180"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color w:val="auto"/>
        </w:rPr>
        <w:t>. Subject to the terms set forth herein, the Company agrees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employ Executive and Executive hereby accepts such continued employment. Executive shall serve as Chief Strategy Officer and Head of Commercial. During the term of Executive’s employment with the Company, and excluding periods of vacation and sick leave to which Executive is entitled, Executive shall devote all business time and attention to the affairs of the Company necessary to discharge the responsibilities assigned hereunder, and shall use commercially reasonable efforts to perform faithfully and efficiently such responsibilities.</w:t>
      </w:r>
    </w:p>
    <w:p>
      <w:pPr>
        <w:spacing w:after="0" w:line="149" w:lineRule="exact"/>
        <w:rPr>
          <w:sz w:val="20"/>
          <w:szCs w:val="20"/>
          <w:color w:val="auto"/>
        </w:rPr>
      </w:pPr>
    </w:p>
    <w:p>
      <w:pPr>
        <w:jc w:val="both"/>
        <w:ind w:left="80" w:right="180"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 Executive will continue to render such business and professional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in the performance of Executive’s duties (consistent with Executive’s position as Chief Strategy Officer and Head of Commercial to the Company, and for the benefit of the Company’s parent, Bicycle Therapeutics plc (“</w:t>
      </w:r>
      <w:r>
        <w:rPr>
          <w:rFonts w:ascii="Times New Roman" w:cs="Times New Roman" w:eastAsia="Times New Roman" w:hAnsi="Times New Roman"/>
          <w:sz w:val="22"/>
          <w:szCs w:val="22"/>
          <w:b w:val="1"/>
          <w:bCs w:val="1"/>
          <w:i w:val="1"/>
          <w:iCs w:val="1"/>
          <w:color w:val="auto"/>
        </w:rPr>
        <w:t>BTL</w:t>
      </w:r>
      <w:r>
        <w:rPr>
          <w:rFonts w:ascii="Times New Roman" w:cs="Times New Roman" w:eastAsia="Times New Roman" w:hAnsi="Times New Roman"/>
          <w:sz w:val="22"/>
          <w:szCs w:val="22"/>
          <w:color w:val="auto"/>
        </w:rPr>
        <w:t>”)). Executive shall continue to report to BTL’s Chief Executive Officer. For the avoidance of doubt and for ease of understanding the intent of the arrangement, all of Executive’s services described herein shall be provided directly to the Company, which will, in turn, continue to provide such services to BTL pursuant to an arm’s length intra-company agreement. To the extent that Executive engages in any services contemplated herein on BTL’s behalf that involve the execution and negotiation of legal documents, such services will be performed in the United Kingdom. Executive shall continue to be expected to perform Executive’s</w:t>
      </w:r>
    </w:p>
    <w:p>
      <w:pPr>
        <w:spacing w:after="0" w:line="2" w:lineRule="exact"/>
        <w:rPr>
          <w:sz w:val="20"/>
          <w:szCs w:val="20"/>
          <w:color w:val="auto"/>
        </w:rPr>
      </w:pPr>
    </w:p>
    <w:p>
      <w:pPr>
        <w:jc w:val="both"/>
        <w:ind w:left="80" w:right="180"/>
        <w:spacing w:after="0" w:line="237" w:lineRule="auto"/>
        <w:rPr>
          <w:sz w:val="20"/>
          <w:szCs w:val="20"/>
          <w:color w:val="auto"/>
        </w:rPr>
      </w:pPr>
      <w:r>
        <w:rPr>
          <w:rFonts w:ascii="Times New Roman" w:cs="Times New Roman" w:eastAsia="Times New Roman" w:hAnsi="Times New Roman"/>
          <w:sz w:val="22"/>
          <w:szCs w:val="22"/>
          <w:color w:val="auto"/>
        </w:rPr>
        <w:t>duties under this Agreement remotely from Executive’s home in , but including regular travel to the Company’s office in Cambridge, Massachusetts, or such other location</w:t>
      </w: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360045</wp:posOffset>
            </wp:positionV>
            <wp:extent cx="5880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20"/>
          </w:cols>
          <w:pgMar w:left="1440" w:top="114" w:right="1339" w:bottom="1440" w:gutter="0" w:footer="0" w:header="0"/>
        </w:sectPr>
      </w:pPr>
    </w:p>
    <w:bookmarkStart w:id="133" w:name="page134"/>
    <w:bookmarkEnd w:id="133"/>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as assigned, reimbursed subject to the Company’s corporate travel policy. In addition, Executive shall make such business trips to such places as may be reasonably necessary or advisable for the efficient operations of the Company.</w:t>
      </w:r>
    </w:p>
    <w:p>
      <w:pPr>
        <w:spacing w:after="0" w:line="102" w:lineRule="exact"/>
        <w:rPr>
          <w:sz w:val="20"/>
          <w:szCs w:val="20"/>
          <w:color w:val="auto"/>
        </w:rPr>
      </w:pPr>
    </w:p>
    <w:p>
      <w:pPr>
        <w:jc w:val="both"/>
        <w:ind w:left="240" w:right="259" w:firstLine="1296"/>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Company Policies and Benefits</w:t>
      </w:r>
      <w:r>
        <w:rPr>
          <w:rFonts w:ascii="Times New Roman" w:cs="Times New Roman" w:eastAsia="Times New Roman" w:hAnsi="Times New Roman"/>
          <w:sz w:val="22"/>
          <w:szCs w:val="22"/>
          <w:color w:val="auto"/>
        </w:rPr>
        <w:t>. The employment relationship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shall continue to be subject to the Company’s written personnel policies and procedures as they may be adopted, revised, or deleted from time to time in the Company’s sole discretion. Executive will continue to be eligible to participate on the same basis as similarly-situated employees in the Company’s benefit plans in effect from time to time during Executive’s employment. Subject to the preceding sentence, the Company reserves the right to change, alter, or terminate any benefit plan prospectively in its sole discretion. All matters of eligibility for coverage or benefits under any benefit plan shall be determined in accordance with the provisions of such plan. Notwithstanding the foregoing, in the event that the terms of this Agreement differ from or are in conflict with the Company’s general employment policies or practices, this Agreement shall control.</w:t>
      </w:r>
    </w:p>
    <w:p>
      <w:pPr>
        <w:spacing w:after="0" w:line="95" w:lineRule="exact"/>
        <w:rPr>
          <w:sz w:val="20"/>
          <w:szCs w:val="20"/>
          <w:color w:val="auto"/>
        </w:rPr>
      </w:pPr>
    </w:p>
    <w:p>
      <w:pPr>
        <w:jc w:val="both"/>
        <w:ind w:left="240" w:right="259"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Vacation</w:t>
      </w:r>
      <w:r>
        <w:rPr>
          <w:rFonts w:ascii="Times New Roman" w:cs="Times New Roman" w:eastAsia="Times New Roman" w:hAnsi="Times New Roman"/>
          <w:sz w:val="22"/>
          <w:szCs w:val="22"/>
          <w:color w:val="auto"/>
        </w:rPr>
        <w:t>. During the term of Executive’s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continue to accrue five (5) weeks of paid time off per calendar year (prorated for partial years), subject to the Company’s paid time off policy, as in effect from time to time.</w:t>
      </w:r>
    </w:p>
    <w:p>
      <w:pPr>
        <w:spacing w:after="0" w:line="100" w:lineRule="exact"/>
        <w:rPr>
          <w:sz w:val="20"/>
          <w:szCs w:val="20"/>
          <w:color w:val="auto"/>
        </w:rPr>
      </w:pPr>
    </w:p>
    <w:p>
      <w:pPr>
        <w:jc w:val="both"/>
        <w:ind w:left="240" w:right="259"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Pension</w:t>
      </w:r>
      <w:r>
        <w:rPr>
          <w:rFonts w:ascii="Times New Roman" w:cs="Times New Roman" w:eastAsia="Times New Roman" w:hAnsi="Times New Roman"/>
          <w:sz w:val="22"/>
          <w:szCs w:val="22"/>
          <w:color w:val="auto"/>
        </w:rPr>
        <w:t>. During the term of Executive’s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continue to be eligible to receive up to four (4) percent of Base Salary as contributions to a safe harbor 401(k) plan.</w:t>
      </w:r>
    </w:p>
    <w:p>
      <w:pPr>
        <w:spacing w:after="0" w:line="100" w:lineRule="exact"/>
        <w:rPr>
          <w:sz w:val="20"/>
          <w:szCs w:val="20"/>
          <w:color w:val="auto"/>
        </w:rPr>
      </w:pPr>
    </w:p>
    <w:p>
      <w:pPr>
        <w:ind w:left="1620" w:hanging="922"/>
        <w:spacing w:after="0"/>
        <w:tabs>
          <w:tab w:leader="none" w:pos="162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166" w:lineRule="exact"/>
        <w:rPr>
          <w:sz w:val="20"/>
          <w:szCs w:val="20"/>
          <w:color w:val="auto"/>
        </w:rPr>
      </w:pPr>
    </w:p>
    <w:p>
      <w:pPr>
        <w:jc w:val="both"/>
        <w:ind w:left="240" w:right="259"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Executive shall receive an annualized base salary of $475,000,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review and increase (but not decrease) from time to time by the Company in its sole discretion, payable subject to standard federal and state payroll withholding requirements in accordance with the Company’s standard payroll practices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Bonus</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jc w:val="both"/>
        <w:ind w:left="240" w:right="259" w:firstLine="1949"/>
        <w:spacing w:after="0" w:line="233" w:lineRule="auto"/>
        <w:tabs>
          <w:tab w:leader="none" w:pos="283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During Employment</w:t>
      </w:r>
      <w:r>
        <w:rPr>
          <w:rFonts w:ascii="Times New Roman" w:cs="Times New Roman" w:eastAsia="Times New Roman" w:hAnsi="Times New Roman"/>
          <w:sz w:val="22"/>
          <w:szCs w:val="22"/>
          <w:color w:val="auto"/>
        </w:rPr>
        <w:t>. Executive shall be eligible to earn an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bonus (the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with an annual target of 45% (the “</w:t>
      </w:r>
      <w:r>
        <w:rPr>
          <w:rFonts w:ascii="Times New Roman" w:cs="Times New Roman" w:eastAsia="Times New Roman" w:hAnsi="Times New Roman"/>
          <w:sz w:val="22"/>
          <w:szCs w:val="22"/>
          <w:b w:val="1"/>
          <w:bCs w:val="1"/>
          <w:i w:val="1"/>
          <w:iCs w:val="1"/>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Percentage</w:t>
      </w:r>
      <w:r>
        <w:rPr>
          <w:rFonts w:ascii="Times New Roman" w:cs="Times New Roman" w:eastAsia="Times New Roman" w:hAnsi="Times New Roman"/>
          <w:sz w:val="22"/>
          <w:szCs w:val="22"/>
          <w:color w:val="auto"/>
        </w:rPr>
        <w:t>”) of Executive’s then-current Base Salary;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Executive’s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Annual Bonus for calendar year 2024 will be based on her base salary earned during calendar year 2024, and not her then-current Base Salary. The Annual Bonus will be based upon the assessment by the Board of Directors of BTL or a committee thereof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Executive’s performance and the Company’s attainment of targeted goals (as set by the Company and confirmed by the Board in its reasonable good faith discretion) over the applicable calendar year. The Annual Bonus, if any, will be subject to applicable payroll deductions and withholdings. No amount of any Annual Bonus is guaranteed at any time, and, except as otherwise stated in Sections 6.1(a) and 6.3(a)(iii), Executive must be an employee through the date the Annual Bonus is paid to be eligible to receive an Annual Bonus. No partial or prorated bonuses will be provided if Executive’s employment terminates prior to the payment date of the Annual Bonus. Subject to Section 6.3(b) related to payments upon certain terminations of employment, any Annual Bonus, if earned, will be paid at the same time annual bonuses are generally paid to other similarly situated employees of the Company. Executive’s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391160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4" w:name="page135"/>
    <w:bookmarkEnd w:id="134"/>
    <w:p>
      <w:pPr>
        <w:ind w:left="80" w:right="79"/>
        <w:spacing w:after="0" w:line="258" w:lineRule="auto"/>
        <w:rPr>
          <w:sz w:val="20"/>
          <w:szCs w:val="20"/>
          <w:color w:val="auto"/>
        </w:rPr>
      </w:pPr>
      <w:r>
        <w:rPr>
          <w:rFonts w:ascii="Times New Roman" w:cs="Times New Roman" w:eastAsia="Times New Roman" w:hAnsi="Times New Roman"/>
          <w:sz w:val="22"/>
          <w:szCs w:val="22"/>
          <w:color w:val="auto"/>
        </w:rPr>
        <w:t>eligibility for an Annual Bonus is subject to change in the discretion of the Board (or any authorized committee thereof).</w:t>
      </w:r>
    </w:p>
    <w:p>
      <w:pPr>
        <w:spacing w:after="0" w:line="87" w:lineRule="exact"/>
        <w:rPr>
          <w:sz w:val="20"/>
          <w:szCs w:val="20"/>
          <w:color w:val="auto"/>
        </w:rPr>
      </w:pPr>
    </w:p>
    <w:p>
      <w:pPr>
        <w:jc w:val="both"/>
        <w:ind w:left="80" w:right="79" w:firstLine="1937"/>
        <w:spacing w:after="0" w:line="246" w:lineRule="auto"/>
        <w:tabs>
          <w:tab w:leader="none" w:pos="2671"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Upon Termination</w:t>
      </w:r>
      <w:r>
        <w:rPr>
          <w:rFonts w:ascii="Times New Roman" w:cs="Times New Roman" w:eastAsia="Times New Roman" w:hAnsi="Times New Roman"/>
          <w:sz w:val="22"/>
          <w:szCs w:val="22"/>
          <w:color w:val="auto"/>
        </w:rPr>
        <w:t>. Subject to the provisions of Section 6,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leaves the employ of the Company for any reason prior to the date the Annual Bonus is paid, Executive is not eligible to earn such Annual Bonus, prorated or otherwise.</w:t>
      </w:r>
    </w:p>
    <w:p>
      <w:pPr>
        <w:spacing w:after="0" w:line="86" w:lineRule="exact"/>
        <w:rPr>
          <w:sz w:val="20"/>
          <w:szCs w:val="20"/>
          <w:color w:val="auto"/>
        </w:rPr>
      </w:pPr>
    </w:p>
    <w:p>
      <w:pPr>
        <w:jc w:val="both"/>
        <w:ind w:left="80" w:right="79" w:firstLine="1296"/>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2.3 </w:t>
      </w:r>
      <w:r>
        <w:rPr>
          <w:rFonts w:ascii="Times New Roman" w:cs="Times New Roman" w:eastAsia="Times New Roman" w:hAnsi="Times New Roman"/>
          <w:sz w:val="21"/>
          <w:szCs w:val="21"/>
          <w:b w:val="1"/>
          <w:bCs w:val="1"/>
          <w:u w:val="single" w:color="auto"/>
          <w:color w:val="auto"/>
        </w:rPr>
        <w:t>Equity Awards</w:t>
      </w:r>
      <w:r>
        <w:rPr>
          <w:rFonts w:ascii="Times New Roman" w:cs="Times New Roman" w:eastAsia="Times New Roman" w:hAnsi="Times New Roman"/>
          <w:sz w:val="21"/>
          <w:szCs w:val="21"/>
          <w:color w:val="auto"/>
        </w:rPr>
        <w:t>. Subject to the approval of the Board or an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thereof, it will be recommended that BTL grants Executive an option to purchase 58,000 of BTL’s ordinary shares (the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The Option, and other equity awards held by the Executive, shall be governed by the terms and conditions of BTL’s 2020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 applicable award agreement(s) governing the terms of such equity awards held by the Executive (collectively, the “</w:t>
      </w:r>
      <w:r>
        <w:rPr>
          <w:rFonts w:ascii="Times New Roman" w:cs="Times New Roman" w:eastAsia="Times New Roman" w:hAnsi="Times New Roman"/>
          <w:sz w:val="21"/>
          <w:szCs w:val="21"/>
          <w:b w:val="1"/>
          <w:bCs w:val="1"/>
          <w:i w:val="1"/>
          <w:iCs w:val="1"/>
          <w:color w:val="auto"/>
        </w:rPr>
        <w:t>Equity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and notwithstanding anything to the contrary in the Equity Documents, Section 6.3(a)(iv) of this Agreement shall apply in the event of a termination by the Company without Cause or by the Executive for Good Reason, in either case within 12 months after a Change in Control (as defined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hereto). Executive will also be eligible to receive additional awards of share options, restricted shares or other equity awards pursuant to the Plan. The Board or an authorized committee thereof shall determine in its discretion whether Executive shall be granted any such equity awards and the terms of any such award in accordance with the terms of any applicable plan or arrangement that may be in effect from time to time.</w:t>
      </w:r>
    </w:p>
    <w:p>
      <w:pPr>
        <w:spacing w:after="0" w:line="103" w:lineRule="exact"/>
        <w:rPr>
          <w:sz w:val="20"/>
          <w:szCs w:val="20"/>
          <w:color w:val="auto"/>
        </w:rPr>
      </w:pPr>
    </w:p>
    <w:p>
      <w:pPr>
        <w:jc w:val="both"/>
        <w:ind w:left="80" w:right="79"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Expense Reimbursement</w:t>
      </w:r>
      <w:r>
        <w:rPr>
          <w:rFonts w:ascii="Times New Roman" w:cs="Times New Roman" w:eastAsia="Times New Roman" w:hAnsi="Times New Roman"/>
          <w:sz w:val="22"/>
          <w:szCs w:val="22"/>
          <w:color w:val="auto"/>
        </w:rPr>
        <w:t>. The Company will reimburse Executive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business expenses in accordance with the Company’s standard expense reimbursement policy, subject to any applicable payroll withholdings and deductions (if any). For the avoidance of doubt, to the extent that any reimbursements payable to Executive are subject to the provisions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06" w:lineRule="exact"/>
        <w:rPr>
          <w:sz w:val="20"/>
          <w:szCs w:val="20"/>
          <w:color w:val="auto"/>
        </w:rPr>
      </w:pPr>
    </w:p>
    <w:p>
      <w:pPr>
        <w:jc w:val="both"/>
        <w:ind w:left="80" w:right="79" w:firstLine="641"/>
        <w:spacing w:after="0" w:line="234" w:lineRule="auto"/>
        <w:tabs>
          <w:tab w:leader="none" w:pos="145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PROPRIETARY INFORMATION, INVENTIONS, AND NON-SOLICITATION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Executive’s continued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Executive will continue to receive and continue to have access to the Company’s confidential information and trade secrets. Accordingly, and in consideration of the benefits that Executive is eligible to receive under this Agreement, Executive acknowledges and agrees to continue to be bound by the Company’s Employee Proprietary Information, Inventions, and Non-Solicitation Agreement (the “</w:t>
      </w:r>
      <w:r>
        <w:rPr>
          <w:rFonts w:ascii="Times New Roman" w:cs="Times New Roman" w:eastAsia="Times New Roman" w:hAnsi="Times New Roman"/>
          <w:sz w:val="22"/>
          <w:szCs w:val="22"/>
          <w:b w:val="1"/>
          <w:bCs w:val="1"/>
          <w:i w:val="1"/>
          <w:iCs w:val="1"/>
          <w:color w:val="auto"/>
        </w:rPr>
        <w:t>Proprietary Information Agreement</w:t>
      </w:r>
      <w:r>
        <w:rPr>
          <w:rFonts w:ascii="Times New Roman" w:cs="Times New Roman" w:eastAsia="Times New Roman" w:hAnsi="Times New Roman"/>
          <w:sz w:val="22"/>
          <w:szCs w:val="22"/>
          <w:color w:val="auto"/>
        </w:rPr>
        <w:t>”), dated June 27, 2022, which contains restrictive covenants and prohibits unauthorized use or disclosure of the Company’s confidential information and trade secrets, among other obligations. The Proprietary Information Agreement contains provisions that are intended by the parties to survive and do survive termination or expiration of this Agreement.</w:t>
      </w:r>
    </w:p>
    <w:p>
      <w:pPr>
        <w:spacing w:after="0" w:line="112" w:lineRule="exact"/>
        <w:rPr>
          <w:rFonts w:ascii="Times New Roman" w:cs="Times New Roman" w:eastAsia="Times New Roman" w:hAnsi="Times New Roman"/>
          <w:sz w:val="22"/>
          <w:szCs w:val="22"/>
          <w:b w:val="1"/>
          <w:bCs w:val="1"/>
          <w:color w:val="auto"/>
        </w:rPr>
      </w:pPr>
    </w:p>
    <w:p>
      <w:pPr>
        <w:jc w:val="both"/>
        <w:ind w:left="80" w:right="79" w:firstLine="641"/>
        <w:spacing w:after="0" w:line="241" w:lineRule="auto"/>
        <w:tabs>
          <w:tab w:leader="none" w:pos="145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with the prior written consent of the Board, Executive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35" w:name="page136"/>
    <w:bookmarkEnd w:id="135"/>
    <w:p>
      <w:pPr>
        <w:jc w:val="both"/>
        <w:ind w:left="80"/>
        <w:spacing w:after="0" w:line="232" w:lineRule="auto"/>
        <w:rPr>
          <w:sz w:val="20"/>
          <w:szCs w:val="20"/>
          <w:color w:val="auto"/>
        </w:rPr>
      </w:pPr>
      <w:r>
        <w:rPr>
          <w:rFonts w:ascii="Times New Roman" w:cs="Times New Roman" w:eastAsia="Times New Roman" w:hAnsi="Times New Roman"/>
          <w:sz w:val="22"/>
          <w:szCs w:val="22"/>
          <w:color w:val="auto"/>
        </w:rPr>
        <w:t>may wish to serve, (ii) reasonable time devoted to activities in the non-profit and business communities consistent with Executive’s position with the Company, (iii) reasonable time serving as trustee, director, or advisor to any family companies or trusts, or (iv) with prior written notice to the Board, reasonable time devoted to service as a member of the board of directors (or its equivalent in the case of a non-corporate entity) of a non-competing business, not to exceed two (2) boards of directors at any time (clauses (i)-(iv), the “</w:t>
      </w:r>
      <w:r>
        <w:rPr>
          <w:rFonts w:ascii="Times New Roman" w:cs="Times New Roman" w:eastAsia="Times New Roman" w:hAnsi="Times New Roman"/>
          <w:sz w:val="22"/>
          <w:szCs w:val="22"/>
          <w:b w:val="1"/>
          <w:bCs w:val="1"/>
          <w:i w:val="1"/>
          <w:iCs w:val="1"/>
          <w:color w:val="auto"/>
        </w:rPr>
        <w:t>Outside Activities</w:t>
      </w:r>
      <w:r>
        <w:rPr>
          <w:rFonts w:ascii="Times New Roman" w:cs="Times New Roman" w:eastAsia="Times New Roman" w:hAnsi="Times New Roman"/>
          <w:sz w:val="22"/>
          <w:szCs w:val="22"/>
          <w:color w:val="auto"/>
        </w:rPr>
        <w:t>”); so long as the Outside Activities (A) do not, individually or in the aggregate, interfere with the performance of the Executive’s duties under this Agreement, (B) are not contrary to the interests of the Company or its Affiliates or competitive in any way with the Company its Affiliates or (C) are not in the field of constrained peptide drugs or therapeutics (including, without limitation, any work in the field of lead peptide identification and optimization and pre-clinical development of constrained peptide therapeutics). In addition, the Outside Activities may not exceed, in the aggregate, 10 days of Executive’s services per year, which permitted time commitment may be increased by the Board, in its discretion which shall not be unreasonably withheld, to up to 12 days per year where a new specific opportunity has been identified by Executive which would give Executive experience that is considered to be of wider benefit to the Company. The restrictions in this Section 4 shall not, however, preclude Executive from (x) owning less than one percent (1%) of the total outstanding shares of a publicly traded company, (y) managing Executive’s passive personal investments, or (z) employment or service in any capacity with Affiliates of the Company. As used in this Agreement, “</w:t>
      </w:r>
      <w:r>
        <w:rPr>
          <w:rFonts w:ascii="Times New Roman" w:cs="Times New Roman" w:eastAsia="Times New Roman" w:hAnsi="Times New Roman"/>
          <w:sz w:val="22"/>
          <w:szCs w:val="22"/>
          <w:b w:val="1"/>
          <w:bCs w:val="1"/>
          <w:i w:val="1"/>
          <w:iCs w:val="1"/>
          <w:color w:val="auto"/>
        </w:rPr>
        <w:t>Affiliates</w:t>
      </w:r>
      <w:r>
        <w:rPr>
          <w:rFonts w:ascii="Times New Roman" w:cs="Times New Roman" w:eastAsia="Times New Roman" w:hAnsi="Times New Roman"/>
          <w:sz w:val="22"/>
          <w:szCs w:val="22"/>
          <w:color w:val="auto"/>
        </w:rPr>
        <w:t>” means, at the time of determination, any “parent” or “subsidiary” of the Company as such terms are defined in Rule 405 of the Securities Act of 1933, as amended. The Board will have the authority to determine the time or times at which “parent” or “subsidiary” status is determined within the foregoing definition.</w:t>
      </w:r>
    </w:p>
    <w:p>
      <w:pPr>
        <w:spacing w:after="0" w:line="178" w:lineRule="exact"/>
        <w:rPr>
          <w:sz w:val="20"/>
          <w:szCs w:val="20"/>
          <w:color w:val="auto"/>
        </w:rPr>
      </w:pPr>
    </w:p>
    <w:p>
      <w:pPr>
        <w:jc w:val="both"/>
        <w:ind w:left="80" w:firstLine="641"/>
        <w:spacing w:after="0" w:line="236" w:lineRule="auto"/>
        <w:tabs>
          <w:tab w:leader="none" w:pos="1453"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CONFLICT WITH EXISTING OBLIGATIONS</w:t>
      </w:r>
      <w:r>
        <w:rPr>
          <w:rFonts w:ascii="Times New Roman" w:cs="Times New Roman" w:eastAsia="Times New Roman" w:hAnsi="Times New Roman"/>
          <w:sz w:val="22"/>
          <w:szCs w:val="22"/>
          <w:color w:val="auto"/>
        </w:rPr>
        <w:t>. Executive represents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performance of all the terms of this Agreement and continued service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or with Executive’s duties to the Company.</w:t>
      </w:r>
    </w:p>
    <w:p>
      <w:pPr>
        <w:spacing w:after="0" w:line="175" w:lineRule="exact"/>
        <w:rPr>
          <w:rFonts w:ascii="Times New Roman" w:cs="Times New Roman" w:eastAsia="Times New Roman" w:hAnsi="Times New Roman"/>
          <w:sz w:val="22"/>
          <w:szCs w:val="22"/>
          <w:b w:val="1"/>
          <w:bCs w:val="1"/>
          <w:color w:val="auto"/>
        </w:rPr>
      </w:pPr>
    </w:p>
    <w:p>
      <w:pPr>
        <w:jc w:val="both"/>
        <w:ind w:left="80" w:firstLine="641"/>
        <w:spacing w:after="0" w:line="249" w:lineRule="auto"/>
        <w:tabs>
          <w:tab w:leader="none" w:pos="1453"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parties acknowledge that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employment relationship with the Company continues to be at-will. Either Executive or the Company may terminate the employment relationship at any time, with or without Cause (as defined below) or advance notice. The provisions in this Section governing the amount of compensation, if any, to be provided to Executive upon termination of employment do not alter this at-will status.</w:t>
      </w:r>
    </w:p>
    <w:p>
      <w:pPr>
        <w:spacing w:after="0" w:line="166" w:lineRule="exact"/>
        <w:rPr>
          <w:sz w:val="20"/>
          <w:szCs w:val="20"/>
          <w:color w:val="auto"/>
        </w:rPr>
      </w:pPr>
    </w:p>
    <w:p>
      <w:pPr>
        <w:ind w:left="136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Termination by Virtue of Death or Disability of Executive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0" w:right="180" w:firstLine="1936"/>
        <w:spacing w:after="0" w:line="236" w:lineRule="auto"/>
        <w:tabs>
          <w:tab w:leader="none" w:pos="267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Executive’s death while employed pursuant to this Agreement, all obligations of the parties hereunder and Executive’s employment shall terminate immediately, and the Company shall, pursuant to the Company’s standard payroll policies and applicable law, pay to Executive’s legal representatives the Accrued Obligations (as defined in Section 6.2(d) below) due to Executive, along with any Special Bonus Payment (as that term is defined below).</w:t>
      </w:r>
    </w:p>
    <w:p>
      <w:pPr>
        <w:spacing w:after="0" w:line="1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20"/>
          </w:cols>
          <w:pgMar w:left="1440" w:top="881" w:right="1339" w:bottom="1440" w:gutter="0" w:footer="0" w:header="0"/>
        </w:sectPr>
      </w:pPr>
    </w:p>
    <w:bookmarkStart w:id="136" w:name="page137"/>
    <w:bookmarkEnd w:id="136"/>
    <w:p>
      <w:pPr>
        <w:jc w:val="both"/>
        <w:ind w:left="80" w:right="79" w:firstLine="1936"/>
        <w:spacing w:after="0" w:line="245" w:lineRule="auto"/>
        <w:tabs>
          <w:tab w:leader="none" w:pos="2671"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applicable state, local, and federal law, the Company shall at all times have the right, upon written notice to Executive, to terminate this Agreement based on Executive’s Disability (as defined below). Termination by the Company of Executive’s employment based on “</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be entitled to the Accrued Obligations due to Executive, along with any Special Bonus Payment (as that term is defined below).</w:t>
      </w:r>
    </w:p>
    <w:p>
      <w:pPr>
        <w:spacing w:after="0" w:line="177" w:lineRule="exact"/>
        <w:rPr>
          <w:rFonts w:ascii="Times New Roman" w:cs="Times New Roman" w:eastAsia="Times New Roman" w:hAnsi="Times New Roman"/>
          <w:sz w:val="21"/>
          <w:szCs w:val="21"/>
          <w:b w:val="1"/>
          <w:bCs w:val="1"/>
          <w:color w:val="auto"/>
        </w:rPr>
      </w:pPr>
    </w:p>
    <w:p>
      <w:pPr>
        <w:jc w:val="both"/>
        <w:ind w:left="80" w:right="79" w:firstLine="1936"/>
        <w:spacing w:after="0" w:line="238" w:lineRule="auto"/>
        <w:tabs>
          <w:tab w:leader="none" w:pos="267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Executive’s termination due to death or Disability occurs between January 1 and the payment date of the Annual Bonus that Executive would have otherwise earned for performance in the calendar year preceding the termination due to death or Disability, then and only then will Executive be paid the full Annual Bonus amount that Executive would have otherwise earned for performance in such preceding calendar year (the “</w:t>
      </w:r>
      <w:r>
        <w:rPr>
          <w:rFonts w:ascii="Times New Roman" w:cs="Times New Roman" w:eastAsia="Times New Roman" w:hAnsi="Times New Roman"/>
          <w:sz w:val="22"/>
          <w:szCs w:val="22"/>
          <w:b w:val="1"/>
          <w:bCs w:val="1"/>
          <w:i w:val="1"/>
          <w:iCs w:val="1"/>
          <w:color w:val="auto"/>
        </w:rPr>
        <w:t>Special Bonus Payment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36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Termination by the Company or Resignation by Executive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0" w:right="79" w:firstLine="1936"/>
        <w:spacing w:after="0" w:line="232" w:lineRule="auto"/>
        <w:tabs>
          <w:tab w:leader="none" w:pos="267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have the right to terminate Executive’s employment pursuant to this Section 6.2 at any time (subject to any applicable cure period stated in Section 6.2(f)) with or without Cause or advance notice, by giving notice as described in Section 7.1 of this Agreement. Likewise, Executive can resign from employment with or without Good Reason, by giving notice as described in Section 7.1 of this Agreement. Executive hereby agrees to comply with the additional notice requirements set forth in Section 6.2(e) below for any resignation for Good Reason. If Executive is terminated by the Company (with or without Cause) or resigns from employment with the Company (with or without Good Reason), then Executive shall be entitled to the Accrued Obligations (as defined below). In addition, if Executive is terminated without Cause or resigns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further provided that Executive executes and allows to become effective a separation agreement that includes, among other terms, a general release of claims in favor of the Company and its Affiliates and representatives and a 12-month non-competition clause and no other restrictive covenants longer or broader than Executive had already agreed to prior to Separation from Service, in the form presented by the Company (the “</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subject to Section 6.2(b) (the date that the general release of claims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Separation Agreement becomes effective and may no longer be revoked by Executive is referred to as the “</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then Executive shall be eligible to receive the following severance benefits (collectively the “</w:t>
      </w:r>
      <w:r>
        <w:rPr>
          <w:rFonts w:ascii="Times New Roman" w:cs="Times New Roman" w:eastAsia="Times New Roman" w:hAnsi="Times New Roman"/>
          <w:sz w:val="22"/>
          <w:szCs w:val="22"/>
          <w:b w:val="1"/>
          <w:bCs w:val="1"/>
          <w:i w:val="1"/>
          <w:iCs w:val="1"/>
          <w:color w:val="auto"/>
        </w:rPr>
        <w:t>Non-CIC Severance Benefits</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b w:val="1"/>
          <w:bCs w:val="1"/>
          <w:color w:val="auto"/>
        </w:rPr>
      </w:pPr>
    </w:p>
    <w:p>
      <w:pPr>
        <w:jc w:val="both"/>
        <w:ind w:left="640" w:right="79" w:firstLine="2593"/>
        <w:spacing w:after="0" w:line="244" w:lineRule="auto"/>
        <w:tabs>
          <w:tab w:leader="none" w:pos="3879"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nine (9) months of Executive’s then current Base Salary, less standard payroll deductions and withholdings, paid in installments on the Company’s regular payroll dates;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37" w:name="page138"/>
    <w:bookmarkEnd w:id="137"/>
    <w:p>
      <w:pPr>
        <w:jc w:val="both"/>
        <w:ind w:left="640" w:right="79" w:firstLine="2593"/>
        <w:spacing w:after="0" w:line="243" w:lineRule="auto"/>
        <w:tabs>
          <w:tab w:leader="none" w:pos="3879" w:val="left"/>
        </w:tabs>
        <w:numPr>
          <w:ilvl w:val="1"/>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or Executive’s covered dependents, as the case may be, timely elects continued coverage under COBRA under the Company’s group health plans following such termination, the portion of the COBRA premiums which is equal to the cost of the coverage that the Company was paying as of the date of termination, to continue Executive’s (and Executive’s covered dependents, as applicable) health insurance coverage in effect on the termination date until the earliest of: (1) nine (9) months following the termination date; (2) the date when Executive becomes eligible for substantially equivalent health insurance coverage in connection with new employment or self-employment; or (3) the date Executive ceases to be eligible for COBRA continuation coverage for any reason, including plan termination (such period from the termination date through the earlier of (1)-(3), (the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 Period</w:t>
      </w:r>
      <w:r>
        <w:rPr>
          <w:rFonts w:ascii="Times New Roman" w:cs="Times New Roman" w:eastAsia="Times New Roman" w:hAnsi="Times New Roman"/>
          <w:sz w:val="21"/>
          <w:szCs w:val="21"/>
          <w:color w:val="auto"/>
        </w:rPr>
        <w:t>”)). Notwithstanding the foregoing, if at any time the Company determines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Executive’s rights under COBRA or ERISA for benefits under plans and policies arising under Executive’s employment by the Company.</w:t>
      </w:r>
    </w:p>
    <w:p>
      <w:pPr>
        <w:spacing w:after="0" w:line="185" w:lineRule="exact"/>
        <w:rPr>
          <w:rFonts w:ascii="Times New Roman" w:cs="Times New Roman" w:eastAsia="Times New Roman" w:hAnsi="Times New Roman"/>
          <w:sz w:val="21"/>
          <w:szCs w:val="21"/>
          <w:b w:val="1"/>
          <w:bCs w:val="1"/>
          <w:color w:val="auto"/>
        </w:rPr>
      </w:pPr>
    </w:p>
    <w:p>
      <w:pPr>
        <w:jc w:val="both"/>
        <w:ind w:left="80" w:right="79" w:firstLine="1936"/>
        <w:spacing w:after="0" w:line="233" w:lineRule="auto"/>
        <w:tabs>
          <w:tab w:leader="none" w:pos="2671"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shall not receive the Non-CIC Severance Benefits pursuant to Section 6.2(a) unless Executive executes the Separation Agreement within the consideration period specified therein, which shall in no event be more than forty-five (45) days, and until the Separation Agreement becomes effective and can no longer be revoked by Executive under its terms. Executive’s ability to receive benefits pursuant to Section 6.2(a) is further conditioned upon Executive: (i) returning all Company property; (ii) complying with Executive’s post-termination obligations under this Agreement and the Proprietary Information Agreement; (iii) complying with the Separation Agreement, including without limitation any non-disparagement, non-competition, and confidentiality provisions contained therein; and (iv) resignation from any other positions Executive holds with the Company, effective no later than Executive’s date of termination (or such other date as requested by the Board).</w:t>
      </w:r>
    </w:p>
    <w:p>
      <w:pPr>
        <w:spacing w:after="0" w:line="214" w:lineRule="exact"/>
        <w:rPr>
          <w:rFonts w:ascii="Times New Roman" w:cs="Times New Roman" w:eastAsia="Times New Roman" w:hAnsi="Times New Roman"/>
          <w:sz w:val="22"/>
          <w:szCs w:val="22"/>
          <w:b w:val="1"/>
          <w:bCs w:val="1"/>
          <w:color w:val="auto"/>
        </w:rPr>
      </w:pPr>
    </w:p>
    <w:p>
      <w:pPr>
        <w:jc w:val="both"/>
        <w:ind w:left="80" w:right="79" w:firstLine="1936"/>
        <w:spacing w:after="0" w:line="234" w:lineRule="auto"/>
        <w:tabs>
          <w:tab w:leader="none" w:pos="267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will not make any payments to Executive with respect to any of the benefits pursuant to Section 6.2(a) prior to the 60th day following Executive’s date of termination. On the first payroll date after the 60th day following Executive’s date of termination, and provided that Executive has delivered an effective Separation Agreement, the Company will make the first payment to Executive under Section 6.2(a)(i) and, in a lump sum, an amount equal to the aggregate amount of payments that the Company would have paid Executive through such date had the payments commenced on Executive’s date of termination through such 60th day, with the balance of the payments paid thereafter on the schedule described above, subject to any delay in payment required by Section 6.6.</w:t>
      </w:r>
    </w:p>
    <w:p>
      <w:pPr>
        <w:spacing w:after="0" w:line="204" w:lineRule="exact"/>
        <w:rPr>
          <w:sz w:val="20"/>
          <w:szCs w:val="20"/>
          <w:color w:val="auto"/>
        </w:rPr>
      </w:pPr>
    </w:p>
    <w:p>
      <w:pPr>
        <w:ind w:left="2020"/>
        <w:spacing w:after="0"/>
        <w:tabs>
          <w:tab w:leader="none" w:pos="2640" w:val="left"/>
          <w:tab w:leader="none" w:pos="3120" w:val="left"/>
          <w:tab w:leader="none" w:pos="4080" w:val="left"/>
          <w:tab w:leader="none" w:pos="4440" w:val="left"/>
          <w:tab w:leader="none" w:pos="4940" w:val="left"/>
          <w:tab w:leader="none" w:pos="6120" w:val="left"/>
          <w:tab w:leader="none" w:pos="7160" w:val="left"/>
          <w:tab w:leader="none" w:pos="84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2"/>
          <w:szCs w:val="22"/>
          <w:color w:val="auto"/>
        </w:rPr>
        <w:t>For</w:t>
        <w:tab/>
        <w:t>purposes</w:t>
        <w:tab/>
        <w:t>of</w:t>
        <w:tab/>
        <w:t>this</w:t>
        <w:tab/>
        <w:t>Agreement,</w:t>
        <w:tab/>
        <w:t>“</w:t>
      </w:r>
      <w:r>
        <w:rPr>
          <w:rFonts w:ascii="Times New Roman" w:cs="Times New Roman" w:eastAsia="Times New Roman" w:hAnsi="Times New Roman"/>
          <w:sz w:val="22"/>
          <w:szCs w:val="22"/>
          <w:b w:val="1"/>
          <w:bCs w:val="1"/>
          <w:i w:val="1"/>
          <w:iCs w:val="1"/>
          <w:color w:val="auto"/>
        </w:rPr>
        <w:t>Accrued</w:t>
      </w:r>
      <w:r>
        <w:rPr>
          <w:sz w:val="20"/>
          <w:szCs w:val="20"/>
          <w:color w:val="auto"/>
        </w:rPr>
        <w:tab/>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are</w:t>
      </w:r>
    </w:p>
    <w:p>
      <w:pPr>
        <w:spacing w:after="0" w:line="20" w:lineRule="exact"/>
        <w:rPr>
          <w:sz w:val="20"/>
          <w:szCs w:val="20"/>
          <w:color w:val="auto"/>
        </w:rPr>
      </w:pPr>
    </w:p>
    <w:p>
      <w:pPr>
        <w:jc w:val="both"/>
        <w:ind w:left="80" w:right="299" w:hanging="7"/>
        <w:spacing w:after="0" w:line="258" w:lineRule="auto"/>
        <w:tabs>
          <w:tab w:leader="none" w:pos="33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accrued but unpaid salary through the date of termination and any accrued but unused vacation through the date of termination (both of which, for purpose of clarity, shall be paid in cash),</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38" w:name="page139"/>
    <w:bookmarkEnd w:id="138"/>
    <w:p>
      <w:pPr>
        <w:jc w:val="both"/>
        <w:ind w:left="80" w:right="79" w:hanging="7"/>
        <w:spacing w:after="0" w:line="239" w:lineRule="auto"/>
        <w:tabs>
          <w:tab w:leader="none" w:pos="45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4" w:lineRule="exact"/>
        <w:rPr>
          <w:rFonts w:ascii="Times New Roman" w:cs="Times New Roman" w:eastAsia="Times New Roman" w:hAnsi="Times New Roman"/>
          <w:sz w:val="22"/>
          <w:szCs w:val="22"/>
          <w:color w:val="auto"/>
        </w:rPr>
      </w:pPr>
    </w:p>
    <w:p>
      <w:pPr>
        <w:jc w:val="both"/>
        <w:ind w:left="80" w:right="79" w:firstLine="1936"/>
        <w:spacing w:after="0" w:line="233" w:lineRule="auto"/>
        <w:tabs>
          <w:tab w:leader="none" w:pos="267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any of the following actions taken by the Company without Executive’s express prior written consent: (i) a material reduction by the Company of Executive’s Base Salary; (ii) the relocation of Executive’s principal place of employment, without Executive’s consent, to a place that increases Executive’s one-way commute by more than fifty (50) miles from Chapel Hill, North Carolina as compared to Executive’s then-current principal place of employment immediately prior to such relocation; (iii) a material reduction in Executive’s duties, authority, or responsibilities for the Company relative to Executive’s duties, authority, or responsibilities in effect immediately prior to such reduction; or (iv) a material breach by the Company of this or any other agreement with Executive; provided, however, that, any such termination by Executive shall only be deemed for Good Reason pursuant to this definition if: (1) Executive gives the Company written notice of Executive’s intent to terminate for Good Reason within sixty (60) days following Executive’s learning of the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and (3) Executive voluntarily terminates Executive’s employment within thirty (30) days following the end of the Cure Period.</w:t>
      </w:r>
    </w:p>
    <w:p>
      <w:pPr>
        <w:spacing w:after="0" w:line="174" w:lineRule="exact"/>
        <w:rPr>
          <w:rFonts w:ascii="Times New Roman" w:cs="Times New Roman" w:eastAsia="Times New Roman" w:hAnsi="Times New Roman"/>
          <w:sz w:val="22"/>
          <w:szCs w:val="22"/>
          <w:b w:val="1"/>
          <w:bCs w:val="1"/>
          <w:color w:val="auto"/>
        </w:rPr>
      </w:pPr>
    </w:p>
    <w:p>
      <w:pPr>
        <w:jc w:val="both"/>
        <w:ind w:left="80" w:right="79" w:firstLine="1936"/>
        <w:spacing w:after="0" w:line="233" w:lineRule="auto"/>
        <w:tabs>
          <w:tab w:leader="none" w:pos="267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a material breach of any covenant or condition under this Agreement or any other agreement between the parties; (ii) any commission of (or attempted commission of) an act constituting dishonesty, fraud, immoral or disreputable conduct which is reasonably likely to cause harm (including reputational harm) to the Company; (iii) the occurrence of any act or omission by the Executive that could reasonably be expected to result in (or has resulted in) the Executive’s conviction, plea of no contest, plea of nolo contendere, or imposition of unadjudicated probation for any felony (or equivalent in any jurisdiction); (iv) material violation of any written Company policy of which Executive has been given notice (including but not limited to Company policies preventing harassment), after the expiration of thirty (30) days without cure after written notice of such violation to the extent such violation is curable; (v) refusal to follow or implement a clear, lawful and reasonable directive of Company after the expiration of thirty (30) days without cure after written notice of such failure to the extent such failure is curable; (vi) gross negligence or gross incompetence in the performance of Executive’s duties after the expiration of thirty (30) days without cure after written notice of such failure to the extent such failure is curable; (vii) the Executive’s unauthorized use or disclosure of the confidential information or trade secrets of the Company or any subsidiary; or (viii) breach of fiduciary duty.</w:t>
      </w:r>
    </w:p>
    <w:p>
      <w:pPr>
        <w:spacing w:after="0" w:line="177" w:lineRule="exact"/>
        <w:rPr>
          <w:rFonts w:ascii="Times New Roman" w:cs="Times New Roman" w:eastAsia="Times New Roman" w:hAnsi="Times New Roman"/>
          <w:sz w:val="22"/>
          <w:szCs w:val="22"/>
          <w:b w:val="1"/>
          <w:bCs w:val="1"/>
          <w:color w:val="auto"/>
        </w:rPr>
      </w:pPr>
    </w:p>
    <w:p>
      <w:pPr>
        <w:jc w:val="both"/>
        <w:ind w:left="80" w:right="79" w:firstLine="1936"/>
        <w:spacing w:after="0" w:line="244" w:lineRule="auto"/>
        <w:tabs>
          <w:tab w:leader="none" w:pos="267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benefits provided to Executive pursuant to this Section 6.2 are in lieu of, and not in addition to, any benefits to which Executive may otherwise be entitled under any Company severance plan, policy, or program.</w:t>
      </w:r>
    </w:p>
    <w:p>
      <w:pPr>
        <w:spacing w:after="0" w:line="200" w:lineRule="exact"/>
        <w:rPr>
          <w:rFonts w:ascii="Times New Roman" w:cs="Times New Roman" w:eastAsia="Times New Roman" w:hAnsi="Times New Roman"/>
          <w:sz w:val="22"/>
          <w:szCs w:val="22"/>
          <w:b w:val="1"/>
          <w:bCs w:val="1"/>
          <w:color w:val="auto"/>
        </w:rPr>
      </w:pPr>
    </w:p>
    <w:p>
      <w:pPr>
        <w:ind w:left="80" w:right="79" w:firstLine="1936"/>
        <w:spacing w:after="0" w:line="282" w:lineRule="auto"/>
        <w:tabs>
          <w:tab w:leader="none" w:pos="2671" w:val="left"/>
        </w:tabs>
        <w:numPr>
          <w:ilvl w:val="1"/>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damages caused by the termination of Executive’s employment without Cause or for Good Reason would be difficult to ascertain; therefore, the Non-CIC Severance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39" w:name="page140"/>
    <w:bookmarkEnd w:id="139"/>
    <w:p>
      <w:pPr>
        <w:jc w:val="both"/>
        <w:ind w:left="80" w:right="79"/>
        <w:spacing w:after="0" w:line="244" w:lineRule="auto"/>
        <w:rPr>
          <w:sz w:val="20"/>
          <w:szCs w:val="20"/>
          <w:color w:val="auto"/>
        </w:rPr>
      </w:pPr>
      <w:r>
        <w:rPr>
          <w:rFonts w:ascii="Times New Roman" w:cs="Times New Roman" w:eastAsia="Times New Roman" w:hAnsi="Times New Roman"/>
          <w:sz w:val="22"/>
          <w:szCs w:val="22"/>
          <w:color w:val="auto"/>
        </w:rPr>
        <w:t>Benefits for which Executive is eligible pursuant to Section 6.2(a) above in exchange for the Separation Agreement is agreed to by the parties as liquidated damages, to serve as full compensation, and not a penalty, and is not subject to mitigation.</w:t>
      </w:r>
    </w:p>
    <w:p>
      <w:pPr>
        <w:spacing w:after="0" w:line="200" w:lineRule="exact"/>
        <w:rPr>
          <w:sz w:val="20"/>
          <w:szCs w:val="20"/>
          <w:color w:val="auto"/>
        </w:rPr>
      </w:pPr>
    </w:p>
    <w:p>
      <w:pPr>
        <w:jc w:val="both"/>
        <w:ind w:left="80" w:right="79" w:firstLine="1936"/>
        <w:spacing w:after="0" w:line="238" w:lineRule="auto"/>
        <w:tabs>
          <w:tab w:leader="none" w:pos="2671"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terminates Executive’s employment for Cause, or Executive resigns from employment with the Company without Good Reason, regardless of whether or not such termination is in connection with a Change in Control, then Executive shall be entitled to the Accrued Obligations, but Executive will not receive the Non-CIC Severance Benefits, the CIC Severance Benefits, or any other severance compensation or benefit.</w:t>
      </w:r>
    </w:p>
    <w:p>
      <w:pPr>
        <w:spacing w:after="0" w:line="173" w:lineRule="exact"/>
        <w:rPr>
          <w:sz w:val="20"/>
          <w:szCs w:val="20"/>
          <w:color w:val="auto"/>
        </w:rPr>
      </w:pPr>
    </w:p>
    <w:p>
      <w:pPr>
        <w:ind w:left="80" w:right="339" w:firstLine="1295"/>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Resignation by Executive for Good Reason or Termination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Company without Cause (in connection with a Change in Control)</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left="80" w:right="79" w:firstLine="1936"/>
        <w:spacing w:after="0" w:line="236" w:lineRule="auto"/>
        <w:tabs>
          <w:tab w:leader="none" w:pos="267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the Company terminates Executive’s employment without Cause or Executive resigns for Good Reason within twelve (12) months following the effective date of a Change in Control (“</w:t>
      </w:r>
      <w:r>
        <w:rPr>
          <w:rFonts w:ascii="Times New Roman" w:cs="Times New Roman" w:eastAsia="Times New Roman" w:hAnsi="Times New Roman"/>
          <w:sz w:val="22"/>
          <w:szCs w:val="22"/>
          <w:b w:val="1"/>
          <w:bCs w:val="1"/>
          <w:i w:val="1"/>
          <w:iCs w:val="1"/>
          <w:color w:val="auto"/>
        </w:rPr>
        <w:t>Change in Control Termination Date</w:t>
      </w:r>
      <w:r>
        <w:rPr>
          <w:rFonts w:ascii="Times New Roman" w:cs="Times New Roman" w:eastAsia="Times New Roman" w:hAnsi="Times New Roman"/>
          <w:sz w:val="22"/>
          <w:szCs w:val="22"/>
          <w:color w:val="auto"/>
        </w:rPr>
        <w:t>”), then Executive shall be entitled to the Accrued Obligations and, subject to Executive’s compliance with Section 6.2(b) above, Executive shall be eligible to receive the following severance benefits (collectively the “</w:t>
      </w:r>
      <w:r>
        <w:rPr>
          <w:rFonts w:ascii="Times New Roman" w:cs="Times New Roman" w:eastAsia="Times New Roman" w:hAnsi="Times New Roman"/>
          <w:sz w:val="22"/>
          <w:szCs w:val="22"/>
          <w:b w:val="1"/>
          <w:bCs w:val="1"/>
          <w:i w:val="1"/>
          <w:iCs w:val="1"/>
          <w:color w:val="auto"/>
        </w:rPr>
        <w:t>CIC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subject to the terms and conditions set forth in Section 6.3(b):</w:t>
      </w:r>
    </w:p>
    <w:p>
      <w:pPr>
        <w:spacing w:after="0" w:line="181" w:lineRule="exact"/>
        <w:rPr>
          <w:rFonts w:ascii="Times New Roman" w:cs="Times New Roman" w:eastAsia="Times New Roman" w:hAnsi="Times New Roman"/>
          <w:sz w:val="22"/>
          <w:szCs w:val="22"/>
          <w:b w:val="1"/>
          <w:bCs w:val="1"/>
          <w:color w:val="auto"/>
        </w:rPr>
      </w:pPr>
    </w:p>
    <w:p>
      <w:pPr>
        <w:jc w:val="both"/>
        <w:ind w:left="640" w:right="79" w:firstLine="2593"/>
        <w:spacing w:after="0" w:line="244" w:lineRule="auto"/>
        <w:tabs>
          <w:tab w:leader="none" w:pos="3879"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eighteen (18) months of Executive’s then current Base Salary, less standard payroll deductions and withholdings, paid in installments on the Company’s regular payroll dates; and</w:t>
      </w:r>
    </w:p>
    <w:p>
      <w:pPr>
        <w:spacing w:after="0" w:line="173" w:lineRule="exact"/>
        <w:rPr>
          <w:rFonts w:ascii="Times New Roman" w:cs="Times New Roman" w:eastAsia="Times New Roman" w:hAnsi="Times New Roman"/>
          <w:sz w:val="22"/>
          <w:szCs w:val="22"/>
          <w:b w:val="1"/>
          <w:bCs w:val="1"/>
          <w:color w:val="auto"/>
        </w:rPr>
      </w:pPr>
    </w:p>
    <w:p>
      <w:pPr>
        <w:jc w:val="both"/>
        <w:ind w:left="640" w:right="79" w:firstLine="2593"/>
        <w:spacing w:after="0" w:line="243" w:lineRule="auto"/>
        <w:tabs>
          <w:tab w:leader="none" w:pos="3879" w:val="left"/>
        </w:tabs>
        <w:numPr>
          <w:ilvl w:val="1"/>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or Executive’s covered dependents, as the case may be, timely elects continued coverage under COBRA under the Company’s group health plans following such termination, the portion of the COBRA premiums which is equal to the cost of the coverage that the Company was paying as of the date of termination, to continue Executive’s (and Executive’s covered dependents, as applicable) health insurance coverage in effect on the termination date until the earliest of: (1) eighteen (18) months following the termination date; (2) the date when Executive becomes eligible for substantially equivalent health insurance coverage in connection with new employment or self-employment; or (3) the date Executive ceases to be eligible for COBRA continuation coverage for any reason, including plan termination (such period from the termination date through the earlier of (1)-(3), (the “</w:t>
      </w:r>
      <w:r>
        <w:rPr>
          <w:rFonts w:ascii="Times New Roman" w:cs="Times New Roman" w:eastAsia="Times New Roman" w:hAnsi="Times New Roman"/>
          <w:sz w:val="21"/>
          <w:szCs w:val="21"/>
          <w:b w:val="1"/>
          <w:bCs w:val="1"/>
          <w:i w:val="1"/>
          <w:iCs w:val="1"/>
          <w:color w:val="auto"/>
        </w:rPr>
        <w:t>CIC COBRA Payment Period</w:t>
      </w:r>
      <w:r>
        <w:rPr>
          <w:rFonts w:ascii="Times New Roman" w:cs="Times New Roman" w:eastAsia="Times New Roman" w:hAnsi="Times New Roman"/>
          <w:sz w:val="21"/>
          <w:szCs w:val="21"/>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CIC COBRA Payment Period, a fully taxable cash payment equal to the COBRA premium for such month, subject to applicable tax withholding, for the remainder of the CIC COBRA Payment Period. Nothing in this Agreement shall deprive Executive of Executive’s rights under COBRA or ERISA for benefits under plans and policies arising under Executive’s employment by the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40" w:name="page141"/>
    <w:bookmarkEnd w:id="140"/>
    <w:p>
      <w:pPr>
        <w:jc w:val="both"/>
        <w:ind w:left="640" w:right="79" w:firstLine="2593"/>
        <w:spacing w:after="0" w:line="239" w:lineRule="auto"/>
        <w:tabs>
          <w:tab w:leader="none" w:pos="3879" w:val="left"/>
        </w:tabs>
        <w:numPr>
          <w:ilvl w:val="2"/>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lump sum cash payment in an amount equal to the full Annual Bonus calculated at the Target Percentage for the year in which the termination occurs and the prior year if annual bonuses for the prior year have not yet been paid, subject to standard payroll deductions and withholdings; and</w:t>
      </w:r>
    </w:p>
    <w:p>
      <w:pPr>
        <w:spacing w:after="0" w:line="180" w:lineRule="exact"/>
        <w:rPr>
          <w:rFonts w:ascii="Times New Roman" w:cs="Times New Roman" w:eastAsia="Times New Roman" w:hAnsi="Times New Roman"/>
          <w:sz w:val="22"/>
          <w:szCs w:val="22"/>
          <w:b w:val="1"/>
          <w:bCs w:val="1"/>
          <w:color w:val="auto"/>
        </w:rPr>
      </w:pPr>
    </w:p>
    <w:p>
      <w:pPr>
        <w:jc w:val="both"/>
        <w:ind w:left="640" w:right="79" w:firstLine="2593"/>
        <w:spacing w:after="0" w:line="235" w:lineRule="auto"/>
        <w:tabs>
          <w:tab w:leader="none" w:pos="3879" w:val="left"/>
        </w:tabs>
        <w:numPr>
          <w:ilvl w:val="2"/>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Effective as of Executive’s Change in Control Termination Date (and notwithstanding anything to the contrary in the applicable equity incentive plan(s) and the applicable award agreement(s) governing the terms of such equity awards), the vesting and exercisability of all outstanding equity awards held by Executive immediately prior to the Change in Control Termination Date shall be accelerated in full, and otherwise shall be administered in accordance with the applicable equity incentive plan(s) and the applicable award agreement(s) governing the terms of such equity awards.</w:t>
      </w:r>
    </w:p>
    <w:p>
      <w:pPr>
        <w:spacing w:after="0" w:line="183" w:lineRule="exact"/>
        <w:rPr>
          <w:rFonts w:ascii="Times New Roman" w:cs="Times New Roman" w:eastAsia="Times New Roman" w:hAnsi="Times New Roman"/>
          <w:sz w:val="22"/>
          <w:szCs w:val="22"/>
          <w:b w:val="1"/>
          <w:bCs w:val="1"/>
          <w:color w:val="auto"/>
        </w:rPr>
      </w:pPr>
    </w:p>
    <w:p>
      <w:pPr>
        <w:jc w:val="both"/>
        <w:ind w:left="80" w:right="79" w:firstLine="1936"/>
        <w:spacing w:after="0" w:line="236" w:lineRule="auto"/>
        <w:tabs>
          <w:tab w:leader="none" w:pos="2671" w:val="left"/>
        </w:tabs>
        <w:numPr>
          <w:ilvl w:val="1"/>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will not make any payments to Executive with respect to any of the benefits pursuant to Section 6.3(a) prior to the 60th day following Executive’s date of termination. On the first payroll date after the 60th day following Executive’s date of termination, and provided that Executive has delivered an effective Separation Agreement, the Company will</w:t>
      </w:r>
    </w:p>
    <w:p>
      <w:pPr>
        <w:jc w:val="both"/>
        <w:ind w:left="80" w:right="79" w:hanging="7"/>
        <w:spacing w:after="0" w:line="232"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the first payment to Executive under Section 6.3(a)(i) and, in a lump sum, an amount equal to the aggregate amount of payments that the Company would have paid Executive through such date had the payments commenced on Executive’s date of termination through such 60th day, with the balance of the payments paid thereafter on the schedule described above; and (ii) make the lump sum payment specified in Section 6.3(a)(iii) that has not yet been made due to this Section 6.3(b), in the cases of (i) and (ii) subject to any delay in payment required by Section 6.6.</w:t>
      </w:r>
    </w:p>
    <w:p>
      <w:pPr>
        <w:spacing w:after="0" w:line="209" w:lineRule="exact"/>
        <w:rPr>
          <w:rFonts w:ascii="Times New Roman" w:cs="Times New Roman" w:eastAsia="Times New Roman" w:hAnsi="Times New Roman"/>
          <w:sz w:val="22"/>
          <w:szCs w:val="22"/>
          <w:color w:val="auto"/>
        </w:rPr>
      </w:pPr>
    </w:p>
    <w:p>
      <w:pPr>
        <w:jc w:val="both"/>
        <w:ind w:left="80" w:right="79" w:firstLine="1936"/>
        <w:spacing w:after="0" w:line="239" w:lineRule="auto"/>
        <w:tabs>
          <w:tab w:leader="none" w:pos="2670" w:val="left"/>
        </w:tabs>
        <w:numPr>
          <w:ilvl w:val="1"/>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benefits provided to Executive pursuant to this Section 6.3 are in lieu of, and not in addition to, any benefits to which Executive may otherwise be entitled under any Company severance plan, policy, or program. For avoidance of doubt, Executive shall not be eligible for both CIC Severance Benefits and Non-CIC Severance Benefits.</w:t>
      </w:r>
    </w:p>
    <w:p>
      <w:pPr>
        <w:spacing w:after="0" w:line="207" w:lineRule="exact"/>
        <w:rPr>
          <w:rFonts w:ascii="Times New Roman" w:cs="Times New Roman" w:eastAsia="Times New Roman" w:hAnsi="Times New Roman"/>
          <w:sz w:val="22"/>
          <w:szCs w:val="22"/>
          <w:b w:val="1"/>
          <w:bCs w:val="1"/>
          <w:color w:val="auto"/>
        </w:rPr>
      </w:pPr>
    </w:p>
    <w:p>
      <w:pPr>
        <w:jc w:val="both"/>
        <w:ind w:left="80" w:right="79" w:firstLine="1936"/>
        <w:spacing w:after="0" w:line="238" w:lineRule="auto"/>
        <w:tabs>
          <w:tab w:leader="none" w:pos="2671" w:val="left"/>
        </w:tabs>
        <w:numPr>
          <w:ilvl w:val="1"/>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damages caused by the termination of Executive’s employment without Cause or for Good Reason in connection with a Change in Control would be difficult to ascertain; therefore, the CIC Severance Benefits for which Executive is eligible pursuant to Section 6.3(a) above in exchange for the Separation Agreement is agreed to by the parties as liquidated damages, to serve as full compensation, and not a penalty, and is not subject to mitigation.</w:t>
      </w:r>
    </w:p>
    <w:p>
      <w:pPr>
        <w:spacing w:after="0" w:line="200" w:lineRule="exact"/>
        <w:rPr>
          <w:sz w:val="20"/>
          <w:szCs w:val="20"/>
          <w:color w:val="auto"/>
        </w:rPr>
      </w:pPr>
    </w:p>
    <w:p>
      <w:pPr>
        <w:jc w:val="both"/>
        <w:ind w:left="80" w:right="79" w:firstLine="129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Cooperation With the Company After Termination of Employment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provided, that the Company agrees that the Company (a) shall make reasonable efforts to minimize disruption of Executive’s other activities, and (b) shall reimburse Executive for all reasonable expenses incurred in connection with such cooperation.</w:t>
      </w:r>
    </w:p>
    <w:p>
      <w:pPr>
        <w:spacing w:after="0" w:line="178" w:lineRule="exact"/>
        <w:rPr>
          <w:sz w:val="20"/>
          <w:szCs w:val="20"/>
          <w:color w:val="auto"/>
        </w:rPr>
      </w:pPr>
    </w:p>
    <w:p>
      <w:pPr>
        <w:jc w:val="both"/>
        <w:ind w:left="80" w:right="79" w:firstLine="129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6.5 </w:t>
      </w: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should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terminated for any reason, Executive shall be deemed to have resigned from any and all positions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41" w:name="page142"/>
    <w:bookmarkEnd w:id="141"/>
    <w:p>
      <w:pPr>
        <w:ind w:left="80"/>
        <w:spacing w:after="0" w:line="258" w:lineRule="auto"/>
        <w:rPr>
          <w:sz w:val="20"/>
          <w:szCs w:val="20"/>
          <w:color w:val="auto"/>
        </w:rPr>
      </w:pPr>
      <w:r>
        <w:rPr>
          <w:rFonts w:ascii="Times New Roman" w:cs="Times New Roman" w:eastAsia="Times New Roman" w:hAnsi="Times New Roman"/>
          <w:sz w:val="22"/>
          <w:szCs w:val="22"/>
          <w:color w:val="auto"/>
        </w:rPr>
        <w:t>with the Company, including, but not limited to, a position on the board of directors of the Company and all positions with any and all subsidiaries and Affiliates of the Company.</w:t>
      </w:r>
    </w:p>
    <w:p>
      <w:pPr>
        <w:spacing w:after="0" w:line="154" w:lineRule="exact"/>
        <w:rPr>
          <w:sz w:val="20"/>
          <w:szCs w:val="20"/>
          <w:color w:val="auto"/>
        </w:rPr>
      </w:pPr>
    </w:p>
    <w:p>
      <w:pPr>
        <w:ind w:left="136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u w:val="single" w:color="auto"/>
          <w:color w:val="auto"/>
        </w:rPr>
        <w:t>Application of Section 409A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0" w:right="120" w:firstLine="1936"/>
        <w:spacing w:after="0" w:line="236" w:lineRule="auto"/>
        <w:tabs>
          <w:tab w:leader="none" w:pos="267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intended that all of the compensation payable under this Agreement, to the greatest extent possible, either complies with the requirements of Section 409A of the Code and the regulations and other guidance thereunder and any state law of similar effect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81" w:lineRule="exact"/>
        <w:rPr>
          <w:rFonts w:ascii="Times New Roman" w:cs="Times New Roman" w:eastAsia="Times New Roman" w:hAnsi="Times New Roman"/>
          <w:sz w:val="22"/>
          <w:szCs w:val="22"/>
          <w:b w:val="1"/>
          <w:bCs w:val="1"/>
          <w:color w:val="auto"/>
        </w:rPr>
      </w:pPr>
    </w:p>
    <w:p>
      <w:pPr>
        <w:jc w:val="both"/>
        <w:ind w:left="80" w:right="120" w:firstLine="1936"/>
        <w:spacing w:after="0" w:line="235" w:lineRule="auto"/>
        <w:tabs>
          <w:tab w:leader="none" w:pos="2671"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83" w:lineRule="exact"/>
        <w:rPr>
          <w:rFonts w:ascii="Times New Roman" w:cs="Times New Roman" w:eastAsia="Times New Roman" w:hAnsi="Times New Roman"/>
          <w:sz w:val="22"/>
          <w:szCs w:val="22"/>
          <w:b w:val="1"/>
          <w:bCs w:val="1"/>
          <w:color w:val="auto"/>
        </w:rPr>
      </w:pPr>
    </w:p>
    <w:p>
      <w:pPr>
        <w:jc w:val="both"/>
        <w:ind w:left="80" w:right="120" w:firstLine="1936"/>
        <w:spacing w:after="0" w:line="244" w:lineRule="auto"/>
        <w:tabs>
          <w:tab w:leader="none" w:pos="267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Separation Agreement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6.6(c); and (ii) commence paying the balance of the severance benefits in accordance with the applicable payment schedule set forth in Sections 6.2 and 6.3. No interest shall be due on any amounts deferred pursuant to this Section 6.6(c).</w:t>
      </w:r>
    </w:p>
    <w:p>
      <w:pPr>
        <w:spacing w:after="0" w:line="175" w:lineRule="exact"/>
        <w:rPr>
          <w:rFonts w:ascii="Times New Roman" w:cs="Times New Roman" w:eastAsia="Times New Roman" w:hAnsi="Times New Roman"/>
          <w:sz w:val="21"/>
          <w:szCs w:val="21"/>
          <w:b w:val="1"/>
          <w:bCs w:val="1"/>
          <w:color w:val="auto"/>
        </w:rPr>
      </w:pPr>
    </w:p>
    <w:p>
      <w:pPr>
        <w:jc w:val="both"/>
        <w:ind w:left="80" w:right="120" w:firstLine="1936"/>
        <w:spacing w:after="0" w:line="235" w:lineRule="auto"/>
        <w:tabs>
          <w:tab w:leader="none" w:pos="2671"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The Company makes no representation that compensation paid pursuant to the terms of this Agreement will be exempt from or comply with Section 409A and makes no undertaking to preclude Section 409A from applying to any such payment.</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60"/>
          </w:cols>
          <w:pgMar w:left="1440" w:top="949" w:right="1399" w:bottom="1440" w:gutter="0" w:footer="0" w:header="0"/>
        </w:sectPr>
      </w:pPr>
    </w:p>
    <w:bookmarkStart w:id="142" w:name="page143"/>
    <w:bookmarkEnd w:id="142"/>
    <w:p>
      <w:pPr>
        <w:ind w:left="136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u w:val="single" w:color="auto"/>
          <w:color w:val="auto"/>
        </w:rPr>
        <w:t>Excise Tax Adjustment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0" w:right="79" w:firstLine="1936"/>
        <w:spacing w:after="0" w:line="244" w:lineRule="auto"/>
        <w:tabs>
          <w:tab w:leader="none" w:pos="2670"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payment or benefit Executive will or may receive from the Company or otherwise (a “</w:t>
      </w:r>
      <w:r>
        <w:rPr>
          <w:rFonts w:ascii="Times New Roman" w:cs="Times New Roman" w:eastAsia="Times New Roman" w:hAnsi="Times New Roman"/>
          <w:sz w:val="21"/>
          <w:szCs w:val="21"/>
          <w:b w:val="1"/>
          <w:bCs w:val="1"/>
          <w:i w:val="1"/>
          <w:iCs w:val="1"/>
          <w:color w:val="auto"/>
        </w:rPr>
        <w:t>280G Payment</w:t>
      </w:r>
      <w:r>
        <w:rPr>
          <w:rFonts w:ascii="Times New Roman" w:cs="Times New Roman" w:eastAsia="Times New Roman" w:hAnsi="Times New Roman"/>
          <w:sz w:val="21"/>
          <w:szCs w:val="21"/>
          <w:color w:val="auto"/>
        </w:rPr>
        <w:t>”) would (i) constitute a “parachute payment” within the meaning of Section 280G of the Code, and (ii) but for this Section, be subject to the excise tax imposed by Section 4999 of the Code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any such 280G Payment provided pursuant to this Agreement (a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shall be equal to the Reduced Amount. The “</w:t>
      </w:r>
      <w:r>
        <w:rPr>
          <w:rFonts w:ascii="Times New Roman" w:cs="Times New Roman" w:eastAsia="Times New Roman" w:hAnsi="Times New Roman"/>
          <w:sz w:val="21"/>
          <w:szCs w:val="21"/>
          <w:b w:val="1"/>
          <w:bCs w:val="1"/>
          <w:i w:val="1"/>
          <w:iCs w:val="1"/>
          <w:color w:val="auto"/>
        </w:rPr>
        <w:t>Reduced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Amount</w:t>
      </w:r>
      <w:r>
        <w:rPr>
          <w:rFonts w:ascii="Times New Roman" w:cs="Times New Roman" w:eastAsia="Times New Roman" w:hAnsi="Times New Roman"/>
          <w:sz w:val="21"/>
          <w:szCs w:val="21"/>
          <w:color w:val="auto"/>
        </w:rPr>
        <w:t>” shall be either (x) the largest portion of the Payment that would result in no portion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1"/>
          <w:szCs w:val="21"/>
          <w:b w:val="1"/>
          <w:bCs w:val="1"/>
          <w:i w:val="1"/>
          <w:iCs w:val="1"/>
          <w:color w:val="auto"/>
        </w:rPr>
        <w:t>Reduction Method</w:t>
      </w:r>
      <w:r>
        <w:rPr>
          <w:rFonts w:ascii="Times New Roman" w:cs="Times New Roman" w:eastAsia="Times New Roman" w:hAnsi="Times New Roman"/>
          <w:sz w:val="21"/>
          <w:szCs w:val="21"/>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1"/>
          <w:szCs w:val="21"/>
          <w:b w:val="1"/>
          <w:bCs w:val="1"/>
          <w:i w:val="1"/>
          <w:iCs w:val="1"/>
          <w:color w:val="auto"/>
        </w:rPr>
        <w:t>Pro Rata Reduction Method</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b w:val="1"/>
          <w:bCs w:val="1"/>
          <w:color w:val="auto"/>
        </w:rPr>
      </w:pPr>
    </w:p>
    <w:p>
      <w:pPr>
        <w:jc w:val="both"/>
        <w:ind w:left="80" w:right="79" w:firstLine="1936"/>
        <w:spacing w:after="0" w:line="246" w:lineRule="auto"/>
        <w:tabs>
          <w:tab w:leader="none" w:pos="2671"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 provision of this Section 6.7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Times New Roman" w:cs="Times New Roman" w:eastAsia="Times New Roman" w:hAnsi="Times New Roman"/>
          <w:sz w:val="21"/>
          <w:szCs w:val="21"/>
          <w:b w:val="1"/>
          <w:bCs w:val="1"/>
          <w:color w:val="auto"/>
        </w:rPr>
      </w:pPr>
    </w:p>
    <w:p>
      <w:pPr>
        <w:jc w:val="both"/>
        <w:ind w:left="80" w:right="79" w:hanging="7"/>
        <w:spacing w:after="0" w:line="244" w:lineRule="auto"/>
        <w:tabs>
          <w:tab w:leader="none" w:pos="47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first priority, the modification shall preserve to the greatest extent possible, the greatest economic benefit for Executive as determined on an after-tax basis; (B) as a second priority, Payments that are contingent on future events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6" w:lineRule="exact"/>
        <w:rPr>
          <w:rFonts w:ascii="Times New Roman" w:cs="Times New Roman" w:eastAsia="Times New Roman" w:hAnsi="Times New Roman"/>
          <w:sz w:val="21"/>
          <w:szCs w:val="21"/>
          <w:color w:val="auto"/>
        </w:rPr>
      </w:pPr>
    </w:p>
    <w:p>
      <w:pPr>
        <w:jc w:val="both"/>
        <w:ind w:left="80" w:right="79" w:firstLine="1936"/>
        <w:spacing w:after="0" w:line="233" w:lineRule="auto"/>
        <w:tabs>
          <w:tab w:leader="none" w:pos="2670"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43" w:name="page144"/>
    <w:bookmarkEnd w:id="143"/>
    <w:p>
      <w:pPr>
        <w:jc w:val="both"/>
        <w:ind w:left="80" w:right="79" w:firstLine="1936"/>
        <w:spacing w:after="0" w:line="235" w:lineRule="auto"/>
        <w:tabs>
          <w:tab w:leader="none" w:pos="2671"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Executive receives a Payment for which the Reduced Amount was determined pursuant to clause (x) of Section 6.7(a) and the Internal Revenue Service determines thereafter that some portion of the Payment is subject to the Excise Tax, Executive agrees to promptly return to the Company a sufficient amount of the Payment (after reduction pursuant to clause (x) of Section 6.7(a)) so that no portion of the remaining Payment is subject to the Excise Tax. For the avoidance of doubt, if the Reduced Amount was determined pursuant to clause (y) of Section 6.7(a), Executive shall have no obligation to return any portion of the Payment pursuant to the preceding sentence.</w:t>
      </w:r>
    </w:p>
    <w:p>
      <w:pPr>
        <w:spacing w:after="0" w:line="174" w:lineRule="exact"/>
        <w:rPr>
          <w:rFonts w:ascii="Times New Roman" w:cs="Times New Roman" w:eastAsia="Times New Roman" w:hAnsi="Times New Roman"/>
          <w:sz w:val="22"/>
          <w:szCs w:val="22"/>
          <w:b w:val="1"/>
          <w:bCs w:val="1"/>
          <w:color w:val="auto"/>
        </w:rPr>
      </w:pPr>
    </w:p>
    <w:p>
      <w:pPr>
        <w:ind w:left="1460" w:hanging="739"/>
        <w:spacing w:after="0"/>
        <w:tabs>
          <w:tab w:leader="none" w:pos="14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80" w:right="79" w:firstLine="129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notices required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(if notice is given prior to Executive’s termination of employment) to Executive’s Company-issued email address, or at such other address as the Company or Executive may designate by ten (10) days’ advance written notice to the other.</w:t>
      </w:r>
    </w:p>
    <w:p>
      <w:pPr>
        <w:spacing w:after="0" w:line="179" w:lineRule="exact"/>
        <w:rPr>
          <w:sz w:val="20"/>
          <w:szCs w:val="20"/>
          <w:color w:val="auto"/>
        </w:rPr>
      </w:pPr>
    </w:p>
    <w:p>
      <w:pPr>
        <w:jc w:val="both"/>
        <w:ind w:left="80" w:right="79" w:firstLine="129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Whenever possible, each provision of this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6" w:lineRule="exact"/>
        <w:rPr>
          <w:sz w:val="20"/>
          <w:szCs w:val="20"/>
          <w:color w:val="auto"/>
        </w:rPr>
      </w:pPr>
    </w:p>
    <w:p>
      <w:pPr>
        <w:jc w:val="both"/>
        <w:ind w:left="80" w:right="79" w:firstLine="129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If either party should waive any breach of any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Executive or the Company shall not thereby be deemed to have waived any preceding or succeeding breach of the same or any other provision of this Agreement.</w:t>
      </w:r>
    </w:p>
    <w:p>
      <w:pPr>
        <w:spacing w:after="0" w:line="167" w:lineRule="exact"/>
        <w:rPr>
          <w:sz w:val="20"/>
          <w:szCs w:val="20"/>
          <w:color w:val="auto"/>
        </w:rPr>
      </w:pPr>
    </w:p>
    <w:p>
      <w:pPr>
        <w:jc w:val="both"/>
        <w:ind w:left="80" w:right="79" w:firstLine="1295"/>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Agreement (including Exhibit A), the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Agreement, and any other separate agreement relating to equity awards constitute the entire agreement between Executive and the Company with regard to the subject matter hereof and supersede any prior oral discussions or written communications, and agreements, including any prior employment agreements or offer letters. This Agreement is entered into without reliance on any promise or representation other than those expressly contained herein, and it cannot be modified or amended except in writing signed by Executive and an authorized officer of the Company.</w:t>
      </w:r>
    </w:p>
    <w:p>
      <w:pPr>
        <w:spacing w:after="0" w:line="176" w:lineRule="exact"/>
        <w:rPr>
          <w:sz w:val="20"/>
          <w:szCs w:val="20"/>
          <w:color w:val="auto"/>
        </w:rPr>
      </w:pPr>
    </w:p>
    <w:p>
      <w:pPr>
        <w:jc w:val="both"/>
        <w:ind w:left="80" w:right="79" w:firstLine="1295"/>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by electronic transmission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separate counterparts, any one of which need not contain signatures of more than one party, but all of which taken together will constitute one and the same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44" w:name="page145"/>
    <w:bookmarkEnd w:id="144"/>
    <w:p>
      <w:pPr>
        <w:jc w:val="both"/>
        <w:ind w:left="80" w:right="99" w:firstLine="129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hereof are inserted for convenience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shall not be deemed to constitute a part hereof nor to affect the meaning thereof.</w:t>
      </w:r>
    </w:p>
    <w:p>
      <w:pPr>
        <w:spacing w:after="0" w:line="150" w:lineRule="exact"/>
        <w:rPr>
          <w:sz w:val="20"/>
          <w:szCs w:val="20"/>
          <w:color w:val="auto"/>
        </w:rPr>
      </w:pPr>
    </w:p>
    <w:p>
      <w:pPr>
        <w:jc w:val="both"/>
        <w:ind w:left="80" w:right="79" w:firstLine="1295"/>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Company shall assign this Agreement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78" w:lineRule="exact"/>
        <w:rPr>
          <w:sz w:val="20"/>
          <w:szCs w:val="20"/>
          <w:color w:val="auto"/>
        </w:rPr>
      </w:pPr>
    </w:p>
    <w:p>
      <w:pPr>
        <w:jc w:val="both"/>
        <w:ind w:left="80" w:right="79" w:firstLine="1295"/>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color w:val="auto"/>
        </w:rPr>
        <w:t>. All questions concerning the construction, validity,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this Agreement will be governed by the laws of the State of New York.</w:t>
      </w:r>
    </w:p>
    <w:p>
      <w:pPr>
        <w:spacing w:after="0" w:line="150" w:lineRule="exact"/>
        <w:rPr>
          <w:sz w:val="20"/>
          <w:szCs w:val="20"/>
          <w:color w:val="auto"/>
        </w:rPr>
      </w:pPr>
    </w:p>
    <w:p>
      <w:pPr>
        <w:jc w:val="both"/>
        <w:ind w:left="80" w:right="79" w:firstLine="1295"/>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7.9 </w:t>
      </w:r>
      <w:r>
        <w:rPr>
          <w:rFonts w:ascii="Times New Roman" w:cs="Times New Roman" w:eastAsia="Times New Roman" w:hAnsi="Times New Roman"/>
          <w:sz w:val="22"/>
          <w:szCs w:val="22"/>
          <w:b w:val="1"/>
          <w:bCs w:val="1"/>
          <w:u w:val="single" w:color="auto"/>
          <w:color w:val="auto"/>
        </w:rPr>
        <w:t>Resolution of Disputes</w:t>
      </w:r>
      <w:r>
        <w:rPr>
          <w:rFonts w:ascii="Times New Roman" w:cs="Times New Roman" w:eastAsia="Times New Roman" w:hAnsi="Times New Roman"/>
          <w:sz w:val="22"/>
          <w:szCs w:val="22"/>
          <w:color w:val="auto"/>
        </w:rPr>
        <w:t>. To ensure the timely and economical resolution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the Proprietary Information Agreement, or Executive’s employment, or the termination of Executive’s employment, including but not limited to all statutory claims, with the exception of discrimination and harassment claims, will be resolved pursuant to the Federal Arbitration Act, 9</w:t>
      </w:r>
    </w:p>
    <w:p>
      <w:pPr>
        <w:spacing w:after="0" w:line="2" w:lineRule="exact"/>
        <w:rPr>
          <w:sz w:val="20"/>
          <w:szCs w:val="20"/>
          <w:color w:val="auto"/>
        </w:rPr>
      </w:pPr>
    </w:p>
    <w:p>
      <w:pPr>
        <w:jc w:val="both"/>
        <w:ind w:left="80" w:right="79"/>
        <w:spacing w:after="0" w:line="242" w:lineRule="auto"/>
        <w:rPr>
          <w:sz w:val="20"/>
          <w:szCs w:val="20"/>
          <w:color w:val="auto"/>
        </w:rPr>
      </w:pPr>
      <w:r>
        <w:rPr>
          <w:rFonts w:ascii="Times New Roman" w:cs="Times New Roman" w:eastAsia="Times New Roman" w:hAnsi="Times New Roman"/>
          <w:sz w:val="21"/>
          <w:szCs w:val="21"/>
          <w:color w:val="auto"/>
        </w:rPr>
        <w:t>U.S.C. §1-16 (the “</w:t>
      </w:r>
      <w:r>
        <w:rPr>
          <w:rFonts w:ascii="Times New Roman" w:cs="Times New Roman" w:eastAsia="Times New Roman" w:hAnsi="Times New Roman"/>
          <w:sz w:val="21"/>
          <w:szCs w:val="21"/>
          <w:b w:val="1"/>
          <w:bCs w:val="1"/>
          <w:i w:val="1"/>
          <w:iCs w:val="1"/>
          <w:color w:val="auto"/>
        </w:rPr>
        <w:t>FAA</w:t>
      </w:r>
      <w:r>
        <w:rPr>
          <w:rFonts w:ascii="Times New Roman" w:cs="Times New Roman" w:eastAsia="Times New Roman" w:hAnsi="Times New Roman"/>
          <w:sz w:val="21"/>
          <w:szCs w:val="21"/>
          <w:color w:val="auto"/>
        </w:rPr>
        <w:t>”), and to the fullest extent permitted by law, by final, binding and confidential arbitration by a single arbitrator conducted in New York, New York by Judicial Arbitration and Mediation Services Inc. (“</w:t>
      </w:r>
      <w:r>
        <w:rPr>
          <w:rFonts w:ascii="Times New Roman" w:cs="Times New Roman" w:eastAsia="Times New Roman" w:hAnsi="Times New Roman"/>
          <w:sz w:val="21"/>
          <w:szCs w:val="21"/>
          <w:b w:val="1"/>
          <w:bCs w:val="1"/>
          <w:i w:val="1"/>
          <w:iCs w:val="1"/>
          <w:color w:val="auto"/>
        </w:rPr>
        <w:t>JAMS</w:t>
      </w:r>
      <w:r>
        <w:rPr>
          <w:rFonts w:ascii="Times New Roman" w:cs="Times New Roman" w:eastAsia="Times New Roman" w:hAnsi="Times New Roman"/>
          <w:sz w:val="21"/>
          <w:szCs w:val="21"/>
          <w:color w:val="auto"/>
        </w:rPr>
        <w:t>”) under the then applicable JAMS rules appropriate to the relief being sought (the applicable rules are available at the following web addresses: (i) https://www.jamsadr.com/rules-employment-arbitration/ and (ii) https://www.jamsadr.com/rules-comprehensive-arbitration/); provided, however, this arbitration provision not apply to any action or claim that cannot be subject to mandatory arbitration as a matter of law, including, without limitation, claims involving allegations of sexual harassment and discrimination, to the extent such claims are not permitted by applicable law(s) to be submitted to mandatory arbitration and the applicable law(s) are not preempted by the FAA or otherwise invalid (collectively, the “</w:t>
      </w:r>
      <w:r>
        <w:rPr>
          <w:rFonts w:ascii="Times New Roman" w:cs="Times New Roman" w:eastAsia="Times New Roman" w:hAnsi="Times New Roman"/>
          <w:sz w:val="21"/>
          <w:szCs w:val="21"/>
          <w:b w:val="1"/>
          <w:bCs w:val="1"/>
          <w:i w:val="1"/>
          <w:iCs w:val="1"/>
          <w:color w:val="auto"/>
        </w:rPr>
        <w:t>Excluded Claims</w:t>
      </w:r>
      <w:r>
        <w:rPr>
          <w:rFonts w:ascii="Times New Roman" w:cs="Times New Roman" w:eastAsia="Times New Roman" w:hAnsi="Times New Roman"/>
          <w:sz w:val="21"/>
          <w:szCs w:val="21"/>
          <w:color w:val="auto"/>
        </w:rPr>
        <w:t>”). A hard copy of the rules will be provided to Executive upon request. By agreeing to this arbitration procedure, both Executive and the Company waive the right to resolve any such dispute through a trial by jury or judge or administrative proceeding. In addition, all claims, disputes, or causes of action under this provision,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State of New York. However, procedural questions which grow out of the dispute and bear on the final disposition are matters for the arbitrator.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391160</wp:posOffset>
            </wp:positionV>
            <wp:extent cx="58807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45" w:name="page146"/>
    <w:bookmarkEnd w:id="145"/>
    <w:p>
      <w:pPr>
        <w:jc w:val="both"/>
        <w:ind w:left="240" w:right="259"/>
        <w:spacing w:after="0" w:line="232" w:lineRule="auto"/>
        <w:rPr>
          <w:sz w:val="20"/>
          <w:szCs w:val="20"/>
          <w:color w:val="auto"/>
        </w:rPr>
      </w:pPr>
      <w:r>
        <w:rPr>
          <w:rFonts w:ascii="Times New Roman" w:cs="Times New Roman" w:eastAsia="Times New Roman" w:hAnsi="Times New Roman"/>
          <w:sz w:val="22"/>
          <w:szCs w:val="22"/>
          <w:color w:val="auto"/>
        </w:rPr>
        <w:t>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Proprietary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 New York federal court determines that any applicable law prohibits mandatory arbitration of Excluded Claims, if Executive intends to bring multiple claims, including one or more Excluded Claims, the Excluded Claim(s) may be publicly filed with a court, while any other claims will remain subject to mandatory arbitration.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391160</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46" w:name="page147"/>
    <w:bookmarkEnd w:id="146"/>
    <w:p>
      <w:pPr>
        <w:ind w:left="240" w:right="19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Employment Agreement on the day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first written above.</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BICYCLE THERAPEUTICS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By:/s/ Alethia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13970</wp:posOffset>
            </wp:positionV>
            <wp:extent cx="26231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Name: Alethia Young</w:t>
      </w:r>
    </w:p>
    <w:p>
      <w:pPr>
        <w:spacing w:after="0" w:line="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 Jennifer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13970</wp:posOffset>
            </wp:positionV>
            <wp:extent cx="26231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Jennifer Perry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IN CONTROL</w:t>
      </w:r>
    </w:p>
    <w:p>
      <w:pPr>
        <w:spacing w:after="0" w:line="152" w:lineRule="exact"/>
        <w:rPr>
          <w:sz w:val="20"/>
          <w:szCs w:val="20"/>
          <w:color w:val="auto"/>
        </w:rPr>
      </w:pPr>
    </w:p>
    <w:p>
      <w:pPr>
        <w:ind w:left="720"/>
        <w:spacing w:after="0"/>
        <w:tabs>
          <w:tab w:leader="none" w:pos="1820" w:val="left"/>
          <w:tab w:leader="none" w:pos="2340" w:val="left"/>
          <w:tab w:leader="none" w:pos="3460" w:val="left"/>
          <w:tab w:leader="none" w:pos="4340" w:val="left"/>
          <w:tab w:leader="none" w:pos="4980" w:val="left"/>
          <w:tab w:leader="none" w:pos="6020" w:val="left"/>
          <w:tab w:leader="none" w:pos="6740" w:val="left"/>
          <w:tab w:leader="none" w:pos="7240" w:val="left"/>
          <w:tab w:leader="none" w:pos="78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w:t>
      </w:r>
      <w:r>
        <w:rPr>
          <w:sz w:val="20"/>
          <w:szCs w:val="20"/>
          <w:color w:val="auto"/>
        </w:rPr>
        <w:tab/>
      </w:r>
      <w:r>
        <w:rPr>
          <w:rFonts w:ascii="Times New Roman" w:cs="Times New Roman" w:eastAsia="Times New Roman" w:hAnsi="Times New Roman"/>
          <w:sz w:val="22"/>
          <w:szCs w:val="22"/>
          <w:b w:val="1"/>
          <w:bCs w:val="1"/>
          <w:color w:val="auto"/>
        </w:rPr>
        <w:t>in</w:t>
        <w:tab/>
        <w:t>Control</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w:t>
        <w:tab/>
        <w:t>and</w:t>
        <w:tab/>
        <w:t>includes</w:t>
        <w:tab/>
        <w:t>each</w:t>
        <w:tab/>
        <w:t>of</w:t>
        <w:tab/>
        <w:t>the</w:t>
      </w:r>
      <w:r>
        <w:rPr>
          <w:sz w:val="20"/>
          <w:szCs w:val="20"/>
          <w:color w:val="auto"/>
        </w:rPr>
        <w:tab/>
      </w:r>
      <w:r>
        <w:rPr>
          <w:rFonts w:ascii="Times New Roman" w:cs="Times New Roman" w:eastAsia="Times New Roman" w:hAnsi="Times New Roman"/>
          <w:sz w:val="21"/>
          <w:szCs w:val="21"/>
          <w:color w:val="auto"/>
        </w:rPr>
        <w:t>following:</w:t>
      </w:r>
    </w:p>
    <w:p>
      <w:pPr>
        <w:spacing w:after="0" w:line="237" w:lineRule="exact"/>
        <w:rPr>
          <w:sz w:val="20"/>
          <w:szCs w:val="20"/>
          <w:color w:val="auto"/>
        </w:rPr>
      </w:pPr>
    </w:p>
    <w:p>
      <w:pPr>
        <w:ind w:left="2020" w:hanging="656"/>
        <w:spacing w:after="0"/>
        <w:tabs>
          <w:tab w:leader="none" w:pos="20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or</w:t>
      </w:r>
    </w:p>
    <w:p>
      <w:pPr>
        <w:spacing w:after="0" w:line="14" w:lineRule="exact"/>
        <w:rPr>
          <w:rFonts w:ascii="Times New Roman" w:cs="Times New Roman" w:eastAsia="Times New Roman" w:hAnsi="Times New Roman"/>
          <w:sz w:val="22"/>
          <w:szCs w:val="22"/>
          <w:color w:val="auto"/>
        </w:rPr>
      </w:pPr>
    </w:p>
    <w:p>
      <w:pPr>
        <w:ind w:left="2020" w:hanging="656"/>
        <w:spacing w:after="0"/>
        <w:tabs>
          <w:tab w:leader="none" w:pos="20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Takeover.</w:t>
      </w:r>
    </w:p>
    <w:p>
      <w:pPr>
        <w:spacing w:after="0" w:line="223" w:lineRule="exact"/>
        <w:rPr>
          <w:sz w:val="20"/>
          <w:szCs w:val="20"/>
          <w:color w:val="auto"/>
        </w:rPr>
      </w:pPr>
    </w:p>
    <w:p>
      <w:pPr>
        <w:jc w:val="both"/>
        <w:ind w:left="1360" w:right="79"/>
        <w:spacing w:after="0" w:line="234" w:lineRule="auto"/>
        <w:rPr>
          <w:sz w:val="20"/>
          <w:szCs w:val="20"/>
          <w:color w:val="auto"/>
        </w:rPr>
      </w:pPr>
      <w:r>
        <w:rPr>
          <w:rFonts w:ascii="Times New Roman" w:cs="Times New Roman" w:eastAsia="Times New Roman" w:hAnsi="Times New Roman"/>
          <w:sz w:val="22"/>
          <w:szCs w:val="22"/>
          <w:color w:val="auto"/>
        </w:rPr>
        <w:t>The Compensation Committee of the Board of BTL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such Change in Control also qualifies as a “change in control event” as defined in Section 409A of the United States Internal Revenue Code of 1986, as amended and the regulations and other guidance thereunder and any state law of similar effect, and any exercise of authority in conjunction with a determination of whether a Change in Control is a “change in control event” is consistent with such regulation.</w:t>
      </w:r>
    </w:p>
    <w:p>
      <w:pPr>
        <w:spacing w:after="0" w:line="202" w:lineRule="exact"/>
        <w:rPr>
          <w:sz w:val="20"/>
          <w:szCs w:val="20"/>
          <w:color w:val="auto"/>
        </w:rPr>
      </w:pPr>
    </w:p>
    <w:p>
      <w:pPr>
        <w:ind w:left="1360" w:right="99" w:hanging="64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shall have the meaning given to that word by Section 719 of the UK Income Tax (Earnings and Pensions) Act 2003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shall be construed accordingly.</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means the sale of all or substantially all of the assets of BTL.</w:t>
      </w:r>
    </w:p>
    <w:p>
      <w:pPr>
        <w:spacing w:after="0" w:line="233" w:lineRule="exact"/>
        <w:rPr>
          <w:sz w:val="20"/>
          <w:szCs w:val="20"/>
          <w:color w:val="auto"/>
        </w:rPr>
      </w:pPr>
    </w:p>
    <w:p>
      <w:pPr>
        <w:ind w:left="1360" w:right="79" w:hanging="64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Takeover</w:t>
      </w:r>
      <w:r>
        <w:rPr>
          <w:rFonts w:ascii="Times New Roman" w:cs="Times New Roman" w:eastAsia="Times New Roman" w:hAnsi="Times New Roman"/>
          <w:sz w:val="22"/>
          <w:szCs w:val="22"/>
          <w:color w:val="auto"/>
        </w:rPr>
        <w:t>” means circumstances in which any person (or a group of persons acting in concert) (the “</w:t>
      </w:r>
      <w:r>
        <w:rPr>
          <w:rFonts w:ascii="Times New Roman" w:cs="Times New Roman" w:eastAsia="Times New Roman" w:hAnsi="Times New Roman"/>
          <w:sz w:val="22"/>
          <w:szCs w:val="22"/>
          <w:b w:val="1"/>
          <w:bCs w:val="1"/>
          <w:color w:val="auto"/>
        </w:rPr>
        <w:t>Acquiring Person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000" w:hanging="636"/>
        <w:spacing w:after="0"/>
        <w:tabs>
          <w:tab w:leader="none" w:pos="20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BTL as the result of making a general offer to:-</w:t>
      </w:r>
    </w:p>
    <w:p>
      <w:pPr>
        <w:spacing w:after="0" w:line="206" w:lineRule="exact"/>
        <w:rPr>
          <w:rFonts w:ascii="Times New Roman" w:cs="Times New Roman" w:eastAsia="Times New Roman" w:hAnsi="Times New Roman"/>
          <w:sz w:val="22"/>
          <w:szCs w:val="22"/>
          <w:color w:val="auto"/>
        </w:rPr>
      </w:pPr>
    </w:p>
    <w:p>
      <w:pPr>
        <w:jc w:val="both"/>
        <w:ind w:left="2640" w:right="99" w:hanging="750"/>
        <w:spacing w:after="0" w:line="244" w:lineRule="auto"/>
        <w:tabs>
          <w:tab w:leader="none" w:pos="26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all of the issued ordinary share capital of BTL, which is made on a condition that, if it is satisfied, the Acquiring Person will have Control of BTL; or</w:t>
      </w:r>
    </w:p>
    <w:p>
      <w:pPr>
        <w:spacing w:after="0" w:line="173" w:lineRule="exact"/>
        <w:rPr>
          <w:rFonts w:ascii="Times New Roman" w:cs="Times New Roman" w:eastAsia="Times New Roman" w:hAnsi="Times New Roman"/>
          <w:sz w:val="22"/>
          <w:szCs w:val="22"/>
          <w:color w:val="auto"/>
        </w:rPr>
      </w:pPr>
    </w:p>
    <w:p>
      <w:pPr>
        <w:ind w:left="2640" w:hanging="804"/>
        <w:spacing w:after="0"/>
        <w:tabs>
          <w:tab w:leader="none" w:pos="26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all of the shares in BTL; or</w:t>
      </w:r>
    </w:p>
    <w:p>
      <w:pPr>
        <w:spacing w:after="0" w:line="206" w:lineRule="exact"/>
        <w:rPr>
          <w:rFonts w:ascii="Times New Roman" w:cs="Times New Roman" w:eastAsia="Times New Roman" w:hAnsi="Times New Roman"/>
          <w:sz w:val="22"/>
          <w:szCs w:val="22"/>
          <w:color w:val="auto"/>
        </w:rPr>
      </w:pPr>
    </w:p>
    <w:p>
      <w:pPr>
        <w:jc w:val="both"/>
        <w:ind w:left="2020" w:right="79" w:hanging="656"/>
        <w:spacing w:after="0" w:line="244" w:lineRule="auto"/>
        <w:tabs>
          <w:tab w:leader="none" w:pos="20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BTL as a result of a compromise or arrangement sanctioned by a court under Section 899 of the UK Companies Act 2006, or sanctioned under any other similar law of another jurisdiction; or</w:t>
      </w:r>
    </w:p>
    <w:p>
      <w:pPr>
        <w:spacing w:after="0" w:line="173" w:lineRule="exact"/>
        <w:rPr>
          <w:rFonts w:ascii="Times New Roman" w:cs="Times New Roman" w:eastAsia="Times New Roman" w:hAnsi="Times New Roman"/>
          <w:sz w:val="22"/>
          <w:szCs w:val="22"/>
          <w:color w:val="auto"/>
        </w:rPr>
      </w:pPr>
    </w:p>
    <w:p>
      <w:pPr>
        <w:ind w:left="2020" w:right="99" w:hanging="656"/>
        <w:spacing w:after="0" w:line="258" w:lineRule="auto"/>
        <w:tabs>
          <w:tab w:leader="none" w:pos="20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bound or entitled under Sections 979 to 985 of the UK Companies Act 2006 (or similar law of another jurisdiction) to acquire shares in BTL or</w:t>
      </w:r>
    </w:p>
    <w:p>
      <w:pPr>
        <w:spacing w:after="0" w:line="158" w:lineRule="exact"/>
        <w:rPr>
          <w:rFonts w:ascii="Times New Roman" w:cs="Times New Roman" w:eastAsia="Times New Roman" w:hAnsi="Times New Roman"/>
          <w:sz w:val="22"/>
          <w:szCs w:val="22"/>
          <w:color w:val="auto"/>
        </w:rPr>
      </w:pPr>
    </w:p>
    <w:p>
      <w:pPr>
        <w:ind w:left="2020" w:right="99" w:hanging="656"/>
        <w:spacing w:after="0" w:line="258" w:lineRule="auto"/>
        <w:tabs>
          <w:tab w:leader="none" w:pos="20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BTL in any other way, including but not limited to by way of 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358140</wp:posOffset>
            </wp:positionV>
            <wp:extent cx="58807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48" w:name="page149"/>
    <w:bookmarkEnd w:id="148"/>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Lee, certify that:</w:t>
      </w:r>
    </w:p>
    <w:p>
      <w:pPr>
        <w:spacing w:after="0" w:line="225" w:lineRule="exact"/>
        <w:rPr>
          <w:sz w:val="20"/>
          <w:szCs w:val="20"/>
          <w:color w:val="auto"/>
        </w:rPr>
      </w:pPr>
    </w:p>
    <w:p>
      <w:pPr>
        <w:ind w:left="380" w:hanging="330"/>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Bicycle Therapeutics plc;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30, 2026</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Kevin Lee</w:t>
            </w:r>
          </w:p>
        </w:tc>
      </w:tr>
      <w:tr>
        <w:trPr>
          <w:trHeight w:val="191"/>
        </w:trPr>
        <w:tc>
          <w:tcPr>
            <w:tcW w:w="2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Lee, Ph.D., MBA</w:t>
            </w:r>
          </w:p>
        </w:tc>
      </w:tr>
      <w:tr>
        <w:trPr>
          <w:trHeight w:val="216"/>
        </w:trPr>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2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9" w:name="page150"/>
    <w:bookmarkEnd w:id="149"/>
    <w:p>
      <w:pPr>
        <w:ind w:left="8020"/>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p>
      <w:pPr>
        <w:spacing w:after="0" w:line="225"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Travis Thompson, certify that:</w:t>
      </w:r>
    </w:p>
    <w:p>
      <w:pPr>
        <w:spacing w:after="0" w:line="225" w:lineRule="exact"/>
        <w:rPr>
          <w:sz w:val="20"/>
          <w:szCs w:val="20"/>
          <w:color w:val="auto"/>
        </w:rPr>
      </w:pPr>
    </w:p>
    <w:p>
      <w:pPr>
        <w:ind w:left="380" w:hanging="330"/>
        <w:spacing w:after="0"/>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Bicycle Therapeutics plc;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30, 2026</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Travis Thompson</w:t>
            </w:r>
          </w:p>
        </w:tc>
      </w:tr>
      <w:tr>
        <w:trPr>
          <w:trHeight w:val="191"/>
        </w:trPr>
        <w:tc>
          <w:tcPr>
            <w:tcW w:w="2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Thompson</w:t>
            </w:r>
          </w:p>
        </w:tc>
      </w:tr>
      <w:tr>
        <w:trPr>
          <w:trHeight w:val="216"/>
        </w:trPr>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2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50" w:name="page151"/>
    <w:bookmarkEnd w:id="1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25" w:lineRule="exact"/>
        <w:rPr>
          <w:sz w:val="20"/>
          <w:szCs w:val="20"/>
          <w:color w:val="auto"/>
        </w:rPr>
      </w:pPr>
    </w:p>
    <w:p>
      <w:pPr>
        <w:jc w:val="center"/>
        <w:ind w:left="50" w:right="7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ADOPTED PURSUANT TO SECTION 906 OF THE SARBANES-OXLEY ACT OF 2002</w:t>
      </w:r>
    </w:p>
    <w:p>
      <w:pPr>
        <w:spacing w:after="0" w:line="175"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Kevin Lee, Chief Executive Officer of Bicycle Therapeutics plc (the “Company”), and Travis Thompson, Chief Financial Officer of the Company, each hereby certifies that, to the best of their knowledge:</w:t>
      </w:r>
    </w:p>
    <w:p>
      <w:pPr>
        <w:spacing w:after="0" w:line="180" w:lineRule="exact"/>
        <w:rPr>
          <w:sz w:val="20"/>
          <w:szCs w:val="20"/>
          <w:color w:val="auto"/>
        </w:rPr>
      </w:pPr>
    </w:p>
    <w:p>
      <w:pPr>
        <w:ind w:left="700" w:right="179" w:hanging="650"/>
        <w:spacing w:after="0" w:line="266" w:lineRule="auto"/>
        <w:tabs>
          <w:tab w:leader="none" w:pos="7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b w:val="1"/>
          <w:bCs w:val="1"/>
          <w:color w:val="auto"/>
        </w:rPr>
      </w:pPr>
    </w:p>
    <w:p>
      <w:pPr>
        <w:ind w:left="700" w:right="279" w:hanging="650"/>
        <w:spacing w:after="0" w:line="282" w:lineRule="auto"/>
        <w:tabs>
          <w:tab w:leader="none" w:pos="7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April 30, 2026</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Kevin Lee, Ph.D., MBA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Travis Thompson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Bicycle Therapeutics plc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1)"/>
      <w:numFmt w:val="decimal"/>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1)"/>
      <w:numFmt w:val="decimal"/>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1)"/>
      <w:numFmt w:val="lowerRoman"/>
      <w:start w:val="4"/>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lvl w:ilvl="1">
      <w:lvlJc w:val="left"/>
      <w:lvlText w:val="%2"/>
      <w:numFmt w:val="decimal"/>
      <w:start w:val="104"/>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2"/>
    </w:lvl>
  </w:abstractNum>
  <w:abstractNum w:abstractNumId="52">
    <w:nsid w:val="94211F2"/>
    <w:multiLevelType w:val="hybridMultilevel"/>
    <w:lvl w:ilvl="0">
      <w:lvlJc w:val="left"/>
      <w:lvlText w:val="(%1)"/>
      <w:numFmt w:val="lowerLetter"/>
      <w:start w:val="1"/>
    </w:lvl>
  </w:abstractNum>
  <w:abstractNum w:abstractNumId="53">
    <w:nsid w:val="885E1B"/>
    <w:multiLevelType w:val="hybridMultilevel"/>
    <w:lvl w:ilvl="0">
      <w:lvlJc w:val="left"/>
      <w:lvlText w:val="%1."/>
      <w:numFmt w:val="decimal"/>
      <w:start w:val="3"/>
    </w:lvl>
  </w:abstractNum>
  <w:abstractNum w:abstractNumId="54">
    <w:nsid w:val="76272110"/>
    <w:multiLevelType w:val="hybridMultilevel"/>
    <w:lvl w:ilvl="0">
      <w:lvlJc w:val="left"/>
      <w:lvlText w:val="%1."/>
      <w:numFmt w:val="decimal"/>
      <w:start w:val="4"/>
    </w:lvl>
  </w:abstractNum>
  <w:abstractNum w:abstractNumId="55">
    <w:nsid w:val="4C04A8AF"/>
    <w:multiLevelType w:val="hybridMultilevel"/>
    <w:lvl w:ilvl="0">
      <w:lvlJc w:val="left"/>
      <w:lvlText w:val="%1."/>
      <w:numFmt w:val="decimal"/>
      <w:start w:val="5"/>
    </w:lvl>
  </w:abstractNum>
  <w:abstractNum w:abstractNumId="56">
    <w:nsid w:val="1716703B"/>
    <w:multiLevelType w:val="hybridMultilevel"/>
    <w:lvl w:ilvl="0">
      <w:lvlJc w:val="left"/>
      <w:lvlText w:val="%1"/>
      <w:numFmt w:val="decimal"/>
      <w:start w:val="1"/>
    </w:lvl>
    <w:lvl w:ilvl="1">
      <w:lvlJc w:val="left"/>
      <w:lvlText w:val="(%2)"/>
      <w:numFmt w:val="lowerLetter"/>
      <w:start w:val="1"/>
    </w:lvl>
  </w:abstractNum>
  <w:abstractNum w:abstractNumId="57">
    <w:nsid w:val="14E17E33"/>
    <w:multiLevelType w:val="hybridMultilevel"/>
    <w:lvl w:ilvl="0">
      <w:lvlJc w:val="left"/>
      <w:lvlText w:val="(%1)"/>
      <w:numFmt w:val="decimal"/>
      <w:start w:val="12"/>
    </w:lvl>
    <w:lvl w:ilvl="1">
      <w:lvlJc w:val="left"/>
      <w:lvlText w:val="%2"/>
      <w:numFmt w:val="lowerLetter"/>
      <w:start w:val="1"/>
    </w:lvl>
  </w:abstractNum>
  <w:abstractNum w:abstractNumId="58">
    <w:nsid w:val="3222E7CD"/>
    <w:multiLevelType w:val="hybridMultilevel"/>
    <w:lvl w:ilvl="0">
      <w:lvlJc w:val="left"/>
      <w:lvlText w:val="(%1)"/>
      <w:numFmt w:val="lowerLetter"/>
      <w:start w:val="3"/>
    </w:lvl>
  </w:abstractNum>
  <w:abstractNum w:abstractNumId="59">
    <w:nsid w:val="74DE0EE3"/>
    <w:multiLevelType w:val="hybridMultilevel"/>
    <w:lvl w:ilvl="0">
      <w:lvlJc w:val="left"/>
      <w:lvlText w:val="(%1)"/>
      <w:numFmt w:val="lowerLetter"/>
      <w:start w:val="1"/>
    </w:lvl>
    <w:lvl w:ilvl="1">
      <w:lvlJc w:val="left"/>
      <w:lvlText w:val="(%2)"/>
      <w:numFmt w:val="lowerRoman"/>
      <w:start w:val="1"/>
    </w:lvl>
  </w:abstractNum>
  <w:abstractNum w:abstractNumId="60">
    <w:nsid w:val="68EBC550"/>
    <w:multiLevelType w:val="hybridMultilevel"/>
    <w:lvl w:ilvl="0">
      <w:lvlJc w:val="left"/>
      <w:lvlText w:val="%1"/>
      <w:numFmt w:val="lowerLetter"/>
      <w:start w:val="1"/>
    </w:lvl>
    <w:lvl w:ilvl="1">
      <w:lvlJc w:val="left"/>
      <w:lvlText w:val="(%2)"/>
      <w:numFmt w:val="lowerLetter"/>
      <w:start w:val="2"/>
    </w:lvl>
  </w:abstractNum>
  <w:abstractNum w:abstractNumId="61">
    <w:nsid w:val="2DF6D648"/>
    <w:multiLevelType w:val="hybridMultilevel"/>
    <w:lvl w:ilvl="0">
      <w:lvlJc w:val="left"/>
      <w:lvlText w:val="(%1)"/>
      <w:numFmt w:val="lowerLetter"/>
      <w:start w:val="35"/>
    </w:lvl>
    <w:lvl w:ilvl="1">
      <w:lvlJc w:val="left"/>
      <w:lvlText w:val="(%2)"/>
      <w:numFmt w:val="lowerLetter"/>
      <w:start w:val="3"/>
    </w:lvl>
  </w:abstractNum>
  <w:abstractNum w:abstractNumId="62">
    <w:nsid w:val="46B7D447"/>
    <w:multiLevelType w:val="hybridMultilevel"/>
    <w:lvl w:ilvl="0">
      <w:lvlJc w:val="left"/>
      <w:lvlText w:val="(%1)"/>
      <w:numFmt w:val="lowerLetter"/>
      <w:start w:val="6"/>
    </w:lvl>
  </w:abstractNum>
  <w:abstractNum w:abstractNumId="63">
    <w:nsid w:val="4A2AC315"/>
    <w:multiLevelType w:val="hybridMultilevel"/>
    <w:lvl w:ilvl="0">
      <w:lvlJc w:val="left"/>
      <w:lvlText w:val="(%1)"/>
      <w:numFmt w:val="lowerLetter"/>
      <w:start w:val="1"/>
    </w:lvl>
    <w:lvl w:ilvl="1">
      <w:lvlJc w:val="left"/>
      <w:lvlText w:val="(%2)"/>
      <w:numFmt w:val="lowerLetter"/>
      <w:start w:val="9"/>
    </w:lvl>
  </w:abstractNum>
  <w:abstractNum w:abstractNumId="64">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5">
    <w:nsid w:val="57FC4FB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66">
    <w:nsid w:val="CC1016F"/>
    <w:multiLevelType w:val="hybridMultilevel"/>
    <w:lvl w:ilvl="0">
      <w:lvlJc w:val="left"/>
      <w:lvlText w:val="(%1)"/>
      <w:numFmt w:val="lowerLetter"/>
      <w:start w:val="4"/>
    </w:lvl>
  </w:abstractNum>
  <w:abstractNum w:abstractNumId="67">
    <w:nsid w:val="43F18422"/>
    <w:multiLevelType w:val="hybridMultilevel"/>
    <w:lvl w:ilvl="0">
      <w:lvlJc w:val="left"/>
      <w:lvlText w:val="(%1)"/>
      <w:numFmt w:val="lowerLetter"/>
      <w:start w:val="1"/>
    </w:lvl>
  </w:abstractNum>
  <w:abstractNum w:abstractNumId="68">
    <w:nsid w:val="60EF0119"/>
    <w:multiLevelType w:val="hybridMultilevel"/>
    <w:lvl w:ilvl="0">
      <w:lvlJc w:val="left"/>
      <w:lvlText w:val="(%1)"/>
      <w:numFmt w:val="lowerLetter"/>
      <w:start w:val="4"/>
    </w:lvl>
  </w:abstractNum>
  <w:abstractNum w:abstractNumId="69">
    <w:nsid w:val="26F324BA"/>
    <w:multiLevelType w:val="hybridMultilevel"/>
    <w:lvl w:ilvl="0">
      <w:lvlJc w:val="left"/>
      <w:lvlText w:val="%1"/>
      <w:numFmt w:val="upperLetter"/>
      <w:start w:val="1"/>
    </w:lvl>
    <w:lvl w:ilvl="1">
      <w:lvlJc w:val="left"/>
      <w:lvlText w:val="(%2)"/>
      <w:numFmt w:val="lowerLetter"/>
      <w:start w:val="1"/>
    </w:lvl>
  </w:abstractNum>
  <w:abstractNum w:abstractNumId="70">
    <w:nsid w:val="7F01579B"/>
    <w:multiLevelType w:val="hybridMultilevel"/>
    <w:lvl w:ilvl="0">
      <w:lvlJc w:val="left"/>
      <w:lvlText w:val="(%1)"/>
      <w:numFmt w:val="upperLetter"/>
      <w:start w:val="1"/>
    </w:lvl>
    <w:lvl w:ilvl="1">
      <w:lvlJc w:val="left"/>
      <w:lvlText w:val="%2"/>
      <w:numFmt w:val="lowerLetter"/>
      <w:start w:val="1"/>
    </w:lvl>
  </w:abstractNum>
  <w:abstractNum w:abstractNumId="71">
    <w:nsid w:val="49DA307D"/>
    <w:multiLevelType w:val="hybridMultilevel"/>
    <w:lvl w:ilvl="0">
      <w:lvlJc w:val="left"/>
      <w:lvlText w:val="%1"/>
      <w:numFmt w:val="decimal"/>
      <w:start w:val="1"/>
    </w:lvl>
    <w:lvl w:ilvl="1">
      <w:lvlJc w:val="left"/>
      <w:lvlText w:val="(%2)"/>
      <w:numFmt w:val="lowerLetter"/>
      <w:start w:val="3"/>
    </w:lvl>
  </w:abstractNum>
  <w:abstractNum w:abstractNumId="72">
    <w:nsid w:val="7055A5F5"/>
    <w:multiLevelType w:val="hybridMultilevel"/>
    <w:lvl w:ilvl="0">
      <w:lvlJc w:val="left"/>
      <w:lvlText w:val="%1."/>
      <w:numFmt w:val="decimal"/>
      <w:start w:val="7"/>
    </w:lvl>
    <w:lvl w:ilvl="1">
      <w:lvlJc w:val="left"/>
      <w:lvlText w:val="%2"/>
      <w:numFmt w:val="lowerLetter"/>
      <w:start w:val="1"/>
    </w:lvl>
  </w:abstractNum>
  <w:abstractNum w:abstractNumId="73">
    <w:nsid w:val="5FB8370B"/>
    <w:multiLevelType w:val="hybridMultilevel"/>
    <w:lvl w:ilvl="0">
      <w:lvlJc w:val="left"/>
      <w:lvlText w:val="(%1)"/>
      <w:numFmt w:val="lowerLetter"/>
      <w:start w:val="1"/>
    </w:lvl>
  </w:abstractNum>
  <w:abstractNum w:abstractNumId="74">
    <w:nsid w:val="50801EE1"/>
    <w:multiLevelType w:val="hybridMultilevel"/>
    <w:lvl w:ilvl="0">
      <w:lvlJc w:val="left"/>
      <w:lvlText w:val="(%1)"/>
      <w:numFmt w:val="lowerLetter"/>
      <w:start w:val="1"/>
    </w:lvl>
    <w:lvl w:ilvl="1">
      <w:lvlJc w:val="left"/>
      <w:lvlText w:val="%2."/>
      <w:numFmt w:val="lowerRoman"/>
      <w:start w:val="1"/>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7">
    <w:nsid w:val="6AA78F7F"/>
    <w:multiLevelType w:val="hybridMultilevel"/>
    <w:lvl w:ilvl="0">
      <w:lvlJc w:val="left"/>
      <w:lvlText w:val="(%1)"/>
      <w:numFmt w:val="decimal"/>
      <w:start w:val="9"/>
    </w:lvl>
    <w:lvl w:ilvl="1">
      <w:lvlJc w:val="left"/>
      <w:lvlText w:val="%2"/>
      <w:numFmt w:val="decimal"/>
      <w:start w:val="1"/>
    </w:lvl>
    <w:lvl w:ilvl="2">
      <w:lvlJc w:val="left"/>
      <w:lvlText w:val="(%3)"/>
      <w:numFmt w:val="lowerLetter"/>
      <w:start w:val="2"/>
    </w:lvl>
  </w:abstractNum>
  <w:abstractNum w:abstractNumId="78">
    <w:nsid w:val="7672BD23"/>
    <w:multiLevelType w:val="hybridMultilevel"/>
    <w:lvl w:ilvl="0">
      <w:lvlJc w:val="left"/>
      <w:lvlText w:val="%1."/>
      <w:numFmt w:val="decimal"/>
      <w:start w:val="5"/>
    </w:lvl>
    <w:lvl w:ilvl="1">
      <w:lvlJc w:val="left"/>
      <w:lvlText w:val="(%2)"/>
      <w:numFmt w:val="lowerLetter"/>
      <w:start w:val="1"/>
    </w:lvl>
  </w:abstractNum>
  <w:abstractNum w:abstractNumId="79">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80">
    <w:nsid w:val="6A5F7029"/>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3"/>
    </w:lvl>
  </w:abstractNum>
  <w:abstractNum w:abstractNumId="81">
    <w:nsid w:val="7D5E18F8"/>
    <w:multiLevelType w:val="hybridMultilevel"/>
    <w:lvl w:ilvl="0">
      <w:lvlJc w:val="left"/>
      <w:lvlText w:val="(%1)"/>
      <w:numFmt w:val="lowerLetter"/>
      <w:start w:val="4"/>
    </w:lvl>
    <w:lvl w:ilvl="1">
      <w:lvlJc w:val="left"/>
      <w:lvlText w:val="(%2)"/>
      <w:numFmt w:val="lowerRoman"/>
      <w:start w:val="2"/>
    </w:lvl>
    <w:lvl w:ilvl="2">
      <w:lvlJc w:val="left"/>
      <w:lvlText w:val="(%3)"/>
      <w:numFmt w:val="lowerLetter"/>
      <w:start w:val="4"/>
    </w:lvl>
  </w:abstractNum>
  <w:abstractNum w:abstractNumId="82">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83">
    <w:nsid w:val="73A1821B"/>
    <w:multiLevelType w:val="hybridMultilevel"/>
    <w:lvl w:ilvl="0">
      <w:lvlJc w:val="left"/>
      <w:lvlText w:val="%1."/>
      <w:numFmt w:val="decimal"/>
      <w:start w:val="8"/>
    </w:lvl>
  </w:abstractNum>
  <w:abstractNum w:abstractNumId="84">
    <w:nsid w:val="7DE67713"/>
    <w:multiLevelType w:val="hybridMultilevel"/>
    <w:lvl w:ilvl="0">
      <w:lvlJc w:val="left"/>
      <w:lvlText w:val="%1"/>
      <w:numFmt w:val="decimal"/>
      <w:start w:val="1"/>
    </w:lvl>
    <w:lvl w:ilvl="1">
      <w:lvlJc w:val="left"/>
      <w:lvlText w:val="(%2)"/>
      <w:numFmt w:val="lowerLetter"/>
      <w:start w:val="1"/>
    </w:lvl>
  </w:abstractNum>
  <w:abstractNum w:abstractNumId="85">
    <w:nsid w:val="555C55B5"/>
    <w:multiLevelType w:val="hybridMultilevel"/>
    <w:lvl w:ilvl="0">
      <w:lvlJc w:val="left"/>
      <w:lvlText w:val="%1."/>
      <w:numFmt w:val="decimal"/>
      <w:start w:val="12"/>
    </w:lvl>
    <w:lvl w:ilvl="1">
      <w:lvlJc w:val="left"/>
      <w:lvlText w:val="%2"/>
      <w:numFmt w:val="lowerLetter"/>
      <w:start w:val="1"/>
    </w:lvl>
  </w:abstractNum>
  <w:abstractNum w:abstractNumId="86">
    <w:nsid w:val="3FA62ACA"/>
    <w:multiLevelType w:val="hybridMultilevel"/>
    <w:lvl w:ilvl="0">
      <w:lvlJc w:val="left"/>
      <w:lvlText w:val="%1."/>
      <w:numFmt w:val="decimal"/>
      <w:start w:val="14"/>
    </w:lvl>
  </w:abstractNum>
  <w:abstractNum w:abstractNumId="87">
    <w:nsid w:val="14FCE74E"/>
    <w:multiLevelType w:val="hybridMultilevel"/>
    <w:lvl w:ilvl="0">
      <w:lvlJc w:val="left"/>
      <w:lvlText w:val="%1."/>
      <w:numFmt w:val="decimal"/>
      <w:start w:val="18"/>
    </w:lvl>
  </w:abstractNum>
  <w:abstractNum w:abstractNumId="88">
    <w:nsid w:val="6A3DD3E8"/>
    <w:multiLevelType w:val="hybridMultilevel"/>
    <w:lvl w:ilvl="0">
      <w:lvlJc w:val="left"/>
      <w:lvlText w:val="%1."/>
      <w:numFmt w:val="decimal"/>
      <w:start w:val="1"/>
    </w:lvl>
  </w:abstractNum>
  <w:abstractNum w:abstractNumId="89">
    <w:nsid w:val="71C91298"/>
    <w:multiLevelType w:val="hybridMultilevel"/>
    <w:lvl w:ilvl="0">
      <w:lvlJc w:val="left"/>
      <w:lvlText w:val="%1."/>
      <w:numFmt w:val="decimal"/>
      <w:start w:val="5"/>
    </w:lvl>
  </w:abstractNum>
  <w:abstractNum w:abstractNumId="90">
    <w:nsid w:val="9DAF632"/>
    <w:multiLevelType w:val="hybridMultilevel"/>
    <w:lvl w:ilvl="0">
      <w:lvlJc w:val="left"/>
      <w:lvlText w:val="%1."/>
      <w:numFmt w:val="upperLetter"/>
      <w:start w:val="1"/>
    </w:lvl>
  </w:abstractNum>
  <w:abstractNum w:abstractNumId="91">
    <w:nsid w:val="53299938"/>
    <w:multiLevelType w:val="hybridMultilevel"/>
    <w:lvl w:ilvl="0">
      <w:lvlJc w:val="left"/>
      <w:lvlText w:val="%1."/>
      <w:numFmt w:val="decimal"/>
      <w:start w:val="1"/>
    </w:lvl>
  </w:abstractNum>
  <w:abstractNum w:abstractNumId="92">
    <w:nsid w:val="1FBFE8E0"/>
    <w:multiLevelType w:val="hybridMultilevel"/>
    <w:lvl w:ilvl="0">
      <w:lvlJc w:val="left"/>
      <w:lvlText w:val="%1."/>
      <w:numFmt w:val="decimal"/>
      <w:start w:val="2"/>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lowerLetter"/>
      <w:start w:val="2"/>
    </w:lvl>
  </w:abstractNum>
  <w:abstractNum w:abstractNumId="95">
    <w:nsid w:val="59ADEA3D"/>
    <w:multiLevelType w:val="hybridMultilevel"/>
    <w:lvl w:ilvl="0">
      <w:lvlJc w:val="left"/>
      <w:lvlText w:val="%1."/>
      <w:numFmt w:val="decimal"/>
      <w:start w:val="3"/>
    </w:lvl>
  </w:abstractNum>
  <w:abstractNum w:abstractNumId="96">
    <w:nsid w:val="288F1A34"/>
    <w:multiLevelType w:val="hybridMultilevel"/>
    <w:lvl w:ilvl="0">
      <w:lvlJc w:val="left"/>
      <w:lvlText w:val="%1."/>
      <w:numFmt w:val="decimal"/>
      <w:start w:val="5"/>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lowerLetter"/>
      <w:start w:val="2"/>
    </w:lvl>
  </w:abstractNum>
  <w:abstractNum w:abstractNumId="99">
    <w:nsid w:val="97E1B4E"/>
    <w:multiLevelType w:val="hybridMultilevel"/>
    <w:lvl w:ilvl="0">
      <w:lvlJc w:val="left"/>
      <w:lvlText w:val="(%1)"/>
      <w:numFmt w:val="lowerLetter"/>
      <w:start w:val="1"/>
    </w:lvl>
    <w:lvl w:ilvl="1">
      <w:lvlJc w:val="left"/>
      <w:lvlText w:val="(%2)"/>
      <w:numFmt w:val="lowerLetter"/>
      <w:start w:val="9"/>
    </w:lvl>
  </w:abstractNum>
  <w:abstractNum w:abstractNumId="100">
    <w:nsid w:val="51088277"/>
    <w:multiLevelType w:val="hybridMultilevel"/>
    <w:lvl w:ilvl="0">
      <w:lvlJc w:val="left"/>
      <w:lvlText w:val="%1"/>
      <w:numFmt w:val="lowerLetter"/>
      <w:start w:val="1"/>
    </w:lvl>
    <w:lvl w:ilvl="1">
      <w:lvlJc w:val="left"/>
      <w:lvlText w:val="(%2)"/>
      <w:numFmt w:val="lowerLetter"/>
      <w:start w:val="35"/>
    </w:lvl>
  </w:abstractNum>
  <w:abstractNum w:abstractNumId="101">
    <w:nsid w:val="1CA0C5FA"/>
    <w:multiLevelType w:val="hybridMultilevel"/>
    <w:lvl w:ilvl="0">
      <w:lvlJc w:val="left"/>
      <w:lvlText w:val="(%1)"/>
      <w:numFmt w:val="lowerLetter"/>
      <w:start w:val="2"/>
    </w:lvl>
    <w:lvl w:ilvl="1">
      <w:lvlJc w:val="left"/>
      <w:lvlText w:val="%2"/>
      <w:numFmt w:val="lowerLetter"/>
      <w:start w:val="1"/>
    </w:lvl>
  </w:abstractNum>
  <w:abstractNum w:abstractNumId="102">
    <w:nsid w:val="53584BCB"/>
    <w:multiLevelType w:val="hybridMultilevel"/>
    <w:lvl w:ilvl="0">
      <w:lvlJc w:val="left"/>
      <w:lvlText w:val="(%1)"/>
      <w:numFmt w:val="lowerRoman"/>
      <w:start w:val="1"/>
    </w:lvl>
  </w:abstractNum>
  <w:abstractNum w:abstractNumId="103">
    <w:nsid w:val="415E286C"/>
    <w:multiLevelType w:val="hybridMultilevel"/>
    <w:lvl w:ilvl="0">
      <w:lvlJc w:val="left"/>
      <w:lvlText w:val="(%1)"/>
      <w:numFmt w:val="lowerLetter"/>
      <w:start w:val="35"/>
    </w:lvl>
    <w:lvl w:ilvl="1">
      <w:lvlJc w:val="left"/>
      <w:lvlText w:val="(%2)"/>
      <w:numFmt w:val="lowerLetter"/>
      <w:start w:val="5"/>
    </w:lvl>
  </w:abstractNum>
  <w:abstractNum w:abstractNumId="104">
    <w:nsid w:val="7C58FD05"/>
    <w:multiLevelType w:val="hybridMultilevel"/>
    <w:lvl w:ilvl="0">
      <w:lvlJc w:val="left"/>
      <w:lvlText w:val="(%1)"/>
      <w:numFmt w:val="lowerRoman"/>
      <w:start w:val="1"/>
    </w:lvl>
  </w:abstractNum>
  <w:abstractNum w:abstractNumId="105">
    <w:nsid w:val="23D86AAC"/>
    <w:multiLevelType w:val="hybridMultilevel"/>
    <w:lvl w:ilvl="0">
      <w:lvlJc w:val="left"/>
      <w:lvlText w:val="(%1)"/>
      <w:numFmt w:val="lowerLetter"/>
      <w:start w:val="1"/>
    </w:lvl>
    <w:lvl w:ilvl="1">
      <w:lvlJc w:val="left"/>
      <w:lvlText w:val="(%2)"/>
      <w:numFmt w:val="lowerRoman"/>
      <w:start w:val="1"/>
    </w:lvl>
  </w:abstractNum>
  <w:abstractNum w:abstractNumId="106">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07">
    <w:nsid w:val="5C10FE2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8">
    <w:nsid w:val="E7FFA2B"/>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09">
    <w:nsid w:val="3C5991AA"/>
    <w:multiLevelType w:val="hybridMultilevel"/>
    <w:lvl w:ilvl="0">
      <w:lvlJc w:val="left"/>
      <w:lvlText w:val="(%1)"/>
      <w:numFmt w:val="lowerLetter"/>
      <w:start w:val="1"/>
    </w:lvl>
  </w:abstractNum>
  <w:abstractNum w:abstractNumId="110">
    <w:nsid w:val="4BD8591A"/>
    <w:multiLevelType w:val="hybridMultilevel"/>
    <w:lvl w:ilvl="0">
      <w:lvlJc w:val="left"/>
      <w:lvlText w:val="%1"/>
      <w:numFmt w:val="upperLetter"/>
      <w:start w:val="1"/>
    </w:lvl>
    <w:lvl w:ilvl="1">
      <w:lvlJc w:val="left"/>
      <w:lvlText w:val="(%2)"/>
      <w:numFmt w:val="lowerLetter"/>
      <w:start w:val="1"/>
    </w:lvl>
  </w:abstractNum>
  <w:abstractNum w:abstractNumId="111">
    <w:nsid w:val="78DF6A55"/>
    <w:multiLevelType w:val="hybridMultilevel"/>
    <w:lvl w:ilvl="0">
      <w:lvlJc w:val="left"/>
      <w:lvlText w:val="(%1)"/>
      <w:numFmt w:val="upperLetter"/>
      <w:start w:val="1"/>
    </w:lvl>
    <w:lvl w:ilvl="1">
      <w:lvlJc w:val="left"/>
      <w:lvlText w:val="(%2)"/>
      <w:numFmt w:val="lowerLetter"/>
      <w:start w:val="3"/>
    </w:lvl>
  </w:abstractNum>
  <w:abstractNum w:abstractNumId="112">
    <w:nsid w:val="39B7AAA2"/>
    <w:multiLevelType w:val="hybridMultilevel"/>
    <w:lvl w:ilvl="0">
      <w:lvlJc w:val="left"/>
      <w:lvlText w:val="%1"/>
      <w:numFmt w:val="decimal"/>
      <w:start w:val="1"/>
    </w:lvl>
    <w:lvl w:ilvl="1">
      <w:lvlJc w:val="left"/>
      <w:lvlText w:val="(%2)"/>
      <w:numFmt w:val="lowerLetter"/>
      <w:start w:val="4"/>
    </w:lvl>
  </w:abstractNum>
  <w:abstractNum w:abstractNumId="113">
    <w:nsid w:val="2B0D8DBE"/>
    <w:multiLevelType w:val="hybridMultilevel"/>
    <w:lvl w:ilvl="0">
      <w:lvlJc w:val="left"/>
      <w:lvlText w:val="%1."/>
      <w:numFmt w:val="decimal"/>
      <w:start w:val="7"/>
    </w:lvl>
    <w:lvl w:ilvl="1">
      <w:lvlJc w:val="left"/>
      <w:lvlText w:val="%2"/>
      <w:numFmt w:val="lowerLetter"/>
      <w:start w:val="1"/>
    </w:lvl>
  </w:abstractNum>
  <w:abstractNum w:abstractNumId="114">
    <w:nsid w:val="6C80EC70"/>
    <w:multiLevelType w:val="hybridMultilevel"/>
    <w:lvl w:ilvl="0">
      <w:lvlJc w:val="left"/>
      <w:lvlText w:val="(%1)"/>
      <w:numFmt w:val="lowerLetter"/>
      <w:start w:val="1"/>
    </w:lvl>
  </w:abstractNum>
  <w:abstractNum w:abstractNumId="115">
    <w:nsid w:val="379E21B5"/>
    <w:multiLevelType w:val="hybridMultilevel"/>
    <w:lvl w:ilvl="0">
      <w:lvlJc w:val="left"/>
      <w:lvlText w:val="(%1)"/>
      <w:numFmt w:val="lowerLetter"/>
      <w:start w:val="1"/>
    </w:lvl>
    <w:lvl w:ilvl="1">
      <w:lvlJc w:val="left"/>
      <w:lvlText w:val="%2."/>
      <w:numFmt w:val="lowerRoman"/>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20" Type="http://schemas.openxmlformats.org/officeDocument/2006/relationships/hyperlink" Target="https://www.sec.gov/Archives/edgar/data/1761612/000155837024010949/bcyc-20240630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2026-04-30T06:15:40Z</dcterms:created>
  <dcterms:modified xsi:type="dcterms:W3CDTF">2026-04-30T06:15:40Z</dcterms:modified>
</cp:coreProperties>
</file>